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D432A2">
      <w:pPr>
        <w:rPr>
          <w:rFonts w:ascii="Arial Black" w:hAnsi="Arial Black" w:cs="Arial Black"/>
          <w:color w:val="auto"/>
          <w:highlight w:val="none"/>
        </w:rPr>
      </w:pPr>
    </w:p>
    <w:p w14:paraId="42457288">
      <w:pPr>
        <w:pStyle w:val="20"/>
        <w:spacing w:line="0" w:lineRule="atLeast"/>
        <w:ind w:firstLine="1084" w:firstLineChars="150"/>
        <w:jc w:val="center"/>
        <w:rPr>
          <w:rFonts w:ascii="Arial Black" w:hAnsi="Arial Black" w:cs="Arial Black"/>
          <w:b/>
          <w:color w:val="auto"/>
          <w:spacing w:val="30"/>
          <w:kern w:val="52"/>
          <w:sz w:val="64"/>
          <w:szCs w:val="64"/>
          <w:highlight w:val="none"/>
        </w:rPr>
      </w:pPr>
      <w:r>
        <w:rPr>
          <w:rFonts w:ascii="Arial Black" w:hAnsi="Arial Black" w:cs="Arial Black"/>
          <w:b/>
          <w:color w:val="auto"/>
          <w:sz w:val="72"/>
          <w:szCs w:val="72"/>
          <w:highlight w:val="none"/>
        </w:rPr>
        <w:drawing>
          <wp:anchor distT="0" distB="0" distL="114300" distR="114300" simplePos="0" relativeHeight="251661312" behindDoc="0" locked="0" layoutInCell="1" allowOverlap="1">
            <wp:simplePos x="0" y="0"/>
            <wp:positionH relativeFrom="column">
              <wp:posOffset>486410</wp:posOffset>
            </wp:positionH>
            <wp:positionV relativeFrom="paragraph">
              <wp:posOffset>53340</wp:posOffset>
            </wp:positionV>
            <wp:extent cx="502920" cy="417830"/>
            <wp:effectExtent l="0" t="0" r="11430" b="1270"/>
            <wp:wrapNone/>
            <wp:docPr id="3" name="图片 5"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LOGO1"/>
                    <pic:cNvPicPr>
                      <a:picLocks noChangeAspect="1"/>
                    </pic:cNvPicPr>
                  </pic:nvPicPr>
                  <pic:blipFill>
                    <a:blip r:embed="rId12" cstate="print"/>
                    <a:stretch>
                      <a:fillRect/>
                    </a:stretch>
                  </pic:blipFill>
                  <pic:spPr>
                    <a:xfrm>
                      <a:off x="0" y="0"/>
                      <a:ext cx="502920" cy="417830"/>
                    </a:xfrm>
                    <a:prstGeom prst="rect">
                      <a:avLst/>
                    </a:prstGeom>
                    <a:noFill/>
                    <a:ln>
                      <a:noFill/>
                    </a:ln>
                  </pic:spPr>
                </pic:pic>
              </a:graphicData>
            </a:graphic>
          </wp:anchor>
        </w:drawing>
      </w:r>
      <w:r>
        <w:rPr>
          <w:rFonts w:ascii="Arial Black" w:hAnsi="Arial Black" w:cs="Arial Black"/>
          <w:caps/>
          <w:color w:val="auto"/>
          <w:sz w:val="48"/>
          <w:highlight w:val="none"/>
        </w:rPr>
        <w:pict>
          <v:shape id="_x0000_i1025" o:spt="136" type="#_x0000_t136" style="height:35.25pt;width:342pt;" coordsize="21600,21600">
            <v:path/>
            <v:fill focussize="0,0"/>
            <v:stroke/>
            <v:imagedata o:title=""/>
            <o:lock v:ext="edit"/>
            <v:textpath on="t" fitshape="t" fitpath="t" trim="t" xscale="f" string="海之特工程管理有限公司" style="font-family:楷体_GB2312;font-size:36pt;v-text-align:center;"/>
            <v:shadow on="t" opacity="49152f"/>
            <w10:wrap type="none"/>
            <w10:anchorlock/>
          </v:shape>
        </w:pict>
      </w:r>
    </w:p>
    <w:p w14:paraId="56B5BAE1">
      <w:pPr>
        <w:pStyle w:val="20"/>
        <w:jc w:val="center"/>
        <w:rPr>
          <w:rFonts w:ascii="Arial Black" w:hAnsi="Arial Black" w:cs="Arial Black"/>
          <w:b/>
          <w:color w:val="auto"/>
          <w:sz w:val="24"/>
          <w:highlight w:val="none"/>
        </w:rPr>
      </w:pPr>
      <w:r>
        <w:rPr>
          <w:rFonts w:ascii="Arial Black" w:hAnsi="Arial Black" w:cs="Arial Black"/>
          <w:b/>
          <w:color w:val="auto"/>
          <w:sz w:val="84"/>
          <w:szCs w:val="84"/>
          <w:highlight w:val="none"/>
        </w:rPr>
        <mc:AlternateContent>
          <mc:Choice Requires="wps">
            <w:drawing>
              <wp:anchor distT="0" distB="0" distL="114300" distR="114300" simplePos="0" relativeHeight="251660288" behindDoc="0" locked="0" layoutInCell="1" allowOverlap="1">
                <wp:simplePos x="0" y="0"/>
                <wp:positionH relativeFrom="column">
                  <wp:posOffset>457200</wp:posOffset>
                </wp:positionH>
                <wp:positionV relativeFrom="paragraph">
                  <wp:posOffset>130175</wp:posOffset>
                </wp:positionV>
                <wp:extent cx="5257800" cy="0"/>
                <wp:effectExtent l="0" t="31750" r="0" b="31750"/>
                <wp:wrapNone/>
                <wp:docPr id="2" name="Line 69"/>
                <wp:cNvGraphicFramePr/>
                <a:graphic xmlns:a="http://schemas.openxmlformats.org/drawingml/2006/main">
                  <a:graphicData uri="http://schemas.microsoft.com/office/word/2010/wordprocessingShape">
                    <wps:wsp>
                      <wps:cNvCnPr/>
                      <wps:spPr>
                        <a:xfrm flipV="1">
                          <a:off x="0" y="0"/>
                          <a:ext cx="5257800" cy="0"/>
                        </a:xfrm>
                        <a:prstGeom prst="line">
                          <a:avLst/>
                        </a:prstGeom>
                        <a:ln w="63500" cap="flat" cmpd="tri">
                          <a:solidFill>
                            <a:srgbClr val="FF0000"/>
                          </a:solidFill>
                          <a:prstDash val="solid"/>
                          <a:headEnd type="none" w="med" len="med"/>
                          <a:tailEnd type="none" w="med" len="med"/>
                        </a:ln>
                        <a:effectLst/>
                      </wps:spPr>
                      <wps:bodyPr/>
                    </wps:wsp>
                  </a:graphicData>
                </a:graphic>
              </wp:anchor>
            </w:drawing>
          </mc:Choice>
          <mc:Fallback>
            <w:pict>
              <v:line id="Line 69" o:spid="_x0000_s1026" o:spt="20" style="position:absolute;left:0pt;flip:y;margin-left:36pt;margin-top:10.25pt;height:0pt;width:414pt;z-index:251660288;mso-width-relative:page;mso-height-relative:page;" filled="f" stroked="t" coordsize="21600,21600" o:gfxdata="UEsDBAoAAAAAAIdO4kAAAAAAAAAAAAAAAAAEAAAAZHJzL1BLAwQUAAAACACHTuJAvSjpBNQAAAAI&#10;AQAADwAAAGRycy9kb3ducmV2LnhtbE2PwU7DMBBE70j8g7VI3KjdqBSaxqkEEjdAbcqFm5ssTkS8&#10;juJtG/6eRRzguDOrmTfFZgq9OuGYukgW5jMDCqmOTUfewtv+6eYeVGJHjesjoYUvTLApLy8Klzfx&#10;TDs8VeyVhFDKnYWWeci1TnWLwaVZHJDE+4hjcCzn6HUzurOEh15nxix1cB1JQ+sGfGyx/qyOQXqf&#10;2T9ML57fq9dtveVs0S33C2uvr+ZmDYpx4r9n+MEXdCiF6RCP1CTVW7jLZApbyMwtKPFXxohw+BV0&#10;Wej/A8pvUEsDBBQAAAAIAIdO4kCCH0zY4AEAAOcDAAAOAAAAZHJzL2Uyb0RvYy54bWytU02PGyEM&#10;vVfqf0Dcm5lNlXQ7ymQPm6aXVRupH3cCJoPElzCbSf59DZONtttLDuWAbGye/R5m9XBylh0hoQm+&#10;53ezljPwMijjDz3/9XP74Z4zzMIrYYOHnp8B+cP6/bvVGDuYhyFYBYkRiMdujD0fco5d06AcwAmc&#10;hQiegjokJzK56dCoJEZCd7aZt+2yGUNSMQUJiHS6mYL8gphuAQxaGwmbIJ8d+DyhJrAiEyUcTES+&#10;rt1qDTJ/1xohM9tzYprrTkXI3pe9Wa9Ed0giDkZeWhC3tPCGkxPGU9Er1EZkwZ6T+QfKGZkCBp1n&#10;MrhmIlIVIRZ37RttfgwiQuVCUmO8io7/D1Z+O+4SM6rnc868cPTgT8YDW34u0owRO8p49Lt08TDu&#10;UuF50skxbU38TTNUmRMXdqrCnq/CwikzSYeL+eLTfUuay5dYM0EUqJgwf4XgWDF6bql8BRTHJ8xU&#10;llJfUkq69Wzs+fLjouIJmkBNL0/QLhKLnEy9jMEatTXWliuYDvtHm9hR0BRsty2two6A/0orVTYC&#10;hymvhqb5GECoL16xfI6kj6dvwUsPDhRnFugXFYsARZeFsbdkUmnrywWoM3ohWuSeBC7WPqhz1b0p&#10;Hr1/7fgyq2XAXvtkv/6f6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9KOkE1AAAAAgBAAAPAAAA&#10;AAAAAAEAIAAAACIAAABkcnMvZG93bnJldi54bWxQSwECFAAUAAAACACHTuJAgh9M2OABAADnAwAA&#10;DgAAAAAAAAABACAAAAAjAQAAZHJzL2Uyb0RvYy54bWxQSwUGAAAAAAYABgBZAQAAdQUAAAAA&#10;">
                <v:fill on="f" focussize="0,0"/>
                <v:stroke weight="5pt" color="#FF0000" linestyle="thickBetweenThin" joinstyle="round"/>
                <v:imagedata o:title=""/>
                <o:lock v:ext="edit" aspectratio="f"/>
              </v:line>
            </w:pict>
          </mc:Fallback>
        </mc:AlternateContent>
      </w:r>
    </w:p>
    <w:p w14:paraId="0D71FBDF">
      <w:pPr>
        <w:spacing w:before="312" w:beforeLines="100" w:after="156" w:afterLines="50" w:line="600" w:lineRule="exact"/>
        <w:rPr>
          <w:rFonts w:ascii="Arial Black" w:hAnsi="Arial Black" w:cs="Arial Black"/>
          <w:b/>
          <w:color w:val="auto"/>
          <w:sz w:val="72"/>
          <w:szCs w:val="72"/>
          <w:highlight w:val="none"/>
        </w:rPr>
      </w:pPr>
    </w:p>
    <w:p w14:paraId="14CCD50B">
      <w:pPr>
        <w:spacing w:before="312" w:beforeLines="100" w:after="156" w:afterLines="50" w:line="600" w:lineRule="exact"/>
        <w:jc w:val="center"/>
        <w:rPr>
          <w:rFonts w:ascii="Arial Black" w:hAnsi="Arial Black" w:cs="Arial Black"/>
          <w:b/>
          <w:color w:val="auto"/>
          <w:sz w:val="72"/>
          <w:szCs w:val="72"/>
          <w:highlight w:val="none"/>
        </w:rPr>
      </w:pPr>
      <w:r>
        <w:rPr>
          <w:rFonts w:ascii="Arial Black" w:hAnsi="Arial Black" w:cs="Arial Black"/>
          <w:b/>
          <w:color w:val="auto"/>
          <w:sz w:val="72"/>
          <w:szCs w:val="72"/>
          <w:highlight w:val="none"/>
        </w:rPr>
        <w:t>竞争性磋商采购文件</w:t>
      </w:r>
    </w:p>
    <w:p w14:paraId="7772D515">
      <w:pPr>
        <w:spacing w:line="400" w:lineRule="exact"/>
        <w:jc w:val="center"/>
        <w:rPr>
          <w:rFonts w:ascii="Arial Black" w:hAnsi="Arial Black" w:cs="Arial Black"/>
          <w:color w:val="auto"/>
          <w:sz w:val="32"/>
          <w:szCs w:val="32"/>
          <w:highlight w:val="none"/>
        </w:rPr>
      </w:pPr>
    </w:p>
    <w:p w14:paraId="37866DDC">
      <w:pPr>
        <w:spacing w:line="400" w:lineRule="exact"/>
        <w:jc w:val="center"/>
        <w:rPr>
          <w:rFonts w:ascii="Arial Black" w:hAnsi="Arial Black" w:cs="Arial Black"/>
          <w:color w:val="auto"/>
          <w:sz w:val="32"/>
          <w:szCs w:val="32"/>
          <w:highlight w:val="none"/>
        </w:rPr>
      </w:pPr>
    </w:p>
    <w:p w14:paraId="12C03607">
      <w:pPr>
        <w:spacing w:line="400" w:lineRule="exact"/>
        <w:jc w:val="center"/>
        <w:rPr>
          <w:rFonts w:ascii="Arial Black" w:hAnsi="Arial Black" w:cs="Arial Black"/>
          <w:color w:val="auto"/>
          <w:sz w:val="32"/>
          <w:szCs w:val="32"/>
          <w:highlight w:val="none"/>
        </w:rPr>
      </w:pPr>
    </w:p>
    <w:p w14:paraId="47357204">
      <w:pPr>
        <w:spacing w:line="360" w:lineRule="auto"/>
        <w:jc w:val="center"/>
        <w:rPr>
          <w:rFonts w:ascii="Arial Black" w:hAnsi="Arial Black" w:cs="Arial Black"/>
          <w:b/>
          <w:color w:val="auto"/>
          <w:sz w:val="32"/>
          <w:szCs w:val="32"/>
          <w:highlight w:val="none"/>
        </w:rPr>
      </w:pPr>
    </w:p>
    <w:p w14:paraId="2F75E94F">
      <w:pPr>
        <w:ind w:firstLine="1687" w:firstLineChars="600"/>
        <w:rPr>
          <w:rFonts w:ascii="Arial Black" w:hAnsi="Arial Black" w:cs="Arial Black"/>
          <w:b/>
          <w:color w:val="auto"/>
          <w:sz w:val="28"/>
          <w:szCs w:val="28"/>
          <w:highlight w:val="none"/>
        </w:rPr>
      </w:pPr>
      <w:r>
        <w:rPr>
          <w:rFonts w:ascii="Arial Black" w:hAnsi="Arial Black" w:cs="Arial Black"/>
          <w:b/>
          <w:color w:val="auto"/>
          <w:sz w:val="28"/>
          <w:szCs w:val="28"/>
          <w:highlight w:val="none"/>
        </w:rPr>
        <w:t>项目名称：</w:t>
      </w:r>
      <w:r>
        <w:rPr>
          <w:rFonts w:hint="eastAsia" w:ascii="Arial Black" w:hAnsi="Arial Black" w:cs="Arial Black"/>
          <w:b/>
          <w:color w:val="auto"/>
          <w:sz w:val="28"/>
          <w:szCs w:val="28"/>
          <w:highlight w:val="none"/>
        </w:rPr>
        <w:t>广西壮族自治区检察院系统整合和安全测评采购项目</w:t>
      </w:r>
    </w:p>
    <w:p w14:paraId="3EA0BED2">
      <w:pPr>
        <w:ind w:firstLine="1687" w:firstLineChars="600"/>
        <w:rPr>
          <w:rFonts w:hint="eastAsia" w:ascii="Arial Black" w:hAnsi="Arial Black" w:eastAsia="宋体" w:cs="Arial Black"/>
          <w:b/>
          <w:color w:val="auto"/>
          <w:kern w:val="0"/>
          <w:sz w:val="28"/>
          <w:szCs w:val="28"/>
          <w:highlight w:val="none"/>
          <w:u w:val="single"/>
          <w:lang w:eastAsia="zh-CN"/>
        </w:rPr>
      </w:pPr>
      <w:r>
        <w:rPr>
          <w:rFonts w:ascii="Arial Black" w:hAnsi="Arial Black" w:cs="Arial Black"/>
          <w:b/>
          <w:color w:val="auto"/>
          <w:sz w:val="28"/>
          <w:szCs w:val="28"/>
          <w:highlight w:val="none"/>
        </w:rPr>
        <w:t>项目编号：</w:t>
      </w:r>
      <w:r>
        <w:rPr>
          <w:rFonts w:hint="eastAsia" w:ascii="Arial Black" w:hAnsi="Arial Black" w:cs="Arial Black"/>
          <w:b/>
          <w:color w:val="auto"/>
          <w:sz w:val="28"/>
          <w:szCs w:val="28"/>
          <w:highlight w:val="none"/>
          <w:lang w:eastAsia="zh-CN"/>
        </w:rPr>
        <w:t>GXZC2024-C3-006200-HZTG</w:t>
      </w:r>
    </w:p>
    <w:p w14:paraId="06F4988C">
      <w:pPr>
        <w:ind w:firstLine="1687" w:firstLineChars="600"/>
        <w:rPr>
          <w:rFonts w:ascii="Arial Black" w:hAnsi="Arial Black" w:cs="Arial Black"/>
          <w:b/>
          <w:color w:val="auto"/>
          <w:kern w:val="0"/>
          <w:sz w:val="28"/>
          <w:szCs w:val="28"/>
          <w:highlight w:val="none"/>
          <w:u w:val="single"/>
        </w:rPr>
      </w:pPr>
    </w:p>
    <w:p w14:paraId="2A3A70F0">
      <w:pPr>
        <w:pStyle w:val="16"/>
        <w:rPr>
          <w:color w:val="auto"/>
          <w:highlight w:val="none"/>
        </w:rPr>
      </w:pPr>
    </w:p>
    <w:p w14:paraId="6FB50220">
      <w:pPr>
        <w:spacing w:line="360" w:lineRule="auto"/>
        <w:rPr>
          <w:rFonts w:ascii="Arial Black" w:hAnsi="Arial Black" w:cs="Arial Black"/>
          <w:b/>
          <w:color w:val="auto"/>
          <w:sz w:val="32"/>
          <w:szCs w:val="32"/>
          <w:highlight w:val="none"/>
        </w:rPr>
      </w:pPr>
    </w:p>
    <w:p w14:paraId="03FE5807">
      <w:pPr>
        <w:spacing w:line="360" w:lineRule="auto"/>
        <w:ind w:firstLine="630" w:firstLineChars="196"/>
        <w:rPr>
          <w:rFonts w:ascii="Arial Black" w:hAnsi="Arial Black" w:cs="Arial Black"/>
          <w:b/>
          <w:color w:val="auto"/>
          <w:sz w:val="32"/>
          <w:szCs w:val="32"/>
          <w:highlight w:val="none"/>
        </w:rPr>
      </w:pPr>
    </w:p>
    <w:p w14:paraId="685F092D">
      <w:pPr>
        <w:spacing w:line="360" w:lineRule="auto"/>
        <w:ind w:firstLine="1494" w:firstLineChars="496"/>
        <w:rPr>
          <w:rFonts w:ascii="Arial Black" w:hAnsi="Arial Black" w:cs="Arial Black"/>
          <w:b/>
          <w:color w:val="auto"/>
          <w:sz w:val="30"/>
          <w:szCs w:val="30"/>
          <w:highlight w:val="none"/>
        </w:rPr>
      </w:pPr>
      <w:r>
        <w:rPr>
          <w:rFonts w:ascii="Arial Black" w:hAnsi="Arial Black" w:cs="Arial Black"/>
          <w:b/>
          <w:color w:val="auto"/>
          <w:sz w:val="30"/>
          <w:szCs w:val="30"/>
          <w:highlight w:val="none"/>
        </w:rPr>
        <w:t>采   购   人：</w:t>
      </w:r>
      <w:r>
        <w:rPr>
          <w:rFonts w:hint="eastAsia" w:ascii="Arial Black" w:hAnsi="Arial Black" w:cs="Arial Black"/>
          <w:b/>
          <w:color w:val="auto"/>
          <w:sz w:val="30"/>
          <w:szCs w:val="30"/>
          <w:highlight w:val="none"/>
        </w:rPr>
        <w:t>广西壮族自治区人民检察院</w:t>
      </w:r>
    </w:p>
    <w:p w14:paraId="5F12CEF8">
      <w:pPr>
        <w:spacing w:line="360" w:lineRule="auto"/>
        <w:ind w:firstLine="1506" w:firstLineChars="500"/>
        <w:rPr>
          <w:rFonts w:ascii="Arial Black" w:hAnsi="Arial Black" w:cs="Arial Black"/>
          <w:b/>
          <w:color w:val="auto"/>
          <w:sz w:val="30"/>
          <w:szCs w:val="30"/>
          <w:highlight w:val="none"/>
        </w:rPr>
      </w:pPr>
      <w:r>
        <w:rPr>
          <w:rFonts w:ascii="Arial Black" w:hAnsi="Arial Black" w:cs="Arial Black"/>
          <w:b/>
          <w:color w:val="auto"/>
          <w:sz w:val="30"/>
          <w:szCs w:val="30"/>
          <w:highlight w:val="none"/>
        </w:rPr>
        <w:t>采购代理机构：海之特工程管理有限公司</w:t>
      </w:r>
    </w:p>
    <w:p w14:paraId="1A483608">
      <w:pPr>
        <w:spacing w:line="600" w:lineRule="auto"/>
        <w:jc w:val="center"/>
        <w:rPr>
          <w:rFonts w:ascii="Arial Black" w:hAnsi="Arial Black" w:cs="Arial Black"/>
          <w:b/>
          <w:color w:val="auto"/>
          <w:sz w:val="30"/>
          <w:szCs w:val="30"/>
          <w:highlight w:val="none"/>
        </w:rPr>
      </w:pPr>
    </w:p>
    <w:p w14:paraId="0F14A033">
      <w:pPr>
        <w:spacing w:line="600" w:lineRule="auto"/>
        <w:jc w:val="center"/>
        <w:rPr>
          <w:rFonts w:ascii="Arial Black" w:hAnsi="Arial Black" w:cs="Arial Black"/>
          <w:b/>
          <w:color w:val="auto"/>
          <w:sz w:val="30"/>
          <w:szCs w:val="30"/>
          <w:highlight w:val="none"/>
        </w:rPr>
      </w:pPr>
      <w:r>
        <w:rPr>
          <w:rFonts w:ascii="Arial Black" w:hAnsi="Arial Black" w:cs="Arial Black"/>
          <w:b/>
          <w:color w:val="auto"/>
          <w:sz w:val="30"/>
          <w:szCs w:val="30"/>
          <w:highlight w:val="none"/>
        </w:rPr>
        <w:t>二零二</w:t>
      </w:r>
      <w:r>
        <w:rPr>
          <w:rFonts w:hint="eastAsia" w:ascii="Arial Black" w:hAnsi="Arial Black" w:cs="Arial Black"/>
          <w:b/>
          <w:color w:val="auto"/>
          <w:sz w:val="30"/>
          <w:szCs w:val="30"/>
          <w:highlight w:val="none"/>
        </w:rPr>
        <w:t>四</w:t>
      </w:r>
      <w:r>
        <w:rPr>
          <w:rFonts w:ascii="Arial Black" w:hAnsi="Arial Black" w:cs="Arial Black"/>
          <w:b/>
          <w:color w:val="auto"/>
          <w:sz w:val="30"/>
          <w:szCs w:val="30"/>
          <w:highlight w:val="none"/>
        </w:rPr>
        <w:t>年</w:t>
      </w:r>
      <w:r>
        <w:rPr>
          <w:rFonts w:hint="eastAsia" w:ascii="Arial Black" w:hAnsi="Arial Black" w:cs="Arial Black"/>
          <w:b/>
          <w:color w:val="auto"/>
          <w:sz w:val="30"/>
          <w:szCs w:val="30"/>
          <w:highlight w:val="none"/>
        </w:rPr>
        <w:t>十一</w:t>
      </w:r>
      <w:r>
        <w:rPr>
          <w:rFonts w:ascii="Arial Black" w:hAnsi="Arial Black" w:cs="Arial Black"/>
          <w:b/>
          <w:color w:val="auto"/>
          <w:sz w:val="30"/>
          <w:szCs w:val="30"/>
          <w:highlight w:val="none"/>
        </w:rPr>
        <w:t>月</w:t>
      </w:r>
    </w:p>
    <w:p w14:paraId="4EEE293E">
      <w:pPr>
        <w:spacing w:line="360" w:lineRule="auto"/>
        <w:jc w:val="center"/>
        <w:rPr>
          <w:rFonts w:ascii="仿宋_GB2312" w:hAnsi="宋体" w:eastAsia="仿宋_GB2312"/>
          <w:b/>
          <w:color w:val="auto"/>
          <w:sz w:val="32"/>
          <w:szCs w:val="32"/>
          <w:highlight w:val="none"/>
        </w:rPr>
      </w:pPr>
    </w:p>
    <w:p w14:paraId="072C992E">
      <w:pPr>
        <w:spacing w:line="360" w:lineRule="auto"/>
        <w:jc w:val="center"/>
        <w:rPr>
          <w:rFonts w:ascii="宋体" w:hAnsi="宋体"/>
          <w:b/>
          <w:color w:val="auto"/>
          <w:sz w:val="44"/>
          <w:szCs w:val="44"/>
          <w:highlight w:val="none"/>
        </w:rPr>
      </w:pPr>
      <w:r>
        <w:rPr>
          <w:rFonts w:hint="eastAsia" w:ascii="宋体" w:hAnsi="宋体"/>
          <w:b/>
          <w:color w:val="auto"/>
          <w:sz w:val="44"/>
          <w:szCs w:val="44"/>
          <w:highlight w:val="none"/>
        </w:rPr>
        <w:br w:type="page"/>
      </w:r>
      <w:r>
        <w:rPr>
          <w:rFonts w:hint="eastAsia" w:ascii="宋体" w:hAnsi="宋体"/>
          <w:b/>
          <w:color w:val="auto"/>
          <w:sz w:val="44"/>
          <w:szCs w:val="44"/>
          <w:highlight w:val="none"/>
        </w:rPr>
        <w:t>目   录</w:t>
      </w:r>
    </w:p>
    <w:p w14:paraId="03DA4FA8">
      <w:pPr>
        <w:spacing w:line="400" w:lineRule="exact"/>
        <w:jc w:val="center"/>
        <w:rPr>
          <w:rFonts w:ascii="宋体" w:hAnsi="宋体"/>
          <w:b/>
          <w:color w:val="auto"/>
          <w:sz w:val="44"/>
          <w:szCs w:val="44"/>
          <w:highlight w:val="none"/>
        </w:rPr>
      </w:pPr>
    </w:p>
    <w:p w14:paraId="1D51D073">
      <w:pPr>
        <w:pStyle w:val="24"/>
        <w:tabs>
          <w:tab w:val="right" w:leader="dot" w:pos="9638"/>
        </w:tabs>
        <w:rPr>
          <w:color w:val="auto"/>
          <w:highlight w:val="none"/>
        </w:rPr>
      </w:pPr>
      <w:r>
        <w:rPr>
          <w:rFonts w:ascii="宋体" w:hAnsi="宋体"/>
          <w:b/>
          <w:color w:val="auto"/>
          <w:sz w:val="30"/>
          <w:szCs w:val="30"/>
          <w:highlight w:val="none"/>
        </w:rPr>
        <w:fldChar w:fldCharType="begin"/>
      </w:r>
      <w:r>
        <w:rPr>
          <w:rFonts w:hint="eastAsia" w:ascii="宋体" w:hAnsi="宋体"/>
          <w:b/>
          <w:color w:val="auto"/>
          <w:sz w:val="30"/>
          <w:szCs w:val="30"/>
          <w:highlight w:val="none"/>
        </w:rPr>
        <w:instrText xml:space="preserve">TOC \o "1-3" \h \z \u</w:instrText>
      </w:r>
      <w:r>
        <w:rPr>
          <w:rFonts w:ascii="宋体" w:hAnsi="宋体"/>
          <w:b/>
          <w:color w:val="auto"/>
          <w:sz w:val="30"/>
          <w:szCs w:val="30"/>
          <w:highlight w:val="none"/>
        </w:rPr>
        <w:fldChar w:fldCharType="separate"/>
      </w:r>
      <w:r>
        <w:rPr>
          <w:color w:val="auto"/>
          <w:highlight w:val="none"/>
        </w:rPr>
        <w:fldChar w:fldCharType="begin"/>
      </w:r>
      <w:r>
        <w:rPr>
          <w:color w:val="auto"/>
          <w:highlight w:val="none"/>
        </w:rPr>
        <w:instrText xml:space="preserve"> HYPERLINK \l "_Toc27305" </w:instrText>
      </w:r>
      <w:r>
        <w:rPr>
          <w:color w:val="auto"/>
          <w:highlight w:val="none"/>
        </w:rPr>
        <w:fldChar w:fldCharType="separate"/>
      </w:r>
      <w:r>
        <w:rPr>
          <w:rFonts w:hint="eastAsia"/>
          <w:color w:val="auto"/>
          <w:highlight w:val="none"/>
        </w:rPr>
        <w:t>第一章 竞争性磋商公告</w:t>
      </w:r>
      <w:r>
        <w:rPr>
          <w:color w:val="auto"/>
          <w:highlight w:val="none"/>
        </w:rPr>
        <w:tab/>
      </w:r>
      <w:r>
        <w:rPr>
          <w:color w:val="auto"/>
          <w:highlight w:val="none"/>
        </w:rPr>
        <w:fldChar w:fldCharType="begin"/>
      </w:r>
      <w:r>
        <w:rPr>
          <w:color w:val="auto"/>
          <w:highlight w:val="none"/>
        </w:rPr>
        <w:instrText xml:space="preserve"> PAGEREF _Toc27305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14:paraId="744EF704">
      <w:pPr>
        <w:pStyle w:val="24"/>
        <w:tabs>
          <w:tab w:val="right" w:leader="dot" w:pos="9638"/>
        </w:tabs>
        <w:rPr>
          <w:color w:val="auto"/>
          <w:highlight w:val="none"/>
        </w:rPr>
      </w:pPr>
      <w:r>
        <w:rPr>
          <w:color w:val="auto"/>
          <w:highlight w:val="none"/>
        </w:rPr>
        <w:fldChar w:fldCharType="begin"/>
      </w:r>
      <w:r>
        <w:rPr>
          <w:color w:val="auto"/>
          <w:highlight w:val="none"/>
        </w:rPr>
        <w:instrText xml:space="preserve"> HYPERLINK \l "_Toc25451" </w:instrText>
      </w:r>
      <w:r>
        <w:rPr>
          <w:color w:val="auto"/>
          <w:highlight w:val="none"/>
        </w:rPr>
        <w:fldChar w:fldCharType="separate"/>
      </w:r>
      <w:r>
        <w:rPr>
          <w:rFonts w:hint="eastAsia" w:ascii="宋体" w:hAnsi="宋体" w:cs="宋体"/>
          <w:color w:val="auto"/>
          <w:highlight w:val="none"/>
        </w:rPr>
        <w:t>第二章 采购需求</w:t>
      </w:r>
      <w:r>
        <w:rPr>
          <w:color w:val="auto"/>
          <w:highlight w:val="none"/>
        </w:rPr>
        <w:tab/>
      </w:r>
      <w:r>
        <w:rPr>
          <w:color w:val="auto"/>
          <w:highlight w:val="none"/>
        </w:rPr>
        <w:fldChar w:fldCharType="begin"/>
      </w:r>
      <w:r>
        <w:rPr>
          <w:color w:val="auto"/>
          <w:highlight w:val="none"/>
        </w:rPr>
        <w:instrText xml:space="preserve"> PAGEREF _Toc25451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14:paraId="265A5943">
      <w:pPr>
        <w:pStyle w:val="24"/>
        <w:tabs>
          <w:tab w:val="right" w:leader="dot" w:pos="9638"/>
        </w:tabs>
        <w:rPr>
          <w:color w:val="auto"/>
          <w:highlight w:val="none"/>
        </w:rPr>
      </w:pPr>
      <w:r>
        <w:rPr>
          <w:color w:val="auto"/>
          <w:highlight w:val="none"/>
        </w:rPr>
        <w:fldChar w:fldCharType="begin"/>
      </w:r>
      <w:r>
        <w:rPr>
          <w:color w:val="auto"/>
          <w:highlight w:val="none"/>
        </w:rPr>
        <w:instrText xml:space="preserve"> HYPERLINK \l "_Toc9415" </w:instrText>
      </w:r>
      <w:r>
        <w:rPr>
          <w:color w:val="auto"/>
          <w:highlight w:val="none"/>
        </w:rPr>
        <w:fldChar w:fldCharType="separate"/>
      </w:r>
      <w:r>
        <w:rPr>
          <w:rFonts w:hint="eastAsia" w:ascii="宋体" w:hAnsi="宋体" w:cs="宋体"/>
          <w:color w:val="auto"/>
          <w:szCs w:val="32"/>
          <w:highlight w:val="none"/>
        </w:rPr>
        <w:t>第三章 供应商须知</w:t>
      </w:r>
      <w:r>
        <w:rPr>
          <w:color w:val="auto"/>
          <w:highlight w:val="none"/>
        </w:rPr>
        <w:tab/>
      </w:r>
      <w:r>
        <w:rPr>
          <w:color w:val="auto"/>
          <w:highlight w:val="none"/>
        </w:rPr>
        <w:fldChar w:fldCharType="begin"/>
      </w:r>
      <w:r>
        <w:rPr>
          <w:color w:val="auto"/>
          <w:highlight w:val="none"/>
        </w:rPr>
        <w:instrText xml:space="preserve"> PAGEREF _Toc9415 \h </w:instrText>
      </w:r>
      <w:r>
        <w:rPr>
          <w:color w:val="auto"/>
          <w:highlight w:val="none"/>
        </w:rPr>
        <w:fldChar w:fldCharType="separate"/>
      </w:r>
      <w:r>
        <w:rPr>
          <w:color w:val="auto"/>
          <w:highlight w:val="none"/>
        </w:rPr>
        <w:t>51</w:t>
      </w:r>
      <w:r>
        <w:rPr>
          <w:color w:val="auto"/>
          <w:highlight w:val="none"/>
        </w:rPr>
        <w:fldChar w:fldCharType="end"/>
      </w:r>
      <w:r>
        <w:rPr>
          <w:color w:val="auto"/>
          <w:highlight w:val="none"/>
        </w:rPr>
        <w:fldChar w:fldCharType="end"/>
      </w:r>
    </w:p>
    <w:p w14:paraId="0861AC41">
      <w:pPr>
        <w:pStyle w:val="26"/>
        <w:tabs>
          <w:tab w:val="right" w:leader="dot" w:pos="9638"/>
          <w:tab w:val="clear" w:pos="8296"/>
        </w:tabs>
        <w:rPr>
          <w:color w:val="auto"/>
          <w:highlight w:val="none"/>
        </w:rPr>
      </w:pPr>
      <w:r>
        <w:rPr>
          <w:color w:val="auto"/>
          <w:highlight w:val="none"/>
        </w:rPr>
        <w:fldChar w:fldCharType="begin"/>
      </w:r>
      <w:r>
        <w:rPr>
          <w:color w:val="auto"/>
          <w:highlight w:val="none"/>
        </w:rPr>
        <w:instrText xml:space="preserve"> HYPERLINK \l "_Toc7998" </w:instrText>
      </w:r>
      <w:r>
        <w:rPr>
          <w:color w:val="auto"/>
          <w:highlight w:val="none"/>
        </w:rPr>
        <w:fldChar w:fldCharType="separate"/>
      </w:r>
      <w:r>
        <w:rPr>
          <w:rFonts w:hint="eastAsia" w:ascii="宋体" w:hAnsi="宋体" w:cs="宋体"/>
          <w:color w:val="auto"/>
          <w:highlight w:val="none"/>
        </w:rPr>
        <w:t>第一节 供应商须知前附表</w:t>
      </w:r>
      <w:r>
        <w:rPr>
          <w:color w:val="auto"/>
          <w:highlight w:val="none"/>
        </w:rPr>
        <w:tab/>
      </w:r>
      <w:r>
        <w:rPr>
          <w:color w:val="auto"/>
          <w:highlight w:val="none"/>
        </w:rPr>
        <w:fldChar w:fldCharType="begin"/>
      </w:r>
      <w:r>
        <w:rPr>
          <w:color w:val="auto"/>
          <w:highlight w:val="none"/>
        </w:rPr>
        <w:instrText xml:space="preserve"> PAGEREF _Toc7998 \h </w:instrText>
      </w:r>
      <w:r>
        <w:rPr>
          <w:color w:val="auto"/>
          <w:highlight w:val="none"/>
        </w:rPr>
        <w:fldChar w:fldCharType="separate"/>
      </w:r>
      <w:r>
        <w:rPr>
          <w:color w:val="auto"/>
          <w:highlight w:val="none"/>
        </w:rPr>
        <w:t>51</w:t>
      </w:r>
      <w:r>
        <w:rPr>
          <w:color w:val="auto"/>
          <w:highlight w:val="none"/>
        </w:rPr>
        <w:fldChar w:fldCharType="end"/>
      </w:r>
      <w:r>
        <w:rPr>
          <w:color w:val="auto"/>
          <w:highlight w:val="none"/>
        </w:rPr>
        <w:fldChar w:fldCharType="end"/>
      </w:r>
    </w:p>
    <w:p w14:paraId="4F8DCFDF">
      <w:pPr>
        <w:pStyle w:val="26"/>
        <w:tabs>
          <w:tab w:val="right" w:leader="dot" w:pos="9638"/>
          <w:tab w:val="clear" w:pos="8296"/>
        </w:tabs>
        <w:rPr>
          <w:color w:val="auto"/>
          <w:highlight w:val="none"/>
        </w:rPr>
      </w:pPr>
      <w:r>
        <w:rPr>
          <w:color w:val="auto"/>
          <w:highlight w:val="none"/>
        </w:rPr>
        <w:fldChar w:fldCharType="begin"/>
      </w:r>
      <w:r>
        <w:rPr>
          <w:color w:val="auto"/>
          <w:highlight w:val="none"/>
        </w:rPr>
        <w:instrText xml:space="preserve"> HYPERLINK \l "_Toc28646" </w:instrText>
      </w:r>
      <w:r>
        <w:rPr>
          <w:color w:val="auto"/>
          <w:highlight w:val="none"/>
        </w:rPr>
        <w:fldChar w:fldCharType="separate"/>
      </w:r>
      <w:r>
        <w:rPr>
          <w:rFonts w:hint="eastAsia" w:ascii="宋体" w:hAnsi="宋体" w:cs="宋体"/>
          <w:color w:val="auto"/>
          <w:highlight w:val="none"/>
        </w:rPr>
        <w:t>第二节 供应商须知正文</w:t>
      </w:r>
      <w:r>
        <w:rPr>
          <w:color w:val="auto"/>
          <w:highlight w:val="none"/>
        </w:rPr>
        <w:tab/>
      </w:r>
      <w:r>
        <w:rPr>
          <w:color w:val="auto"/>
          <w:highlight w:val="none"/>
        </w:rPr>
        <w:fldChar w:fldCharType="begin"/>
      </w:r>
      <w:r>
        <w:rPr>
          <w:color w:val="auto"/>
          <w:highlight w:val="none"/>
        </w:rPr>
        <w:instrText xml:space="preserve"> PAGEREF _Toc28646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14:paraId="5DBF5503">
      <w:pPr>
        <w:pStyle w:val="19"/>
        <w:tabs>
          <w:tab w:val="right" w:leader="dot" w:pos="9638"/>
        </w:tabs>
        <w:rPr>
          <w:color w:val="auto"/>
          <w:highlight w:val="none"/>
        </w:rPr>
      </w:pPr>
      <w:r>
        <w:rPr>
          <w:color w:val="auto"/>
          <w:highlight w:val="none"/>
        </w:rPr>
        <w:fldChar w:fldCharType="begin"/>
      </w:r>
      <w:r>
        <w:rPr>
          <w:color w:val="auto"/>
          <w:highlight w:val="none"/>
        </w:rPr>
        <w:instrText xml:space="preserve"> HYPERLINK \l "_Toc2738" </w:instrText>
      </w:r>
      <w:r>
        <w:rPr>
          <w:color w:val="auto"/>
          <w:highlight w:val="none"/>
        </w:rPr>
        <w:fldChar w:fldCharType="separate"/>
      </w:r>
      <w:r>
        <w:rPr>
          <w:rFonts w:hint="eastAsia" w:ascii="宋体" w:hAnsi="宋体" w:cs="宋体"/>
          <w:color w:val="auto"/>
          <w:highlight w:val="none"/>
        </w:rPr>
        <w:t>一、总则</w:t>
      </w:r>
      <w:r>
        <w:rPr>
          <w:color w:val="auto"/>
          <w:highlight w:val="none"/>
        </w:rPr>
        <w:tab/>
      </w:r>
      <w:r>
        <w:rPr>
          <w:color w:val="auto"/>
          <w:highlight w:val="none"/>
        </w:rPr>
        <w:fldChar w:fldCharType="begin"/>
      </w:r>
      <w:r>
        <w:rPr>
          <w:color w:val="auto"/>
          <w:highlight w:val="none"/>
        </w:rPr>
        <w:instrText xml:space="preserve"> PAGEREF _Toc2738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14:paraId="1971AE3A">
      <w:pPr>
        <w:pStyle w:val="19"/>
        <w:tabs>
          <w:tab w:val="right" w:leader="dot" w:pos="9638"/>
        </w:tabs>
        <w:rPr>
          <w:color w:val="auto"/>
          <w:highlight w:val="none"/>
        </w:rPr>
      </w:pPr>
      <w:r>
        <w:rPr>
          <w:color w:val="auto"/>
          <w:highlight w:val="none"/>
        </w:rPr>
        <w:fldChar w:fldCharType="begin"/>
      </w:r>
      <w:r>
        <w:rPr>
          <w:color w:val="auto"/>
          <w:highlight w:val="none"/>
        </w:rPr>
        <w:instrText xml:space="preserve"> HYPERLINK \l "_Toc27954" </w:instrText>
      </w:r>
      <w:r>
        <w:rPr>
          <w:color w:val="auto"/>
          <w:highlight w:val="none"/>
        </w:rPr>
        <w:fldChar w:fldCharType="separate"/>
      </w:r>
      <w:r>
        <w:rPr>
          <w:rFonts w:hint="eastAsia" w:ascii="宋体" w:hAnsi="宋体" w:cs="宋体"/>
          <w:color w:val="auto"/>
          <w:highlight w:val="none"/>
        </w:rPr>
        <w:t>二、磋商文件</w:t>
      </w:r>
      <w:r>
        <w:rPr>
          <w:color w:val="auto"/>
          <w:highlight w:val="none"/>
        </w:rPr>
        <w:tab/>
      </w:r>
      <w:r>
        <w:rPr>
          <w:color w:val="auto"/>
          <w:highlight w:val="none"/>
        </w:rPr>
        <w:fldChar w:fldCharType="begin"/>
      </w:r>
      <w:r>
        <w:rPr>
          <w:color w:val="auto"/>
          <w:highlight w:val="none"/>
        </w:rPr>
        <w:instrText xml:space="preserve"> PAGEREF _Toc27954 \h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14:paraId="6DACA7B0">
      <w:pPr>
        <w:pStyle w:val="19"/>
        <w:tabs>
          <w:tab w:val="right" w:leader="dot" w:pos="9638"/>
        </w:tabs>
        <w:rPr>
          <w:color w:val="auto"/>
          <w:highlight w:val="none"/>
        </w:rPr>
      </w:pPr>
      <w:r>
        <w:rPr>
          <w:color w:val="auto"/>
          <w:highlight w:val="none"/>
        </w:rPr>
        <w:fldChar w:fldCharType="begin"/>
      </w:r>
      <w:r>
        <w:rPr>
          <w:color w:val="auto"/>
          <w:highlight w:val="none"/>
        </w:rPr>
        <w:instrText xml:space="preserve"> HYPERLINK \l "_Toc24953" </w:instrText>
      </w:r>
      <w:r>
        <w:rPr>
          <w:color w:val="auto"/>
          <w:highlight w:val="none"/>
        </w:rPr>
        <w:fldChar w:fldCharType="separate"/>
      </w:r>
      <w:r>
        <w:rPr>
          <w:rFonts w:hint="eastAsia" w:ascii="宋体" w:hAnsi="宋体" w:cs="宋体"/>
          <w:color w:val="auto"/>
          <w:highlight w:val="none"/>
        </w:rPr>
        <w:t>三、响应文件的编制</w:t>
      </w:r>
      <w:r>
        <w:rPr>
          <w:color w:val="auto"/>
          <w:highlight w:val="none"/>
        </w:rPr>
        <w:tab/>
      </w:r>
      <w:r>
        <w:rPr>
          <w:color w:val="auto"/>
          <w:highlight w:val="none"/>
        </w:rPr>
        <w:fldChar w:fldCharType="begin"/>
      </w:r>
      <w:r>
        <w:rPr>
          <w:color w:val="auto"/>
          <w:highlight w:val="none"/>
        </w:rPr>
        <w:instrText xml:space="preserve"> PAGEREF _Toc24953 \h </w:instrText>
      </w:r>
      <w:r>
        <w:rPr>
          <w:color w:val="auto"/>
          <w:highlight w:val="none"/>
        </w:rPr>
        <w:fldChar w:fldCharType="separate"/>
      </w:r>
      <w:r>
        <w:rPr>
          <w:color w:val="auto"/>
          <w:highlight w:val="none"/>
        </w:rPr>
        <w:t>60</w:t>
      </w:r>
      <w:r>
        <w:rPr>
          <w:color w:val="auto"/>
          <w:highlight w:val="none"/>
        </w:rPr>
        <w:fldChar w:fldCharType="end"/>
      </w:r>
      <w:r>
        <w:rPr>
          <w:color w:val="auto"/>
          <w:highlight w:val="none"/>
        </w:rPr>
        <w:fldChar w:fldCharType="end"/>
      </w:r>
    </w:p>
    <w:p w14:paraId="58F66481">
      <w:pPr>
        <w:pStyle w:val="19"/>
        <w:tabs>
          <w:tab w:val="right" w:leader="dot" w:pos="9638"/>
        </w:tabs>
        <w:rPr>
          <w:color w:val="auto"/>
          <w:highlight w:val="none"/>
        </w:rPr>
      </w:pPr>
      <w:r>
        <w:rPr>
          <w:color w:val="auto"/>
          <w:highlight w:val="none"/>
        </w:rPr>
        <w:fldChar w:fldCharType="begin"/>
      </w:r>
      <w:r>
        <w:rPr>
          <w:color w:val="auto"/>
          <w:highlight w:val="none"/>
        </w:rPr>
        <w:instrText xml:space="preserve"> HYPERLINK \l "_Toc21498" </w:instrText>
      </w:r>
      <w:r>
        <w:rPr>
          <w:color w:val="auto"/>
          <w:highlight w:val="none"/>
        </w:rPr>
        <w:fldChar w:fldCharType="separate"/>
      </w:r>
      <w:r>
        <w:rPr>
          <w:rFonts w:hint="eastAsia" w:ascii="宋体" w:hAnsi="宋体" w:cs="宋体"/>
          <w:color w:val="auto"/>
          <w:highlight w:val="none"/>
        </w:rPr>
        <w:t>四、评审及磋商</w:t>
      </w:r>
      <w:r>
        <w:rPr>
          <w:color w:val="auto"/>
          <w:highlight w:val="none"/>
        </w:rPr>
        <w:tab/>
      </w:r>
      <w:r>
        <w:rPr>
          <w:color w:val="auto"/>
          <w:highlight w:val="none"/>
        </w:rPr>
        <w:fldChar w:fldCharType="begin"/>
      </w:r>
      <w:r>
        <w:rPr>
          <w:color w:val="auto"/>
          <w:highlight w:val="none"/>
        </w:rPr>
        <w:instrText xml:space="preserve"> PAGEREF _Toc21498 \h </w:instrText>
      </w:r>
      <w:r>
        <w:rPr>
          <w:color w:val="auto"/>
          <w:highlight w:val="none"/>
        </w:rPr>
        <w:fldChar w:fldCharType="separate"/>
      </w:r>
      <w:r>
        <w:rPr>
          <w:color w:val="auto"/>
          <w:highlight w:val="none"/>
        </w:rPr>
        <w:t>62</w:t>
      </w:r>
      <w:r>
        <w:rPr>
          <w:color w:val="auto"/>
          <w:highlight w:val="none"/>
        </w:rPr>
        <w:fldChar w:fldCharType="end"/>
      </w:r>
      <w:r>
        <w:rPr>
          <w:color w:val="auto"/>
          <w:highlight w:val="none"/>
        </w:rPr>
        <w:fldChar w:fldCharType="end"/>
      </w:r>
    </w:p>
    <w:p w14:paraId="4052A058">
      <w:pPr>
        <w:pStyle w:val="19"/>
        <w:tabs>
          <w:tab w:val="right" w:leader="dot" w:pos="9638"/>
        </w:tabs>
        <w:rPr>
          <w:color w:val="auto"/>
          <w:highlight w:val="none"/>
        </w:rPr>
      </w:pPr>
      <w:r>
        <w:rPr>
          <w:color w:val="auto"/>
          <w:highlight w:val="none"/>
        </w:rPr>
        <w:fldChar w:fldCharType="begin"/>
      </w:r>
      <w:r>
        <w:rPr>
          <w:color w:val="auto"/>
          <w:highlight w:val="none"/>
        </w:rPr>
        <w:instrText xml:space="preserve"> HYPERLINK \l "_Toc26217" </w:instrText>
      </w:r>
      <w:r>
        <w:rPr>
          <w:color w:val="auto"/>
          <w:highlight w:val="none"/>
        </w:rPr>
        <w:fldChar w:fldCharType="separate"/>
      </w:r>
      <w:r>
        <w:rPr>
          <w:rFonts w:hint="eastAsia" w:ascii="宋体" w:hAnsi="宋体" w:cs="宋体"/>
          <w:color w:val="auto"/>
          <w:highlight w:val="none"/>
        </w:rPr>
        <w:t>五、成交及合同</w:t>
      </w:r>
      <w:r>
        <w:rPr>
          <w:color w:val="auto"/>
          <w:highlight w:val="none"/>
        </w:rPr>
        <w:tab/>
      </w:r>
      <w:r>
        <w:rPr>
          <w:color w:val="auto"/>
          <w:highlight w:val="none"/>
        </w:rPr>
        <w:fldChar w:fldCharType="begin"/>
      </w:r>
      <w:r>
        <w:rPr>
          <w:color w:val="auto"/>
          <w:highlight w:val="none"/>
        </w:rPr>
        <w:instrText xml:space="preserve"> PAGEREF _Toc26217 \h </w:instrText>
      </w:r>
      <w:r>
        <w:rPr>
          <w:color w:val="auto"/>
          <w:highlight w:val="none"/>
        </w:rPr>
        <w:fldChar w:fldCharType="separate"/>
      </w:r>
      <w:r>
        <w:rPr>
          <w:color w:val="auto"/>
          <w:highlight w:val="none"/>
        </w:rPr>
        <w:t>63</w:t>
      </w:r>
      <w:r>
        <w:rPr>
          <w:color w:val="auto"/>
          <w:highlight w:val="none"/>
        </w:rPr>
        <w:fldChar w:fldCharType="end"/>
      </w:r>
      <w:r>
        <w:rPr>
          <w:color w:val="auto"/>
          <w:highlight w:val="none"/>
        </w:rPr>
        <w:fldChar w:fldCharType="end"/>
      </w:r>
    </w:p>
    <w:p w14:paraId="4EA5F06B">
      <w:pPr>
        <w:pStyle w:val="19"/>
        <w:tabs>
          <w:tab w:val="right" w:leader="dot" w:pos="9638"/>
        </w:tabs>
        <w:rPr>
          <w:color w:val="auto"/>
          <w:highlight w:val="none"/>
        </w:rPr>
      </w:pPr>
      <w:r>
        <w:rPr>
          <w:color w:val="auto"/>
          <w:highlight w:val="none"/>
        </w:rPr>
        <w:fldChar w:fldCharType="begin"/>
      </w:r>
      <w:r>
        <w:rPr>
          <w:color w:val="auto"/>
          <w:highlight w:val="none"/>
        </w:rPr>
        <w:instrText xml:space="preserve"> HYPERLINK \l "_Toc10618" </w:instrText>
      </w:r>
      <w:r>
        <w:rPr>
          <w:color w:val="auto"/>
          <w:highlight w:val="none"/>
        </w:rPr>
        <w:fldChar w:fldCharType="separate"/>
      </w:r>
      <w:r>
        <w:rPr>
          <w:rFonts w:hint="eastAsia" w:ascii="宋体" w:hAnsi="宋体" w:cs="宋体"/>
          <w:color w:val="auto"/>
          <w:highlight w:val="none"/>
        </w:rPr>
        <w:t>六、验收</w:t>
      </w:r>
      <w:r>
        <w:rPr>
          <w:color w:val="auto"/>
          <w:highlight w:val="none"/>
        </w:rPr>
        <w:tab/>
      </w:r>
      <w:r>
        <w:rPr>
          <w:color w:val="auto"/>
          <w:highlight w:val="none"/>
        </w:rPr>
        <w:fldChar w:fldCharType="begin"/>
      </w:r>
      <w:r>
        <w:rPr>
          <w:color w:val="auto"/>
          <w:highlight w:val="none"/>
        </w:rPr>
        <w:instrText xml:space="preserve"> PAGEREF _Toc10618 \h </w:instrText>
      </w:r>
      <w:r>
        <w:rPr>
          <w:color w:val="auto"/>
          <w:highlight w:val="none"/>
        </w:rPr>
        <w:fldChar w:fldCharType="separate"/>
      </w:r>
      <w:r>
        <w:rPr>
          <w:color w:val="auto"/>
          <w:highlight w:val="none"/>
        </w:rPr>
        <w:t>65</w:t>
      </w:r>
      <w:r>
        <w:rPr>
          <w:color w:val="auto"/>
          <w:highlight w:val="none"/>
        </w:rPr>
        <w:fldChar w:fldCharType="end"/>
      </w:r>
      <w:r>
        <w:rPr>
          <w:color w:val="auto"/>
          <w:highlight w:val="none"/>
        </w:rPr>
        <w:fldChar w:fldCharType="end"/>
      </w:r>
    </w:p>
    <w:p w14:paraId="3B1D1BB7">
      <w:pPr>
        <w:pStyle w:val="19"/>
        <w:tabs>
          <w:tab w:val="right" w:leader="dot" w:pos="9638"/>
        </w:tabs>
        <w:rPr>
          <w:color w:val="auto"/>
          <w:highlight w:val="none"/>
        </w:rPr>
      </w:pPr>
      <w:r>
        <w:rPr>
          <w:color w:val="auto"/>
          <w:highlight w:val="none"/>
        </w:rPr>
        <w:fldChar w:fldCharType="begin"/>
      </w:r>
      <w:r>
        <w:rPr>
          <w:color w:val="auto"/>
          <w:highlight w:val="none"/>
        </w:rPr>
        <w:instrText xml:space="preserve"> HYPERLINK \l "_Toc2202" </w:instrText>
      </w:r>
      <w:r>
        <w:rPr>
          <w:color w:val="auto"/>
          <w:highlight w:val="none"/>
        </w:rPr>
        <w:fldChar w:fldCharType="separate"/>
      </w:r>
      <w:r>
        <w:rPr>
          <w:rFonts w:hint="eastAsia" w:ascii="宋体" w:hAnsi="宋体" w:cs="宋体"/>
          <w:color w:val="auto"/>
          <w:highlight w:val="none"/>
        </w:rPr>
        <w:t>七、其他事项</w:t>
      </w:r>
      <w:r>
        <w:rPr>
          <w:color w:val="auto"/>
          <w:highlight w:val="none"/>
        </w:rPr>
        <w:tab/>
      </w:r>
      <w:r>
        <w:rPr>
          <w:color w:val="auto"/>
          <w:highlight w:val="none"/>
        </w:rPr>
        <w:fldChar w:fldCharType="begin"/>
      </w:r>
      <w:r>
        <w:rPr>
          <w:color w:val="auto"/>
          <w:highlight w:val="none"/>
        </w:rPr>
        <w:instrText xml:space="preserve"> PAGEREF _Toc2202 \h </w:instrText>
      </w:r>
      <w:r>
        <w:rPr>
          <w:color w:val="auto"/>
          <w:highlight w:val="none"/>
        </w:rPr>
        <w:fldChar w:fldCharType="separate"/>
      </w:r>
      <w:r>
        <w:rPr>
          <w:color w:val="auto"/>
          <w:highlight w:val="none"/>
        </w:rPr>
        <w:t>65</w:t>
      </w:r>
      <w:r>
        <w:rPr>
          <w:color w:val="auto"/>
          <w:highlight w:val="none"/>
        </w:rPr>
        <w:fldChar w:fldCharType="end"/>
      </w:r>
      <w:r>
        <w:rPr>
          <w:color w:val="auto"/>
          <w:highlight w:val="none"/>
        </w:rPr>
        <w:fldChar w:fldCharType="end"/>
      </w:r>
    </w:p>
    <w:p w14:paraId="077E8ACA">
      <w:pPr>
        <w:pStyle w:val="24"/>
        <w:tabs>
          <w:tab w:val="right" w:leader="dot" w:pos="9638"/>
        </w:tabs>
        <w:rPr>
          <w:color w:val="auto"/>
          <w:highlight w:val="none"/>
        </w:rPr>
      </w:pPr>
      <w:r>
        <w:rPr>
          <w:color w:val="auto"/>
          <w:highlight w:val="none"/>
        </w:rPr>
        <w:fldChar w:fldCharType="begin"/>
      </w:r>
      <w:r>
        <w:rPr>
          <w:color w:val="auto"/>
          <w:highlight w:val="none"/>
        </w:rPr>
        <w:instrText xml:space="preserve"> HYPERLINK \l "_Toc27633" </w:instrText>
      </w:r>
      <w:r>
        <w:rPr>
          <w:color w:val="auto"/>
          <w:highlight w:val="none"/>
        </w:rPr>
        <w:fldChar w:fldCharType="separate"/>
      </w:r>
      <w:r>
        <w:rPr>
          <w:rFonts w:hint="eastAsia" w:ascii="宋体" w:hAnsi="宋体" w:cs="宋体"/>
          <w:color w:val="auto"/>
          <w:highlight w:val="none"/>
        </w:rPr>
        <w:t>第四章  评审程序、评审方法和成交标准</w:t>
      </w:r>
      <w:r>
        <w:rPr>
          <w:color w:val="auto"/>
          <w:highlight w:val="none"/>
        </w:rPr>
        <w:tab/>
      </w:r>
      <w:r>
        <w:rPr>
          <w:color w:val="auto"/>
          <w:highlight w:val="none"/>
        </w:rPr>
        <w:fldChar w:fldCharType="begin"/>
      </w:r>
      <w:r>
        <w:rPr>
          <w:color w:val="auto"/>
          <w:highlight w:val="none"/>
        </w:rPr>
        <w:instrText xml:space="preserve"> PAGEREF _Toc27633 \h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14:paraId="7875F452">
      <w:pPr>
        <w:pStyle w:val="26"/>
        <w:tabs>
          <w:tab w:val="right" w:leader="dot" w:pos="9638"/>
          <w:tab w:val="clear" w:pos="8296"/>
        </w:tabs>
        <w:rPr>
          <w:color w:val="auto"/>
          <w:highlight w:val="none"/>
        </w:rPr>
      </w:pPr>
      <w:r>
        <w:rPr>
          <w:color w:val="auto"/>
          <w:highlight w:val="none"/>
        </w:rPr>
        <w:fldChar w:fldCharType="begin"/>
      </w:r>
      <w:r>
        <w:rPr>
          <w:color w:val="auto"/>
          <w:highlight w:val="none"/>
        </w:rPr>
        <w:instrText xml:space="preserve"> HYPERLINK \l "_Toc4789" </w:instrText>
      </w:r>
      <w:r>
        <w:rPr>
          <w:color w:val="auto"/>
          <w:highlight w:val="none"/>
        </w:rPr>
        <w:fldChar w:fldCharType="separate"/>
      </w:r>
      <w:r>
        <w:rPr>
          <w:rFonts w:hint="eastAsia" w:ascii="宋体" w:hAnsi="宋体" w:cs="宋体"/>
          <w:color w:val="auto"/>
          <w:highlight w:val="none"/>
        </w:rPr>
        <w:t>第一节 评审程序和评审方法</w:t>
      </w:r>
      <w:r>
        <w:rPr>
          <w:color w:val="auto"/>
          <w:highlight w:val="none"/>
        </w:rPr>
        <w:tab/>
      </w:r>
      <w:r>
        <w:rPr>
          <w:color w:val="auto"/>
          <w:highlight w:val="none"/>
        </w:rPr>
        <w:fldChar w:fldCharType="begin"/>
      </w:r>
      <w:r>
        <w:rPr>
          <w:color w:val="auto"/>
          <w:highlight w:val="none"/>
        </w:rPr>
        <w:instrText xml:space="preserve"> PAGEREF _Toc4789 \h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14:paraId="59D541DE">
      <w:pPr>
        <w:pStyle w:val="26"/>
        <w:tabs>
          <w:tab w:val="right" w:leader="dot" w:pos="9638"/>
          <w:tab w:val="clear" w:pos="8296"/>
        </w:tabs>
        <w:rPr>
          <w:color w:val="auto"/>
          <w:highlight w:val="none"/>
        </w:rPr>
      </w:pPr>
      <w:r>
        <w:rPr>
          <w:color w:val="auto"/>
          <w:highlight w:val="none"/>
        </w:rPr>
        <w:fldChar w:fldCharType="begin"/>
      </w:r>
      <w:r>
        <w:rPr>
          <w:color w:val="auto"/>
          <w:highlight w:val="none"/>
        </w:rPr>
        <w:instrText xml:space="preserve"> HYPERLINK \l "_Toc29504" </w:instrText>
      </w:r>
      <w:r>
        <w:rPr>
          <w:color w:val="auto"/>
          <w:highlight w:val="none"/>
        </w:rPr>
        <w:fldChar w:fldCharType="separate"/>
      </w:r>
      <w:r>
        <w:rPr>
          <w:rFonts w:hint="eastAsia" w:ascii="宋体" w:hAnsi="宋体" w:cs="宋体"/>
          <w:color w:val="auto"/>
          <w:highlight w:val="none"/>
        </w:rPr>
        <w:t>第二节 评审原则</w:t>
      </w:r>
      <w:r>
        <w:rPr>
          <w:color w:val="auto"/>
          <w:highlight w:val="none"/>
        </w:rPr>
        <w:tab/>
      </w:r>
      <w:r>
        <w:rPr>
          <w:color w:val="auto"/>
          <w:highlight w:val="none"/>
        </w:rPr>
        <w:fldChar w:fldCharType="begin"/>
      </w:r>
      <w:r>
        <w:rPr>
          <w:color w:val="auto"/>
          <w:highlight w:val="none"/>
        </w:rPr>
        <w:instrText xml:space="preserve"> PAGEREF _Toc29504 \h </w:instrText>
      </w:r>
      <w:r>
        <w:rPr>
          <w:color w:val="auto"/>
          <w:highlight w:val="none"/>
        </w:rPr>
        <w:fldChar w:fldCharType="separate"/>
      </w:r>
      <w:r>
        <w:rPr>
          <w:color w:val="auto"/>
          <w:highlight w:val="none"/>
        </w:rPr>
        <w:t>76</w:t>
      </w:r>
      <w:r>
        <w:rPr>
          <w:color w:val="auto"/>
          <w:highlight w:val="none"/>
        </w:rPr>
        <w:fldChar w:fldCharType="end"/>
      </w:r>
      <w:r>
        <w:rPr>
          <w:color w:val="auto"/>
          <w:highlight w:val="none"/>
        </w:rPr>
        <w:fldChar w:fldCharType="end"/>
      </w:r>
    </w:p>
    <w:p w14:paraId="1C43701E">
      <w:pPr>
        <w:pStyle w:val="26"/>
        <w:tabs>
          <w:tab w:val="right" w:leader="dot" w:pos="9638"/>
          <w:tab w:val="clear" w:pos="8296"/>
        </w:tabs>
        <w:rPr>
          <w:color w:val="auto"/>
          <w:highlight w:val="none"/>
        </w:rPr>
      </w:pPr>
      <w:r>
        <w:rPr>
          <w:color w:val="auto"/>
          <w:highlight w:val="none"/>
        </w:rPr>
        <w:fldChar w:fldCharType="begin"/>
      </w:r>
      <w:r>
        <w:rPr>
          <w:color w:val="auto"/>
          <w:highlight w:val="none"/>
        </w:rPr>
        <w:instrText xml:space="preserve"> HYPERLINK \l "_Toc15751" </w:instrText>
      </w:r>
      <w:r>
        <w:rPr>
          <w:color w:val="auto"/>
          <w:highlight w:val="none"/>
        </w:rPr>
        <w:fldChar w:fldCharType="separate"/>
      </w:r>
      <w:r>
        <w:rPr>
          <w:rFonts w:hint="eastAsia" w:ascii="宋体" w:hAnsi="宋体" w:cs="宋体"/>
          <w:color w:val="auto"/>
          <w:highlight w:val="none"/>
        </w:rPr>
        <w:t>第三节 评审报告</w:t>
      </w:r>
      <w:r>
        <w:rPr>
          <w:color w:val="auto"/>
          <w:highlight w:val="none"/>
        </w:rPr>
        <w:tab/>
      </w:r>
      <w:r>
        <w:rPr>
          <w:color w:val="auto"/>
          <w:highlight w:val="none"/>
        </w:rPr>
        <w:fldChar w:fldCharType="begin"/>
      </w:r>
      <w:r>
        <w:rPr>
          <w:color w:val="auto"/>
          <w:highlight w:val="none"/>
        </w:rPr>
        <w:instrText xml:space="preserve"> PAGEREF _Toc15751 \h </w:instrText>
      </w:r>
      <w:r>
        <w:rPr>
          <w:color w:val="auto"/>
          <w:highlight w:val="none"/>
        </w:rPr>
        <w:fldChar w:fldCharType="separate"/>
      </w:r>
      <w:r>
        <w:rPr>
          <w:color w:val="auto"/>
          <w:highlight w:val="none"/>
        </w:rPr>
        <w:t>77</w:t>
      </w:r>
      <w:r>
        <w:rPr>
          <w:color w:val="auto"/>
          <w:highlight w:val="none"/>
        </w:rPr>
        <w:fldChar w:fldCharType="end"/>
      </w:r>
      <w:r>
        <w:rPr>
          <w:color w:val="auto"/>
          <w:highlight w:val="none"/>
        </w:rPr>
        <w:fldChar w:fldCharType="end"/>
      </w:r>
    </w:p>
    <w:p w14:paraId="5C34EBD9">
      <w:pPr>
        <w:pStyle w:val="26"/>
        <w:tabs>
          <w:tab w:val="right" w:leader="dot" w:pos="9638"/>
          <w:tab w:val="clear" w:pos="8296"/>
        </w:tabs>
        <w:rPr>
          <w:color w:val="auto"/>
          <w:highlight w:val="none"/>
        </w:rPr>
      </w:pPr>
      <w:r>
        <w:rPr>
          <w:color w:val="auto"/>
          <w:highlight w:val="none"/>
        </w:rPr>
        <w:fldChar w:fldCharType="begin"/>
      </w:r>
      <w:r>
        <w:rPr>
          <w:color w:val="auto"/>
          <w:highlight w:val="none"/>
        </w:rPr>
        <w:instrText xml:space="preserve"> HYPERLINK \l "_Toc7081" </w:instrText>
      </w:r>
      <w:r>
        <w:rPr>
          <w:color w:val="auto"/>
          <w:highlight w:val="none"/>
        </w:rPr>
        <w:fldChar w:fldCharType="separate"/>
      </w:r>
      <w:r>
        <w:rPr>
          <w:rFonts w:hint="eastAsia" w:ascii="宋体" w:hAnsi="宋体" w:cs="宋体"/>
          <w:color w:val="auto"/>
          <w:highlight w:val="none"/>
        </w:rPr>
        <w:t>第四节 评审过程的保密与录像</w:t>
      </w:r>
      <w:r>
        <w:rPr>
          <w:color w:val="auto"/>
          <w:highlight w:val="none"/>
        </w:rPr>
        <w:tab/>
      </w:r>
      <w:r>
        <w:rPr>
          <w:color w:val="auto"/>
          <w:highlight w:val="none"/>
        </w:rPr>
        <w:fldChar w:fldCharType="begin"/>
      </w:r>
      <w:r>
        <w:rPr>
          <w:color w:val="auto"/>
          <w:highlight w:val="none"/>
        </w:rPr>
        <w:instrText xml:space="preserve"> PAGEREF _Toc7081 \h </w:instrText>
      </w:r>
      <w:r>
        <w:rPr>
          <w:color w:val="auto"/>
          <w:highlight w:val="none"/>
        </w:rPr>
        <w:fldChar w:fldCharType="separate"/>
      </w:r>
      <w:r>
        <w:rPr>
          <w:color w:val="auto"/>
          <w:highlight w:val="none"/>
        </w:rPr>
        <w:t>77</w:t>
      </w:r>
      <w:r>
        <w:rPr>
          <w:color w:val="auto"/>
          <w:highlight w:val="none"/>
        </w:rPr>
        <w:fldChar w:fldCharType="end"/>
      </w:r>
      <w:r>
        <w:rPr>
          <w:color w:val="auto"/>
          <w:highlight w:val="none"/>
        </w:rPr>
        <w:fldChar w:fldCharType="end"/>
      </w:r>
    </w:p>
    <w:p w14:paraId="7ABD1332">
      <w:pPr>
        <w:pStyle w:val="24"/>
        <w:tabs>
          <w:tab w:val="right" w:leader="dot" w:pos="9638"/>
        </w:tabs>
        <w:rPr>
          <w:color w:val="auto"/>
          <w:highlight w:val="none"/>
        </w:rPr>
      </w:pPr>
      <w:r>
        <w:rPr>
          <w:color w:val="auto"/>
          <w:highlight w:val="none"/>
        </w:rPr>
        <w:fldChar w:fldCharType="begin"/>
      </w:r>
      <w:r>
        <w:rPr>
          <w:color w:val="auto"/>
          <w:highlight w:val="none"/>
        </w:rPr>
        <w:instrText xml:space="preserve"> HYPERLINK \l "_Toc2127" </w:instrText>
      </w:r>
      <w:r>
        <w:rPr>
          <w:color w:val="auto"/>
          <w:highlight w:val="none"/>
        </w:rPr>
        <w:fldChar w:fldCharType="separate"/>
      </w:r>
      <w:r>
        <w:rPr>
          <w:rFonts w:hint="eastAsia" w:ascii="宋体" w:hAnsi="宋体" w:cs="宋体"/>
          <w:color w:val="auto"/>
          <w:highlight w:val="none"/>
        </w:rPr>
        <w:t>第五章 响应文件格式</w:t>
      </w:r>
      <w:r>
        <w:rPr>
          <w:color w:val="auto"/>
          <w:highlight w:val="none"/>
        </w:rPr>
        <w:tab/>
      </w:r>
      <w:r>
        <w:rPr>
          <w:color w:val="auto"/>
          <w:highlight w:val="none"/>
        </w:rPr>
        <w:fldChar w:fldCharType="begin"/>
      </w:r>
      <w:r>
        <w:rPr>
          <w:color w:val="auto"/>
          <w:highlight w:val="none"/>
        </w:rPr>
        <w:instrText xml:space="preserve"> PAGEREF _Toc2127 \h </w:instrText>
      </w:r>
      <w:r>
        <w:rPr>
          <w:color w:val="auto"/>
          <w:highlight w:val="none"/>
        </w:rPr>
        <w:fldChar w:fldCharType="separate"/>
      </w:r>
      <w:r>
        <w:rPr>
          <w:color w:val="auto"/>
          <w:highlight w:val="none"/>
        </w:rPr>
        <w:t>78</w:t>
      </w:r>
      <w:r>
        <w:rPr>
          <w:color w:val="auto"/>
          <w:highlight w:val="none"/>
        </w:rPr>
        <w:fldChar w:fldCharType="end"/>
      </w:r>
      <w:r>
        <w:rPr>
          <w:color w:val="auto"/>
          <w:highlight w:val="none"/>
        </w:rPr>
        <w:fldChar w:fldCharType="end"/>
      </w:r>
    </w:p>
    <w:p w14:paraId="2154B2F2">
      <w:pPr>
        <w:pStyle w:val="26"/>
        <w:tabs>
          <w:tab w:val="right" w:leader="dot" w:pos="9638"/>
          <w:tab w:val="clear" w:pos="8296"/>
        </w:tabs>
        <w:rPr>
          <w:color w:val="auto"/>
          <w:highlight w:val="none"/>
        </w:rPr>
      </w:pPr>
      <w:r>
        <w:rPr>
          <w:color w:val="auto"/>
          <w:highlight w:val="none"/>
        </w:rPr>
        <w:fldChar w:fldCharType="begin"/>
      </w:r>
      <w:r>
        <w:rPr>
          <w:color w:val="auto"/>
          <w:highlight w:val="none"/>
        </w:rPr>
        <w:instrText xml:space="preserve"> HYPERLINK \l "_Toc13161" </w:instrText>
      </w:r>
      <w:r>
        <w:rPr>
          <w:color w:val="auto"/>
          <w:highlight w:val="none"/>
        </w:rPr>
        <w:fldChar w:fldCharType="separate"/>
      </w:r>
      <w:r>
        <w:rPr>
          <w:rFonts w:hint="eastAsia" w:ascii="宋体" w:hAnsi="宋体" w:cs="宋体"/>
          <w:color w:val="auto"/>
          <w:highlight w:val="none"/>
        </w:rPr>
        <w:t>第一节 封面格式</w:t>
      </w:r>
      <w:r>
        <w:rPr>
          <w:color w:val="auto"/>
          <w:highlight w:val="none"/>
        </w:rPr>
        <w:tab/>
      </w:r>
      <w:r>
        <w:rPr>
          <w:color w:val="auto"/>
          <w:highlight w:val="none"/>
        </w:rPr>
        <w:fldChar w:fldCharType="begin"/>
      </w:r>
      <w:r>
        <w:rPr>
          <w:color w:val="auto"/>
          <w:highlight w:val="none"/>
        </w:rPr>
        <w:instrText xml:space="preserve"> PAGEREF _Toc13161 \h </w:instrText>
      </w:r>
      <w:r>
        <w:rPr>
          <w:color w:val="auto"/>
          <w:highlight w:val="none"/>
        </w:rPr>
        <w:fldChar w:fldCharType="separate"/>
      </w:r>
      <w:r>
        <w:rPr>
          <w:color w:val="auto"/>
          <w:highlight w:val="none"/>
        </w:rPr>
        <w:t>79</w:t>
      </w:r>
      <w:r>
        <w:rPr>
          <w:color w:val="auto"/>
          <w:highlight w:val="none"/>
        </w:rPr>
        <w:fldChar w:fldCharType="end"/>
      </w:r>
      <w:r>
        <w:rPr>
          <w:color w:val="auto"/>
          <w:highlight w:val="none"/>
        </w:rPr>
        <w:fldChar w:fldCharType="end"/>
      </w:r>
    </w:p>
    <w:p w14:paraId="52593BBE">
      <w:pPr>
        <w:pStyle w:val="26"/>
        <w:tabs>
          <w:tab w:val="right" w:leader="dot" w:pos="9638"/>
          <w:tab w:val="clear" w:pos="8296"/>
        </w:tabs>
        <w:rPr>
          <w:color w:val="auto"/>
          <w:highlight w:val="none"/>
        </w:rPr>
      </w:pPr>
      <w:r>
        <w:rPr>
          <w:color w:val="auto"/>
          <w:highlight w:val="none"/>
        </w:rPr>
        <w:fldChar w:fldCharType="begin"/>
      </w:r>
      <w:r>
        <w:rPr>
          <w:color w:val="auto"/>
          <w:highlight w:val="none"/>
        </w:rPr>
        <w:instrText xml:space="preserve"> HYPERLINK \l "_Toc3174" </w:instrText>
      </w:r>
      <w:r>
        <w:rPr>
          <w:color w:val="auto"/>
          <w:highlight w:val="none"/>
        </w:rPr>
        <w:fldChar w:fldCharType="separate"/>
      </w:r>
      <w:r>
        <w:rPr>
          <w:rFonts w:hint="eastAsia" w:ascii="宋体" w:hAnsi="宋体" w:cs="宋体"/>
          <w:bCs/>
          <w:color w:val="auto"/>
          <w:szCs w:val="32"/>
          <w:highlight w:val="none"/>
        </w:rPr>
        <w:t>第二节 资格证明文件格式</w:t>
      </w:r>
      <w:r>
        <w:rPr>
          <w:color w:val="auto"/>
          <w:highlight w:val="none"/>
        </w:rPr>
        <w:tab/>
      </w:r>
      <w:r>
        <w:rPr>
          <w:color w:val="auto"/>
          <w:highlight w:val="none"/>
        </w:rPr>
        <w:fldChar w:fldCharType="begin"/>
      </w:r>
      <w:r>
        <w:rPr>
          <w:color w:val="auto"/>
          <w:highlight w:val="none"/>
        </w:rPr>
        <w:instrText xml:space="preserve"> PAGEREF _Toc3174 \h </w:instrText>
      </w:r>
      <w:r>
        <w:rPr>
          <w:color w:val="auto"/>
          <w:highlight w:val="none"/>
        </w:rPr>
        <w:fldChar w:fldCharType="separate"/>
      </w:r>
      <w:r>
        <w:rPr>
          <w:color w:val="auto"/>
          <w:highlight w:val="none"/>
        </w:rPr>
        <w:t>80</w:t>
      </w:r>
      <w:r>
        <w:rPr>
          <w:color w:val="auto"/>
          <w:highlight w:val="none"/>
        </w:rPr>
        <w:fldChar w:fldCharType="end"/>
      </w:r>
      <w:r>
        <w:rPr>
          <w:color w:val="auto"/>
          <w:highlight w:val="none"/>
        </w:rPr>
        <w:fldChar w:fldCharType="end"/>
      </w:r>
    </w:p>
    <w:p w14:paraId="46C2E94C">
      <w:pPr>
        <w:pStyle w:val="26"/>
        <w:tabs>
          <w:tab w:val="right" w:leader="dot" w:pos="9638"/>
          <w:tab w:val="clear" w:pos="8296"/>
        </w:tabs>
        <w:rPr>
          <w:color w:val="auto"/>
          <w:highlight w:val="none"/>
        </w:rPr>
      </w:pPr>
      <w:r>
        <w:rPr>
          <w:color w:val="auto"/>
          <w:highlight w:val="none"/>
        </w:rPr>
        <w:fldChar w:fldCharType="begin"/>
      </w:r>
      <w:r>
        <w:rPr>
          <w:color w:val="auto"/>
          <w:highlight w:val="none"/>
        </w:rPr>
        <w:instrText xml:space="preserve"> HYPERLINK \l "_Toc10817" </w:instrText>
      </w:r>
      <w:r>
        <w:rPr>
          <w:color w:val="auto"/>
          <w:highlight w:val="none"/>
        </w:rPr>
        <w:fldChar w:fldCharType="separate"/>
      </w:r>
      <w:r>
        <w:rPr>
          <w:rFonts w:hint="eastAsia" w:ascii="宋体" w:hAnsi="宋体" w:cs="宋体"/>
          <w:color w:val="auto"/>
          <w:highlight w:val="none"/>
        </w:rPr>
        <w:t>第三节 商务技术文件格式</w:t>
      </w:r>
      <w:r>
        <w:rPr>
          <w:color w:val="auto"/>
          <w:highlight w:val="none"/>
        </w:rPr>
        <w:tab/>
      </w:r>
      <w:r>
        <w:rPr>
          <w:color w:val="auto"/>
          <w:highlight w:val="none"/>
        </w:rPr>
        <w:fldChar w:fldCharType="begin"/>
      </w:r>
      <w:r>
        <w:rPr>
          <w:color w:val="auto"/>
          <w:highlight w:val="none"/>
        </w:rPr>
        <w:instrText xml:space="preserve"> PAGEREF _Toc10817 \h </w:instrText>
      </w:r>
      <w:r>
        <w:rPr>
          <w:color w:val="auto"/>
          <w:highlight w:val="none"/>
        </w:rPr>
        <w:fldChar w:fldCharType="separate"/>
      </w:r>
      <w:r>
        <w:rPr>
          <w:color w:val="auto"/>
          <w:highlight w:val="none"/>
        </w:rPr>
        <w:t>89</w:t>
      </w:r>
      <w:r>
        <w:rPr>
          <w:color w:val="auto"/>
          <w:highlight w:val="none"/>
        </w:rPr>
        <w:fldChar w:fldCharType="end"/>
      </w:r>
      <w:r>
        <w:rPr>
          <w:color w:val="auto"/>
          <w:highlight w:val="none"/>
        </w:rPr>
        <w:fldChar w:fldCharType="end"/>
      </w:r>
    </w:p>
    <w:p w14:paraId="5B9CC650">
      <w:pPr>
        <w:pStyle w:val="26"/>
        <w:tabs>
          <w:tab w:val="right" w:leader="dot" w:pos="9638"/>
          <w:tab w:val="clear" w:pos="8296"/>
        </w:tabs>
        <w:rPr>
          <w:color w:val="auto"/>
          <w:highlight w:val="none"/>
        </w:rPr>
      </w:pPr>
      <w:r>
        <w:rPr>
          <w:color w:val="auto"/>
          <w:highlight w:val="none"/>
        </w:rPr>
        <w:fldChar w:fldCharType="begin"/>
      </w:r>
      <w:r>
        <w:rPr>
          <w:color w:val="auto"/>
          <w:highlight w:val="none"/>
        </w:rPr>
        <w:instrText xml:space="preserve"> HYPERLINK \l "_Toc28459" </w:instrText>
      </w:r>
      <w:r>
        <w:rPr>
          <w:color w:val="auto"/>
          <w:highlight w:val="none"/>
        </w:rPr>
        <w:fldChar w:fldCharType="separate"/>
      </w:r>
      <w:r>
        <w:rPr>
          <w:rFonts w:hint="eastAsia" w:ascii="宋体" w:hAnsi="宋体" w:cs="宋体"/>
          <w:color w:val="auto"/>
          <w:highlight w:val="none"/>
        </w:rPr>
        <w:t>第四节 报价文件格式</w:t>
      </w:r>
      <w:r>
        <w:rPr>
          <w:color w:val="auto"/>
          <w:highlight w:val="none"/>
        </w:rPr>
        <w:tab/>
      </w:r>
      <w:r>
        <w:rPr>
          <w:color w:val="auto"/>
          <w:highlight w:val="none"/>
        </w:rPr>
        <w:fldChar w:fldCharType="begin"/>
      </w:r>
      <w:r>
        <w:rPr>
          <w:color w:val="auto"/>
          <w:highlight w:val="none"/>
        </w:rPr>
        <w:instrText xml:space="preserve"> PAGEREF _Toc28459 \h </w:instrText>
      </w:r>
      <w:r>
        <w:rPr>
          <w:color w:val="auto"/>
          <w:highlight w:val="none"/>
        </w:rPr>
        <w:fldChar w:fldCharType="separate"/>
      </w:r>
      <w:r>
        <w:rPr>
          <w:color w:val="auto"/>
          <w:highlight w:val="none"/>
        </w:rPr>
        <w:t>104</w:t>
      </w:r>
      <w:r>
        <w:rPr>
          <w:color w:val="auto"/>
          <w:highlight w:val="none"/>
        </w:rPr>
        <w:fldChar w:fldCharType="end"/>
      </w:r>
      <w:r>
        <w:rPr>
          <w:color w:val="auto"/>
          <w:highlight w:val="none"/>
        </w:rPr>
        <w:fldChar w:fldCharType="end"/>
      </w:r>
    </w:p>
    <w:p w14:paraId="0B45FB98">
      <w:pPr>
        <w:pStyle w:val="26"/>
        <w:tabs>
          <w:tab w:val="right" w:leader="dot" w:pos="9638"/>
          <w:tab w:val="clear" w:pos="8296"/>
        </w:tabs>
        <w:rPr>
          <w:color w:val="auto"/>
          <w:highlight w:val="none"/>
        </w:rPr>
      </w:pPr>
      <w:r>
        <w:rPr>
          <w:color w:val="auto"/>
          <w:highlight w:val="none"/>
        </w:rPr>
        <w:fldChar w:fldCharType="begin"/>
      </w:r>
      <w:r>
        <w:rPr>
          <w:color w:val="auto"/>
          <w:highlight w:val="none"/>
        </w:rPr>
        <w:instrText xml:space="preserve"> HYPERLINK \l "_Toc14892" </w:instrText>
      </w:r>
      <w:r>
        <w:rPr>
          <w:color w:val="auto"/>
          <w:highlight w:val="none"/>
        </w:rPr>
        <w:fldChar w:fldCharType="separate"/>
      </w:r>
      <w:r>
        <w:rPr>
          <w:rFonts w:hint="eastAsia" w:ascii="宋体" w:hAnsi="宋体" w:cs="宋体"/>
          <w:color w:val="auto"/>
          <w:highlight w:val="none"/>
        </w:rPr>
        <w:t>第五节 其他文书、文件格式</w:t>
      </w:r>
      <w:r>
        <w:rPr>
          <w:color w:val="auto"/>
          <w:highlight w:val="none"/>
        </w:rPr>
        <w:tab/>
      </w:r>
      <w:r>
        <w:rPr>
          <w:color w:val="auto"/>
          <w:highlight w:val="none"/>
        </w:rPr>
        <w:fldChar w:fldCharType="begin"/>
      </w:r>
      <w:r>
        <w:rPr>
          <w:color w:val="auto"/>
          <w:highlight w:val="none"/>
        </w:rPr>
        <w:instrText xml:space="preserve"> PAGEREF _Toc14892 \h </w:instrText>
      </w:r>
      <w:r>
        <w:rPr>
          <w:color w:val="auto"/>
          <w:highlight w:val="none"/>
        </w:rPr>
        <w:fldChar w:fldCharType="separate"/>
      </w:r>
      <w:r>
        <w:rPr>
          <w:color w:val="auto"/>
          <w:highlight w:val="none"/>
        </w:rPr>
        <w:t>110</w:t>
      </w:r>
      <w:r>
        <w:rPr>
          <w:color w:val="auto"/>
          <w:highlight w:val="none"/>
        </w:rPr>
        <w:fldChar w:fldCharType="end"/>
      </w:r>
      <w:r>
        <w:rPr>
          <w:color w:val="auto"/>
          <w:highlight w:val="none"/>
        </w:rPr>
        <w:fldChar w:fldCharType="end"/>
      </w:r>
    </w:p>
    <w:p w14:paraId="55C79D0F">
      <w:pPr>
        <w:pStyle w:val="24"/>
        <w:tabs>
          <w:tab w:val="right" w:leader="dot" w:pos="9638"/>
        </w:tabs>
        <w:rPr>
          <w:color w:val="auto"/>
          <w:highlight w:val="none"/>
        </w:rPr>
      </w:pPr>
      <w:r>
        <w:rPr>
          <w:color w:val="auto"/>
          <w:highlight w:val="none"/>
        </w:rPr>
        <w:fldChar w:fldCharType="begin"/>
      </w:r>
      <w:r>
        <w:rPr>
          <w:color w:val="auto"/>
          <w:highlight w:val="none"/>
        </w:rPr>
        <w:instrText xml:space="preserve"> HYPERLINK \l "_Toc27743" </w:instrText>
      </w:r>
      <w:r>
        <w:rPr>
          <w:color w:val="auto"/>
          <w:highlight w:val="none"/>
        </w:rPr>
        <w:fldChar w:fldCharType="separate"/>
      </w:r>
      <w:r>
        <w:rPr>
          <w:rFonts w:hint="eastAsia" w:ascii="宋体" w:hAnsi="宋体" w:cs="宋体"/>
          <w:color w:val="auto"/>
          <w:highlight w:val="none"/>
        </w:rPr>
        <w:t>第六章  合同文本</w:t>
      </w:r>
      <w:r>
        <w:rPr>
          <w:color w:val="auto"/>
          <w:highlight w:val="none"/>
        </w:rPr>
        <w:tab/>
      </w:r>
      <w:r>
        <w:rPr>
          <w:color w:val="auto"/>
          <w:highlight w:val="none"/>
        </w:rPr>
        <w:fldChar w:fldCharType="begin"/>
      </w:r>
      <w:r>
        <w:rPr>
          <w:color w:val="auto"/>
          <w:highlight w:val="none"/>
        </w:rPr>
        <w:instrText xml:space="preserve"> PAGEREF _Toc27743 \h </w:instrText>
      </w:r>
      <w:r>
        <w:rPr>
          <w:color w:val="auto"/>
          <w:highlight w:val="none"/>
        </w:rPr>
        <w:fldChar w:fldCharType="separate"/>
      </w:r>
      <w:r>
        <w:rPr>
          <w:color w:val="auto"/>
          <w:highlight w:val="none"/>
        </w:rPr>
        <w:t>112</w:t>
      </w:r>
      <w:r>
        <w:rPr>
          <w:color w:val="auto"/>
          <w:highlight w:val="none"/>
        </w:rPr>
        <w:fldChar w:fldCharType="end"/>
      </w:r>
      <w:r>
        <w:rPr>
          <w:color w:val="auto"/>
          <w:highlight w:val="none"/>
        </w:rPr>
        <w:fldChar w:fldCharType="end"/>
      </w:r>
    </w:p>
    <w:p w14:paraId="54482BCF">
      <w:pPr>
        <w:pStyle w:val="24"/>
        <w:tabs>
          <w:tab w:val="right" w:leader="dot" w:pos="9638"/>
        </w:tabs>
        <w:rPr>
          <w:color w:val="auto"/>
          <w:highlight w:val="none"/>
        </w:rPr>
      </w:pPr>
      <w:r>
        <w:rPr>
          <w:color w:val="auto"/>
          <w:highlight w:val="none"/>
        </w:rPr>
        <w:fldChar w:fldCharType="begin"/>
      </w:r>
      <w:r>
        <w:rPr>
          <w:color w:val="auto"/>
          <w:highlight w:val="none"/>
        </w:rPr>
        <w:instrText xml:space="preserve"> HYPERLINK \l "_Toc15055" </w:instrText>
      </w:r>
      <w:r>
        <w:rPr>
          <w:color w:val="auto"/>
          <w:highlight w:val="none"/>
        </w:rPr>
        <w:fldChar w:fldCharType="separate"/>
      </w:r>
      <w:r>
        <w:rPr>
          <w:rFonts w:hint="eastAsia" w:ascii="宋体" w:hAnsi="宋体" w:cs="宋体"/>
          <w:color w:val="auto"/>
          <w:highlight w:val="none"/>
        </w:rPr>
        <w:t>第七章 质疑、投诉材料格式</w:t>
      </w:r>
      <w:r>
        <w:rPr>
          <w:color w:val="auto"/>
          <w:highlight w:val="none"/>
        </w:rPr>
        <w:tab/>
      </w:r>
      <w:r>
        <w:rPr>
          <w:color w:val="auto"/>
          <w:highlight w:val="none"/>
        </w:rPr>
        <w:fldChar w:fldCharType="begin"/>
      </w:r>
      <w:r>
        <w:rPr>
          <w:color w:val="auto"/>
          <w:highlight w:val="none"/>
        </w:rPr>
        <w:instrText xml:space="preserve"> PAGEREF _Toc15055 \h </w:instrText>
      </w:r>
      <w:r>
        <w:rPr>
          <w:color w:val="auto"/>
          <w:highlight w:val="none"/>
        </w:rPr>
        <w:fldChar w:fldCharType="separate"/>
      </w:r>
      <w:r>
        <w:rPr>
          <w:color w:val="auto"/>
          <w:highlight w:val="none"/>
        </w:rPr>
        <w:t>122</w:t>
      </w:r>
      <w:r>
        <w:rPr>
          <w:color w:val="auto"/>
          <w:highlight w:val="none"/>
        </w:rPr>
        <w:fldChar w:fldCharType="end"/>
      </w:r>
      <w:r>
        <w:rPr>
          <w:color w:val="auto"/>
          <w:highlight w:val="none"/>
        </w:rPr>
        <w:fldChar w:fldCharType="end"/>
      </w:r>
    </w:p>
    <w:p w14:paraId="7F489796">
      <w:pPr>
        <w:pStyle w:val="26"/>
        <w:rPr>
          <w:color w:val="auto"/>
          <w:sz w:val="28"/>
          <w:szCs w:val="28"/>
          <w:highlight w:val="none"/>
        </w:rPr>
      </w:pPr>
      <w:r>
        <w:rPr>
          <w:rFonts w:ascii="宋体" w:hAnsi="宋体"/>
          <w:color w:val="auto"/>
          <w:szCs w:val="30"/>
          <w:highlight w:val="none"/>
        </w:rPr>
        <w:fldChar w:fldCharType="end"/>
      </w:r>
    </w:p>
    <w:p w14:paraId="47CFE5AF">
      <w:pPr>
        <w:spacing w:line="400" w:lineRule="exact"/>
        <w:jc w:val="left"/>
        <w:rPr>
          <w:rFonts w:ascii="宋体" w:hAnsi="宋体"/>
          <w:b/>
          <w:color w:val="auto"/>
          <w:sz w:val="32"/>
          <w:szCs w:val="32"/>
          <w:highlight w:val="none"/>
        </w:rPr>
      </w:pPr>
    </w:p>
    <w:p w14:paraId="0975E3AA">
      <w:pPr>
        <w:spacing w:line="400" w:lineRule="exact"/>
        <w:jc w:val="center"/>
        <w:rPr>
          <w:rFonts w:ascii="宋体" w:hAnsi="宋体"/>
          <w:b/>
          <w:color w:val="auto"/>
          <w:sz w:val="32"/>
          <w:szCs w:val="32"/>
          <w:highlight w:val="none"/>
        </w:rPr>
      </w:pPr>
    </w:p>
    <w:p w14:paraId="2C0F095E">
      <w:pPr>
        <w:spacing w:line="400" w:lineRule="exact"/>
        <w:jc w:val="center"/>
        <w:rPr>
          <w:rFonts w:ascii="宋体" w:hAnsi="宋体"/>
          <w:b/>
          <w:color w:val="auto"/>
          <w:sz w:val="32"/>
          <w:szCs w:val="32"/>
          <w:highlight w:val="none"/>
        </w:rPr>
      </w:pPr>
    </w:p>
    <w:p w14:paraId="1F953F3D">
      <w:pPr>
        <w:spacing w:line="400" w:lineRule="exact"/>
        <w:jc w:val="center"/>
        <w:rPr>
          <w:rFonts w:ascii="宋体" w:hAnsi="宋体"/>
          <w:b/>
          <w:color w:val="auto"/>
          <w:sz w:val="32"/>
          <w:szCs w:val="32"/>
          <w:highlight w:val="none"/>
        </w:rPr>
      </w:pPr>
    </w:p>
    <w:p w14:paraId="47464EEA">
      <w:pPr>
        <w:spacing w:line="400" w:lineRule="exact"/>
        <w:jc w:val="center"/>
        <w:rPr>
          <w:rFonts w:ascii="宋体" w:hAnsi="宋体"/>
          <w:b/>
          <w:color w:val="auto"/>
          <w:sz w:val="32"/>
          <w:szCs w:val="32"/>
          <w:highlight w:val="none"/>
        </w:rPr>
      </w:pPr>
    </w:p>
    <w:p w14:paraId="5667FA78">
      <w:pPr>
        <w:spacing w:line="400" w:lineRule="exact"/>
        <w:rPr>
          <w:rFonts w:ascii="宋体" w:hAnsi="宋体"/>
          <w:b/>
          <w:color w:val="auto"/>
          <w:sz w:val="32"/>
          <w:szCs w:val="32"/>
          <w:highlight w:val="none"/>
        </w:rPr>
        <w:sectPr>
          <w:footerReference r:id="rId5" w:type="first"/>
          <w:headerReference r:id="rId3" w:type="default"/>
          <w:footerReference r:id="rId4" w:type="default"/>
          <w:pgSz w:w="11906" w:h="16838"/>
          <w:pgMar w:top="1134" w:right="1134" w:bottom="1134" w:left="1134" w:header="851" w:footer="992" w:gutter="0"/>
          <w:pgNumType w:start="1"/>
          <w:cols w:space="720" w:num="1"/>
          <w:titlePg/>
          <w:docGrid w:type="lines" w:linePitch="312" w:charSpace="0"/>
        </w:sectPr>
      </w:pPr>
    </w:p>
    <w:p w14:paraId="66EB962E">
      <w:pPr>
        <w:pStyle w:val="3"/>
        <w:spacing w:line="400" w:lineRule="exact"/>
        <w:jc w:val="center"/>
        <w:rPr>
          <w:color w:val="auto"/>
          <w:highlight w:val="none"/>
        </w:rPr>
      </w:pPr>
      <w:bookmarkStart w:id="0" w:name="_Toc27305"/>
      <w:r>
        <w:rPr>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125730</wp:posOffset>
                </wp:positionH>
                <wp:positionV relativeFrom="paragraph">
                  <wp:posOffset>535940</wp:posOffset>
                </wp:positionV>
                <wp:extent cx="5909310" cy="1279525"/>
                <wp:effectExtent l="0" t="0" r="8890" b="3175"/>
                <wp:wrapNone/>
                <wp:docPr id="1" name="文本框 126"/>
                <wp:cNvGraphicFramePr/>
                <a:graphic xmlns:a="http://schemas.openxmlformats.org/drawingml/2006/main">
                  <a:graphicData uri="http://schemas.microsoft.com/office/word/2010/wordprocessingShape">
                    <wps:wsp>
                      <wps:cNvSpPr txBox="1"/>
                      <wps:spPr>
                        <a:xfrm>
                          <a:off x="0" y="0"/>
                          <a:ext cx="5909310" cy="1279525"/>
                        </a:xfrm>
                        <a:prstGeom prst="rect">
                          <a:avLst/>
                        </a:prstGeom>
                        <a:solidFill>
                          <a:srgbClr val="FFFFFF"/>
                        </a:solidFill>
                        <a:ln>
                          <a:noFill/>
                        </a:ln>
                        <a:effectLst/>
                      </wps:spPr>
                      <wps:txbx>
                        <w:txbxContent>
                          <w:p w14:paraId="02A5869D">
                            <w:pPr>
                              <w:pBdr>
                                <w:top w:val="single" w:color="auto" w:sz="4" w:space="1"/>
                                <w:left w:val="single" w:color="auto" w:sz="4" w:space="4"/>
                                <w:bottom w:val="single" w:color="auto" w:sz="4" w:space="0"/>
                                <w:right w:val="single" w:color="auto" w:sz="4" w:space="4"/>
                              </w:pBdr>
                              <w:spacing w:line="360" w:lineRule="exact"/>
                              <w:ind w:firstLine="480" w:firstLineChars="200"/>
                              <w:rPr>
                                <w:rFonts w:ascii="宋体" w:hAnsi="宋体" w:cs="宋体"/>
                                <w:sz w:val="24"/>
                              </w:rPr>
                            </w:pPr>
                            <w:r>
                              <w:rPr>
                                <w:rFonts w:hint="eastAsia" w:ascii="宋体" w:hAnsi="宋体" w:cs="宋体"/>
                                <w:sz w:val="24"/>
                              </w:rPr>
                              <w:t>项目概况</w:t>
                            </w:r>
                          </w:p>
                          <w:p w14:paraId="75294984">
                            <w:pPr>
                              <w:pBdr>
                                <w:top w:val="single" w:color="auto" w:sz="4" w:space="1"/>
                                <w:left w:val="single" w:color="auto" w:sz="4" w:space="4"/>
                                <w:bottom w:val="single" w:color="auto" w:sz="4" w:space="0"/>
                                <w:right w:val="single" w:color="auto" w:sz="4" w:space="4"/>
                              </w:pBdr>
                              <w:spacing w:line="360" w:lineRule="exact"/>
                              <w:ind w:firstLine="600" w:firstLineChars="250"/>
                              <w:rPr>
                                <w:rFonts w:ascii="宋体" w:hAnsi="宋体" w:cs="宋体"/>
                                <w:sz w:val="24"/>
                                <w:u w:val="single"/>
                              </w:rPr>
                            </w:pPr>
                            <w:r>
                              <w:rPr>
                                <w:rFonts w:hint="eastAsia" w:ascii="宋体" w:hAnsi="宋体" w:cs="宋体"/>
                                <w:sz w:val="24"/>
                                <w:u w:val="single"/>
                              </w:rPr>
                              <w:t>广西壮族自治区检察院系统整合和安全测评采购项目</w:t>
                            </w:r>
                            <w:r>
                              <w:rPr>
                                <w:rFonts w:hint="eastAsia" w:ascii="宋体" w:hAnsi="宋体" w:cs="宋体"/>
                                <w:sz w:val="24"/>
                              </w:rPr>
                              <w:t>的潜在供应商应在广西政府采购云平台获取（下载）竞争性磋商文件，并于</w:t>
                            </w:r>
                            <w:r>
                              <w:rPr>
                                <w:rFonts w:hint="eastAsia" w:ascii="宋体" w:hAnsi="宋体" w:cs="宋体"/>
                                <w:sz w:val="24"/>
                                <w:u w:val="single"/>
                              </w:rPr>
                              <w:t>2024</w:t>
                            </w:r>
                            <w:r>
                              <w:rPr>
                                <w:rFonts w:hint="eastAsia" w:ascii="宋体" w:hAnsi="宋体" w:cs="宋体"/>
                                <w:bCs/>
                                <w:sz w:val="24"/>
                                <w:u w:val="single"/>
                              </w:rPr>
                              <w:t>年</w:t>
                            </w:r>
                            <w:r>
                              <w:rPr>
                                <w:rFonts w:hint="eastAsia" w:ascii="宋体" w:hAnsi="宋体" w:cs="宋体"/>
                                <w:bCs/>
                                <w:sz w:val="24"/>
                                <w:u w:val="single"/>
                                <w:lang w:val="en-US" w:eastAsia="zh-CN"/>
                              </w:rPr>
                              <w:t>12</w:t>
                            </w:r>
                            <w:r>
                              <w:rPr>
                                <w:rFonts w:hint="eastAsia" w:ascii="宋体" w:hAnsi="宋体" w:cs="宋体"/>
                                <w:bCs/>
                                <w:sz w:val="24"/>
                                <w:u w:val="single"/>
                              </w:rPr>
                              <w:t>月</w:t>
                            </w:r>
                            <w:r>
                              <w:rPr>
                                <w:rFonts w:hint="eastAsia" w:ascii="宋体" w:hAnsi="宋体" w:cs="宋体"/>
                                <w:bCs/>
                                <w:sz w:val="24"/>
                                <w:u w:val="single"/>
                                <w:lang w:val="en-US" w:eastAsia="zh-CN"/>
                              </w:rPr>
                              <w:t>10</w:t>
                            </w:r>
                            <w:r>
                              <w:rPr>
                                <w:rFonts w:hint="eastAsia" w:ascii="宋体" w:hAnsi="宋体" w:cs="宋体"/>
                                <w:bCs/>
                                <w:sz w:val="24"/>
                                <w:u w:val="single"/>
                              </w:rPr>
                              <w:t>日15时00分</w:t>
                            </w:r>
                            <w:r>
                              <w:rPr>
                                <w:rFonts w:hint="eastAsia" w:ascii="宋体" w:hAnsi="宋体" w:cs="宋体"/>
                                <w:bCs/>
                                <w:sz w:val="24"/>
                              </w:rPr>
                              <w:t>（北京时间）前</w:t>
                            </w:r>
                            <w:r>
                              <w:rPr>
                                <w:rFonts w:hint="eastAsia" w:ascii="宋体" w:hAnsi="宋体" w:cs="宋体"/>
                                <w:sz w:val="24"/>
                              </w:rPr>
                              <w:t>递交（上传）</w:t>
                            </w:r>
                            <w:r>
                              <w:rPr>
                                <w:rFonts w:hint="eastAsia" w:ascii="宋体" w:hAnsi="宋体"/>
                                <w:sz w:val="24"/>
                              </w:rPr>
                              <w:t>响应</w:t>
                            </w:r>
                            <w:r>
                              <w:rPr>
                                <w:rFonts w:ascii="宋体" w:hAnsi="宋体"/>
                                <w:sz w:val="24"/>
                              </w:rPr>
                              <w:t>文件</w:t>
                            </w:r>
                            <w:r>
                              <w:rPr>
                                <w:rFonts w:hint="eastAsia" w:ascii="宋体" w:hAnsi="宋体"/>
                                <w:sz w:val="24"/>
                              </w:rPr>
                              <w:t>。</w:t>
                            </w:r>
                          </w:p>
                          <w:p w14:paraId="5A7B5ACF">
                            <w:pPr>
                              <w:pBdr>
                                <w:top w:val="single" w:color="auto" w:sz="4" w:space="1"/>
                                <w:left w:val="single" w:color="auto" w:sz="4" w:space="4"/>
                                <w:bottom w:val="single" w:color="auto" w:sz="4" w:space="0"/>
                                <w:right w:val="single" w:color="auto" w:sz="4" w:space="4"/>
                              </w:pBdr>
                              <w:spacing w:line="360" w:lineRule="exact"/>
                              <w:rPr>
                                <w:rFonts w:ascii="宋体" w:hAnsi="宋体" w:cs="宋体"/>
                                <w:sz w:val="24"/>
                                <w:u w:val="single"/>
                              </w:rPr>
                            </w:pPr>
                          </w:p>
                          <w:p w14:paraId="77E62253"/>
                        </w:txbxContent>
                      </wps:txbx>
                      <wps:bodyPr wrap="square" upright="1"/>
                    </wps:wsp>
                  </a:graphicData>
                </a:graphic>
              </wp:anchor>
            </w:drawing>
          </mc:Choice>
          <mc:Fallback>
            <w:pict>
              <v:shape id="文本框 126" o:spid="_x0000_s1026" o:spt="202" type="#_x0000_t202" style="position:absolute;left:0pt;margin-left:9.9pt;margin-top:42.2pt;height:100.75pt;width:465.3pt;z-index:251659264;mso-width-relative:page;mso-height-relative:page;" fillcolor="#FFFFFF" filled="t" stroked="f" coordsize="21600,21600" o:gfxdata="UEsDBAoAAAAAAIdO4kAAAAAAAAAAAAAAAAAEAAAAZHJzL1BLAwQUAAAACACHTuJAuUagTtcAAAAJ&#10;AQAADwAAAGRycy9kb3ducmV2LnhtbE2PwU7DMBBE70j8g7VIXBC1WyVtksapBBKIa0s/wIm3SdR4&#10;HcVu0/49ywluM5rVzNtyd3ODuOIUek8algsFAqnxtqdWw/H74zUDEaIhawZPqOGOAXbV40NpCutn&#10;2uP1EFvBJRQKo6GLcSykDE2HzoSFH5E4O/nJmch2aqWdzMzlbpArpdbSmZ54oTMjvnfYnA8Xp+H0&#10;Nb+k+Vx/xuNmn6zfTL+p/V3r56el2oKIeIt/x/CLz+hQMVPtL2SDGNjnTB41ZEkCgvM8VSxqDass&#10;zUFWpfz/QfUDUEsDBBQAAAAIAIdO4kAuS3ri0AEAAJYDAAAOAAAAZHJzL2Uyb0RvYy54bWytU0uO&#10;00AQ3SNxh1bviT8oA4nijARR2CBAGjhAp922W+ofVZ3YuQDcgBUb9pwr56DaNmEYNrPAC7u6qvpV&#10;vVflze1gDTspQO1dxYtFzply0tfatRX/9HH/7CVnGIWrhfFOVfyskN9unz7Z9GGtSt95UytgBOJw&#10;3YeKdzGGdZah7JQVuPBBOQo2HqyIdIQ2q0H0hG5NVub5TdZ7qAN4qRDJu5uCfEaExwD6ptFS7bw8&#10;WuXihArKiEiUsNMB+XbstmmUjO+bBlVkpuLENI5vKkL2Ib2z7UasWxCh03JuQTymhQecrNCOil6h&#10;diIKdgT9D5TVEjz6Ji6kt9lEZFSEWBT5A23uOhHUyIWkxnAVHf8frHx3+gBM17QJnDlhaeCXb18v&#10;339efnxhRXmTBOoDrinvLlBmHF75ISXPfiRn4j00YNOXGDGKk7znq7xqiEySc7nKV88LCkmKFeWL&#10;1bJcJpzsz/UAGN8ob1kyKg40v1FWcXqLcUr9nZKqoTe63mtjxgO0h9cG2EnQrPfjM6P/lWZcSnY+&#10;XZsQJ48at2UukyhP1JIVh8Mw8z34+kwy9LQxFcfPRwGKs2MA3XbU7yhLlq7QuEZi82qlfbh/Jvv+&#10;77T9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lGoE7XAAAACQEAAA8AAAAAAAAAAQAgAAAAIgAA&#10;AGRycy9kb3ducmV2LnhtbFBLAQIUABQAAAAIAIdO4kAuS3ri0AEAAJYDAAAOAAAAAAAAAAEAIAAA&#10;ACYBAABkcnMvZTJvRG9jLnhtbFBLBQYAAAAABgAGAFkBAABoBQAAAAA=&#10;">
                <v:fill on="t" focussize="0,0"/>
                <v:stroke on="f"/>
                <v:imagedata o:title=""/>
                <o:lock v:ext="edit" aspectratio="f"/>
                <v:textbox>
                  <w:txbxContent>
                    <w:p w14:paraId="02A5869D">
                      <w:pPr>
                        <w:pBdr>
                          <w:top w:val="single" w:color="auto" w:sz="4" w:space="1"/>
                          <w:left w:val="single" w:color="auto" w:sz="4" w:space="4"/>
                          <w:bottom w:val="single" w:color="auto" w:sz="4" w:space="0"/>
                          <w:right w:val="single" w:color="auto" w:sz="4" w:space="4"/>
                        </w:pBdr>
                        <w:spacing w:line="360" w:lineRule="exact"/>
                        <w:ind w:firstLine="480" w:firstLineChars="200"/>
                        <w:rPr>
                          <w:rFonts w:ascii="宋体" w:hAnsi="宋体" w:cs="宋体"/>
                          <w:sz w:val="24"/>
                        </w:rPr>
                      </w:pPr>
                      <w:r>
                        <w:rPr>
                          <w:rFonts w:hint="eastAsia" w:ascii="宋体" w:hAnsi="宋体" w:cs="宋体"/>
                          <w:sz w:val="24"/>
                        </w:rPr>
                        <w:t>项目概况</w:t>
                      </w:r>
                    </w:p>
                    <w:p w14:paraId="75294984">
                      <w:pPr>
                        <w:pBdr>
                          <w:top w:val="single" w:color="auto" w:sz="4" w:space="1"/>
                          <w:left w:val="single" w:color="auto" w:sz="4" w:space="4"/>
                          <w:bottom w:val="single" w:color="auto" w:sz="4" w:space="0"/>
                          <w:right w:val="single" w:color="auto" w:sz="4" w:space="4"/>
                        </w:pBdr>
                        <w:spacing w:line="360" w:lineRule="exact"/>
                        <w:ind w:firstLine="600" w:firstLineChars="250"/>
                        <w:rPr>
                          <w:rFonts w:ascii="宋体" w:hAnsi="宋体" w:cs="宋体"/>
                          <w:sz w:val="24"/>
                          <w:u w:val="single"/>
                        </w:rPr>
                      </w:pPr>
                      <w:r>
                        <w:rPr>
                          <w:rFonts w:hint="eastAsia" w:ascii="宋体" w:hAnsi="宋体" w:cs="宋体"/>
                          <w:sz w:val="24"/>
                          <w:u w:val="single"/>
                        </w:rPr>
                        <w:t>广西壮族自治区检察院系统整合和安全测评采购项目</w:t>
                      </w:r>
                      <w:r>
                        <w:rPr>
                          <w:rFonts w:hint="eastAsia" w:ascii="宋体" w:hAnsi="宋体" w:cs="宋体"/>
                          <w:sz w:val="24"/>
                        </w:rPr>
                        <w:t>的潜在供应商应在广西政府采购云平台获取（下载）竞争性磋商文件，并于</w:t>
                      </w:r>
                      <w:r>
                        <w:rPr>
                          <w:rFonts w:hint="eastAsia" w:ascii="宋体" w:hAnsi="宋体" w:cs="宋体"/>
                          <w:sz w:val="24"/>
                          <w:u w:val="single"/>
                        </w:rPr>
                        <w:t>2024</w:t>
                      </w:r>
                      <w:r>
                        <w:rPr>
                          <w:rFonts w:hint="eastAsia" w:ascii="宋体" w:hAnsi="宋体" w:cs="宋体"/>
                          <w:bCs/>
                          <w:sz w:val="24"/>
                          <w:u w:val="single"/>
                        </w:rPr>
                        <w:t>年</w:t>
                      </w:r>
                      <w:r>
                        <w:rPr>
                          <w:rFonts w:hint="eastAsia" w:ascii="宋体" w:hAnsi="宋体" w:cs="宋体"/>
                          <w:bCs/>
                          <w:sz w:val="24"/>
                          <w:u w:val="single"/>
                          <w:lang w:val="en-US" w:eastAsia="zh-CN"/>
                        </w:rPr>
                        <w:t>12</w:t>
                      </w:r>
                      <w:r>
                        <w:rPr>
                          <w:rFonts w:hint="eastAsia" w:ascii="宋体" w:hAnsi="宋体" w:cs="宋体"/>
                          <w:bCs/>
                          <w:sz w:val="24"/>
                          <w:u w:val="single"/>
                        </w:rPr>
                        <w:t>月</w:t>
                      </w:r>
                      <w:r>
                        <w:rPr>
                          <w:rFonts w:hint="eastAsia" w:ascii="宋体" w:hAnsi="宋体" w:cs="宋体"/>
                          <w:bCs/>
                          <w:sz w:val="24"/>
                          <w:u w:val="single"/>
                          <w:lang w:val="en-US" w:eastAsia="zh-CN"/>
                        </w:rPr>
                        <w:t>10</w:t>
                      </w:r>
                      <w:r>
                        <w:rPr>
                          <w:rFonts w:hint="eastAsia" w:ascii="宋体" w:hAnsi="宋体" w:cs="宋体"/>
                          <w:bCs/>
                          <w:sz w:val="24"/>
                          <w:u w:val="single"/>
                        </w:rPr>
                        <w:t>日15时00分</w:t>
                      </w:r>
                      <w:r>
                        <w:rPr>
                          <w:rFonts w:hint="eastAsia" w:ascii="宋体" w:hAnsi="宋体" w:cs="宋体"/>
                          <w:bCs/>
                          <w:sz w:val="24"/>
                        </w:rPr>
                        <w:t>（北京时间）前</w:t>
                      </w:r>
                      <w:r>
                        <w:rPr>
                          <w:rFonts w:hint="eastAsia" w:ascii="宋体" w:hAnsi="宋体" w:cs="宋体"/>
                          <w:sz w:val="24"/>
                        </w:rPr>
                        <w:t>递交（上传）</w:t>
                      </w:r>
                      <w:r>
                        <w:rPr>
                          <w:rFonts w:hint="eastAsia" w:ascii="宋体" w:hAnsi="宋体"/>
                          <w:sz w:val="24"/>
                        </w:rPr>
                        <w:t>响应</w:t>
                      </w:r>
                      <w:r>
                        <w:rPr>
                          <w:rFonts w:ascii="宋体" w:hAnsi="宋体"/>
                          <w:sz w:val="24"/>
                        </w:rPr>
                        <w:t>文件</w:t>
                      </w:r>
                      <w:r>
                        <w:rPr>
                          <w:rFonts w:hint="eastAsia" w:ascii="宋体" w:hAnsi="宋体"/>
                          <w:sz w:val="24"/>
                        </w:rPr>
                        <w:t>。</w:t>
                      </w:r>
                    </w:p>
                    <w:p w14:paraId="5A7B5ACF">
                      <w:pPr>
                        <w:pBdr>
                          <w:top w:val="single" w:color="auto" w:sz="4" w:space="1"/>
                          <w:left w:val="single" w:color="auto" w:sz="4" w:space="4"/>
                          <w:bottom w:val="single" w:color="auto" w:sz="4" w:space="0"/>
                          <w:right w:val="single" w:color="auto" w:sz="4" w:space="4"/>
                        </w:pBdr>
                        <w:spacing w:line="360" w:lineRule="exact"/>
                        <w:rPr>
                          <w:rFonts w:ascii="宋体" w:hAnsi="宋体" w:cs="宋体"/>
                          <w:sz w:val="24"/>
                          <w:u w:val="single"/>
                        </w:rPr>
                      </w:pPr>
                    </w:p>
                    <w:p w14:paraId="77E62253"/>
                  </w:txbxContent>
                </v:textbox>
              </v:shape>
            </w:pict>
          </mc:Fallback>
        </mc:AlternateContent>
      </w:r>
      <w:r>
        <w:rPr>
          <w:rFonts w:hint="eastAsia"/>
          <w:color w:val="auto"/>
          <w:highlight w:val="none"/>
        </w:rPr>
        <w:t>第一章 竞争性磋商公告</w:t>
      </w:r>
      <w:bookmarkEnd w:id="0"/>
      <w:bookmarkStart w:id="1" w:name="_Toc28359089"/>
      <w:bookmarkStart w:id="2" w:name="_Toc44229878"/>
      <w:bookmarkStart w:id="3" w:name="_Toc35393629"/>
      <w:bookmarkStart w:id="4" w:name="_Toc28359012"/>
      <w:bookmarkStart w:id="5" w:name="_Toc35393798"/>
      <w:bookmarkStart w:id="6" w:name="_Toc28359081"/>
      <w:bookmarkStart w:id="7" w:name="_Toc35393623"/>
      <w:bookmarkStart w:id="8" w:name="_Toc35393792"/>
      <w:bookmarkStart w:id="9" w:name="_Toc28359004"/>
    </w:p>
    <w:p w14:paraId="57201AE0">
      <w:pPr>
        <w:rPr>
          <w:color w:val="auto"/>
          <w:highlight w:val="none"/>
        </w:rPr>
      </w:pPr>
    </w:p>
    <w:p w14:paraId="3DE1C73B">
      <w:pPr>
        <w:rPr>
          <w:color w:val="auto"/>
          <w:highlight w:val="none"/>
        </w:rPr>
      </w:pPr>
    </w:p>
    <w:p w14:paraId="287FCC48">
      <w:pPr>
        <w:rPr>
          <w:color w:val="auto"/>
          <w:highlight w:val="none"/>
        </w:rPr>
      </w:pPr>
    </w:p>
    <w:p w14:paraId="44BA19EE">
      <w:pPr>
        <w:rPr>
          <w:color w:val="auto"/>
          <w:highlight w:val="none"/>
        </w:rPr>
      </w:pPr>
    </w:p>
    <w:p w14:paraId="578D22C5">
      <w:pPr>
        <w:rPr>
          <w:color w:val="auto"/>
          <w:highlight w:val="none"/>
        </w:rPr>
      </w:pPr>
    </w:p>
    <w:p w14:paraId="163343F8">
      <w:pPr>
        <w:rPr>
          <w:color w:val="auto"/>
          <w:highlight w:val="none"/>
        </w:rPr>
      </w:pPr>
    </w:p>
    <w:p w14:paraId="5E8A69BB">
      <w:pPr>
        <w:rPr>
          <w:rFonts w:ascii="黑体" w:hAnsi="黑体" w:eastAsia="黑体" w:cs="宋体"/>
          <w:bCs/>
          <w:color w:val="auto"/>
          <w:sz w:val="24"/>
          <w:highlight w:val="none"/>
        </w:rPr>
      </w:pPr>
    </w:p>
    <w:bookmarkEnd w:id="1"/>
    <w:bookmarkEnd w:id="2"/>
    <w:bookmarkEnd w:id="3"/>
    <w:bookmarkEnd w:id="4"/>
    <w:bookmarkEnd w:id="5"/>
    <w:bookmarkEnd w:id="6"/>
    <w:bookmarkEnd w:id="7"/>
    <w:bookmarkEnd w:id="8"/>
    <w:bookmarkEnd w:id="9"/>
    <w:p w14:paraId="348FF826">
      <w:pPr>
        <w:rPr>
          <w:bCs/>
          <w:color w:val="auto"/>
          <w:sz w:val="24"/>
          <w:highlight w:val="none"/>
        </w:rPr>
      </w:pPr>
      <w:r>
        <w:rPr>
          <w:rFonts w:hint="eastAsia"/>
          <w:bCs/>
          <w:color w:val="auto"/>
          <w:sz w:val="24"/>
          <w:highlight w:val="none"/>
        </w:rPr>
        <w:t>一、项目基本情况</w:t>
      </w:r>
    </w:p>
    <w:p w14:paraId="5FA28520">
      <w:pPr>
        <w:ind w:firstLine="588" w:firstLineChars="245"/>
        <w:rPr>
          <w:rFonts w:hint="eastAsia" w:eastAsia="宋体"/>
          <w:color w:val="auto"/>
          <w:sz w:val="24"/>
          <w:highlight w:val="none"/>
          <w:lang w:eastAsia="zh-CN"/>
        </w:rPr>
      </w:pPr>
      <w:r>
        <w:rPr>
          <w:rFonts w:hint="eastAsia"/>
          <w:color w:val="auto"/>
          <w:sz w:val="24"/>
          <w:highlight w:val="none"/>
        </w:rPr>
        <w:t>项目编号：</w:t>
      </w:r>
      <w:r>
        <w:rPr>
          <w:rFonts w:hint="eastAsia"/>
          <w:color w:val="auto"/>
          <w:sz w:val="24"/>
          <w:highlight w:val="none"/>
          <w:lang w:eastAsia="zh-CN"/>
        </w:rPr>
        <w:t xml:space="preserve"> GXZC2024-C3-006200-HZTG</w:t>
      </w:r>
    </w:p>
    <w:p w14:paraId="74C52F91">
      <w:pPr>
        <w:ind w:firstLine="588" w:firstLineChars="245"/>
        <w:rPr>
          <w:color w:val="auto"/>
          <w:sz w:val="24"/>
          <w:highlight w:val="none"/>
          <w:u w:val="single"/>
        </w:rPr>
      </w:pPr>
      <w:r>
        <w:rPr>
          <w:rFonts w:hint="eastAsia"/>
          <w:color w:val="auto"/>
          <w:sz w:val="24"/>
          <w:highlight w:val="none"/>
        </w:rPr>
        <w:t>项目名称：广西壮族自治区检察院系统整合和安全测评采购项目</w:t>
      </w:r>
    </w:p>
    <w:p w14:paraId="1BBF9403">
      <w:pPr>
        <w:ind w:firstLine="588" w:firstLineChars="245"/>
        <w:rPr>
          <w:color w:val="auto"/>
          <w:sz w:val="24"/>
          <w:highlight w:val="none"/>
        </w:rPr>
      </w:pPr>
      <w:r>
        <w:rPr>
          <w:rFonts w:hint="eastAsia"/>
          <w:color w:val="auto"/>
          <w:sz w:val="24"/>
          <w:highlight w:val="none"/>
        </w:rPr>
        <w:t>采购方式：竞争性磋商</w:t>
      </w:r>
    </w:p>
    <w:p w14:paraId="45499D52">
      <w:pPr>
        <w:ind w:firstLine="588" w:firstLineChars="245"/>
        <w:rPr>
          <w:color w:val="auto"/>
          <w:sz w:val="24"/>
          <w:highlight w:val="none"/>
        </w:rPr>
      </w:pPr>
      <w:r>
        <w:rPr>
          <w:rFonts w:hint="eastAsia"/>
          <w:color w:val="auto"/>
          <w:sz w:val="24"/>
          <w:highlight w:val="none"/>
        </w:rPr>
        <w:t>预算金额：183.22万元</w:t>
      </w:r>
    </w:p>
    <w:p w14:paraId="4B6A1886">
      <w:pPr>
        <w:ind w:firstLine="588" w:firstLineChars="245"/>
        <w:rPr>
          <w:color w:val="auto"/>
          <w:sz w:val="24"/>
          <w:highlight w:val="none"/>
        </w:rPr>
      </w:pPr>
      <w:r>
        <w:rPr>
          <w:rFonts w:hint="eastAsia"/>
          <w:color w:val="auto"/>
          <w:sz w:val="24"/>
          <w:highlight w:val="none"/>
        </w:rPr>
        <w:t>最高限价：183.22万元。</w:t>
      </w:r>
    </w:p>
    <w:p w14:paraId="49ACC6B8">
      <w:pPr>
        <w:ind w:firstLine="588" w:firstLineChars="245"/>
        <w:rPr>
          <w:color w:val="auto"/>
          <w:sz w:val="24"/>
          <w:highlight w:val="none"/>
        </w:rPr>
      </w:pPr>
      <w:r>
        <w:rPr>
          <w:rFonts w:hint="eastAsia"/>
          <w:color w:val="auto"/>
          <w:sz w:val="24"/>
          <w:highlight w:val="none"/>
        </w:rPr>
        <w:t>采购需求：本项目采购广西壮族自治区检察院系统整合和安全测评服务，具体内容详见采购文件。</w:t>
      </w:r>
    </w:p>
    <w:p w14:paraId="6B7D6CB8">
      <w:pPr>
        <w:ind w:firstLine="588" w:firstLineChars="245"/>
        <w:rPr>
          <w:color w:val="auto"/>
          <w:sz w:val="24"/>
          <w:highlight w:val="none"/>
        </w:rPr>
      </w:pPr>
      <w:r>
        <w:rPr>
          <w:rFonts w:hint="eastAsia"/>
          <w:color w:val="auto"/>
          <w:sz w:val="24"/>
          <w:highlight w:val="none"/>
        </w:rPr>
        <w:t>合同履行期限：签订合同后10个工作日内，成交供应商必须按竞标响应组织研发团队进场，与采购人召开首次项目实施工作会议，商定项目的实施计划和相关工作安排。项目建设过程要求安排合理可控，必须分歩开展项目建设实施工作，项目的关键时间节点要求如下：</w:t>
      </w:r>
    </w:p>
    <w:p w14:paraId="6A3F541C">
      <w:pPr>
        <w:ind w:firstLine="588" w:firstLineChars="245"/>
        <w:rPr>
          <w:color w:val="auto"/>
          <w:sz w:val="24"/>
          <w:highlight w:val="none"/>
        </w:rPr>
      </w:pPr>
      <w:r>
        <w:rPr>
          <w:rFonts w:hint="eastAsia"/>
          <w:color w:val="auto"/>
          <w:sz w:val="24"/>
          <w:highlight w:val="none"/>
        </w:rPr>
        <w:t>（1）2025年2月底前，必须完成检务综合平台需求调研，并通过采购人确认。</w:t>
      </w:r>
    </w:p>
    <w:p w14:paraId="199C3018">
      <w:pPr>
        <w:ind w:firstLine="588" w:firstLineChars="245"/>
        <w:rPr>
          <w:color w:val="auto"/>
          <w:sz w:val="24"/>
          <w:highlight w:val="none"/>
        </w:rPr>
      </w:pPr>
      <w:r>
        <w:rPr>
          <w:rFonts w:hint="eastAsia"/>
          <w:color w:val="auto"/>
          <w:sz w:val="24"/>
          <w:highlight w:val="none"/>
        </w:rPr>
        <w:t>（2）2025年4月底前，必须按项目要求完成本项目的信息系统整合工作，并根据前期试运行情况进行修正软件的缺陷和不足；</w:t>
      </w:r>
    </w:p>
    <w:p w14:paraId="10E2A00D">
      <w:pPr>
        <w:ind w:firstLine="588" w:firstLineChars="245"/>
        <w:rPr>
          <w:color w:val="auto"/>
          <w:sz w:val="24"/>
          <w:highlight w:val="none"/>
        </w:rPr>
      </w:pPr>
      <w:r>
        <w:rPr>
          <w:rFonts w:hint="eastAsia"/>
          <w:color w:val="auto"/>
          <w:sz w:val="24"/>
          <w:highlight w:val="none"/>
        </w:rPr>
        <w:t>（3）2025年6月底前，必须完成信息系统整合的开发测试、实施，并正式上线运行，实现软件的交付应用及竣工验收工作。</w:t>
      </w:r>
    </w:p>
    <w:p w14:paraId="19444AEC">
      <w:pPr>
        <w:ind w:firstLine="588" w:firstLineChars="245"/>
        <w:rPr>
          <w:color w:val="auto"/>
          <w:sz w:val="24"/>
          <w:highlight w:val="none"/>
        </w:rPr>
      </w:pPr>
      <w:r>
        <w:rPr>
          <w:rFonts w:hint="eastAsia"/>
          <w:color w:val="auto"/>
          <w:sz w:val="24"/>
          <w:highlight w:val="none"/>
        </w:rPr>
        <w:t>（4）2025至2027年每年8月底前，必须完成本项目要求的当年度信息系统等级保护测评或风险评估工作。</w:t>
      </w:r>
    </w:p>
    <w:p w14:paraId="627425C0">
      <w:pPr>
        <w:ind w:firstLine="588" w:firstLineChars="245"/>
        <w:rPr>
          <w:color w:val="auto"/>
          <w:sz w:val="24"/>
          <w:highlight w:val="none"/>
          <w:u w:val="single"/>
        </w:rPr>
      </w:pPr>
      <w:r>
        <w:rPr>
          <w:rFonts w:hint="eastAsia"/>
          <w:color w:val="auto"/>
          <w:sz w:val="24"/>
          <w:highlight w:val="none"/>
        </w:rPr>
        <w:t>因采购方原因造成项目实施延期的，项目工期由采购人、成交供应商共同协商确定。</w:t>
      </w:r>
    </w:p>
    <w:p w14:paraId="5D6B9B68">
      <w:pPr>
        <w:ind w:firstLine="588" w:firstLineChars="245"/>
        <w:rPr>
          <w:color w:val="auto"/>
          <w:sz w:val="24"/>
          <w:highlight w:val="none"/>
        </w:rPr>
      </w:pPr>
      <w:r>
        <w:rPr>
          <w:rFonts w:hint="eastAsia"/>
          <w:color w:val="auto"/>
          <w:sz w:val="24"/>
          <w:highlight w:val="none"/>
        </w:rPr>
        <w:t>本项目不接受联合体。</w:t>
      </w:r>
    </w:p>
    <w:p w14:paraId="0FE79611">
      <w:pPr>
        <w:ind w:firstLine="588" w:firstLineChars="245"/>
        <w:rPr>
          <w:bCs/>
          <w:color w:val="auto"/>
          <w:sz w:val="24"/>
          <w:highlight w:val="none"/>
        </w:rPr>
      </w:pPr>
      <w:bookmarkStart w:id="10" w:name="_Toc28359090"/>
      <w:bookmarkStart w:id="11" w:name="_Toc28359013"/>
      <w:bookmarkStart w:id="12" w:name="_Toc35393799"/>
      <w:bookmarkStart w:id="13" w:name="_Toc35393630"/>
      <w:r>
        <w:rPr>
          <w:rFonts w:hint="eastAsia"/>
          <w:bCs/>
          <w:color w:val="auto"/>
          <w:sz w:val="24"/>
          <w:highlight w:val="none"/>
        </w:rPr>
        <w:t>二、申请人的资格要求：</w:t>
      </w:r>
      <w:bookmarkEnd w:id="10"/>
      <w:bookmarkEnd w:id="11"/>
      <w:bookmarkEnd w:id="12"/>
      <w:bookmarkEnd w:id="13"/>
    </w:p>
    <w:p w14:paraId="7198EE2A">
      <w:pPr>
        <w:ind w:firstLine="588" w:firstLineChars="245"/>
        <w:rPr>
          <w:color w:val="auto"/>
          <w:sz w:val="24"/>
          <w:highlight w:val="none"/>
        </w:rPr>
      </w:pPr>
      <w:r>
        <w:rPr>
          <w:rFonts w:hint="eastAsia"/>
          <w:color w:val="auto"/>
          <w:sz w:val="24"/>
          <w:highlight w:val="none"/>
        </w:rPr>
        <w:t>1.具备《中华人民共和国政府采购法》第二十二条规定的条件；</w:t>
      </w:r>
    </w:p>
    <w:p w14:paraId="423CF2EE">
      <w:pPr>
        <w:ind w:firstLine="588" w:firstLineChars="245"/>
        <w:rPr>
          <w:color w:val="auto"/>
          <w:sz w:val="24"/>
          <w:highlight w:val="none"/>
        </w:rPr>
      </w:pPr>
      <w:r>
        <w:rPr>
          <w:rFonts w:hint="eastAsia"/>
          <w:color w:val="auto"/>
          <w:sz w:val="24"/>
          <w:highlight w:val="none"/>
        </w:rPr>
        <w:t>2.落实政府采购政策需满足的资格要求：非专门面向中小企业采购的项目；</w:t>
      </w:r>
    </w:p>
    <w:p w14:paraId="03D87446">
      <w:pPr>
        <w:ind w:firstLine="588" w:firstLineChars="245"/>
        <w:rPr>
          <w:color w:val="auto"/>
          <w:sz w:val="24"/>
          <w:highlight w:val="none"/>
        </w:rPr>
      </w:pPr>
      <w:r>
        <w:rPr>
          <w:rFonts w:hint="eastAsia"/>
          <w:color w:val="auto"/>
          <w:sz w:val="24"/>
          <w:highlight w:val="none"/>
        </w:rPr>
        <w:t>3.本项目的特定资格要求：无。</w:t>
      </w:r>
    </w:p>
    <w:p w14:paraId="2DF93471">
      <w:pPr>
        <w:ind w:firstLine="588" w:firstLineChars="245"/>
        <w:rPr>
          <w:bCs/>
          <w:color w:val="auto"/>
          <w:sz w:val="24"/>
          <w:highlight w:val="none"/>
        </w:rPr>
      </w:pPr>
      <w:bookmarkStart w:id="14" w:name="_Toc35393631"/>
      <w:bookmarkStart w:id="15" w:name="_Toc28359014"/>
      <w:bookmarkStart w:id="16" w:name="_Toc28359091"/>
      <w:bookmarkStart w:id="17" w:name="_Toc35393800"/>
      <w:r>
        <w:rPr>
          <w:rFonts w:hint="eastAsia"/>
          <w:bCs/>
          <w:color w:val="auto"/>
          <w:sz w:val="24"/>
          <w:highlight w:val="none"/>
        </w:rPr>
        <w:t>4.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3D631ABE">
      <w:pPr>
        <w:ind w:firstLine="588" w:firstLineChars="245"/>
        <w:rPr>
          <w:bCs/>
          <w:color w:val="auto"/>
          <w:sz w:val="24"/>
          <w:highlight w:val="none"/>
        </w:rPr>
      </w:pPr>
      <w:r>
        <w:rPr>
          <w:rFonts w:hint="eastAsia"/>
          <w:bCs/>
          <w:color w:val="auto"/>
          <w:sz w:val="24"/>
          <w:highlight w:val="none"/>
        </w:rPr>
        <w:t>5.对在“信用中国”网站(www.creditchina.gov.cn)、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61D32A5D">
      <w:pPr>
        <w:ind w:firstLine="588" w:firstLineChars="245"/>
        <w:rPr>
          <w:bCs/>
          <w:color w:val="auto"/>
          <w:sz w:val="24"/>
          <w:highlight w:val="none"/>
        </w:rPr>
      </w:pPr>
      <w:r>
        <w:rPr>
          <w:rFonts w:hint="eastAsia"/>
          <w:bCs/>
          <w:color w:val="auto"/>
          <w:sz w:val="24"/>
          <w:highlight w:val="none"/>
        </w:rPr>
        <w:t>三、获取采购文件</w:t>
      </w:r>
      <w:bookmarkEnd w:id="14"/>
      <w:bookmarkEnd w:id="15"/>
      <w:bookmarkEnd w:id="16"/>
      <w:bookmarkEnd w:id="17"/>
    </w:p>
    <w:p w14:paraId="1DC3A9D6">
      <w:pPr>
        <w:ind w:firstLine="588" w:firstLineChars="245"/>
        <w:rPr>
          <w:color w:val="auto"/>
          <w:sz w:val="24"/>
          <w:highlight w:val="none"/>
        </w:rPr>
      </w:pPr>
      <w:r>
        <w:rPr>
          <w:rFonts w:hint="eastAsia"/>
          <w:color w:val="auto"/>
          <w:sz w:val="24"/>
          <w:highlight w:val="none"/>
        </w:rPr>
        <w:t>时间：</w:t>
      </w:r>
      <w:r>
        <w:rPr>
          <w:rFonts w:hint="eastAsia"/>
          <w:color w:val="auto"/>
          <w:sz w:val="24"/>
          <w:highlight w:val="none"/>
          <w:u w:val="single"/>
        </w:rPr>
        <w:t>2024年</w:t>
      </w:r>
      <w:r>
        <w:rPr>
          <w:rFonts w:hint="eastAsia"/>
          <w:color w:val="auto"/>
          <w:sz w:val="24"/>
          <w:highlight w:val="none"/>
          <w:u w:val="single"/>
          <w:lang w:val="en-US" w:eastAsia="zh-CN"/>
        </w:rPr>
        <w:t>11</w:t>
      </w:r>
      <w:r>
        <w:rPr>
          <w:rFonts w:hint="eastAsia"/>
          <w:color w:val="auto"/>
          <w:sz w:val="24"/>
          <w:highlight w:val="none"/>
          <w:u w:val="single"/>
        </w:rPr>
        <w:t>月</w:t>
      </w:r>
      <w:r>
        <w:rPr>
          <w:rFonts w:hint="eastAsia"/>
          <w:color w:val="auto"/>
          <w:sz w:val="24"/>
          <w:highlight w:val="none"/>
          <w:u w:val="single"/>
          <w:lang w:val="en-US" w:eastAsia="zh-CN"/>
        </w:rPr>
        <w:t>28</w:t>
      </w:r>
      <w:r>
        <w:rPr>
          <w:rFonts w:hint="eastAsia"/>
          <w:color w:val="auto"/>
          <w:sz w:val="24"/>
          <w:highlight w:val="none"/>
          <w:u w:val="single"/>
        </w:rPr>
        <w:t>日至2024年</w:t>
      </w:r>
      <w:r>
        <w:rPr>
          <w:rFonts w:hint="eastAsia"/>
          <w:color w:val="auto"/>
          <w:sz w:val="24"/>
          <w:highlight w:val="none"/>
          <w:u w:val="single"/>
          <w:lang w:val="en-US" w:eastAsia="zh-CN"/>
        </w:rPr>
        <w:t>12</w:t>
      </w:r>
      <w:r>
        <w:rPr>
          <w:rFonts w:hint="eastAsia"/>
          <w:color w:val="auto"/>
          <w:sz w:val="24"/>
          <w:highlight w:val="none"/>
          <w:u w:val="single"/>
        </w:rPr>
        <w:t>月</w:t>
      </w:r>
      <w:r>
        <w:rPr>
          <w:rFonts w:hint="eastAsia"/>
          <w:color w:val="auto"/>
          <w:sz w:val="24"/>
          <w:highlight w:val="none"/>
          <w:u w:val="single"/>
          <w:lang w:val="en-US" w:eastAsia="zh-CN"/>
        </w:rPr>
        <w:t>5</w:t>
      </w:r>
      <w:r>
        <w:rPr>
          <w:rFonts w:hint="eastAsia"/>
          <w:color w:val="auto"/>
          <w:sz w:val="24"/>
          <w:highlight w:val="none"/>
          <w:u w:val="single"/>
        </w:rPr>
        <w:t>日，每天上午00：00至12：00，下午12：00至23:59　（北京时间，法定节假日除外）</w:t>
      </w:r>
      <w:r>
        <w:rPr>
          <w:rFonts w:hint="eastAsia"/>
          <w:color w:val="auto"/>
          <w:sz w:val="24"/>
          <w:highlight w:val="none"/>
        </w:rPr>
        <w:t>。</w:t>
      </w:r>
    </w:p>
    <w:p w14:paraId="5AE4A6E9">
      <w:pPr>
        <w:ind w:firstLine="588" w:firstLineChars="245"/>
        <w:rPr>
          <w:color w:val="auto"/>
          <w:sz w:val="24"/>
          <w:highlight w:val="none"/>
        </w:rPr>
      </w:pPr>
      <w:r>
        <w:rPr>
          <w:rFonts w:hint="eastAsia"/>
          <w:color w:val="auto"/>
          <w:sz w:val="24"/>
          <w:highlight w:val="none"/>
        </w:rPr>
        <w:t xml:space="preserve">地点（网址）：广西政府采购云平台（https:// www.gcy.zfcg.gxzf.gov.cn） </w:t>
      </w:r>
    </w:p>
    <w:p w14:paraId="6986CD51">
      <w:pPr>
        <w:ind w:firstLine="588" w:firstLineChars="245"/>
        <w:rPr>
          <w:color w:val="auto"/>
          <w:sz w:val="24"/>
          <w:highlight w:val="none"/>
        </w:rPr>
      </w:pPr>
      <w:r>
        <w:rPr>
          <w:rFonts w:hint="eastAsia"/>
          <w:color w:val="auto"/>
          <w:sz w:val="24"/>
          <w:highlight w:val="none"/>
        </w:rPr>
        <w:t>方式：网上下载。供应商登录广西政府采购云平台（https:// www.gcy.zfcg.gxzf.gov.cn）在线申请获取采购文件（进入“项目采购”应用，在获取采购文件菜单中选择项目，申请获取采购文件）。</w:t>
      </w:r>
    </w:p>
    <w:p w14:paraId="76331CE8">
      <w:pPr>
        <w:ind w:firstLine="588" w:firstLineChars="245"/>
        <w:rPr>
          <w:color w:val="auto"/>
          <w:sz w:val="24"/>
          <w:highlight w:val="none"/>
          <w:u w:val="single"/>
        </w:rPr>
      </w:pPr>
      <w:r>
        <w:rPr>
          <w:rFonts w:hint="eastAsia"/>
          <w:color w:val="auto"/>
          <w:sz w:val="24"/>
          <w:highlight w:val="none"/>
        </w:rPr>
        <w:t>售价（元）：0元</w:t>
      </w:r>
    </w:p>
    <w:p w14:paraId="2E2A3642">
      <w:pPr>
        <w:ind w:firstLine="588" w:firstLineChars="245"/>
        <w:rPr>
          <w:bCs/>
          <w:color w:val="auto"/>
          <w:sz w:val="24"/>
          <w:highlight w:val="none"/>
        </w:rPr>
      </w:pPr>
      <w:bookmarkStart w:id="18" w:name="_Toc28359015"/>
      <w:bookmarkStart w:id="19" w:name="_Toc28359092"/>
      <w:bookmarkStart w:id="20" w:name="_Toc35393632"/>
      <w:bookmarkStart w:id="21" w:name="_Toc35393801"/>
      <w:r>
        <w:rPr>
          <w:rFonts w:hint="eastAsia"/>
          <w:bCs/>
          <w:color w:val="auto"/>
          <w:sz w:val="24"/>
          <w:highlight w:val="none"/>
        </w:rPr>
        <w:t>四、响应文件提交</w:t>
      </w:r>
      <w:bookmarkEnd w:id="18"/>
      <w:bookmarkEnd w:id="19"/>
      <w:bookmarkEnd w:id="20"/>
      <w:bookmarkEnd w:id="21"/>
    </w:p>
    <w:p w14:paraId="6CCFEFC2">
      <w:pPr>
        <w:ind w:firstLine="588" w:firstLineChars="245"/>
        <w:rPr>
          <w:bCs/>
          <w:color w:val="auto"/>
          <w:sz w:val="24"/>
          <w:highlight w:val="none"/>
          <w:u w:val="single"/>
        </w:rPr>
      </w:pPr>
      <w:r>
        <w:rPr>
          <w:rFonts w:hint="eastAsia"/>
          <w:color w:val="auto"/>
          <w:sz w:val="24"/>
          <w:highlight w:val="none"/>
        </w:rPr>
        <w:t>截止时间：</w:t>
      </w:r>
      <w:r>
        <w:rPr>
          <w:rFonts w:hint="eastAsia"/>
          <w:color w:val="auto"/>
          <w:sz w:val="24"/>
          <w:highlight w:val="none"/>
          <w:u w:val="single"/>
        </w:rPr>
        <w:t>2024年</w:t>
      </w:r>
      <w:r>
        <w:rPr>
          <w:rFonts w:hint="eastAsia"/>
          <w:color w:val="auto"/>
          <w:sz w:val="24"/>
          <w:highlight w:val="none"/>
          <w:u w:val="single"/>
          <w:lang w:val="en-US" w:eastAsia="zh-CN"/>
        </w:rPr>
        <w:t>12</w:t>
      </w:r>
      <w:r>
        <w:rPr>
          <w:rFonts w:hint="eastAsia"/>
          <w:color w:val="auto"/>
          <w:sz w:val="24"/>
          <w:highlight w:val="none"/>
          <w:u w:val="single"/>
        </w:rPr>
        <w:t>月</w:t>
      </w:r>
      <w:r>
        <w:rPr>
          <w:rFonts w:hint="eastAsia"/>
          <w:color w:val="auto"/>
          <w:sz w:val="24"/>
          <w:highlight w:val="none"/>
          <w:u w:val="single"/>
          <w:lang w:val="en-US" w:eastAsia="zh-CN"/>
        </w:rPr>
        <w:t>10</w:t>
      </w:r>
      <w:r>
        <w:rPr>
          <w:rFonts w:hint="eastAsia"/>
          <w:color w:val="auto"/>
          <w:sz w:val="24"/>
          <w:highlight w:val="none"/>
          <w:u w:val="single"/>
        </w:rPr>
        <w:t>日</w:t>
      </w:r>
      <w:r>
        <w:rPr>
          <w:rFonts w:hint="eastAsia"/>
          <w:color w:val="auto"/>
          <w:sz w:val="24"/>
          <w:highlight w:val="none"/>
          <w:u w:val="single"/>
          <w:lang w:val="en-US" w:eastAsia="zh-CN"/>
        </w:rPr>
        <w:t>15</w:t>
      </w:r>
      <w:r>
        <w:rPr>
          <w:rFonts w:hint="eastAsia"/>
          <w:color w:val="auto"/>
          <w:sz w:val="24"/>
          <w:highlight w:val="none"/>
          <w:u w:val="single"/>
        </w:rPr>
        <w:t>时</w:t>
      </w:r>
      <w:r>
        <w:rPr>
          <w:rFonts w:hint="eastAsia"/>
          <w:color w:val="auto"/>
          <w:sz w:val="24"/>
          <w:highlight w:val="none"/>
          <w:u w:val="single"/>
          <w:lang w:val="en-US" w:eastAsia="zh-CN"/>
        </w:rPr>
        <w:t>00</w:t>
      </w:r>
      <w:r>
        <w:rPr>
          <w:rFonts w:hint="eastAsia"/>
          <w:color w:val="auto"/>
          <w:sz w:val="24"/>
          <w:highlight w:val="none"/>
          <w:u w:val="single"/>
        </w:rPr>
        <w:t>分</w:t>
      </w:r>
      <w:r>
        <w:rPr>
          <w:rFonts w:hint="eastAsia"/>
          <w:bCs/>
          <w:color w:val="auto"/>
          <w:sz w:val="24"/>
          <w:highlight w:val="none"/>
        </w:rPr>
        <w:t>（北京时间）</w:t>
      </w:r>
      <w:r>
        <w:rPr>
          <w:rFonts w:hint="eastAsia"/>
          <w:iCs/>
          <w:color w:val="auto"/>
          <w:sz w:val="24"/>
          <w:highlight w:val="none"/>
          <w:u w:val="single"/>
        </w:rPr>
        <w:t>（</w:t>
      </w:r>
      <w:r>
        <w:rPr>
          <w:rFonts w:hint="eastAsia"/>
          <w:color w:val="auto"/>
          <w:sz w:val="24"/>
          <w:highlight w:val="none"/>
          <w:u w:val="single"/>
        </w:rPr>
        <w:t>从磋商文件开始发出之日起至供应商提交首次响应文件截止之日止不得少于10日</w:t>
      </w:r>
      <w:r>
        <w:rPr>
          <w:rFonts w:hint="eastAsia"/>
          <w:iCs/>
          <w:color w:val="auto"/>
          <w:sz w:val="24"/>
          <w:highlight w:val="none"/>
          <w:u w:val="single"/>
        </w:rPr>
        <w:t>）</w:t>
      </w:r>
    </w:p>
    <w:p w14:paraId="308827C1">
      <w:pPr>
        <w:ind w:firstLine="588" w:firstLineChars="245"/>
        <w:rPr>
          <w:bCs/>
          <w:color w:val="auto"/>
          <w:sz w:val="24"/>
          <w:highlight w:val="none"/>
          <w:u w:val="single"/>
        </w:rPr>
      </w:pPr>
      <w:r>
        <w:rPr>
          <w:rFonts w:hint="eastAsia"/>
          <w:color w:val="auto"/>
          <w:sz w:val="24"/>
          <w:highlight w:val="none"/>
        </w:rPr>
        <w:t>地点：请登录广西政府采购云平台投标客户端投标。（本项目不要求投标供应商到达开标现场，但供应商应派法定代表人或委托代理人准时在线出席电子开评标会议，随时关注开评标进度，如在开评标过程中有电子询标，应在规定的时间内对电子询标函进行澄清回复）。</w:t>
      </w:r>
    </w:p>
    <w:p w14:paraId="146973EE">
      <w:pPr>
        <w:ind w:firstLine="588" w:firstLineChars="245"/>
        <w:rPr>
          <w:bCs/>
          <w:color w:val="auto"/>
          <w:sz w:val="24"/>
          <w:highlight w:val="none"/>
        </w:rPr>
      </w:pPr>
      <w:bookmarkStart w:id="22" w:name="_Toc35393633"/>
      <w:bookmarkStart w:id="23" w:name="_Toc35393802"/>
      <w:bookmarkStart w:id="24" w:name="_Toc28359016"/>
      <w:bookmarkStart w:id="25" w:name="_Toc28359093"/>
      <w:r>
        <w:rPr>
          <w:rFonts w:hint="eastAsia"/>
          <w:bCs/>
          <w:color w:val="auto"/>
          <w:sz w:val="24"/>
          <w:highlight w:val="none"/>
        </w:rPr>
        <w:t>五、响应文件开启</w:t>
      </w:r>
      <w:bookmarkEnd w:id="22"/>
      <w:bookmarkEnd w:id="23"/>
      <w:bookmarkEnd w:id="24"/>
      <w:bookmarkEnd w:id="25"/>
    </w:p>
    <w:p w14:paraId="625B0FE1">
      <w:pPr>
        <w:ind w:firstLine="588" w:firstLineChars="245"/>
        <w:rPr>
          <w:bCs/>
          <w:color w:val="auto"/>
          <w:sz w:val="24"/>
          <w:highlight w:val="none"/>
          <w:u w:val="single"/>
        </w:rPr>
      </w:pPr>
      <w:r>
        <w:rPr>
          <w:rFonts w:hint="eastAsia"/>
          <w:color w:val="auto"/>
          <w:sz w:val="24"/>
          <w:highlight w:val="none"/>
        </w:rPr>
        <w:t>时间：</w:t>
      </w:r>
      <w:r>
        <w:rPr>
          <w:rFonts w:hint="eastAsia"/>
          <w:color w:val="auto"/>
          <w:sz w:val="24"/>
          <w:highlight w:val="none"/>
          <w:u w:val="single"/>
        </w:rPr>
        <w:t>2024年</w:t>
      </w:r>
      <w:r>
        <w:rPr>
          <w:rFonts w:hint="eastAsia"/>
          <w:color w:val="auto"/>
          <w:sz w:val="24"/>
          <w:highlight w:val="none"/>
          <w:u w:val="single"/>
          <w:lang w:val="en-US" w:eastAsia="zh-CN"/>
        </w:rPr>
        <w:t>12</w:t>
      </w:r>
      <w:r>
        <w:rPr>
          <w:rFonts w:hint="eastAsia"/>
          <w:color w:val="auto"/>
          <w:sz w:val="24"/>
          <w:highlight w:val="none"/>
          <w:u w:val="single"/>
        </w:rPr>
        <w:t>月</w:t>
      </w:r>
      <w:r>
        <w:rPr>
          <w:rFonts w:hint="eastAsia"/>
          <w:color w:val="auto"/>
          <w:sz w:val="24"/>
          <w:highlight w:val="none"/>
          <w:u w:val="single"/>
          <w:lang w:val="en-US" w:eastAsia="zh-CN"/>
        </w:rPr>
        <w:t>10</w:t>
      </w:r>
      <w:r>
        <w:rPr>
          <w:rFonts w:hint="eastAsia"/>
          <w:color w:val="auto"/>
          <w:sz w:val="24"/>
          <w:highlight w:val="none"/>
          <w:u w:val="single"/>
        </w:rPr>
        <w:t>日</w:t>
      </w:r>
      <w:r>
        <w:rPr>
          <w:rFonts w:hint="eastAsia"/>
          <w:color w:val="auto"/>
          <w:sz w:val="24"/>
          <w:highlight w:val="none"/>
          <w:u w:val="single"/>
          <w:lang w:val="en-US" w:eastAsia="zh-CN"/>
        </w:rPr>
        <w:t>15</w:t>
      </w:r>
      <w:r>
        <w:rPr>
          <w:rFonts w:hint="eastAsia"/>
          <w:color w:val="auto"/>
          <w:sz w:val="24"/>
          <w:highlight w:val="none"/>
          <w:u w:val="single"/>
        </w:rPr>
        <w:t>时</w:t>
      </w:r>
      <w:r>
        <w:rPr>
          <w:rFonts w:hint="eastAsia"/>
          <w:color w:val="auto"/>
          <w:sz w:val="24"/>
          <w:highlight w:val="none"/>
          <w:u w:val="single"/>
          <w:lang w:val="en-US" w:eastAsia="zh-CN"/>
        </w:rPr>
        <w:t>00</w:t>
      </w:r>
      <w:r>
        <w:rPr>
          <w:rFonts w:hint="eastAsia"/>
          <w:color w:val="auto"/>
          <w:sz w:val="24"/>
          <w:highlight w:val="none"/>
          <w:u w:val="single"/>
        </w:rPr>
        <w:t>分</w:t>
      </w:r>
      <w:r>
        <w:rPr>
          <w:rFonts w:hint="eastAsia"/>
          <w:bCs/>
          <w:color w:val="auto"/>
          <w:sz w:val="24"/>
          <w:highlight w:val="none"/>
        </w:rPr>
        <w:t>（北京时间）</w:t>
      </w:r>
    </w:p>
    <w:p w14:paraId="3EB4BEBC">
      <w:pPr>
        <w:ind w:firstLine="588" w:firstLineChars="245"/>
        <w:rPr>
          <w:bCs/>
          <w:color w:val="auto"/>
          <w:sz w:val="24"/>
          <w:highlight w:val="none"/>
          <w:u w:val="single"/>
        </w:rPr>
      </w:pPr>
      <w:r>
        <w:rPr>
          <w:rFonts w:hint="eastAsia"/>
          <w:color w:val="auto"/>
          <w:sz w:val="24"/>
          <w:highlight w:val="none"/>
        </w:rPr>
        <w:t>地点：通过广西政府采购云平台实行在线解密开启。</w:t>
      </w:r>
    </w:p>
    <w:p w14:paraId="1F97AFEC">
      <w:pPr>
        <w:ind w:firstLine="588" w:firstLineChars="245"/>
        <w:rPr>
          <w:bCs/>
          <w:color w:val="auto"/>
          <w:sz w:val="24"/>
          <w:highlight w:val="none"/>
        </w:rPr>
      </w:pPr>
      <w:bookmarkStart w:id="26" w:name="_Toc28359094"/>
      <w:bookmarkStart w:id="27" w:name="_Toc35393634"/>
      <w:bookmarkStart w:id="28" w:name="_Toc28359017"/>
      <w:bookmarkStart w:id="29" w:name="_Toc35393803"/>
      <w:r>
        <w:rPr>
          <w:rFonts w:hint="eastAsia"/>
          <w:bCs/>
          <w:color w:val="auto"/>
          <w:sz w:val="24"/>
          <w:highlight w:val="none"/>
        </w:rPr>
        <w:t>六、公告期限</w:t>
      </w:r>
      <w:bookmarkEnd w:id="26"/>
      <w:bookmarkEnd w:id="27"/>
      <w:bookmarkEnd w:id="28"/>
      <w:bookmarkEnd w:id="29"/>
    </w:p>
    <w:p w14:paraId="05885EEC">
      <w:pPr>
        <w:ind w:firstLine="588" w:firstLineChars="245"/>
        <w:rPr>
          <w:color w:val="auto"/>
          <w:sz w:val="24"/>
          <w:highlight w:val="none"/>
        </w:rPr>
      </w:pPr>
      <w:r>
        <w:rPr>
          <w:rFonts w:hint="eastAsia"/>
          <w:color w:val="auto"/>
          <w:sz w:val="24"/>
          <w:highlight w:val="none"/>
        </w:rPr>
        <w:t>自本公告发布之日起5个工作日。</w:t>
      </w:r>
    </w:p>
    <w:p w14:paraId="05B5920F">
      <w:pPr>
        <w:ind w:firstLine="588" w:firstLineChars="245"/>
        <w:rPr>
          <w:bCs/>
          <w:color w:val="auto"/>
          <w:sz w:val="24"/>
          <w:highlight w:val="none"/>
        </w:rPr>
      </w:pPr>
      <w:bookmarkStart w:id="30" w:name="_Toc35393635"/>
      <w:bookmarkStart w:id="31" w:name="_Toc35393804"/>
      <w:r>
        <w:rPr>
          <w:rFonts w:hint="eastAsia"/>
          <w:bCs/>
          <w:color w:val="auto"/>
          <w:sz w:val="24"/>
          <w:highlight w:val="none"/>
        </w:rPr>
        <w:t>七、其他补充事宜</w:t>
      </w:r>
      <w:bookmarkEnd w:id="30"/>
      <w:bookmarkEnd w:id="31"/>
    </w:p>
    <w:p w14:paraId="2B78CB79">
      <w:pPr>
        <w:ind w:firstLine="588" w:firstLineChars="245"/>
        <w:rPr>
          <w:color w:val="auto"/>
          <w:sz w:val="24"/>
          <w:highlight w:val="none"/>
        </w:rPr>
      </w:pPr>
      <w:r>
        <w:rPr>
          <w:rFonts w:hint="eastAsia"/>
          <w:color w:val="auto"/>
          <w:sz w:val="24"/>
          <w:highlight w:val="none"/>
        </w:rPr>
        <w:t>1、发布公告的媒介：中国政府采购网（http://www.ccgp.gov.cn）、广西壮族自治区政府采购网（</w:t>
      </w:r>
      <w:r>
        <w:rPr>
          <w:color w:val="auto"/>
          <w:sz w:val="24"/>
          <w:highlight w:val="none"/>
        </w:rPr>
        <w:t>http://zfcg.gxzf.gov.cn</w:t>
      </w:r>
      <w:r>
        <w:rPr>
          <w:rFonts w:hint="eastAsia"/>
          <w:color w:val="auto"/>
          <w:sz w:val="24"/>
          <w:highlight w:val="none"/>
        </w:rPr>
        <w:t>）。</w:t>
      </w:r>
    </w:p>
    <w:p w14:paraId="4411ED9D">
      <w:pPr>
        <w:spacing w:after="120"/>
        <w:ind w:firstLine="480" w:firstLineChars="200"/>
        <w:rPr>
          <w:rFonts w:ascii="Tahoma" w:hAnsi="Tahoma"/>
          <w:color w:val="auto"/>
          <w:sz w:val="24"/>
          <w:szCs w:val="20"/>
          <w:highlight w:val="none"/>
        </w:rPr>
      </w:pPr>
      <w:r>
        <w:rPr>
          <w:rFonts w:hint="eastAsia" w:ascii="Tahoma" w:hAnsi="Tahoma"/>
          <w:color w:val="auto"/>
          <w:sz w:val="24"/>
          <w:szCs w:val="20"/>
          <w:highlight w:val="none"/>
        </w:rPr>
        <w:t>2、供应商竞标注意事项</w:t>
      </w:r>
    </w:p>
    <w:p w14:paraId="31E77E1B">
      <w:pPr>
        <w:spacing w:after="120"/>
        <w:ind w:firstLine="480" w:firstLineChars="200"/>
        <w:rPr>
          <w:rFonts w:ascii="Tahoma" w:hAnsi="Tahoma"/>
          <w:color w:val="auto"/>
          <w:sz w:val="24"/>
          <w:szCs w:val="20"/>
          <w:highlight w:val="none"/>
        </w:rPr>
      </w:pPr>
      <w:r>
        <w:rPr>
          <w:rFonts w:hint="eastAsia" w:ascii="Tahoma" w:hAnsi="Tahoma"/>
          <w:color w:val="auto"/>
          <w:sz w:val="24"/>
          <w:szCs w:val="20"/>
          <w:highlight w:val="none"/>
        </w:rPr>
        <w:t>（1）本项目为全流程电子化采购项目，通过广西政府采购云平台实行在线电子竞标，供应商应先安装“广西政府采购云平台客户端”（新版客户端下载路径：广西政府采购网（访问地址http://zfcg.gxzf.gov.cn/）—办事服务—下载专区），并按照本项目竞争性磋商文件和广西政府采购云平台的要求编制、加密后在提交响应文件截止时间前通过网络上传至广西政府采购云平台（加密的电子响应文件是指后缀名为“jmbs”的文件），供应商在广西政府采购云平台提交电子响应文件时，请填写参加远程采购活动经办人联系方式。供应商登录广西政府采购云平台，依次进入“服务中心-项目采购-操作流程-电子招投标-政府采购项目电子交易管理操作指南-供应商”查看电子竞标具体操作流程。</w:t>
      </w:r>
    </w:p>
    <w:p w14:paraId="78A702DD">
      <w:pPr>
        <w:spacing w:after="120"/>
        <w:ind w:firstLine="480" w:firstLineChars="200"/>
        <w:rPr>
          <w:rFonts w:ascii="Tahoma" w:hAnsi="Tahoma"/>
          <w:color w:val="auto"/>
          <w:sz w:val="24"/>
          <w:szCs w:val="20"/>
          <w:highlight w:val="none"/>
        </w:rPr>
      </w:pPr>
      <w:r>
        <w:rPr>
          <w:rFonts w:hint="eastAsia" w:ascii="Tahoma" w:hAnsi="Tahoma"/>
          <w:color w:val="auto"/>
          <w:sz w:val="24"/>
          <w:szCs w:val="20"/>
          <w:highlight w:val="none"/>
        </w:rPr>
        <w:t>（2）未进行网上注册并办理数字证书（CA认证）的供应商将无法参与本项目政府采购活动，供应商应当在提交响应文件截止时间前，完成电子交易平台上的CA数字证书办理及响应文件的提交（供应商可登录“广西政府采购网”，依次进入“办事服务-下载专区”或者登陆广西政府采购云平台，依次进入“服务中心-入驻与配置”中查看CA数字证书办理操作流程）。</w:t>
      </w:r>
    </w:p>
    <w:p w14:paraId="1D1B2D2A">
      <w:pPr>
        <w:spacing w:after="120"/>
        <w:ind w:firstLine="480" w:firstLineChars="200"/>
        <w:rPr>
          <w:rFonts w:ascii="Tahoma" w:hAnsi="Tahoma"/>
          <w:color w:val="auto"/>
          <w:sz w:val="24"/>
          <w:szCs w:val="20"/>
          <w:highlight w:val="none"/>
        </w:rPr>
      </w:pPr>
      <w:r>
        <w:rPr>
          <w:rFonts w:hint="eastAsia" w:ascii="Tahoma" w:hAnsi="Tahoma"/>
          <w:color w:val="auto"/>
          <w:sz w:val="24"/>
          <w:szCs w:val="20"/>
          <w:highlight w:val="none"/>
        </w:rPr>
        <w:t>（3）CA证书在线解密：首次响应文件开启时，需携带制作响应文件时用来加密的有效数字证书（CA认证）登录广西政府采购云平台电子开标大厅现场按规定时间对加密的响应文件进行解密，否则后果自负。响应文件网上递交截止后，广西政府</w:t>
      </w:r>
      <w:bookmarkStart w:id="182" w:name="_GoBack"/>
      <w:bookmarkEnd w:id="182"/>
      <w:r>
        <w:rPr>
          <w:rFonts w:hint="eastAsia" w:ascii="Tahoma" w:hAnsi="Tahoma"/>
          <w:color w:val="auto"/>
          <w:sz w:val="24"/>
          <w:szCs w:val="20"/>
          <w:highlight w:val="none"/>
        </w:rPr>
        <w:t>采购云（电子标系统）自动提取所有响应文件，各供应商须在开启程序开始后30分钟内对上传广西政府采购云的响应文件进行解密，所有供应商在规定的解密时限内解密完成或解密时限结束后，我公司开启响应文件；供应商超过解密时限的，系统默认自动放弃。</w:t>
      </w:r>
    </w:p>
    <w:p w14:paraId="13B56C35">
      <w:pPr>
        <w:spacing w:after="120"/>
        <w:ind w:firstLine="480" w:firstLineChars="200"/>
        <w:rPr>
          <w:rFonts w:ascii="Tahoma" w:hAnsi="Tahoma"/>
          <w:color w:val="auto"/>
          <w:sz w:val="24"/>
          <w:szCs w:val="20"/>
          <w:highlight w:val="none"/>
        </w:rPr>
      </w:pPr>
      <w:r>
        <w:rPr>
          <w:rFonts w:hint="eastAsia" w:ascii="Tahoma" w:hAnsi="Tahoma"/>
          <w:color w:val="auto"/>
          <w:sz w:val="24"/>
          <w:szCs w:val="20"/>
          <w:highlight w:val="none"/>
        </w:rPr>
        <w:t>注：1）为确保网上操作合法、有效和安全，请供应商确保在电子竞标过程中能够对相关数据电文进行加密和使用电子签章，妥善保管CA数字证书并使用有效的CA数字证书参与整个采购活动。2）供应商应当在提交响应文件截止时间前完成电子响应文件的提交（上传），提交响应文件截止时间前可以补充、修改或者撤回响应文件。补充或者修改响应文件的，应当先行撤回原响应文件，补充、修改后重新提交（上传），提交响应文件截止时间前未完成提交（上传）的，视为撤回响应文件。提交响应文件截止时间以后提交（上传）的响应文件，广西政府采购云平台将予以拒收。</w:t>
      </w:r>
    </w:p>
    <w:p w14:paraId="6834FBD7">
      <w:pPr>
        <w:spacing w:after="120"/>
        <w:ind w:firstLine="480" w:firstLineChars="200"/>
        <w:rPr>
          <w:rFonts w:ascii="Tahoma" w:hAnsi="Tahoma"/>
          <w:color w:val="auto"/>
          <w:sz w:val="24"/>
          <w:szCs w:val="20"/>
          <w:highlight w:val="none"/>
        </w:rPr>
      </w:pPr>
      <w:r>
        <w:rPr>
          <w:rFonts w:hint="eastAsia" w:ascii="Tahoma" w:hAnsi="Tahoma"/>
          <w:color w:val="auto"/>
          <w:sz w:val="24"/>
          <w:szCs w:val="20"/>
          <w:highlight w:val="none"/>
        </w:rPr>
        <w:t>（4）通过“广西政府采购云”平台上传递交的“电子加密响应文件”无法按时解密的，代理机构向采购监督部门备案后，竞标人可以在接到通知后30分钟内以电子邮件或者其他方式提交电子备份响应文件。竞标人按时递交了电子备份响应文件的，以电子备份响应文件为依据，否则视为撤回响应文件。（注：能够处理异常解密、递交电子备份文件的前提，是竞标人已上传了响应文件且未能按时正常解密响应文件；系统生成响应文件时，生成两份，一份是投标用的响应文件，一份是备份响应文件；提供的备份响应文件要跟上传的电子响应文件是同一份，否则系统不支持其进行异常解密。）</w:t>
      </w:r>
    </w:p>
    <w:p w14:paraId="37668154">
      <w:pPr>
        <w:spacing w:after="120"/>
        <w:rPr>
          <w:rFonts w:ascii="Tahoma" w:hAnsi="Tahoma"/>
          <w:color w:val="auto"/>
          <w:sz w:val="24"/>
          <w:szCs w:val="20"/>
          <w:highlight w:val="none"/>
        </w:rPr>
      </w:pPr>
      <w:r>
        <w:rPr>
          <w:rFonts w:hint="eastAsia" w:ascii="Tahoma" w:hAnsi="Tahoma"/>
          <w:color w:val="auto"/>
          <w:sz w:val="24"/>
          <w:szCs w:val="20"/>
          <w:highlight w:val="none"/>
        </w:rPr>
        <w:t xml:space="preserve">     3.本项目需要落实的政府采购政策：</w:t>
      </w:r>
    </w:p>
    <w:p w14:paraId="7AA7308C">
      <w:pPr>
        <w:spacing w:after="120"/>
        <w:rPr>
          <w:rFonts w:ascii="Tahoma" w:hAnsi="Tahoma"/>
          <w:color w:val="auto"/>
          <w:sz w:val="24"/>
          <w:szCs w:val="20"/>
          <w:highlight w:val="none"/>
        </w:rPr>
      </w:pPr>
      <w:r>
        <w:rPr>
          <w:rFonts w:hint="eastAsia" w:ascii="Tahoma" w:hAnsi="Tahoma"/>
          <w:color w:val="auto"/>
          <w:sz w:val="24"/>
          <w:szCs w:val="20"/>
          <w:highlight w:val="none"/>
        </w:rPr>
        <w:t xml:space="preserve">    （1）政府采购促进中小企业发展。</w:t>
      </w:r>
    </w:p>
    <w:p w14:paraId="5A21A859">
      <w:pPr>
        <w:spacing w:after="120"/>
        <w:rPr>
          <w:rFonts w:ascii="Tahoma" w:hAnsi="Tahoma"/>
          <w:color w:val="auto"/>
          <w:sz w:val="24"/>
          <w:szCs w:val="20"/>
          <w:highlight w:val="none"/>
        </w:rPr>
      </w:pPr>
      <w:r>
        <w:rPr>
          <w:rFonts w:hint="eastAsia" w:ascii="Tahoma" w:hAnsi="Tahoma"/>
          <w:color w:val="auto"/>
          <w:sz w:val="24"/>
          <w:szCs w:val="20"/>
          <w:highlight w:val="none"/>
        </w:rPr>
        <w:t xml:space="preserve">    （2）政府采购支持采用本国产品的政策。</w:t>
      </w:r>
    </w:p>
    <w:p w14:paraId="2CC805A7">
      <w:pPr>
        <w:spacing w:after="120"/>
        <w:rPr>
          <w:rFonts w:ascii="Tahoma" w:hAnsi="Tahoma"/>
          <w:color w:val="auto"/>
          <w:sz w:val="24"/>
          <w:szCs w:val="20"/>
          <w:highlight w:val="none"/>
        </w:rPr>
      </w:pPr>
      <w:r>
        <w:rPr>
          <w:rFonts w:hint="eastAsia" w:ascii="Tahoma" w:hAnsi="Tahoma"/>
          <w:color w:val="auto"/>
          <w:sz w:val="24"/>
          <w:szCs w:val="20"/>
          <w:highlight w:val="none"/>
        </w:rPr>
        <w:t xml:space="preserve">    （3）强制采购节能产品；优先采购节能产品、环境标志产品。</w:t>
      </w:r>
    </w:p>
    <w:p w14:paraId="757B7CC4">
      <w:pPr>
        <w:spacing w:after="120"/>
        <w:rPr>
          <w:rFonts w:ascii="Tahoma" w:hAnsi="Tahoma"/>
          <w:color w:val="auto"/>
          <w:sz w:val="24"/>
          <w:szCs w:val="20"/>
          <w:highlight w:val="none"/>
        </w:rPr>
      </w:pPr>
      <w:r>
        <w:rPr>
          <w:rFonts w:hint="eastAsia" w:ascii="Tahoma" w:hAnsi="Tahoma"/>
          <w:color w:val="auto"/>
          <w:sz w:val="24"/>
          <w:szCs w:val="20"/>
          <w:highlight w:val="none"/>
        </w:rPr>
        <w:t xml:space="preserve">    （4）政府采购促进残疾人就业政策。</w:t>
      </w:r>
    </w:p>
    <w:p w14:paraId="2CEC7BE2">
      <w:pPr>
        <w:spacing w:after="120"/>
        <w:rPr>
          <w:rFonts w:ascii="Tahoma" w:hAnsi="Tahoma"/>
          <w:color w:val="auto"/>
          <w:sz w:val="24"/>
          <w:szCs w:val="20"/>
          <w:highlight w:val="none"/>
        </w:rPr>
      </w:pPr>
      <w:r>
        <w:rPr>
          <w:rFonts w:hint="eastAsia" w:ascii="Tahoma" w:hAnsi="Tahoma"/>
          <w:color w:val="auto"/>
          <w:sz w:val="24"/>
          <w:szCs w:val="20"/>
          <w:highlight w:val="none"/>
        </w:rPr>
        <w:t xml:space="preserve">    （5）政府采购支持监狱企业发展。</w:t>
      </w:r>
    </w:p>
    <w:p w14:paraId="41EDD817">
      <w:pPr>
        <w:spacing w:after="120"/>
        <w:rPr>
          <w:rFonts w:ascii="宋体" w:hAnsi="宋体"/>
          <w:color w:val="auto"/>
          <w:sz w:val="24"/>
          <w:szCs w:val="20"/>
          <w:highlight w:val="none"/>
        </w:rPr>
      </w:pPr>
      <w:r>
        <w:rPr>
          <w:rFonts w:hint="eastAsia" w:ascii="Tahoma" w:hAnsi="Tahoma"/>
          <w:color w:val="auto"/>
          <w:sz w:val="24"/>
          <w:szCs w:val="20"/>
          <w:highlight w:val="none"/>
        </w:rPr>
        <w:t xml:space="preserve">     4.若对项目采购电子交易系统操作有疑问，可登录广西政府采购云平台（https:// www.gcy.zfcg.gxzf.gov.cn），点击右侧咨询小采，获取采小蜜智能服务管家帮助，或拨打广西政府采购云服务热线95763获取热线服务帮助。</w:t>
      </w:r>
    </w:p>
    <w:p w14:paraId="42F9C9E3">
      <w:pPr>
        <w:ind w:firstLine="588" w:firstLineChars="245"/>
        <w:rPr>
          <w:bCs/>
          <w:color w:val="auto"/>
          <w:sz w:val="24"/>
          <w:highlight w:val="none"/>
        </w:rPr>
      </w:pPr>
      <w:bookmarkStart w:id="32" w:name="_Toc35393805"/>
      <w:bookmarkStart w:id="33" w:name="_Toc35393636"/>
      <w:bookmarkStart w:id="34" w:name="_Toc28359095"/>
      <w:bookmarkStart w:id="35" w:name="_Toc28359018"/>
      <w:r>
        <w:rPr>
          <w:rFonts w:hint="eastAsia"/>
          <w:bCs/>
          <w:color w:val="auto"/>
          <w:sz w:val="24"/>
          <w:highlight w:val="none"/>
        </w:rPr>
        <w:t>八、凡对本次采购提出询问，请按</w:t>
      </w:r>
      <w:r>
        <w:rPr>
          <w:bCs/>
          <w:color w:val="auto"/>
          <w:sz w:val="24"/>
          <w:highlight w:val="none"/>
        </w:rPr>
        <w:t>以下方式</w:t>
      </w:r>
      <w:r>
        <w:rPr>
          <w:rFonts w:hint="eastAsia"/>
          <w:bCs/>
          <w:color w:val="auto"/>
          <w:sz w:val="24"/>
          <w:highlight w:val="none"/>
        </w:rPr>
        <w:t>联系。</w:t>
      </w:r>
      <w:bookmarkEnd w:id="32"/>
      <w:bookmarkEnd w:id="33"/>
      <w:bookmarkEnd w:id="34"/>
      <w:bookmarkEnd w:id="35"/>
    </w:p>
    <w:p w14:paraId="2E8DDE8E">
      <w:pPr>
        <w:ind w:firstLine="588" w:firstLineChars="245"/>
        <w:rPr>
          <w:bCs/>
          <w:color w:val="auto"/>
          <w:sz w:val="24"/>
          <w:highlight w:val="none"/>
        </w:rPr>
      </w:pPr>
      <w:r>
        <w:rPr>
          <w:rFonts w:hint="eastAsia"/>
          <w:bCs/>
          <w:color w:val="auto"/>
          <w:sz w:val="24"/>
          <w:highlight w:val="none"/>
        </w:rPr>
        <w:t xml:space="preserve">    1、采购人：广西壮族自治区人民检察院</w:t>
      </w:r>
    </w:p>
    <w:p w14:paraId="6DD3DF85">
      <w:pPr>
        <w:ind w:firstLine="588" w:firstLineChars="245"/>
        <w:rPr>
          <w:bCs/>
          <w:color w:val="auto"/>
          <w:sz w:val="24"/>
          <w:highlight w:val="none"/>
        </w:rPr>
      </w:pPr>
      <w:r>
        <w:rPr>
          <w:rFonts w:hint="eastAsia"/>
          <w:bCs/>
          <w:color w:val="auto"/>
          <w:sz w:val="24"/>
          <w:highlight w:val="none"/>
        </w:rPr>
        <w:t xml:space="preserve">       地址:广西壮族自治区南宁市青秀区凤翔路3号</w:t>
      </w:r>
    </w:p>
    <w:p w14:paraId="3AAA42A8">
      <w:pPr>
        <w:ind w:firstLine="588" w:firstLineChars="245"/>
        <w:rPr>
          <w:bCs/>
          <w:color w:val="auto"/>
          <w:sz w:val="24"/>
          <w:highlight w:val="none"/>
        </w:rPr>
      </w:pPr>
      <w:r>
        <w:rPr>
          <w:rFonts w:hint="eastAsia"/>
          <w:bCs/>
          <w:color w:val="auto"/>
          <w:sz w:val="24"/>
          <w:highlight w:val="none"/>
        </w:rPr>
        <w:t xml:space="preserve">       联系人及联系方式：许科长；0771-5506183</w:t>
      </w:r>
    </w:p>
    <w:p w14:paraId="2940946D">
      <w:pPr>
        <w:ind w:firstLine="588" w:firstLineChars="245"/>
        <w:rPr>
          <w:bCs/>
          <w:color w:val="auto"/>
          <w:sz w:val="24"/>
          <w:highlight w:val="none"/>
        </w:rPr>
      </w:pPr>
      <w:r>
        <w:rPr>
          <w:rFonts w:hint="eastAsia"/>
          <w:bCs/>
          <w:color w:val="auto"/>
          <w:sz w:val="24"/>
          <w:highlight w:val="none"/>
        </w:rPr>
        <w:t xml:space="preserve">    2、采购代理机构：海之特工程管理有限公司</w:t>
      </w:r>
    </w:p>
    <w:p w14:paraId="7479B041">
      <w:pPr>
        <w:ind w:firstLine="588" w:firstLineChars="245"/>
        <w:rPr>
          <w:bCs/>
          <w:color w:val="auto"/>
          <w:sz w:val="24"/>
          <w:highlight w:val="none"/>
        </w:rPr>
      </w:pPr>
      <w:r>
        <w:rPr>
          <w:rFonts w:hint="eastAsia"/>
          <w:bCs/>
          <w:color w:val="auto"/>
          <w:sz w:val="24"/>
          <w:highlight w:val="none"/>
        </w:rPr>
        <w:t xml:space="preserve">       联系地址：广西南宁市汇春路4号金湖大厦5楼509室</w:t>
      </w:r>
    </w:p>
    <w:p w14:paraId="4104814F">
      <w:pPr>
        <w:ind w:firstLine="588" w:firstLineChars="245"/>
        <w:rPr>
          <w:bCs/>
          <w:color w:val="auto"/>
          <w:sz w:val="24"/>
          <w:highlight w:val="none"/>
        </w:rPr>
      </w:pPr>
      <w:r>
        <w:rPr>
          <w:rFonts w:hint="eastAsia"/>
          <w:bCs/>
          <w:color w:val="auto"/>
          <w:sz w:val="24"/>
          <w:highlight w:val="none"/>
        </w:rPr>
        <w:t xml:space="preserve">       联系电话：0771-2264686</w:t>
      </w:r>
    </w:p>
    <w:p w14:paraId="688AA245">
      <w:pPr>
        <w:ind w:firstLine="588" w:firstLineChars="245"/>
        <w:rPr>
          <w:bCs/>
          <w:color w:val="auto"/>
          <w:sz w:val="24"/>
          <w:highlight w:val="none"/>
        </w:rPr>
      </w:pPr>
      <w:r>
        <w:rPr>
          <w:rFonts w:hint="eastAsia"/>
          <w:bCs/>
          <w:color w:val="auto"/>
          <w:sz w:val="24"/>
          <w:highlight w:val="none"/>
        </w:rPr>
        <w:t xml:space="preserve">    3、项目联系方式</w:t>
      </w:r>
    </w:p>
    <w:p w14:paraId="36FEA5E6">
      <w:pPr>
        <w:ind w:firstLine="588" w:firstLineChars="245"/>
        <w:rPr>
          <w:bCs/>
          <w:color w:val="auto"/>
          <w:sz w:val="24"/>
          <w:highlight w:val="none"/>
        </w:rPr>
      </w:pPr>
      <w:r>
        <w:rPr>
          <w:rFonts w:hint="eastAsia"/>
          <w:bCs/>
          <w:color w:val="auto"/>
          <w:sz w:val="24"/>
          <w:highlight w:val="none"/>
        </w:rPr>
        <w:t xml:space="preserve">      项目联系人：梁工     联系电话:0771-2264686</w:t>
      </w:r>
    </w:p>
    <w:p w14:paraId="146A7F7C">
      <w:pPr>
        <w:ind w:firstLine="588" w:firstLineChars="245"/>
        <w:rPr>
          <w:bCs/>
          <w:color w:val="auto"/>
          <w:sz w:val="24"/>
          <w:highlight w:val="none"/>
        </w:rPr>
      </w:pPr>
    </w:p>
    <w:p w14:paraId="598B2F89">
      <w:pPr>
        <w:rPr>
          <w:color w:val="auto"/>
          <w:highlight w:val="none"/>
        </w:rPr>
      </w:pPr>
    </w:p>
    <w:p w14:paraId="7D0A5FCD">
      <w:pPr>
        <w:pStyle w:val="2"/>
        <w:rPr>
          <w:color w:val="auto"/>
          <w:highlight w:val="none"/>
        </w:rPr>
      </w:pPr>
    </w:p>
    <w:p w14:paraId="4C766593">
      <w:pPr>
        <w:rPr>
          <w:rFonts w:ascii="宋体" w:hAnsi="宋体" w:cs="Calibri"/>
          <w:color w:val="auto"/>
          <w:kern w:val="0"/>
          <w:sz w:val="24"/>
          <w:szCs w:val="21"/>
          <w:highlight w:val="none"/>
        </w:rPr>
      </w:pPr>
      <w:r>
        <w:rPr>
          <w:rFonts w:hint="eastAsia" w:ascii="宋体" w:hAnsi="宋体" w:cs="Calibri"/>
          <w:color w:val="auto"/>
          <w:kern w:val="0"/>
          <w:sz w:val="24"/>
          <w:szCs w:val="21"/>
          <w:highlight w:val="none"/>
        </w:rPr>
        <w:t xml:space="preserve">                                      海之特工程管理有限公司</w:t>
      </w:r>
    </w:p>
    <w:p w14:paraId="786C5793">
      <w:pPr>
        <w:rPr>
          <w:rFonts w:ascii="宋体" w:hAnsi="宋体" w:cs="Calibri"/>
          <w:color w:val="auto"/>
          <w:sz w:val="24"/>
          <w:szCs w:val="21"/>
          <w:highlight w:val="none"/>
        </w:rPr>
        <w:sectPr>
          <w:pgSz w:w="11910" w:h="16840"/>
          <w:pgMar w:top="1134" w:right="1134" w:bottom="1134" w:left="1134" w:header="720" w:footer="720" w:gutter="0"/>
          <w:cols w:space="720" w:num="1"/>
        </w:sectPr>
      </w:pPr>
      <w:r>
        <w:rPr>
          <w:rFonts w:hint="eastAsia" w:ascii="宋体" w:hAnsi="宋体" w:cs="Calibri"/>
          <w:color w:val="auto"/>
          <w:sz w:val="24"/>
          <w:szCs w:val="21"/>
          <w:highlight w:val="none"/>
        </w:rPr>
        <w:t xml:space="preserve">                                              2024</w:t>
      </w:r>
      <w:r>
        <w:rPr>
          <w:rFonts w:ascii="宋体" w:hAnsi="宋体" w:cs="Calibri"/>
          <w:color w:val="auto"/>
          <w:sz w:val="24"/>
          <w:szCs w:val="21"/>
          <w:highlight w:val="none"/>
        </w:rPr>
        <w:t>年</w:t>
      </w:r>
      <w:r>
        <w:rPr>
          <w:rFonts w:hint="eastAsia" w:ascii="宋体" w:hAnsi="宋体" w:cs="Calibri"/>
          <w:color w:val="auto"/>
          <w:sz w:val="24"/>
          <w:szCs w:val="21"/>
          <w:highlight w:val="none"/>
          <w:lang w:val="en-US" w:eastAsia="zh-CN"/>
        </w:rPr>
        <w:t>11</w:t>
      </w:r>
      <w:r>
        <w:rPr>
          <w:rFonts w:ascii="宋体" w:hAnsi="宋体" w:cs="Calibri"/>
          <w:color w:val="auto"/>
          <w:sz w:val="24"/>
          <w:szCs w:val="21"/>
          <w:highlight w:val="none"/>
        </w:rPr>
        <w:t>月</w:t>
      </w:r>
      <w:r>
        <w:rPr>
          <w:rFonts w:hint="eastAsia" w:ascii="宋体" w:hAnsi="宋体" w:cs="Calibri"/>
          <w:color w:val="auto"/>
          <w:sz w:val="24"/>
          <w:szCs w:val="21"/>
          <w:highlight w:val="none"/>
          <w:lang w:val="en-US" w:eastAsia="zh-CN"/>
        </w:rPr>
        <w:t>28</w:t>
      </w:r>
      <w:r>
        <w:rPr>
          <w:rFonts w:ascii="宋体" w:hAnsi="宋体" w:cs="Calibri"/>
          <w:color w:val="auto"/>
          <w:sz w:val="24"/>
          <w:szCs w:val="21"/>
          <w:highlight w:val="none"/>
        </w:rPr>
        <w:t>日</w:t>
      </w:r>
    </w:p>
    <w:p w14:paraId="144696F6">
      <w:pPr>
        <w:pStyle w:val="3"/>
        <w:spacing w:line="240" w:lineRule="auto"/>
        <w:jc w:val="center"/>
        <w:rPr>
          <w:rFonts w:ascii="宋体" w:hAnsi="宋体" w:cs="宋体"/>
          <w:color w:val="auto"/>
          <w:highlight w:val="none"/>
        </w:rPr>
      </w:pPr>
      <w:bookmarkStart w:id="36" w:name="_Toc25451"/>
      <w:r>
        <w:rPr>
          <w:rFonts w:hint="eastAsia" w:ascii="宋体" w:hAnsi="宋体" w:cs="宋体"/>
          <w:bCs w:val="0"/>
          <w:color w:val="auto"/>
          <w:highlight w:val="none"/>
        </w:rPr>
        <w:t>第二章 采购需求</w:t>
      </w:r>
      <w:bookmarkEnd w:id="36"/>
    </w:p>
    <w:p w14:paraId="38C7111F">
      <w:pPr>
        <w:spacing w:line="380" w:lineRule="exact"/>
        <w:jc w:val="left"/>
        <w:rPr>
          <w:rFonts w:ascii="宋体" w:hAnsi="宋体" w:cs="宋体"/>
          <w:color w:val="auto"/>
          <w:szCs w:val="21"/>
          <w:highlight w:val="none"/>
        </w:rPr>
      </w:pPr>
      <w:r>
        <w:rPr>
          <w:rFonts w:hint="eastAsia" w:ascii="宋体" w:hAnsi="宋体" w:cs="宋体"/>
          <w:color w:val="auto"/>
          <w:szCs w:val="21"/>
          <w:highlight w:val="none"/>
        </w:rPr>
        <w:t>说明：</w:t>
      </w:r>
    </w:p>
    <w:p w14:paraId="497DDD8B">
      <w:pPr>
        <w:pStyle w:val="97"/>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1.为落实政府采购政策需满足的要求</w:t>
      </w:r>
    </w:p>
    <w:p w14:paraId="134D3F8C">
      <w:pPr>
        <w:pStyle w:val="97"/>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（1）本竞争性磋商采购文件所称中小企业必须符合《政府采购促进中小企业发展管理办法》（财库〔2020〕46号）的规定。</w:t>
      </w:r>
    </w:p>
    <w:p w14:paraId="4BADC8E5">
      <w:pPr>
        <w:pStyle w:val="97"/>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复印件（加盖供应商公章），否则响应文件作无效处理。如本项目包含的配套货物属于品目清单内非标注“★”的产品时，应优先采购，具体详见“第四章 评审程序和评定成交的标准”。</w:t>
      </w:r>
    </w:p>
    <w:p w14:paraId="36A97CDC">
      <w:pPr>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服务项目中伴随的货物包含列入《网络关键设备和网络安全专用产品目录》的网络安全专用产品，应当按照《信息安全技术网络安全专用产品安全技术要求》等相关国家标准的强制性要求，提供具备资格的机构安全认证合格或者安全检测证明材料(加盖供应商公章)，否则响应文件作无效处理。</w:t>
      </w:r>
    </w:p>
    <w:p w14:paraId="6360024F">
      <w:pPr>
        <w:spacing w:line="3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（4）本项目所属行业为：软件和信息技术服务业</w:t>
      </w:r>
    </w:p>
    <w:p w14:paraId="23F0B8B1">
      <w:pPr>
        <w:spacing w:line="380" w:lineRule="exact"/>
        <w:ind w:firstLine="424" w:firstLineChars="202"/>
        <w:jc w:val="left"/>
        <w:rPr>
          <w:rFonts w:ascii="宋体" w:hAnsi="宋体" w:cs="宋体"/>
          <w:bCs/>
          <w:color w:val="auto"/>
          <w:szCs w:val="21"/>
          <w:highlight w:val="none"/>
        </w:rPr>
      </w:pPr>
      <w:r>
        <w:rPr>
          <w:rFonts w:hint="eastAsia" w:ascii="宋体" w:hAnsi="宋体" w:cs="宋体"/>
          <w:color w:val="auto"/>
          <w:szCs w:val="21"/>
          <w:highlight w:val="none"/>
        </w:rPr>
        <w:t>2.</w:t>
      </w:r>
      <w:r>
        <w:rPr>
          <w:rFonts w:hint="eastAsia" w:ascii="宋体" w:hAnsi="宋体" w:cs="宋体"/>
          <w:bCs/>
          <w:color w:val="auto"/>
          <w:szCs w:val="21"/>
          <w:highlight w:val="none"/>
        </w:rPr>
        <w:t>“实质性要求”是指采购需求中带“▲”的条款或者不能负偏离的条款或者已经指明不满足按响应文件作无效处理的条款。</w:t>
      </w:r>
    </w:p>
    <w:p w14:paraId="5762A22B">
      <w:pPr>
        <w:pStyle w:val="97"/>
        <w:ind w:firstLine="420" w:firstLineChars="200"/>
        <w:rPr>
          <w:color w:val="auto"/>
          <w:highlight w:val="none"/>
        </w:rPr>
      </w:pPr>
      <w:r>
        <w:rPr>
          <w:rFonts w:hint="eastAsia" w:ascii="宋体" w:hAnsi="宋体" w:cs="宋体"/>
          <w:color w:val="auto"/>
          <w:kern w:val="2"/>
          <w:szCs w:val="21"/>
          <w:highlight w:val="none"/>
        </w:rPr>
        <w:t>3.不</w:t>
      </w:r>
      <w:r>
        <w:rPr>
          <w:rFonts w:hint="eastAsia"/>
          <w:color w:val="auto"/>
          <w:highlight w:val="none"/>
        </w:rPr>
        <w:t>需要供应商对采购需求响应为具体数值的，此采购需求的数值后将以◆号标注。</w:t>
      </w:r>
    </w:p>
    <w:p w14:paraId="731C6BEB">
      <w:pPr>
        <w:pStyle w:val="16"/>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4.第四章 评审程序、评审方法和成交标准中相关的现场演示的内容将以■</w:t>
      </w:r>
      <w:r>
        <w:rPr>
          <w:rFonts w:hint="eastAsia"/>
          <w:color w:val="auto"/>
          <w:highlight w:val="none"/>
        </w:rPr>
        <w:t>号标注。</w:t>
      </w:r>
    </w:p>
    <w:p w14:paraId="301BD57E">
      <w:pPr>
        <w:pStyle w:val="16"/>
        <w:spacing w:line="380" w:lineRule="exact"/>
        <w:ind w:firstLine="420" w:firstLineChars="200"/>
        <w:rPr>
          <w:rFonts w:ascii="宋体" w:hAnsi="宋体" w:cs="宋体"/>
          <w:color w:val="auto"/>
          <w:highlight w:val="none"/>
        </w:rPr>
      </w:pPr>
      <w:r>
        <w:rPr>
          <w:rFonts w:hint="eastAsia" w:ascii="宋体" w:hAnsi="宋体" w:cs="宋体"/>
          <w:color w:val="auto"/>
          <w:szCs w:val="21"/>
          <w:highlight w:val="none"/>
        </w:rPr>
        <w:t>5.供应商必须自行为其竞标产品侵犯他人的知识产权或者专利成果的行为承担相应法律责任。</w:t>
      </w:r>
    </w:p>
    <w:tbl>
      <w:tblPr>
        <w:tblStyle w:val="31"/>
        <w:tblW w:w="9514" w:type="dxa"/>
        <w:jc w:val="center"/>
        <w:tblLayout w:type="fixed"/>
        <w:tblCellMar>
          <w:top w:w="0" w:type="dxa"/>
          <w:left w:w="108" w:type="dxa"/>
          <w:bottom w:w="0" w:type="dxa"/>
          <w:right w:w="108" w:type="dxa"/>
        </w:tblCellMar>
      </w:tblPr>
      <w:tblGrid>
        <w:gridCol w:w="505"/>
        <w:gridCol w:w="1119"/>
        <w:gridCol w:w="662"/>
        <w:gridCol w:w="650"/>
        <w:gridCol w:w="6578"/>
      </w:tblGrid>
      <w:tr w14:paraId="560864CB">
        <w:tblPrEx>
          <w:tblCellMar>
            <w:top w:w="0" w:type="dxa"/>
            <w:left w:w="108" w:type="dxa"/>
            <w:bottom w:w="0" w:type="dxa"/>
            <w:right w:w="108" w:type="dxa"/>
          </w:tblCellMar>
        </w:tblPrEx>
        <w:trPr>
          <w:trHeight w:val="510" w:hRule="atLeast"/>
          <w:jc w:val="center"/>
        </w:trPr>
        <w:tc>
          <w:tcPr>
            <w:tcW w:w="9514" w:type="dxa"/>
            <w:gridSpan w:val="5"/>
            <w:tcBorders>
              <w:top w:val="single" w:color="auto" w:sz="4" w:space="0"/>
              <w:left w:val="single" w:color="auto" w:sz="4" w:space="0"/>
              <w:bottom w:val="single" w:color="auto" w:sz="4" w:space="0"/>
              <w:right w:val="single" w:color="auto" w:sz="4" w:space="0"/>
            </w:tcBorders>
            <w:vAlign w:val="center"/>
          </w:tcPr>
          <w:p w14:paraId="4AC6BF6B">
            <w:pPr>
              <w:widowControl/>
              <w:spacing w:line="360" w:lineRule="exact"/>
              <w:jc w:val="center"/>
              <w:rPr>
                <w:rFonts w:ascii="宋体" w:hAnsi="宋体" w:cs="Courier New"/>
                <w:b/>
                <w:bCs/>
                <w:color w:val="auto"/>
                <w:szCs w:val="21"/>
                <w:highlight w:val="none"/>
              </w:rPr>
            </w:pPr>
            <w:r>
              <w:rPr>
                <w:rFonts w:hint="eastAsia" w:ascii="宋体" w:hAnsi="宋体" w:cs="Courier New"/>
                <w:b/>
                <w:bCs/>
                <w:color w:val="auto"/>
                <w:szCs w:val="21"/>
                <w:highlight w:val="none"/>
              </w:rPr>
              <w:t>广西壮族自治区检察院系统整合和安全测评采购项目</w:t>
            </w:r>
          </w:p>
        </w:tc>
      </w:tr>
      <w:tr w14:paraId="187257FC">
        <w:tblPrEx>
          <w:tblCellMar>
            <w:top w:w="0" w:type="dxa"/>
            <w:left w:w="108" w:type="dxa"/>
            <w:bottom w:w="0" w:type="dxa"/>
            <w:right w:w="108" w:type="dxa"/>
          </w:tblCellMar>
        </w:tblPrEx>
        <w:trPr>
          <w:trHeight w:val="510" w:hRule="atLeast"/>
          <w:jc w:val="center"/>
        </w:trPr>
        <w:tc>
          <w:tcPr>
            <w:tcW w:w="9514" w:type="dxa"/>
            <w:gridSpan w:val="5"/>
            <w:tcBorders>
              <w:top w:val="single" w:color="auto" w:sz="4" w:space="0"/>
              <w:left w:val="single" w:color="auto" w:sz="4" w:space="0"/>
              <w:bottom w:val="single" w:color="auto" w:sz="4" w:space="0"/>
              <w:right w:val="single" w:color="auto" w:sz="4" w:space="0"/>
            </w:tcBorders>
            <w:vAlign w:val="center"/>
          </w:tcPr>
          <w:p w14:paraId="3B60C2AB">
            <w:pPr>
              <w:widowControl/>
              <w:spacing w:line="360" w:lineRule="exact"/>
              <w:ind w:firstLine="422" w:firstLineChars="200"/>
              <w:rPr>
                <w:rFonts w:ascii="宋体" w:hAnsi="宋体" w:cs="Courier New"/>
                <w:b/>
                <w:bCs/>
                <w:color w:val="auto"/>
                <w:szCs w:val="21"/>
                <w:highlight w:val="none"/>
              </w:rPr>
            </w:pPr>
            <w:r>
              <w:rPr>
                <w:rFonts w:hint="eastAsia" w:ascii="宋体" w:hAnsi="宋体" w:cs="Courier New"/>
                <w:b/>
                <w:bCs/>
                <w:color w:val="auto"/>
                <w:szCs w:val="21"/>
                <w:highlight w:val="none"/>
              </w:rPr>
              <w:t>一、项目概述</w:t>
            </w:r>
          </w:p>
          <w:p w14:paraId="5EF6B724">
            <w:pPr>
              <w:widowControl/>
              <w:spacing w:line="360" w:lineRule="exact"/>
              <w:ind w:firstLine="420" w:firstLineChars="200"/>
              <w:rPr>
                <w:rFonts w:ascii="宋体" w:hAnsi="宋体" w:cs="Courier New"/>
                <w:color w:val="auto"/>
                <w:szCs w:val="21"/>
                <w:highlight w:val="none"/>
              </w:rPr>
            </w:pPr>
            <w:r>
              <w:rPr>
                <w:rFonts w:hint="eastAsia" w:ascii="宋体" w:hAnsi="宋体" w:cs="Courier New"/>
                <w:color w:val="auto"/>
                <w:szCs w:val="21"/>
                <w:highlight w:val="none"/>
              </w:rPr>
              <w:t>为了建设集办公、办案、队伍管理及检务保障服务于一体的统一的安全管理平台——全区检察机关检务综合平台，并完成相关系统平台的网络安全等级保护测评和网络及数据安全风险评估，项目建设致力于实现以下目标：</w:t>
            </w:r>
          </w:p>
          <w:p w14:paraId="0CAE51B7">
            <w:pPr>
              <w:widowControl/>
              <w:spacing w:line="360" w:lineRule="exact"/>
              <w:ind w:firstLine="420" w:firstLineChars="200"/>
              <w:rPr>
                <w:rFonts w:ascii="宋体" w:hAnsi="宋体" w:cs="Courier New"/>
                <w:color w:val="auto"/>
                <w:szCs w:val="21"/>
                <w:highlight w:val="none"/>
              </w:rPr>
            </w:pPr>
            <w:r>
              <w:rPr>
                <w:rFonts w:hint="eastAsia" w:ascii="宋体" w:hAnsi="宋体" w:cs="Courier New"/>
                <w:color w:val="auto"/>
                <w:szCs w:val="21"/>
                <w:highlight w:val="none"/>
              </w:rPr>
              <w:t>1、构建全区检察机关检务综合平台，对现有的分散业务系统进行深入分析以完成系统整合。设计一个能够集成各系统功能和数据的统一平台架构。通过开发通用接口和中间件实现系统间的数据互联互通。将用户数据和组织架构信息迁移到统一的身份认证系统中，简化用户访问体验的单点登录解决方案。通过全面的集成测试保障新旧系统的无缝切换和协同工作，确保整合后平台的高效运行和最优安全性。</w:t>
            </w:r>
          </w:p>
          <w:p w14:paraId="05890890">
            <w:pPr>
              <w:widowControl/>
              <w:spacing w:line="360" w:lineRule="exact"/>
              <w:ind w:firstLine="420" w:firstLineChars="200"/>
              <w:rPr>
                <w:rFonts w:ascii="宋体" w:hAnsi="宋体" w:cs="Courier New"/>
                <w:color w:val="auto"/>
                <w:szCs w:val="21"/>
                <w:highlight w:val="none"/>
              </w:rPr>
            </w:pPr>
            <w:r>
              <w:rPr>
                <w:rFonts w:hint="eastAsia" w:ascii="宋体" w:hAnsi="宋体" w:cs="Courier New"/>
                <w:color w:val="auto"/>
                <w:szCs w:val="21"/>
                <w:highlight w:val="none"/>
              </w:rPr>
              <w:t>2、为保障其安全性符合国家要求，将依据国家信息安全等级保护标准对检务综合平台、全区检察工作网、广西检察融媒体新闻宣传平台进行安全等级划分。针对平台特定的功能和用途，制定一份详尽的等保测评计划。包括完成各项必要的安全建设任务，如制订细致的安全策略、实施有效的安全防护措施以及建立严格的安全管理制度。为确保评估的全面性和客观性，聘请有资质的第三方安全服务机构负责执行等保测评。通过这些措施，确保检务综合平台达到规定的安全标准，满足相应的安全要求。</w:t>
            </w:r>
          </w:p>
          <w:p w14:paraId="770E127B">
            <w:pPr>
              <w:widowControl/>
              <w:spacing w:line="360" w:lineRule="exact"/>
              <w:ind w:firstLine="420" w:firstLineChars="200"/>
              <w:rPr>
                <w:rFonts w:ascii="宋体" w:hAnsi="宋体" w:cs="Courier New"/>
                <w:color w:val="auto"/>
                <w:szCs w:val="21"/>
                <w:highlight w:val="none"/>
              </w:rPr>
            </w:pPr>
            <w:r>
              <w:rPr>
                <w:rFonts w:hint="eastAsia" w:ascii="宋体" w:hAnsi="宋体" w:cs="Courier New"/>
                <w:color w:val="auto"/>
                <w:szCs w:val="21"/>
                <w:highlight w:val="none"/>
              </w:rPr>
              <w:t>3、对检务综合平台、全区检察工作网、广西检察融媒体新闻宣传平台进行全面的风险评估。这一过程包括识别系统潜在的安全威胁、脆弱性和风险点，并制定一整套风险评估流程。此流程涵盖了从资产评估到威胁和脆弱性评估，再到影响评估及最终的风险评价。通过定量和定性的方法，对识别出的风险进行分级，以此来确定应对风险的优先级和制定相应的缓解措施。此外，根据评估结果，将设计具体的应急计划来准备面对可能的安全事件。为了保持风险管理的时效性和有效性，定期复审风险评估必不可少的，这有助于确保系统能够持续地应对新出现的安全挑战和变化。</w:t>
            </w:r>
          </w:p>
          <w:p w14:paraId="55B2F6D2">
            <w:pPr>
              <w:widowControl/>
              <w:spacing w:line="360" w:lineRule="exact"/>
              <w:ind w:firstLine="420" w:firstLineChars="200"/>
              <w:rPr>
                <w:rFonts w:ascii="宋体" w:hAnsi="宋体" w:cs="Courier New"/>
                <w:color w:val="auto"/>
                <w:szCs w:val="21"/>
                <w:highlight w:val="none"/>
              </w:rPr>
            </w:pPr>
            <w:r>
              <w:rPr>
                <w:rFonts w:hint="eastAsia" w:ascii="宋体" w:hAnsi="宋体" w:cs="Courier New"/>
                <w:color w:val="auto"/>
                <w:szCs w:val="21"/>
                <w:highlight w:val="none"/>
              </w:rPr>
              <w:t>4、按照最高检和自治区关于网络及安全边界要求，提供</w:t>
            </w:r>
            <w:r>
              <w:rPr>
                <w:rFonts w:ascii="宋体" w:hAnsi="宋体" w:cs="Courier New"/>
                <w:color w:val="auto"/>
                <w:szCs w:val="21"/>
                <w:highlight w:val="none"/>
              </w:rPr>
              <w:t>集成服务，</w:t>
            </w:r>
            <w:r>
              <w:rPr>
                <w:rFonts w:hint="eastAsia" w:ascii="宋体" w:hAnsi="宋体" w:cs="Courier New"/>
                <w:color w:val="auto"/>
                <w:szCs w:val="21"/>
                <w:highlight w:val="none"/>
              </w:rPr>
              <w:t>配合</w:t>
            </w:r>
            <w:r>
              <w:rPr>
                <w:rFonts w:ascii="宋体" w:hAnsi="宋体" w:cs="Courier New"/>
                <w:color w:val="auto"/>
                <w:szCs w:val="21"/>
                <w:highlight w:val="none"/>
              </w:rPr>
              <w:t>用户向自治区信息</w:t>
            </w:r>
            <w:r>
              <w:rPr>
                <w:rFonts w:hint="eastAsia" w:ascii="宋体" w:hAnsi="宋体" w:cs="Courier New"/>
                <w:color w:val="auto"/>
                <w:szCs w:val="21"/>
                <w:highlight w:val="none"/>
              </w:rPr>
              <w:t>中心</w:t>
            </w:r>
            <w:r>
              <w:rPr>
                <w:rFonts w:ascii="宋体" w:hAnsi="宋体" w:cs="Courier New"/>
                <w:color w:val="auto"/>
                <w:szCs w:val="21"/>
                <w:highlight w:val="none"/>
              </w:rPr>
              <w:t>申请本项目基础</w:t>
            </w:r>
            <w:r>
              <w:rPr>
                <w:rFonts w:hint="eastAsia" w:ascii="宋体" w:hAnsi="宋体" w:cs="Courier New"/>
                <w:color w:val="auto"/>
                <w:szCs w:val="21"/>
                <w:highlight w:val="none"/>
              </w:rPr>
              <w:t>运行</w:t>
            </w:r>
            <w:r>
              <w:rPr>
                <w:rFonts w:ascii="宋体" w:hAnsi="宋体" w:cs="Courier New"/>
                <w:color w:val="auto"/>
                <w:szCs w:val="21"/>
                <w:highlight w:val="none"/>
              </w:rPr>
              <w:t>环境的软硬件措施</w:t>
            </w:r>
            <w:r>
              <w:rPr>
                <w:rFonts w:hint="eastAsia" w:ascii="宋体" w:hAnsi="宋体" w:cs="Courier New"/>
                <w:color w:val="auto"/>
                <w:szCs w:val="21"/>
                <w:highlight w:val="none"/>
              </w:rPr>
              <w:t>，并</w:t>
            </w:r>
            <w:r>
              <w:rPr>
                <w:rFonts w:ascii="宋体" w:hAnsi="宋体" w:cs="Courier New"/>
                <w:color w:val="auto"/>
                <w:szCs w:val="21"/>
                <w:highlight w:val="none"/>
              </w:rPr>
              <w:t>做好本项目建设系统</w:t>
            </w:r>
            <w:r>
              <w:rPr>
                <w:rFonts w:hint="eastAsia" w:ascii="宋体" w:hAnsi="宋体" w:cs="Courier New"/>
                <w:color w:val="auto"/>
                <w:szCs w:val="21"/>
                <w:highlight w:val="none"/>
              </w:rPr>
              <w:t>部署</w:t>
            </w:r>
            <w:r>
              <w:rPr>
                <w:rFonts w:ascii="宋体" w:hAnsi="宋体" w:cs="Courier New"/>
                <w:color w:val="auto"/>
                <w:szCs w:val="21"/>
                <w:highlight w:val="none"/>
              </w:rPr>
              <w:t>及安全</w:t>
            </w:r>
            <w:r>
              <w:rPr>
                <w:rFonts w:hint="eastAsia" w:ascii="宋体" w:hAnsi="宋体" w:cs="Courier New"/>
                <w:color w:val="auto"/>
                <w:szCs w:val="21"/>
                <w:highlight w:val="none"/>
              </w:rPr>
              <w:t>等</w:t>
            </w:r>
            <w:r>
              <w:rPr>
                <w:rFonts w:ascii="宋体" w:hAnsi="宋体" w:cs="Courier New"/>
                <w:color w:val="auto"/>
                <w:szCs w:val="21"/>
                <w:highlight w:val="none"/>
              </w:rPr>
              <w:t>实施</w:t>
            </w:r>
            <w:r>
              <w:rPr>
                <w:rFonts w:hint="eastAsia" w:ascii="宋体" w:hAnsi="宋体" w:cs="Courier New"/>
                <w:color w:val="auto"/>
                <w:szCs w:val="21"/>
                <w:highlight w:val="none"/>
              </w:rPr>
              <w:t>工作</w:t>
            </w:r>
            <w:r>
              <w:rPr>
                <w:rFonts w:ascii="宋体" w:hAnsi="宋体" w:cs="Courier New"/>
                <w:color w:val="auto"/>
                <w:szCs w:val="21"/>
                <w:highlight w:val="none"/>
              </w:rPr>
              <w:t>，</w:t>
            </w:r>
            <w:r>
              <w:rPr>
                <w:rFonts w:hint="eastAsia" w:ascii="宋体" w:hAnsi="宋体" w:cs="Courier New"/>
                <w:color w:val="auto"/>
                <w:szCs w:val="21"/>
                <w:highlight w:val="none"/>
              </w:rPr>
              <w:t>确保整合</w:t>
            </w:r>
            <w:r>
              <w:rPr>
                <w:rFonts w:ascii="宋体" w:hAnsi="宋体" w:cs="Courier New"/>
                <w:color w:val="auto"/>
                <w:szCs w:val="21"/>
                <w:highlight w:val="none"/>
              </w:rPr>
              <w:t>的信息化系统能安全</w:t>
            </w:r>
            <w:r>
              <w:rPr>
                <w:rFonts w:hint="eastAsia" w:ascii="宋体" w:hAnsi="宋体" w:cs="Courier New"/>
                <w:color w:val="auto"/>
                <w:szCs w:val="21"/>
                <w:highlight w:val="none"/>
              </w:rPr>
              <w:t>地</w:t>
            </w:r>
            <w:r>
              <w:rPr>
                <w:rFonts w:ascii="宋体" w:hAnsi="宋体" w:cs="Courier New"/>
                <w:color w:val="auto"/>
                <w:szCs w:val="21"/>
                <w:highlight w:val="none"/>
              </w:rPr>
              <w:t>互联互通应用</w:t>
            </w:r>
            <w:r>
              <w:rPr>
                <w:rFonts w:hint="eastAsia" w:ascii="宋体" w:hAnsi="宋体" w:cs="Courier New"/>
                <w:color w:val="auto"/>
                <w:szCs w:val="21"/>
                <w:highlight w:val="none"/>
              </w:rPr>
              <w:t>。</w:t>
            </w:r>
          </w:p>
          <w:p w14:paraId="6A13D4EB">
            <w:pPr>
              <w:widowControl/>
              <w:spacing w:line="360" w:lineRule="exact"/>
              <w:ind w:firstLine="420" w:firstLineChars="200"/>
              <w:rPr>
                <w:rFonts w:ascii="宋体" w:hAnsi="宋体" w:cs="Courier New"/>
                <w:b/>
                <w:bCs/>
                <w:color w:val="auto"/>
                <w:szCs w:val="21"/>
                <w:highlight w:val="none"/>
              </w:rPr>
            </w:pPr>
            <w:r>
              <w:rPr>
                <w:rFonts w:hint="eastAsia" w:ascii="宋体" w:hAnsi="宋体" w:cs="Courier New"/>
                <w:color w:val="auto"/>
                <w:szCs w:val="21"/>
                <w:highlight w:val="none"/>
              </w:rPr>
              <w:t>5、检务综合平台将实现办公自动化、办案数字化、队伍管理智能化以及检务保障高效化等功能的有机整合，为全区134个检察院</w:t>
            </w:r>
            <w:r>
              <w:rPr>
                <w:rFonts w:ascii="宋体" w:hAnsi="宋体" w:cs="Courier New"/>
                <w:color w:val="auto"/>
                <w:szCs w:val="21"/>
                <w:highlight w:val="none"/>
              </w:rPr>
              <w:t>和</w:t>
            </w:r>
            <w:r>
              <w:rPr>
                <w:rFonts w:hint="eastAsia" w:ascii="宋体" w:hAnsi="宋体" w:cs="Courier New"/>
                <w:color w:val="auto"/>
                <w:szCs w:val="21"/>
                <w:highlight w:val="none"/>
              </w:rPr>
              <w:t>1个</w:t>
            </w:r>
            <w:r>
              <w:rPr>
                <w:rFonts w:ascii="宋体" w:hAnsi="宋体" w:cs="Courier New"/>
                <w:color w:val="auto"/>
                <w:szCs w:val="21"/>
                <w:highlight w:val="none"/>
              </w:rPr>
              <w:t>检察官学院</w:t>
            </w:r>
            <w:r>
              <w:rPr>
                <w:rFonts w:hint="eastAsia" w:ascii="宋体" w:hAnsi="宋体" w:cs="Courier New"/>
                <w:color w:val="auto"/>
                <w:szCs w:val="21"/>
                <w:highlight w:val="none"/>
              </w:rPr>
              <w:t>提供服务，并满足超过15000名干警用户的日常工作需求。将显著提升全区检察机关的业务处理能力和工作效率，推动检察工作向更高效和现代化的方向发展，以便更好地履行司法职责，服务公众和加强司法体系的建设。</w:t>
            </w:r>
          </w:p>
        </w:tc>
      </w:tr>
      <w:tr w14:paraId="01E8FBB3">
        <w:tblPrEx>
          <w:tblCellMar>
            <w:top w:w="0" w:type="dxa"/>
            <w:left w:w="108" w:type="dxa"/>
            <w:bottom w:w="0" w:type="dxa"/>
            <w:right w:w="108" w:type="dxa"/>
          </w:tblCellMar>
        </w:tblPrEx>
        <w:trPr>
          <w:trHeight w:val="510" w:hRule="atLeast"/>
          <w:jc w:val="center"/>
        </w:trPr>
        <w:tc>
          <w:tcPr>
            <w:tcW w:w="9514" w:type="dxa"/>
            <w:gridSpan w:val="5"/>
            <w:tcBorders>
              <w:top w:val="single" w:color="auto" w:sz="4" w:space="0"/>
              <w:left w:val="single" w:color="auto" w:sz="4" w:space="0"/>
              <w:bottom w:val="single" w:color="auto" w:sz="4" w:space="0"/>
              <w:right w:val="single" w:color="auto" w:sz="4" w:space="0"/>
            </w:tcBorders>
            <w:vAlign w:val="center"/>
          </w:tcPr>
          <w:p w14:paraId="031F19B8">
            <w:pPr>
              <w:widowControl/>
              <w:spacing w:line="360" w:lineRule="exact"/>
              <w:jc w:val="left"/>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color w:val="auto"/>
                <w:szCs w:val="21"/>
                <w:highlight w:val="none"/>
              </w:rPr>
              <w:t>二、采购需求</w:t>
            </w:r>
          </w:p>
        </w:tc>
      </w:tr>
      <w:tr w14:paraId="38A34424">
        <w:tblPrEx>
          <w:tblCellMar>
            <w:top w:w="0" w:type="dxa"/>
            <w:left w:w="108" w:type="dxa"/>
            <w:bottom w:w="0" w:type="dxa"/>
            <w:right w:w="108" w:type="dxa"/>
          </w:tblCellMar>
        </w:tblPrEx>
        <w:trPr>
          <w:trHeight w:val="510" w:hRule="atLeast"/>
          <w:jc w:val="center"/>
        </w:trPr>
        <w:tc>
          <w:tcPr>
            <w:tcW w:w="505" w:type="dxa"/>
            <w:tcBorders>
              <w:top w:val="single" w:color="auto" w:sz="4" w:space="0"/>
              <w:left w:val="single" w:color="auto" w:sz="4" w:space="0"/>
              <w:bottom w:val="single" w:color="auto" w:sz="4" w:space="0"/>
              <w:right w:val="single" w:color="auto" w:sz="4" w:space="0"/>
            </w:tcBorders>
            <w:vAlign w:val="center"/>
          </w:tcPr>
          <w:p w14:paraId="2A22ABEA">
            <w:pPr>
              <w:widowControl/>
              <w:spacing w:line="360" w:lineRule="exact"/>
              <w:ind w:left="1" w:leftChars="-51" w:right="-107" w:rightChars="-51" w:hanging="108" w:hangingChars="51"/>
              <w:jc w:val="center"/>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序号</w:t>
            </w:r>
          </w:p>
        </w:tc>
        <w:tc>
          <w:tcPr>
            <w:tcW w:w="1119" w:type="dxa"/>
            <w:tcBorders>
              <w:top w:val="single" w:color="auto" w:sz="4" w:space="0"/>
              <w:left w:val="nil"/>
              <w:bottom w:val="single" w:color="auto" w:sz="4" w:space="0"/>
              <w:right w:val="single" w:color="auto" w:sz="4" w:space="0"/>
            </w:tcBorders>
            <w:vAlign w:val="center"/>
          </w:tcPr>
          <w:p w14:paraId="2977490E">
            <w:pPr>
              <w:widowControl/>
              <w:spacing w:line="360" w:lineRule="exact"/>
              <w:ind w:left="-82" w:leftChars="-70" w:right="-149" w:rightChars="-71" w:hanging="65" w:hangingChars="31"/>
              <w:jc w:val="center"/>
              <w:rPr>
                <w:rFonts w:asciiTheme="minorEastAsia" w:hAnsiTheme="minorEastAsia" w:eastAsiaTheme="minorEastAsia" w:cstheme="minorEastAsia"/>
                <w:b/>
                <w:color w:val="auto"/>
                <w:kern w:val="0"/>
                <w:szCs w:val="21"/>
                <w:highlight w:val="none"/>
              </w:rPr>
            </w:pPr>
            <w:r>
              <w:rPr>
                <w:rFonts w:hint="eastAsia" w:asciiTheme="minorEastAsia" w:hAnsiTheme="minorEastAsia" w:eastAsiaTheme="minorEastAsia" w:cstheme="minorEastAsia"/>
                <w:b/>
                <w:color w:val="auto"/>
                <w:szCs w:val="21"/>
                <w:highlight w:val="none"/>
              </w:rPr>
              <w:t>服务名称</w:t>
            </w:r>
          </w:p>
        </w:tc>
        <w:tc>
          <w:tcPr>
            <w:tcW w:w="662" w:type="dxa"/>
            <w:tcBorders>
              <w:top w:val="single" w:color="auto" w:sz="4" w:space="0"/>
              <w:left w:val="nil"/>
              <w:bottom w:val="single" w:color="auto" w:sz="4" w:space="0"/>
              <w:right w:val="single" w:color="auto" w:sz="4" w:space="0"/>
            </w:tcBorders>
            <w:vAlign w:val="center"/>
          </w:tcPr>
          <w:p w14:paraId="34222759">
            <w:pPr>
              <w:widowControl/>
              <w:spacing w:line="360" w:lineRule="exact"/>
              <w:ind w:left="1" w:leftChars="-51" w:right="-107" w:rightChars="-51" w:hanging="108" w:hangingChars="51"/>
              <w:jc w:val="center"/>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数量</w:t>
            </w:r>
          </w:p>
        </w:tc>
        <w:tc>
          <w:tcPr>
            <w:tcW w:w="650" w:type="dxa"/>
            <w:tcBorders>
              <w:top w:val="single" w:color="auto" w:sz="4" w:space="0"/>
              <w:left w:val="nil"/>
              <w:bottom w:val="single" w:color="auto" w:sz="4" w:space="0"/>
              <w:right w:val="single" w:color="auto" w:sz="4" w:space="0"/>
            </w:tcBorders>
            <w:vAlign w:val="center"/>
          </w:tcPr>
          <w:p w14:paraId="78AD5526">
            <w:pPr>
              <w:widowControl/>
              <w:spacing w:line="360" w:lineRule="exact"/>
              <w:rPr>
                <w:rFonts w:asciiTheme="minorEastAsia" w:hAnsiTheme="minorEastAsia" w:eastAsiaTheme="minorEastAsia" w:cstheme="minorEastAsia"/>
                <w:b/>
                <w:color w:val="auto"/>
                <w:kern w:val="0"/>
                <w:szCs w:val="21"/>
                <w:highlight w:val="none"/>
              </w:rPr>
            </w:pPr>
            <w:r>
              <w:rPr>
                <w:rFonts w:hint="eastAsia" w:asciiTheme="minorEastAsia" w:hAnsiTheme="minorEastAsia" w:eastAsiaTheme="minorEastAsia" w:cstheme="minorEastAsia"/>
                <w:b/>
                <w:color w:val="auto"/>
                <w:szCs w:val="21"/>
                <w:highlight w:val="none"/>
              </w:rPr>
              <w:t>单位</w:t>
            </w:r>
          </w:p>
        </w:tc>
        <w:tc>
          <w:tcPr>
            <w:tcW w:w="6578" w:type="dxa"/>
            <w:tcBorders>
              <w:top w:val="single" w:color="auto" w:sz="4" w:space="0"/>
              <w:left w:val="nil"/>
              <w:bottom w:val="single" w:color="auto" w:sz="4" w:space="0"/>
              <w:right w:val="single" w:color="auto" w:sz="4" w:space="0"/>
            </w:tcBorders>
            <w:vAlign w:val="center"/>
          </w:tcPr>
          <w:p w14:paraId="2C791FE6">
            <w:pPr>
              <w:widowControl/>
              <w:spacing w:line="360" w:lineRule="exact"/>
              <w:jc w:val="center"/>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技术参数、性能（配置）及其它要求</w:t>
            </w:r>
          </w:p>
        </w:tc>
      </w:tr>
      <w:tr w14:paraId="61FDD88A">
        <w:tblPrEx>
          <w:tblCellMar>
            <w:top w:w="0" w:type="dxa"/>
            <w:left w:w="108" w:type="dxa"/>
            <w:bottom w:w="0" w:type="dxa"/>
            <w:right w:w="108" w:type="dxa"/>
          </w:tblCellMar>
        </w:tblPrEx>
        <w:trPr>
          <w:trHeight w:val="510" w:hRule="atLeast"/>
          <w:jc w:val="center"/>
        </w:trPr>
        <w:tc>
          <w:tcPr>
            <w:tcW w:w="505" w:type="dxa"/>
            <w:tcBorders>
              <w:top w:val="single" w:color="auto" w:sz="4" w:space="0"/>
              <w:left w:val="single" w:color="auto" w:sz="4" w:space="0"/>
              <w:bottom w:val="single" w:color="auto" w:sz="4" w:space="0"/>
              <w:right w:val="single" w:color="auto" w:sz="4" w:space="0"/>
            </w:tcBorders>
            <w:vAlign w:val="center"/>
          </w:tcPr>
          <w:p w14:paraId="5D270DA7">
            <w:pPr>
              <w:snapToGrid w:val="0"/>
              <w:spacing w:line="400" w:lineRule="exact"/>
              <w:jc w:val="center"/>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w:t>
            </w:r>
          </w:p>
        </w:tc>
        <w:tc>
          <w:tcPr>
            <w:tcW w:w="1119" w:type="dxa"/>
            <w:tcBorders>
              <w:top w:val="single" w:color="auto" w:sz="4" w:space="0"/>
              <w:left w:val="nil"/>
              <w:bottom w:val="single" w:color="auto" w:sz="4" w:space="0"/>
              <w:right w:val="single" w:color="auto" w:sz="4" w:space="0"/>
            </w:tcBorders>
            <w:vAlign w:val="center"/>
          </w:tcPr>
          <w:p w14:paraId="2A921871">
            <w:pPr>
              <w:spacing w:line="400" w:lineRule="exac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检务综合平台开发服务（核心服务）</w:t>
            </w:r>
          </w:p>
        </w:tc>
        <w:tc>
          <w:tcPr>
            <w:tcW w:w="662" w:type="dxa"/>
            <w:tcBorders>
              <w:top w:val="single" w:color="auto" w:sz="4" w:space="0"/>
              <w:left w:val="single" w:color="auto" w:sz="4" w:space="0"/>
              <w:bottom w:val="single" w:color="auto" w:sz="4" w:space="0"/>
              <w:right w:val="single" w:color="auto" w:sz="4" w:space="0"/>
            </w:tcBorders>
            <w:vAlign w:val="center"/>
          </w:tcPr>
          <w:p w14:paraId="7615077E">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w:t>
            </w:r>
          </w:p>
        </w:tc>
        <w:tc>
          <w:tcPr>
            <w:tcW w:w="650" w:type="dxa"/>
            <w:tcBorders>
              <w:top w:val="single" w:color="auto" w:sz="4" w:space="0"/>
              <w:left w:val="single" w:color="auto" w:sz="4" w:space="0"/>
              <w:bottom w:val="single" w:color="auto" w:sz="4" w:space="0"/>
              <w:right w:val="single" w:color="auto" w:sz="4" w:space="0"/>
            </w:tcBorders>
            <w:vAlign w:val="center"/>
          </w:tcPr>
          <w:p w14:paraId="15340B86">
            <w:pPr>
              <w:pStyle w:val="126"/>
              <w:widowControl/>
              <w:suppressLineNumbers/>
              <w:suppressAutoHyphens/>
              <w:spacing w:line="400" w:lineRule="exact"/>
              <w:ind w:firstLine="0" w:firstLineChars="0"/>
              <w:contextualSpacing/>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w:t>
            </w:r>
          </w:p>
        </w:tc>
        <w:tc>
          <w:tcPr>
            <w:tcW w:w="6578" w:type="dxa"/>
            <w:tcBorders>
              <w:top w:val="single" w:color="auto" w:sz="4" w:space="0"/>
              <w:left w:val="single" w:color="auto" w:sz="4" w:space="0"/>
              <w:bottom w:val="single" w:color="auto" w:sz="4" w:space="0"/>
              <w:right w:val="single" w:color="auto" w:sz="4" w:space="0"/>
            </w:tcBorders>
            <w:vAlign w:val="center"/>
          </w:tcPr>
          <w:p w14:paraId="448A198C">
            <w:pPr>
              <w:pStyle w:val="126"/>
              <w:widowControl/>
              <w:suppressLineNumbers/>
              <w:suppressAutoHyphens/>
              <w:spacing w:line="400" w:lineRule="exact"/>
              <w:ind w:firstLine="422"/>
              <w:contextualSpacing/>
              <w:rPr>
                <w:rFonts w:asciiTheme="minorEastAsia" w:hAnsiTheme="minorEastAsia" w:eastAsiaTheme="minorEastAsia" w:cstheme="minorEastAsia"/>
                <w:b/>
                <w:bCs w:val="0"/>
                <w:color w:val="auto"/>
                <w:kern w:val="0"/>
                <w:sz w:val="21"/>
                <w:szCs w:val="21"/>
                <w:highlight w:val="none"/>
              </w:rPr>
            </w:pPr>
            <w:r>
              <w:rPr>
                <w:rFonts w:hint="eastAsia" w:asciiTheme="minorEastAsia" w:hAnsiTheme="minorEastAsia" w:eastAsiaTheme="minorEastAsia" w:cstheme="minorEastAsia"/>
                <w:b/>
                <w:bCs w:val="0"/>
                <w:color w:val="auto"/>
                <w:kern w:val="0"/>
                <w:sz w:val="21"/>
                <w:szCs w:val="21"/>
                <w:highlight w:val="none"/>
              </w:rPr>
              <w:t>一、检务综合平台开发服务概述</w:t>
            </w:r>
          </w:p>
          <w:p w14:paraId="7F9EB7D8">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为做好在用信息系统进行整合工作，采购人拟按照等级保护三级标准和商用密码合规性的标准等要求，通过本项开发服务，在检察机关工作网信创环境中，建设1套具有统一身份认证、统一用户中心、统一工作台、统一可视化大屏等功能的检务综合平台，与采购人的多个在用应用系统对接，整合对接系统的用户数据，满足多系统用户信息集中管理、多系统单点登录、统一工作门户、统一数据可视化展示等业务应用需求。此外，为确保系统具有可扩展性，在提供系统整合标准接口同时，并建设符合商用密码合规性标准的软件接口，确保采购人后期建设商用密码合规性系统时，实现无缝对接，使得检务综合平台符合商用密码合规性标准要求。</w:t>
            </w:r>
          </w:p>
          <w:p w14:paraId="4BFEA5E7">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二、检务综合平台参考架构</w:t>
            </w:r>
          </w:p>
          <w:p w14:paraId="33F38CE7">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检务综合平台是一个功能齐全、高效便捷的综合性管理平台，为各类应用系统提供共性的服务能力。平台主要包括网关管理中心、统一身份认证、统一用户中心等，以满足不同应用系统在运行过程中所需的共性服务需求。下图为检务综合平台参考架构图，要求参考本架构细化建设：</w:t>
            </w:r>
          </w:p>
          <w:p w14:paraId="16CDD4AF">
            <w:pPr>
              <w:pStyle w:val="126"/>
              <w:widowControl/>
              <w:suppressLineNumbers/>
              <w:suppressAutoHyphens/>
              <w:spacing w:line="240" w:lineRule="auto"/>
              <w:ind w:firstLine="0" w:firstLineChars="0"/>
              <w:contextualSpacing/>
              <w:jc w:val="center"/>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highlight w:val="none"/>
              </w:rPr>
              <w:drawing>
                <wp:inline distT="0" distB="0" distL="114300" distR="114300">
                  <wp:extent cx="4104005" cy="1952625"/>
                  <wp:effectExtent l="0" t="0" r="10795" b="9525"/>
                  <wp:docPr id="4" name="图片 10" descr="形状&#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形状&#10;&#10;中度可信度描述已自动生成"/>
                          <pic:cNvPicPr>
                            <a:picLocks noChangeAspect="1"/>
                          </pic:cNvPicPr>
                        </pic:nvPicPr>
                        <pic:blipFill>
                          <a:blip r:embed="rId13"/>
                          <a:stretch>
                            <a:fillRect/>
                          </a:stretch>
                        </pic:blipFill>
                        <pic:spPr>
                          <a:xfrm>
                            <a:off x="0" y="0"/>
                            <a:ext cx="4104005" cy="1952625"/>
                          </a:xfrm>
                          <a:prstGeom prst="rect">
                            <a:avLst/>
                          </a:prstGeom>
                          <a:noFill/>
                          <a:ln>
                            <a:noFill/>
                          </a:ln>
                        </pic:spPr>
                      </pic:pic>
                    </a:graphicData>
                  </a:graphic>
                </wp:inline>
              </w:drawing>
            </w:r>
          </w:p>
          <w:p w14:paraId="665BC8DA">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1、基础设施层</w:t>
            </w:r>
          </w:p>
          <w:p w14:paraId="1AB38F16">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基础设施层由自治区级政务云基础设施组成，政府专网、检察院专网为检务综合平台、检察院基础应用提供一体化云计算资源承载及网络支持。</w:t>
            </w:r>
          </w:p>
          <w:p w14:paraId="111E49ED">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2、平台支撑层</w:t>
            </w:r>
          </w:p>
          <w:p w14:paraId="3726D0FE">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统一身份认证是检务综合平台的另一个核心功能，它为平台内的所有应用系统提供了统一的身份验证服务。通过统一身份认证，用户只需在平台上进行一次登录，即可实现对所有应用系统的无缝访问，大大提高了用户的使用体验和工作效率。</w:t>
            </w:r>
          </w:p>
          <w:p w14:paraId="1EC642AA">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统一用户中心作为检务综合平台的用户管理模块，为用户提供了一个集中式的个人信息管理平台。在这里用户可以方便地查看和管理自己在各个应用系统中的个人信息，包括账号设置、权限分配、操作记录等，使得用户对自己的信息有了更全面的掌控。</w:t>
            </w:r>
          </w:p>
          <w:p w14:paraId="307CFE91">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3）网关管理中心作为检务综合平台的重要组成部分，负责对接入平台的各个应用系统进行统一的管理和监控。通过网关管理，可以实现对应用系统的访问控制、流量调度、安全防护、负载均衡等功能，确保平台内各个应用系统能够稳定、安全地运行。</w:t>
            </w:r>
          </w:p>
          <w:p w14:paraId="25A720B5">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（4）应用开发以java和微服务为主，通过容器化平台持续集成、发布、测试为应用层提供高可用的集群服务。</w:t>
            </w:r>
          </w:p>
          <w:p w14:paraId="43900BE6">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3、应用层</w:t>
            </w:r>
          </w:p>
          <w:p w14:paraId="514A8E57">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整合检察院办公、办案、队伍管理和检务保障各类业务应用系统，实现与现有各类业务系统的无缝集成，确保数据流在各个系统间无障碍传输。</w:t>
            </w:r>
          </w:p>
          <w:p w14:paraId="5FA1F7E5">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三、检务综合平台运行环境</w:t>
            </w:r>
          </w:p>
          <w:p w14:paraId="5931B724">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1、部署网络结构示意图</w:t>
            </w:r>
          </w:p>
          <w:p w14:paraId="58CF52D3">
            <w:pPr>
              <w:pStyle w:val="126"/>
              <w:widowControl/>
              <w:suppressLineNumbers/>
              <w:suppressAutoHyphens/>
              <w:spacing w:line="240" w:lineRule="auto"/>
              <w:ind w:firstLine="0" w:firstLineChars="0"/>
              <w:contextualSpacing/>
              <w:jc w:val="center"/>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highlight w:val="none"/>
              </w:rPr>
              <w:drawing>
                <wp:inline distT="0" distB="0" distL="114300" distR="114300">
                  <wp:extent cx="4067175" cy="1638935"/>
                  <wp:effectExtent l="0" t="0" r="9525" b="18415"/>
                  <wp:docPr id="5" name="图片 11" descr="游戏的屏幕&#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游戏的屏幕&#10;&#10;描述已自动生成"/>
                          <pic:cNvPicPr>
                            <a:picLocks noChangeAspect="1"/>
                          </pic:cNvPicPr>
                        </pic:nvPicPr>
                        <pic:blipFill>
                          <a:blip r:embed="rId14"/>
                          <a:stretch>
                            <a:fillRect/>
                          </a:stretch>
                        </pic:blipFill>
                        <pic:spPr>
                          <a:xfrm>
                            <a:off x="0" y="0"/>
                            <a:ext cx="4067175" cy="1638935"/>
                          </a:xfrm>
                          <a:prstGeom prst="rect">
                            <a:avLst/>
                          </a:prstGeom>
                          <a:noFill/>
                          <a:ln>
                            <a:noFill/>
                          </a:ln>
                        </pic:spPr>
                      </pic:pic>
                    </a:graphicData>
                  </a:graphic>
                </wp:inline>
              </w:drawing>
            </w:r>
          </w:p>
          <w:p w14:paraId="0E808FA1">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检察专网外部系统（比如广西党政机关综合办公平台）经整合后，将通过检务综合平台和检察专网边界安全防护设施进行跨网访问。</w:t>
            </w:r>
          </w:p>
          <w:p w14:paraId="5639C6CC">
            <w:pPr>
              <w:pStyle w:val="126"/>
              <w:widowControl/>
              <w:suppressLineNumbers/>
              <w:suppressAutoHyphens/>
              <w:spacing w:line="240" w:lineRule="auto"/>
              <w:ind w:firstLine="0" w:firstLineChars="0"/>
              <w:contextualSpacing/>
              <w:jc w:val="center"/>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highlight w:val="none"/>
              </w:rPr>
              <w:drawing>
                <wp:inline distT="0" distB="0" distL="114300" distR="114300">
                  <wp:extent cx="3677920" cy="3155315"/>
                  <wp:effectExtent l="0" t="0" r="17780" b="6985"/>
                  <wp:docPr id="6" name="图片 1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descr="图形用户界面&#10;&#10;描述已自动生成"/>
                          <pic:cNvPicPr>
                            <a:picLocks noChangeAspect="1"/>
                          </pic:cNvPicPr>
                        </pic:nvPicPr>
                        <pic:blipFill>
                          <a:blip r:embed="rId15"/>
                          <a:stretch>
                            <a:fillRect/>
                          </a:stretch>
                        </pic:blipFill>
                        <pic:spPr>
                          <a:xfrm>
                            <a:off x="0" y="0"/>
                            <a:ext cx="3677920" cy="3155315"/>
                          </a:xfrm>
                          <a:prstGeom prst="rect">
                            <a:avLst/>
                          </a:prstGeom>
                          <a:noFill/>
                          <a:ln>
                            <a:noFill/>
                          </a:ln>
                        </pic:spPr>
                      </pic:pic>
                    </a:graphicData>
                  </a:graphic>
                </wp:inline>
              </w:drawing>
            </w:r>
          </w:p>
          <w:p w14:paraId="7C991826">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检察专网内部系统经整合后，将通过检务综合平台和检察专网内部安全防护设施进行访问。</w:t>
            </w:r>
          </w:p>
          <w:p w14:paraId="7FED1E5F">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2、检务综合平台用户访问业务流示意图</w:t>
            </w:r>
          </w:p>
          <w:p w14:paraId="1086A805">
            <w:pPr>
              <w:pStyle w:val="126"/>
              <w:widowControl/>
              <w:suppressLineNumbers/>
              <w:suppressAutoHyphens/>
              <w:spacing w:line="240" w:lineRule="auto"/>
              <w:ind w:firstLine="0" w:firstLineChars="0"/>
              <w:contextualSpacing/>
              <w:jc w:val="center"/>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highlight w:val="none"/>
              </w:rPr>
              <w:drawing>
                <wp:inline distT="0" distB="0" distL="114300" distR="114300">
                  <wp:extent cx="4013835" cy="2087880"/>
                  <wp:effectExtent l="0" t="0" r="5715" b="7620"/>
                  <wp:docPr id="7" name="图片 1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图示&#10;&#10;描述已自动生成"/>
                          <pic:cNvPicPr>
                            <a:picLocks noChangeAspect="1"/>
                          </pic:cNvPicPr>
                        </pic:nvPicPr>
                        <pic:blipFill>
                          <a:blip r:embed="rId16" cstate="print"/>
                          <a:stretch>
                            <a:fillRect/>
                          </a:stretch>
                        </pic:blipFill>
                        <pic:spPr>
                          <a:xfrm>
                            <a:off x="0" y="0"/>
                            <a:ext cx="4013835" cy="2087880"/>
                          </a:xfrm>
                          <a:prstGeom prst="rect">
                            <a:avLst/>
                          </a:prstGeom>
                          <a:noFill/>
                          <a:ln>
                            <a:noFill/>
                          </a:ln>
                        </pic:spPr>
                      </pic:pic>
                    </a:graphicData>
                  </a:graphic>
                </wp:inline>
              </w:drawing>
            </w:r>
          </w:p>
          <w:p w14:paraId="19C5DF0D">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3、检务综合平台业务调用时序图</w:t>
            </w:r>
          </w:p>
          <w:p w14:paraId="346D171C">
            <w:pPr>
              <w:pStyle w:val="126"/>
              <w:widowControl/>
              <w:suppressLineNumbers/>
              <w:suppressAutoHyphens/>
              <w:spacing w:line="240" w:lineRule="auto"/>
              <w:ind w:firstLine="0" w:firstLineChars="0"/>
              <w:contextualSpacing/>
              <w:jc w:val="center"/>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color w:val="auto"/>
                <w:highlight w:val="none"/>
              </w:rPr>
              <w:drawing>
                <wp:inline distT="0" distB="0" distL="114300" distR="114300">
                  <wp:extent cx="4116705" cy="5612765"/>
                  <wp:effectExtent l="0" t="0" r="17145" b="6985"/>
                  <wp:docPr id="8" name="图片 14"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descr="图示, 示意图&#10;&#10;描述已自动生成"/>
                          <pic:cNvPicPr>
                            <a:picLocks noChangeAspect="1"/>
                          </pic:cNvPicPr>
                        </pic:nvPicPr>
                        <pic:blipFill>
                          <a:blip r:embed="rId17" cstate="print"/>
                          <a:stretch>
                            <a:fillRect/>
                          </a:stretch>
                        </pic:blipFill>
                        <pic:spPr>
                          <a:xfrm>
                            <a:off x="0" y="0"/>
                            <a:ext cx="4116705" cy="5612765"/>
                          </a:xfrm>
                          <a:prstGeom prst="rect">
                            <a:avLst/>
                          </a:prstGeom>
                          <a:noFill/>
                          <a:ln>
                            <a:noFill/>
                          </a:ln>
                        </pic:spPr>
                      </pic:pic>
                    </a:graphicData>
                  </a:graphic>
                </wp:inline>
              </w:drawing>
            </w:r>
          </w:p>
          <w:p w14:paraId="7B3363D0">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四、检务综合平台主要功能模块</w:t>
            </w:r>
          </w:p>
          <w:p w14:paraId="216310B6">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检务综合平台主要包括统一身份认证、统一用户中心、网关管理中心、工作台、系统管理、系统接口等功能模块。</w:t>
            </w:r>
          </w:p>
          <w:p w14:paraId="6276C5F1">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（一）统一身份认证模块</w:t>
            </w:r>
          </w:p>
          <w:p w14:paraId="6D9096CF">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统一身份认证主要提供统一用户认证鉴权能力，基于统一用户中心实现全网统一认证和单点登录验证服务，登录认证验证服务包括用户账号密码。统一身份认证平台支持网关接入模式接入，由准入网关实现跟统一身份认证平台的数据交换，业务系统更容易接入，并且准入网关屏蔽了统一身份认证平台程序变更对业务应用对接带来的影响，让对接模型更稳定、可靠。</w:t>
            </w:r>
          </w:p>
          <w:p w14:paraId="6FD1698C">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1、登录认证</w:t>
            </w:r>
          </w:p>
          <w:p w14:paraId="5BDDB4A1">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平台支持用户通过账号密码登录、支持双因子认证、CA证书认证。</w:t>
            </w:r>
          </w:p>
          <w:p w14:paraId="10CB2709">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（1）账号密码登录</w:t>
            </w:r>
          </w:p>
          <w:p w14:paraId="05991A09">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支持用户通过帐号信息和密码登录，并用复杂图文验证码校验等方式登录平台，登录信息错误次数超过设定阈值后，将锁定账号，如没有管理员进行解锁干预，将限制该账号在指定时间内不允许登录。</w:t>
            </w:r>
          </w:p>
          <w:p w14:paraId="29D66F59">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（2）双因子认证</w:t>
            </w:r>
          </w:p>
          <w:p w14:paraId="4B9A39FC">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平台支持账号密码鉴权、双因子认证条件等登录设置，除了对用户密码鉴权外，还可以要求结合用户身份认证系统进行CA认证二次鉴权，并支持设置指定用户登录IP地址、IP地址池、登录操作系统版本信息、浏览器版本信息等作为双因子认证条件进行鉴权。</w:t>
            </w:r>
          </w:p>
          <w:p w14:paraId="7EE2A514">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（3）CA证书认证</w:t>
            </w:r>
          </w:p>
          <w:p w14:paraId="53A2A427">
            <w:pPr>
              <w:pStyle w:val="126"/>
              <w:widowControl/>
              <w:suppressLineNumbers/>
              <w:suppressAutoHyphens/>
              <w:spacing w:line="400" w:lineRule="exact"/>
              <w:ind w:firstLine="420"/>
              <w:contextualSpacing/>
              <w:rPr>
                <w:rFonts w:hint="eastAsia" w:asciiTheme="minorEastAsia" w:hAnsiTheme="minorEastAsia" w:eastAsiaTheme="minorEastAsia" w:cstheme="minorEastAsia"/>
                <w:color w:val="auto"/>
                <w:kern w:val="0"/>
                <w:sz w:val="21"/>
                <w:szCs w:val="21"/>
                <w:highlight w:val="none"/>
                <w:lang w:eastAsia="zh-CN"/>
              </w:rPr>
            </w:pPr>
            <w:r>
              <w:rPr>
                <w:rFonts w:hint="eastAsia" w:asciiTheme="minorEastAsia" w:hAnsiTheme="minorEastAsia" w:eastAsiaTheme="minorEastAsia" w:cstheme="minorEastAsia"/>
                <w:color w:val="auto"/>
                <w:kern w:val="0"/>
                <w:sz w:val="21"/>
                <w:szCs w:val="21"/>
                <w:highlight w:val="none"/>
              </w:rPr>
              <w:t>平台支持对CA证书认证，即用指定CA证书厂家客户端接口，对接CA证书读取用户证书，然后对接服务端身份认证服务接口进行证书验证，确保CA证书安全验证应用</w:t>
            </w:r>
            <w:r>
              <w:rPr>
                <w:rFonts w:hint="eastAsia" w:asciiTheme="minorEastAsia" w:hAnsiTheme="minorEastAsia" w:eastAsiaTheme="minorEastAsia" w:cstheme="minorEastAsia"/>
                <w:color w:val="auto"/>
                <w:kern w:val="0"/>
                <w:sz w:val="21"/>
                <w:szCs w:val="21"/>
                <w:highlight w:val="none"/>
                <w:lang w:eastAsia="zh-CN"/>
              </w:rPr>
              <w:t>。</w:t>
            </w:r>
          </w:p>
          <w:p w14:paraId="6FCDF427">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（4）其他登录相关功能</w:t>
            </w:r>
          </w:p>
          <w:p w14:paraId="3D3C4078">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①记住密码功能：通过多因子鉴权条件（比如绑定IP及客户端相关信息等），允许用户在指定条件下记住登录密码，方便在下次登录时直接使用。</w:t>
            </w:r>
          </w:p>
          <w:p w14:paraId="16E4E2DD">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②忘记密码处理：允许用户忘记登录密码后，可采用短信验证码或电子邮件检验码等方式进行身份鉴别，待身份鉴别通过后通过引导用户进入密码重置页，要求用户重置密码或输入新密码，重新获取平台登录权限。</w:t>
            </w:r>
          </w:p>
          <w:p w14:paraId="177730E8">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③认证注销功能：允许用户通过注销当前登录，销毁用户已登录的服务端session信息，确保前后端信息一致，保证用户登录信息安全，并同步做好系统注销日志，为用户登录行为提供审计依据。</w:t>
            </w:r>
          </w:p>
          <w:p w14:paraId="08B7D494">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④自动注销功能：如果用户在设定的时间内没有对系统进行任何操作，系统会自动注销当前登录的用户，支持业务应用通过重定向到认证中心注销页面进行注销锁定，用户再次登录成功后自动跳转到自动注销前的应用页面。</w:t>
            </w:r>
          </w:p>
          <w:p w14:paraId="06D13E15">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⑤认证成功跳转功能：支持在多门户情况下，支持门户地址配置，让用户认证成功后，支持用户可选择进入要访问的门户页面；在多租户情况下，用户认证成功后，支持用户选择不同租户身份进行跳转；在未登录情况下，打开需用户登录验证的网址时，自动重定向到认证中心登录页面，待用户认证成功后，再自动跳转到用户想要访问的业务网址进行操作。</w:t>
            </w:r>
          </w:p>
          <w:p w14:paraId="4519EE4D">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 xml:space="preserve">⑥认证日志记录功能：通过消息服务等方式，异步向日志服务写入登录成功、失败或注销日志信息，为用户登录行为提供审计依据。 </w:t>
            </w:r>
          </w:p>
          <w:p w14:paraId="3554BA3C">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2、认证安全</w:t>
            </w:r>
          </w:p>
          <w:p w14:paraId="163886CF">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支持对平台认证安全进行以下管理设置：</w:t>
            </w:r>
          </w:p>
          <w:p w14:paraId="54FBA9B9">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（1）图片验证码</w:t>
            </w:r>
          </w:p>
          <w:p w14:paraId="47A6A060">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支持密码错误图片验证码配置、忘记密码图片验证码配置。</w:t>
            </w:r>
          </w:p>
          <w:p w14:paraId="36046940">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（2）认证配置管理</w:t>
            </w:r>
          </w:p>
          <w:p w14:paraId="3EC06664">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支持双因子认证配置、忘记密码配置。</w:t>
            </w:r>
          </w:p>
          <w:p w14:paraId="42B00C34">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（3）认证类型管理</w:t>
            </w:r>
          </w:p>
          <w:p w14:paraId="35F3BDBB">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支持账号密码登录开关、双因子认证开关、CA证书认证。</w:t>
            </w:r>
          </w:p>
          <w:p w14:paraId="6DAF9CA4">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（4）密码安全校验</w:t>
            </w:r>
          </w:p>
          <w:p w14:paraId="3D183300">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支持密码组合规则校验、密码组合规则配置、弱密码库、弱密码校验。</w:t>
            </w:r>
          </w:p>
          <w:p w14:paraId="088AA934">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（5）密码错误锁定</w:t>
            </w:r>
          </w:p>
          <w:p w14:paraId="7E3C413B">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支持永久锁定、永久锁定解锁、临时锁定、临时锁定解锁、锁定配置。</w:t>
            </w:r>
          </w:p>
          <w:p w14:paraId="73703B8A">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（6）账号密码过期强制修改</w:t>
            </w:r>
          </w:p>
          <w:p w14:paraId="35CD83CB">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支持账号密码过期校验、新账号密码未修改校验、管理员重置密码校验、密码强制修改。</w:t>
            </w:r>
          </w:p>
          <w:p w14:paraId="292076F7">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3、单点登陆</w:t>
            </w:r>
          </w:p>
          <w:p w14:paraId="3C42EB74">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支持对单点登陆的系统进行管理：</w:t>
            </w:r>
          </w:p>
          <w:p w14:paraId="7D6A4E6F">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（1）授权登录模式</w:t>
            </w:r>
          </w:p>
          <w:p w14:paraId="3886EB8E">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支持用户授权拦截、用户授权跳转、授权码获取接口、客户端重定向地址校验、state 校验、授权码绑定、令牌获取接口、令牌过期控制、令牌绑定、令牌刷新接口、用户信息获取接口。具体要求如下：</w:t>
            </w:r>
          </w:p>
          <w:p w14:paraId="51F2865B">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①用户授权拦截：第三方应用访问授权码地址时，如未检测到用户未合规的登录信息，系统将自动拦截授权码获取接口、记录接口信息并将请求重定向到登录页。</w:t>
            </w:r>
          </w:p>
          <w:p w14:paraId="54DBF831">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②用户授权跳转：当用户登录成功后，重定向回授权码接口。</w:t>
            </w:r>
          </w:p>
          <w:p w14:paraId="61BBCFB9">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③授权码获取接口：通过校验客户端id、客户端地址，生成返回授权码，并通过重定向客户端地址的方式返回授权码。</w:t>
            </w:r>
          </w:p>
          <w:p w14:paraId="6EFCFF51">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④客户端重定向地址校验：检查客户端重定向地址是否在白名单能，并且支持地址的通配符校验。</w:t>
            </w:r>
          </w:p>
          <w:p w14:paraId="1973C02F">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⑤state 校验：校验客户端请求状态信息（state），防止跨站请求伪造攻击。</w:t>
            </w:r>
          </w:p>
          <w:p w14:paraId="33ED7091">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⑥授权码绑定：授权码绑定客户端id以及当前用户信息。</w:t>
            </w:r>
          </w:p>
          <w:p w14:paraId="1B58198C">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⑦认证令牌管理：支持依据客户端id、客户端密钥及授权码发放令牌信息，并将令牌与当前用户信息绑定，并配置令牌过期时间阈值，在指定时间内，支持依据客户端id、客户端密钥以及刷新令牌，确保令牌有效性，但令牌过期后将直接注销令牌，直到用户登录才能重新获取新请求令牌。</w:t>
            </w:r>
          </w:p>
          <w:p w14:paraId="74914458">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⑧用户信息获取接口：支持根据访问令牌从平台用户中心信息中获取当前访问系统的登录用户信息。</w:t>
            </w:r>
          </w:p>
          <w:p w14:paraId="0B6CDDA0">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（2）单点登录配置管理</w:t>
            </w:r>
          </w:p>
          <w:p w14:paraId="2EAFE181">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支持包含但不限于用户的clientId、密钥、重定向地址、token 过期时间等客户端信息的新增、修改、删除等管理，以及客户端信息发布与下线配置等。</w:t>
            </w:r>
          </w:p>
          <w:p w14:paraId="3AB82DA7">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4、权限管理</w:t>
            </w:r>
          </w:p>
          <w:p w14:paraId="2554FD33">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（1）分布式授权</w:t>
            </w:r>
          </w:p>
          <w:p w14:paraId="5D742CC9">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统一身份认证支持分布式授权模式，用户通过认证之后会通过统一身份认证系统颁发平台角色，平台角色与应用系统通过角色名称进行约束配置，从而实现通过统一身份认证即可控制用户在应用中的权限；支持角色的制动分配、角色更新、角色映射配置、权限验证等功能。</w:t>
            </w:r>
          </w:p>
          <w:p w14:paraId="1181B81E">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（2）应用组管理</w:t>
            </w:r>
          </w:p>
          <w:p w14:paraId="54D406B6">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提供应用组管理功能，可将不同的系统应用增加至一个应用组内，可对应用组内的应用进行管理，应用组内应用间token授信，方便应用之间的访问。</w:t>
            </w:r>
          </w:p>
          <w:p w14:paraId="070C38EC">
            <w:pPr>
              <w:pStyle w:val="126"/>
              <w:widowControl/>
              <w:suppressLineNumbers/>
              <w:suppressAutoHyphens/>
              <w:spacing w:line="240" w:lineRule="auto"/>
              <w:ind w:firstLine="0" w:firstLineChars="0"/>
              <w:contextualSpacing/>
              <w:jc w:val="center"/>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highlight w:val="none"/>
              </w:rPr>
              <w:drawing>
                <wp:inline distT="0" distB="0" distL="114300" distR="114300">
                  <wp:extent cx="4154805" cy="2516505"/>
                  <wp:effectExtent l="0" t="0" r="17145" b="17145"/>
                  <wp:docPr id="9" name="图片 1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descr="图示&#10;&#10;描述已自动生成"/>
                          <pic:cNvPicPr>
                            <a:picLocks noChangeAspect="1"/>
                          </pic:cNvPicPr>
                        </pic:nvPicPr>
                        <pic:blipFill>
                          <a:blip r:embed="rId18" cstate="print"/>
                          <a:stretch>
                            <a:fillRect/>
                          </a:stretch>
                        </pic:blipFill>
                        <pic:spPr>
                          <a:xfrm>
                            <a:off x="0" y="0"/>
                            <a:ext cx="4154805" cy="2516505"/>
                          </a:xfrm>
                          <a:prstGeom prst="rect">
                            <a:avLst/>
                          </a:prstGeom>
                          <a:noFill/>
                          <a:ln>
                            <a:noFill/>
                          </a:ln>
                        </pic:spPr>
                      </pic:pic>
                    </a:graphicData>
                  </a:graphic>
                </wp:inline>
              </w:drawing>
            </w:r>
          </w:p>
          <w:p w14:paraId="59972287">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5、session 管理</w:t>
            </w:r>
          </w:p>
          <w:p w14:paraId="7EF9E0AA">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（1）当前登录用户管理</w:t>
            </w:r>
          </w:p>
          <w:p w14:paraId="585E33AB">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①提供用户查询接口，支持对查询当前登录用户信息包含基础信息、组织信息、角色权限信息等；</w:t>
            </w:r>
          </w:p>
          <w:p w14:paraId="29EC3167">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②提供用户密码修改接口，允许修改当前登录用户密码；</w:t>
            </w:r>
          </w:p>
          <w:p w14:paraId="7D19ACFE">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③提供用户单位或岗位切换接口，允许动态切换当前登录用户单位或岗位信息，并刷新缓存，确保用户信息一致；</w:t>
            </w:r>
          </w:p>
          <w:p w14:paraId="34A16CF2">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④提供用户信息修改接口，允许修改当前登录用户基本信息，并刷新缓存，确保用户信息一致；</w:t>
            </w:r>
          </w:p>
          <w:p w14:paraId="4ED229BC">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⑤提供用户多端在线查询接口，可查询当前用户登录在不同终端或多个客户端浏览器的情况。</w:t>
            </w:r>
          </w:p>
          <w:p w14:paraId="2E262777">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（2）所有用户登录信息管理</w:t>
            </w:r>
          </w:p>
          <w:p w14:paraId="4F4502F8">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①支持查询所有在线用户，查询包含用户名、部门、浏览器终端、登录ip、登录时间、账号安全信息等字段；</w:t>
            </w:r>
          </w:p>
          <w:p w14:paraId="5D91D28B">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②支持按用户名或用户id查询在线终端情况；</w:t>
            </w:r>
          </w:p>
          <w:p w14:paraId="44229649">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③支持将查询的用户信息数据用Excel文件或CVS文件等方式导出；</w:t>
            </w:r>
          </w:p>
          <w:p w14:paraId="7A5007F7">
            <w:pPr>
              <w:pStyle w:val="126"/>
              <w:widowControl/>
              <w:suppressLineNumbers/>
              <w:suppressAutoHyphens/>
              <w:spacing w:line="400" w:lineRule="exact"/>
              <w:ind w:firstLine="420"/>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④支持将异常用户强制下线操作。</w:t>
            </w:r>
          </w:p>
          <w:p w14:paraId="2BA18400">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（二）统一用户中心模块</w:t>
            </w:r>
          </w:p>
          <w:p w14:paraId="584A6543">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依托采购人现有身份认证体系建立全平台统一的用户注册、审核、变更和注销全流程管理模式，组织机构管理包括用户库及组织机构设置，按照多组织、多重层级统一账户的设计，为业务系统提供可靠的身份信息支撑。</w:t>
            </w:r>
          </w:p>
          <w:p w14:paraId="326C2AED">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1、组织架构管理</w:t>
            </w:r>
          </w:p>
          <w:p w14:paraId="5A721788">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支持多组织、多重层级，支持组织兼管关系，允许组织单元可拥有多个上级组织，人员多部门、多职务、虚拟机构等。支持人员排序调整，支持设置多级管理员允许不同部门对自己的组织架构进行管理。</w:t>
            </w:r>
          </w:p>
          <w:p w14:paraId="21BB5EBB">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（1）组织架构分类管理</w:t>
            </w:r>
          </w:p>
          <w:p w14:paraId="10B2EB34">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支持以Tab形式展示和管理多组织架构，并支持对组织架构分类新增、编辑、逻辑删除、强制删除、停用、启用等管理。</w:t>
            </w:r>
          </w:p>
          <w:p w14:paraId="4211C199">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（2）组织架构管理</w:t>
            </w:r>
          </w:p>
          <w:p w14:paraId="41879723">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支持以组织名称、上级组织、创建人、创建时间、组织分类等详细信息，对组织架构节点或下级子组织架构节点进行创建、编辑、删除等操作；允许用户查看某个组织架构节点的详细信息；同时允许用户根据名称、状态等信息模糊搜索并定位到目标组织，并以展开位置高亮显示所搜索到的组织节点；</w:t>
            </w:r>
          </w:p>
          <w:p w14:paraId="11714605">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（3）组织架构树管理</w:t>
            </w:r>
          </w:p>
          <w:p w14:paraId="2DAC3F1E">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支持以树形结构展示系统中组织架构，并可以展开、收起下级节点组织架构；同时支持以拖拽方式，移动组织架构节点，改变组织架构顺序或层级；并可设置是否显示已停用或已逻辑删除的组织架构信息。</w:t>
            </w:r>
          </w:p>
          <w:p w14:paraId="4287BDCF">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（4）组织架构检索</w:t>
            </w:r>
          </w:p>
          <w:p w14:paraId="23441FDE">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支持按照组织名称进行机构筛选，筛选结果包含组织名称、创建人、创建时间等信息。</w:t>
            </w:r>
          </w:p>
          <w:p w14:paraId="03D3EA23">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（5）组织架构导入/导出</w:t>
            </w:r>
          </w:p>
          <w:p w14:paraId="30DF4993">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提供批量导入模版供用户下载使用，并支持按模板内容批量导入，如批量导入错误时，提供导入数据错误内容；同时用模板批量导出所选的组织架构节点信息。</w:t>
            </w:r>
          </w:p>
          <w:p w14:paraId="6C7F0CAD">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（6）组织架构列表</w:t>
            </w:r>
          </w:p>
          <w:p w14:paraId="4A112B82">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支持以指定数量分页表格方式，展示用户可查看权限范围内的组织机构列表信息以及组织架构下用户数，并能通过用户数下钻显示详细的用户信息，此外，还支持展示列表字段选择配置、按字段筛选及排序。</w:t>
            </w:r>
          </w:p>
          <w:p w14:paraId="3323ABF4">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（7）组织架构分权管理</w:t>
            </w:r>
          </w:p>
          <w:p w14:paraId="22B82FD7">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支持对组织架构进行分权管理，确保只有权限的用户才能对组织架构进行查看及编辑等操作管理。</w:t>
            </w:r>
          </w:p>
          <w:p w14:paraId="018B2258">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2、用户管理</w:t>
            </w:r>
          </w:p>
          <w:p w14:paraId="0E829A08">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搭建覆盖全平台的统一用户库，统一对平台用户账号生命周期进行维护，提供组织用户树、用户列表、用户操作、用户导入/导出、用户详情等多种功能，对接各业务系统提供身份支持。</w:t>
            </w:r>
          </w:p>
          <w:p w14:paraId="68B3943D">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（1）组织用户树</w:t>
            </w:r>
          </w:p>
          <w:p w14:paraId="77AAFD06">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支持以树型结展示组织架构，选中组织架构节点后，在用户列表展示组织架构下的用户。</w:t>
            </w:r>
          </w:p>
          <w:p w14:paraId="012C9AB1">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（2）用户信息管理</w:t>
            </w:r>
          </w:p>
          <w:p w14:paraId="7F633597">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①支持在对应的组织架构下，对用户信息进行新增、编辑、批量编辑共有信息、拖拽设置用户排序信息、批量或单一停用/启用用户账号、批量或单一手动锁定/解锁用户账号、批量或单一逻辑删除用户账户、重置用户账户密码等操作；</w:t>
            </w:r>
          </w:p>
          <w:p w14:paraId="6C7F8DC5">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②支持以指定数量分页表格方式，展示用户所选且具有查看权限范围内组织机构下的用户数据，还支持展示列表字段选择配置、按字段筛选及排序等操作；</w:t>
            </w:r>
          </w:p>
          <w:p w14:paraId="58B6D370">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③支持用户名称、账号、手机号、状态等信息模糊查询用户信息；</w:t>
            </w:r>
          </w:p>
          <w:p w14:paraId="3D43ECF8">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（3）组织岗位及角色管理</w:t>
            </w:r>
          </w:p>
          <w:p w14:paraId="6DC52421">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支持对组织岗位及角色等信息进行增删改查等管理；支持一人多组织，可设置人员的主岗兼岗；可通过配置岗位及角色的权限批量设置对应用户继承权限，并可以设定各类权限优先级。</w:t>
            </w:r>
          </w:p>
          <w:p w14:paraId="365C73D0">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（4）用户信息批量导入/导出</w:t>
            </w:r>
          </w:p>
          <w:p w14:paraId="06E48749">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提供批量导入模版供用户下载使用，并支持按模板内容批量导入，如批量导入错误时，提供导入数据错误内容；同时用模板批量导出所选的组织架构节点用户信息。</w:t>
            </w:r>
          </w:p>
          <w:p w14:paraId="19CA3E83">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（5）用户终端信息绑定</w:t>
            </w:r>
          </w:p>
          <w:p w14:paraId="79122523">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支持绑定当前用户登录系统所使用的IP地址以及用户终端其他信息，比如操作系统系统版本信息、浏览器版本信息等；</w:t>
            </w:r>
          </w:p>
          <w:p w14:paraId="0E9BD718">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（6）回收站</w:t>
            </w:r>
          </w:p>
          <w:p w14:paraId="512D1A8D">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支持通过回收站还原误删除的用户及组织架构信息。</w:t>
            </w:r>
          </w:p>
          <w:p w14:paraId="5E339038">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3、职位管理</w:t>
            </w:r>
          </w:p>
          <w:p w14:paraId="6F9C5E6A">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支持职位列表展示、职位操作、职位详情功能。</w:t>
            </w:r>
          </w:p>
          <w:p w14:paraId="21E63B73">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（1）新增职位：支持按照名称创建职位，如检察长、副检察长、技术处长、案管办公室主任等；</w:t>
            </w:r>
          </w:p>
          <w:p w14:paraId="68D4063D">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（2）职位编辑：支持编辑修改职位名称；</w:t>
            </w:r>
          </w:p>
          <w:p w14:paraId="5B877D58">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（3）职位删除：支持删除选中的职位；</w:t>
            </w:r>
          </w:p>
          <w:p w14:paraId="6D32199C">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（4）职位检索：支持按照职位名称进行职位筛选。</w:t>
            </w:r>
          </w:p>
          <w:p w14:paraId="5DB715FA">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（5）职位查看：支持查看职位的详细信息，包括职位名称、上级职位、创建人、创建时间。</w:t>
            </w:r>
          </w:p>
          <w:p w14:paraId="3A0B32D0">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4、角色管理</w:t>
            </w:r>
          </w:p>
          <w:p w14:paraId="104C4093">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支持为不同组织分配角色，对应应用下的所有角色可勾选分配。支持角色标签、角色列表、角色操作、角色详情功能。</w:t>
            </w:r>
          </w:p>
          <w:p w14:paraId="6EB6C79D">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（1）角色标签：支持角色标签增删改查和停用/启用等操作，并能按标签分类筛选角色；</w:t>
            </w:r>
          </w:p>
          <w:p w14:paraId="349A5BA1">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（2）角色列表：支持按照角色名称、归属组织、角色成员、角色权限进行模糊搜索；并支持以指定数量分页表格方式展示角色信息，还支持展示列表字段选择配置、按字段筛选及排序等操作；</w:t>
            </w:r>
          </w:p>
          <w:p w14:paraId="4388950C">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（3）角色权限：支持对角色权限进行增删改查管理，根据权限添加或删除角色授权的用户，设置用户的适用分组等，并支持查看角色被授权的用户列表。</w:t>
            </w:r>
          </w:p>
          <w:p w14:paraId="254BB752">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5、用户组管理</w:t>
            </w:r>
          </w:p>
          <w:p w14:paraId="4464B26E">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由于全区检察机关用户量较多，为避免每新增一个角色都要为用户分配角色，检务综合平台提供用户组管理功能。如果部分用户的使用场景是相对一致和基础的，平台支持把这些用户打包成一个组，基于这个组的对象进行角色和权限的赋予。</w:t>
            </w:r>
          </w:p>
          <w:p w14:paraId="321683CC">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（1）新增用户组：支持按照名称创建新用户组；</w:t>
            </w:r>
          </w:p>
          <w:p w14:paraId="54F15A73">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（2）用户组编辑：支持编辑修改用户组名称；</w:t>
            </w:r>
          </w:p>
          <w:p w14:paraId="0B3CBD3E">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（3）用户组删除：支持删除选中的用户组；</w:t>
            </w:r>
          </w:p>
          <w:p w14:paraId="224D4D9B">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（4）用户组检索：支持按照用户组名称进行用户组筛选；</w:t>
            </w:r>
          </w:p>
          <w:p w14:paraId="0C923061">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（5）用户组查看：支持查看用户组的详细信息，包括用户组名称、用户组角色、成员信息。</w:t>
            </w:r>
          </w:p>
          <w:p w14:paraId="295FF8C4">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6、三员管理</w:t>
            </w:r>
          </w:p>
          <w:p w14:paraId="48216A08">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检务综合平台采用通用的三员分离设计，对管理员的权限进行控制，采用最小授权原则对系统三员进行系统权限的赋予，使三者相互间形成制约关系。</w:t>
            </w:r>
          </w:p>
          <w:p w14:paraId="2BDE78A7">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为贯彻三员分离原则，设置三个管理员角色，三个角色中的任意二个不能同时被赋予同一个用户：</w:t>
            </w:r>
          </w:p>
          <w:p w14:paraId="379C63BA">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（1）系统管理员</w:t>
            </w:r>
          </w:p>
          <w:p w14:paraId="24B35BC9">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系统管理员具有用户、组织、职位、用户组、应用管理功能的增加、修改、查看、删除权限。</w:t>
            </w:r>
          </w:p>
          <w:p w14:paraId="106D498F">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（2）安全管理员</w:t>
            </w:r>
          </w:p>
          <w:p w14:paraId="524D4FBB">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负责系统的日常安全保密管理工作；负责系统用户修改、用户密码重置、用户停启；负责系统用户的角色分配、角色的功能资源分配；负责管理与审查系统用户及安全审计管理员的操作日志。</w:t>
            </w:r>
          </w:p>
          <w:p w14:paraId="760BAF57">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（3）审计管理员</w:t>
            </w:r>
          </w:p>
          <w:p w14:paraId="2C0698B0">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负责对系统管理员和安全管理员的日常操作行为进行审计跟踪分析和监督检查；审计管理员禁止访问平台安装的系统文件和直接访问数据库；禁止执行其它平台管理工作。</w:t>
            </w:r>
          </w:p>
          <w:p w14:paraId="5092455E">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asciiTheme="minorEastAsia" w:hAnsiTheme="minorEastAsia" w:eastAsiaTheme="minorEastAsia" w:cstheme="minorEastAsia"/>
                <w:b/>
                <w:color w:val="auto"/>
                <w:kern w:val="0"/>
                <w:sz w:val="21"/>
                <w:szCs w:val="21"/>
                <w:highlight w:val="none"/>
              </w:rPr>
              <w:t>7、日志管理</w:t>
            </w:r>
          </w:p>
          <w:p w14:paraId="1A8210FF">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支持登录日志、操作日志、日志统计、系统错误日志管理。</w:t>
            </w:r>
          </w:p>
          <w:p w14:paraId="4BCEB334">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（三）网关管理中心</w:t>
            </w:r>
          </w:p>
          <w:p w14:paraId="7BAC5058">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网关管理中心是检务综合平台的关键组件，负责有效管理和开放平台服务。确保内部业务流程高效、数据安全，并统一对外提供服务，保障服务的质量和安全性，同时提高了平台的可访问性和用户体验。网关管理中心通过规划和管理，支撑平台的内部运作和外部服务，为检务系统的顺利运行提供基础。</w:t>
            </w:r>
          </w:p>
          <w:p w14:paraId="64DB16B8">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网关管理中心包括能力网关管理中心、应用管理中心2个主要功能。</w:t>
            </w:r>
          </w:p>
          <w:p w14:paraId="6513FD9B">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能力网关管理中心对底层和第三方的能力进行整合、封装，转换为对外统一输出的能力；应用管理中心负责管控接入业务中台的各类应用。</w:t>
            </w:r>
          </w:p>
          <w:p w14:paraId="66C747C2">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1、能力网关管理中心</w:t>
            </w:r>
          </w:p>
          <w:p w14:paraId="68812C08">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是对通用应用场景提供一整套解决方案的能力集合，一个服务可由多个能力组成，能力是对功能场景的具体实现细节。业务应用通过对服务能力的快速调用实现通用能力的复用，以更低的运作成本来高效、可靠地创建和管理丰富多样的业务场景。能力服务管理中心将所有通用能力整合到中台中，供平台应用进行申请调用，为各应用提供统一、便捷的实现方案。</w:t>
            </w:r>
          </w:p>
          <w:p w14:paraId="309A593E">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（1）认证授权，支持认证令牌获取、认证令牌过期控制、访问权限控制等功能。</w:t>
            </w:r>
          </w:p>
          <w:p w14:paraId="5BCC2129">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（2）统计指标，支持流量记录。</w:t>
            </w:r>
          </w:p>
          <w:p w14:paraId="3857BDC8">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（3）日志记录，支持能力调用日志记录。</w:t>
            </w:r>
          </w:p>
          <w:p w14:paraId="73ABFDC2">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2、应用管理中心</w:t>
            </w:r>
          </w:p>
          <w:p w14:paraId="6D65F6BC">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应用管理：支持应用查询、应用列表展示、应用新增、应用修改、应用删除、应用上架或下架、应用基本信息展示、应用密钥管理、应用地图、应用能力申请、应用成员管理、应用版本及发布。</w:t>
            </w:r>
          </w:p>
          <w:p w14:paraId="126D47E3">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（四）工作台</w:t>
            </w:r>
          </w:p>
          <w:p w14:paraId="35E8E7EB">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工作台作为用户使用应用的第一触点，是所有业务应用系统及信息的集成窗口，同时提供平台通用配置项的配置功能。工作台配置管理支持可视化配置及管理，通过工作台管理功能，系统管理员可配置多个不同的工作台，根据访问权限规范用户的可访问工作台；通过工作台界面设计工具，可对界面进行拖拉拽的无代码设计工作。</w:t>
            </w:r>
          </w:p>
          <w:p w14:paraId="7422E0B0">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1、工作台首页</w:t>
            </w:r>
          </w:p>
          <w:p w14:paraId="5E673565">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汇聚各个业务系统的入口、消息提醒、常用应用、新闻信息、通知内容等，不同的租户可根据实际情况设置不同的应用模块及展示样式，也可根据不同的访问权限设定不同的门户。</w:t>
            </w:r>
          </w:p>
          <w:p w14:paraId="2972A5DD">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2、工作台导航</w:t>
            </w:r>
          </w:p>
          <w:p w14:paraId="467DF0BE">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树型展示导航层级，支持展开、收起节点，以及按名称过滤节点，提高导航的可管理性和查找效率。</w:t>
            </w:r>
          </w:p>
          <w:p w14:paraId="7A1BF96F">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支持列表展示信息，包括标题、图标、链接、样式、排序等，提供清晰的导航视图。</w:t>
            </w:r>
          </w:p>
          <w:p w14:paraId="42775684">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支持包括新增导航、修改导航、隐藏/显示导航、删除导航等操作，增强导航的灵活性和管理能力。</w:t>
            </w:r>
          </w:p>
          <w:p w14:paraId="5F37996C">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3、主题管理</w:t>
            </w:r>
          </w:p>
          <w:p w14:paraId="534A449A">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主题管理提供给管理员统一的主题配置入口，支持主题的布局配置、主题方案、自定义主题配置。</w:t>
            </w:r>
          </w:p>
          <w:p w14:paraId="271FF518">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4、页面管理</w:t>
            </w:r>
          </w:p>
          <w:p w14:paraId="36DBFC62">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页面管理提供给管理员统一配置入口，支持新增、编辑功能，对页面进行面板、组织进行配置。支持页面预览、复制、删除功能。</w:t>
            </w:r>
          </w:p>
          <w:p w14:paraId="6F9C49CF">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5、待办信息</w:t>
            </w:r>
          </w:p>
          <w:p w14:paraId="2F437896">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通过检务综合平台标准接口对接各系统应用相关数据信息，将重要待办信息在平台中集中显示，便于用户集中查阅与办理。可以根据待办内容、待办来源、办理类型等查询条件对待办进行查询。点击详情查看待办的详细情况，点击办理，由于系统做了统一登录验证，可以自动打开对应的业务系统进行业务办理。</w:t>
            </w:r>
          </w:p>
          <w:p w14:paraId="07E20700">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asciiTheme="minorEastAsia" w:hAnsiTheme="minorEastAsia" w:eastAsiaTheme="minorEastAsia" w:cstheme="minorEastAsia"/>
                <w:b/>
                <w:color w:val="auto"/>
                <w:kern w:val="0"/>
                <w:sz w:val="21"/>
                <w:szCs w:val="21"/>
                <w:highlight w:val="none"/>
              </w:rPr>
              <w:t>6、已办信息</w:t>
            </w:r>
          </w:p>
          <w:p w14:paraId="3F405D95">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通过检务综合平台标准接口对接各系统应用相关数据信息，在统一工作平台中显示各类已办事项，便于办理人后期跟踪了解。通过查询已办标题名称、办理类型（办理类型为下拉选择，根据实际业务情况确定）办理时间进行查询我的已办理工作。已办列表内容包括标题、消息类型、来源应用、推送时间、到期时间、操作字段（包括查看详情、办理）。</w:t>
            </w:r>
          </w:p>
          <w:p w14:paraId="64ACA70F">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7、个性化管理</w:t>
            </w:r>
          </w:p>
          <w:p w14:paraId="619AAF98">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通过图标的方式显示授权给当前用户的应用。应用中的消息可以通过在图标上方角标的形式提醒（各应用系统需按照综合服务平台标准接口进行消息提醒数据对接），点击某一应用可跳转至该应用中进行相关业务操作。支持应用显示排序，用户可按照使用频率自主排序，将使用频率高的应用系统优先显示。</w:t>
            </w:r>
          </w:p>
          <w:p w14:paraId="300F7136">
            <w:pPr>
              <w:pStyle w:val="126"/>
              <w:widowControl/>
              <w:suppressLineNumbers/>
              <w:suppressAutoHyphens/>
              <w:spacing w:line="400" w:lineRule="exact"/>
              <w:ind w:firstLine="420"/>
              <w:contextualSpacing/>
              <w:rPr>
                <w:rFonts w:asciiTheme="minorEastAsia" w:hAnsiTheme="minorEastAsia" w:eastAsiaTheme="minorEastAsia" w:cstheme="minorEastAsia"/>
                <w:b/>
                <w:bCs w:val="0"/>
                <w:color w:val="auto"/>
                <w:kern w:val="0"/>
                <w:sz w:val="21"/>
                <w:szCs w:val="21"/>
                <w:highlight w:val="none"/>
              </w:rPr>
            </w:pPr>
            <w:r>
              <w:rPr>
                <w:rFonts w:hint="eastAsia" w:asciiTheme="minorEastAsia" w:hAnsiTheme="minorEastAsia" w:eastAsiaTheme="minorEastAsia" w:cstheme="minorEastAsia"/>
                <w:b/>
                <w:bCs w:val="0"/>
                <w:color w:val="auto"/>
                <w:kern w:val="0"/>
                <w:sz w:val="21"/>
                <w:szCs w:val="21"/>
                <w:highlight w:val="none"/>
              </w:rPr>
              <w:t>8、历史信息检索</w:t>
            </w:r>
          </w:p>
          <w:p w14:paraId="1A0913BA">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按关键字检索，调用检务综合平台各个应用系统的搜索接口，将返回的搜索结果进行整合和去重，形成一个统一的搜索结果列表。</w:t>
            </w:r>
          </w:p>
          <w:p w14:paraId="7C5B774F">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五、系统性能要求</w:t>
            </w:r>
          </w:p>
          <w:p w14:paraId="530B5A9E">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1、平台用户数不受限制；</w:t>
            </w:r>
          </w:p>
          <w:p w14:paraId="4EDA434D">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2、在带宽稳定、服务器计算资源充裕的环境下，访问系统的反应时间≤2秒；</w:t>
            </w:r>
          </w:p>
          <w:p w14:paraId="1E9C0C11">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3、支持≥10000个并发访问；</w:t>
            </w:r>
          </w:p>
          <w:p w14:paraId="506DC650">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4、具备良好性能表现：系统应提供7×24小时的连续运行，平均年故障时间≤1天，平均故障修复时间≤60分钟。</w:t>
            </w:r>
          </w:p>
          <w:p w14:paraId="0FD970EF">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六、系统接口要求</w:t>
            </w:r>
          </w:p>
          <w:p w14:paraId="2F1E57FC">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 xml:space="preserve">1、提供标准开放的数据接口，能通过数据交换中间件实现与其他平台或应用系统之间的数据交换，如webservice、数据库等。 </w:t>
            </w:r>
          </w:p>
          <w:p w14:paraId="33380528">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2、提供身份认证标准接口，可与通用的认证系统集成，如LDAP、数据库等。</w:t>
            </w:r>
          </w:p>
          <w:p w14:paraId="178EA79C">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 xml:space="preserve">3、提供标准的webservice接口，可与公共通讯平台集成。 </w:t>
            </w:r>
          </w:p>
          <w:p w14:paraId="0D78914E">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4、系统需具备优越的扩展性，支持二次开发。系统在版本升级中保证接口协议、功能不发生变化。</w:t>
            </w:r>
          </w:p>
          <w:p w14:paraId="397B17B9">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5、提供标准的商用密码应用接口：提供非对称国密加密接口，对接商用密码机对系统的用户密码进行国密加密；提供对称国密加解密接口，对接商用密码机对系统的需要加密存储的数据进行对称加解密操作；提供不可否认性加密接口，对接商用密码的不可否认性加密操作联调；提供数据一致加密接口，对接商用密码的摘要生成接口，并为检察院的其它业务系统提供服务，使之满足商用密码合规性要求。</w:t>
            </w:r>
          </w:p>
          <w:p w14:paraId="5FED04C1">
            <w:pPr>
              <w:pStyle w:val="126"/>
              <w:widowControl/>
              <w:suppressLineNumbers/>
              <w:suppressAutoHyphens/>
              <w:spacing w:line="400" w:lineRule="exact"/>
              <w:ind w:firstLine="422"/>
              <w:contextualSpacing/>
              <w:rPr>
                <w:rFonts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七、其他要求</w:t>
            </w:r>
          </w:p>
          <w:p w14:paraId="788FC830">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1、根据平台建设情况，做好平台部署所需的服务器、存储、操作系统、数据库等规划设计工作，确保平台部署后以集约化、高性能、高可靠、负载均衡地运行；</w:t>
            </w:r>
          </w:p>
          <w:p w14:paraId="65F1F407">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2、平台建设必须符合等保三级信息系统要求，并配合用户做好平台运行环境的安全规划工作；</w:t>
            </w:r>
          </w:p>
          <w:p w14:paraId="34766771">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3、平台建设必须符合商用密码合规性要求，并配合用户做好平台运行环境配套的商用密码设计工作；</w:t>
            </w:r>
          </w:p>
          <w:p w14:paraId="2A2F308C">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4、本项平台建设功能描述仅供参考，在平台主要功能模块不改变情况下，最终以实施阶段的现场调研需求为准，对软件深化设计开发。</w:t>
            </w:r>
          </w:p>
          <w:p w14:paraId="529EB716">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5、软件如需配套的中间件、单点登录系统、相关网关产品等，需作为建设成本统一考虑，在项目交付时购置提供采购人使用，采购人不再另行购置。</w:t>
            </w:r>
          </w:p>
          <w:p w14:paraId="6EF0A831">
            <w:pPr>
              <w:pStyle w:val="126"/>
              <w:widowControl/>
              <w:suppressLineNumbers/>
              <w:suppressAutoHyphens/>
              <w:spacing w:line="400" w:lineRule="exact"/>
              <w:ind w:firstLine="420"/>
              <w:contextualSpacing/>
              <w:rPr>
                <w:rFonts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6、竞标时，请提供本项的详细设计方案作为评分参考。</w:t>
            </w:r>
          </w:p>
          <w:p w14:paraId="47EA9E6A">
            <w:pPr>
              <w:pStyle w:val="126"/>
              <w:widowControl/>
              <w:suppressLineNumbers/>
              <w:suppressAutoHyphens/>
              <w:spacing w:line="400" w:lineRule="exact"/>
              <w:ind w:firstLine="199" w:firstLineChars="83"/>
              <w:contextualSpacing/>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b/>
                <w:color w:val="auto"/>
                <w:szCs w:val="21"/>
                <w:highlight w:val="none"/>
              </w:rPr>
              <w:t xml:space="preserve"> </w:t>
            </w:r>
            <w:r>
              <w:rPr>
                <w:rFonts w:hint="eastAsia" w:asciiTheme="minorEastAsia" w:hAnsiTheme="minorEastAsia" w:eastAsiaTheme="minorEastAsia" w:cstheme="minorEastAsia"/>
                <w:b/>
                <w:color w:val="auto"/>
                <w:sz w:val="21"/>
                <w:szCs w:val="21"/>
                <w:highlight w:val="none"/>
              </w:rPr>
              <w:t>7、配合用户做好系统初始化工作。（组织架构、系统配置和人员权限、工作台模版，包括但不限于）</w:t>
            </w:r>
          </w:p>
        </w:tc>
      </w:tr>
      <w:tr w14:paraId="78C6FAA2">
        <w:tblPrEx>
          <w:tblCellMar>
            <w:top w:w="0" w:type="dxa"/>
            <w:left w:w="108" w:type="dxa"/>
            <w:bottom w:w="0" w:type="dxa"/>
            <w:right w:w="108" w:type="dxa"/>
          </w:tblCellMar>
        </w:tblPrEx>
        <w:trPr>
          <w:trHeight w:val="510" w:hRule="atLeast"/>
          <w:jc w:val="center"/>
        </w:trPr>
        <w:tc>
          <w:tcPr>
            <w:tcW w:w="505" w:type="dxa"/>
            <w:tcBorders>
              <w:top w:val="single" w:color="auto" w:sz="4" w:space="0"/>
              <w:left w:val="single" w:color="auto" w:sz="4" w:space="0"/>
              <w:bottom w:val="single" w:color="auto" w:sz="4" w:space="0"/>
              <w:right w:val="single" w:color="auto" w:sz="4" w:space="0"/>
            </w:tcBorders>
            <w:vAlign w:val="center"/>
          </w:tcPr>
          <w:p w14:paraId="4AAD4B91">
            <w:pPr>
              <w:snapToGrid w:val="0"/>
              <w:spacing w:line="400" w:lineRule="exact"/>
              <w:jc w:val="center"/>
              <w:rPr>
                <w:rFonts w:ascii="宋体" w:hAnsi="宋体" w:eastAsia="Courier New" w:cs="宋体"/>
                <w:color w:val="auto"/>
                <w:kern w:val="0"/>
                <w:szCs w:val="21"/>
                <w:highlight w:val="none"/>
              </w:rPr>
            </w:pPr>
            <w:r>
              <w:rPr>
                <w:rFonts w:hint="eastAsia" w:ascii="宋体" w:hAnsi="宋体" w:cs="宋体"/>
                <w:color w:val="auto"/>
                <w:kern w:val="0"/>
                <w:szCs w:val="21"/>
                <w:highlight w:val="none"/>
              </w:rPr>
              <w:t>2</w:t>
            </w:r>
          </w:p>
        </w:tc>
        <w:tc>
          <w:tcPr>
            <w:tcW w:w="1119" w:type="dxa"/>
            <w:tcBorders>
              <w:top w:val="single" w:color="auto" w:sz="4" w:space="0"/>
              <w:left w:val="nil"/>
              <w:bottom w:val="single" w:color="auto" w:sz="4" w:space="0"/>
              <w:right w:val="single" w:color="auto" w:sz="4" w:space="0"/>
            </w:tcBorders>
            <w:vAlign w:val="center"/>
          </w:tcPr>
          <w:p w14:paraId="670B7EBB">
            <w:pPr>
              <w:spacing w:line="400" w:lineRule="exact"/>
              <w:jc w:val="center"/>
              <w:rPr>
                <w:rFonts w:ascii="宋体" w:hAnsi="宋体" w:cs="宋体"/>
                <w:color w:val="auto"/>
                <w:szCs w:val="21"/>
                <w:highlight w:val="none"/>
              </w:rPr>
            </w:pPr>
            <w:r>
              <w:rPr>
                <w:rFonts w:hint="eastAsia" w:ascii="宋体" w:hAnsi="宋体"/>
                <w:color w:val="auto"/>
                <w:szCs w:val="21"/>
                <w:highlight w:val="none"/>
              </w:rPr>
              <w:t>现有应用系统用户数据整合服务</w:t>
            </w:r>
          </w:p>
        </w:tc>
        <w:tc>
          <w:tcPr>
            <w:tcW w:w="662" w:type="dxa"/>
            <w:tcBorders>
              <w:top w:val="single" w:color="auto" w:sz="4" w:space="0"/>
              <w:left w:val="single" w:color="auto" w:sz="4" w:space="0"/>
              <w:bottom w:val="single" w:color="auto" w:sz="4" w:space="0"/>
              <w:right w:val="single" w:color="auto" w:sz="4" w:space="0"/>
            </w:tcBorders>
            <w:vAlign w:val="center"/>
          </w:tcPr>
          <w:p w14:paraId="3D63A97A">
            <w:pPr>
              <w:jc w:val="center"/>
              <w:rPr>
                <w:rFonts w:ascii="宋体" w:hAnsi="宋体" w:cs="宋体"/>
                <w:color w:val="auto"/>
                <w:szCs w:val="21"/>
                <w:highlight w:val="none"/>
              </w:rPr>
            </w:pPr>
            <w:r>
              <w:rPr>
                <w:rFonts w:hint="eastAsia" w:ascii="宋体" w:hAnsi="宋体"/>
                <w:color w:val="auto"/>
                <w:szCs w:val="21"/>
                <w:highlight w:val="none"/>
              </w:rPr>
              <w:t>1</w:t>
            </w:r>
          </w:p>
        </w:tc>
        <w:tc>
          <w:tcPr>
            <w:tcW w:w="650" w:type="dxa"/>
            <w:tcBorders>
              <w:top w:val="single" w:color="auto" w:sz="4" w:space="0"/>
              <w:left w:val="single" w:color="auto" w:sz="4" w:space="0"/>
              <w:bottom w:val="single" w:color="auto" w:sz="4" w:space="0"/>
              <w:right w:val="single" w:color="auto" w:sz="4" w:space="0"/>
            </w:tcBorders>
            <w:vAlign w:val="center"/>
          </w:tcPr>
          <w:p w14:paraId="74DEDDFA">
            <w:pPr>
              <w:pStyle w:val="126"/>
              <w:widowControl/>
              <w:suppressLineNumbers/>
              <w:suppressAutoHyphens/>
              <w:spacing w:line="400" w:lineRule="exact"/>
              <w:ind w:firstLine="0" w:firstLineChars="0"/>
              <w:contextualSpacing/>
              <w:jc w:val="center"/>
              <w:rPr>
                <w:rFonts w:cs="宋体"/>
                <w:color w:val="auto"/>
                <w:szCs w:val="21"/>
                <w:highlight w:val="none"/>
              </w:rPr>
            </w:pPr>
            <w:r>
              <w:rPr>
                <w:rFonts w:hint="eastAsia"/>
                <w:color w:val="auto"/>
                <w:szCs w:val="21"/>
                <w:highlight w:val="none"/>
              </w:rPr>
              <w:t>项</w:t>
            </w:r>
          </w:p>
        </w:tc>
        <w:tc>
          <w:tcPr>
            <w:tcW w:w="6578" w:type="dxa"/>
            <w:tcBorders>
              <w:top w:val="single" w:color="auto" w:sz="4" w:space="0"/>
              <w:left w:val="single" w:color="auto" w:sz="4" w:space="0"/>
              <w:bottom w:val="single" w:color="auto" w:sz="4" w:space="0"/>
              <w:right w:val="single" w:color="auto" w:sz="4" w:space="0"/>
            </w:tcBorders>
            <w:vAlign w:val="center"/>
          </w:tcPr>
          <w:p w14:paraId="17725426">
            <w:pPr>
              <w:pStyle w:val="126"/>
              <w:widowControl/>
              <w:suppressLineNumbers/>
              <w:suppressAutoHyphens/>
              <w:spacing w:line="400" w:lineRule="exact"/>
              <w:ind w:firstLine="420"/>
              <w:contextualSpacing/>
              <w:rPr>
                <w:rFonts w:cs="宋体"/>
                <w:color w:val="auto"/>
                <w:szCs w:val="21"/>
                <w:highlight w:val="none"/>
              </w:rPr>
            </w:pPr>
            <w:r>
              <w:rPr>
                <w:rFonts w:hint="eastAsia" w:cs="宋体"/>
                <w:bCs w:val="0"/>
                <w:color w:val="auto"/>
                <w:kern w:val="0"/>
                <w:sz w:val="21"/>
                <w:szCs w:val="21"/>
                <w:highlight w:val="none"/>
              </w:rPr>
              <w:t>为了有效地整合不同应用系统中的用户数据，通过对软件源码、JAVA软件包反编译以及数据库读写日志等分析的方式，深入了解用户按照</w:t>
            </w:r>
            <w:r>
              <w:rPr>
                <w:rFonts w:cs="宋体"/>
                <w:bCs w:val="0"/>
                <w:color w:val="auto"/>
                <w:kern w:val="0"/>
                <w:sz w:val="21"/>
                <w:szCs w:val="21"/>
                <w:highlight w:val="none"/>
              </w:rPr>
              <w:t>能整合</w:t>
            </w:r>
            <w:r>
              <w:rPr>
                <w:rFonts w:hint="eastAsia" w:cs="宋体"/>
                <w:bCs w:val="0"/>
                <w:color w:val="auto"/>
                <w:kern w:val="0"/>
                <w:sz w:val="21"/>
                <w:szCs w:val="21"/>
                <w:highlight w:val="none"/>
              </w:rPr>
              <w:t>必须</w:t>
            </w:r>
            <w:r>
              <w:rPr>
                <w:rFonts w:cs="宋体"/>
                <w:bCs w:val="0"/>
                <w:color w:val="auto"/>
                <w:kern w:val="0"/>
                <w:sz w:val="21"/>
                <w:szCs w:val="21"/>
                <w:highlight w:val="none"/>
              </w:rPr>
              <w:t>整合</w:t>
            </w:r>
            <w:r>
              <w:rPr>
                <w:rFonts w:hint="eastAsia" w:cs="宋体"/>
                <w:bCs w:val="0"/>
                <w:color w:val="auto"/>
                <w:kern w:val="0"/>
                <w:sz w:val="21"/>
                <w:szCs w:val="21"/>
                <w:highlight w:val="none"/>
              </w:rPr>
              <w:t>的</w:t>
            </w:r>
            <w:r>
              <w:rPr>
                <w:rFonts w:cs="宋体"/>
                <w:bCs w:val="0"/>
                <w:color w:val="auto"/>
                <w:kern w:val="0"/>
                <w:sz w:val="21"/>
                <w:szCs w:val="21"/>
                <w:highlight w:val="none"/>
              </w:rPr>
              <w:t>原则</w:t>
            </w:r>
            <w:r>
              <w:rPr>
                <w:rFonts w:hint="eastAsia" w:cs="宋体"/>
                <w:bCs w:val="0"/>
                <w:color w:val="auto"/>
                <w:kern w:val="0"/>
                <w:sz w:val="21"/>
                <w:szCs w:val="21"/>
                <w:highlight w:val="none"/>
              </w:rPr>
              <w:t>整合对接采购</w:t>
            </w:r>
            <w:r>
              <w:rPr>
                <w:rFonts w:cs="宋体"/>
                <w:bCs w:val="0"/>
                <w:color w:val="auto"/>
                <w:kern w:val="0"/>
                <w:sz w:val="21"/>
                <w:szCs w:val="21"/>
                <w:highlight w:val="none"/>
              </w:rPr>
              <w:t>人在用的信息</w:t>
            </w:r>
            <w:r>
              <w:rPr>
                <w:rFonts w:hint="eastAsia" w:cs="宋体"/>
                <w:bCs w:val="0"/>
                <w:color w:val="auto"/>
                <w:kern w:val="0"/>
                <w:sz w:val="21"/>
                <w:szCs w:val="21"/>
                <w:highlight w:val="none"/>
              </w:rPr>
              <w:t>系统（≤</w:t>
            </w:r>
            <w:r>
              <w:rPr>
                <w:rFonts w:cs="宋体"/>
                <w:bCs w:val="0"/>
                <w:color w:val="auto"/>
                <w:kern w:val="0"/>
                <w:sz w:val="21"/>
                <w:szCs w:val="21"/>
                <w:highlight w:val="none"/>
              </w:rPr>
              <w:t>40</w:t>
            </w:r>
            <w:r>
              <w:rPr>
                <w:rFonts w:hint="eastAsia" w:cs="宋体"/>
                <w:bCs w:val="0"/>
                <w:color w:val="auto"/>
                <w:kern w:val="0"/>
                <w:sz w:val="21"/>
                <w:szCs w:val="21"/>
                <w:highlight w:val="none"/>
              </w:rPr>
              <w:t>套B</w:t>
            </w:r>
            <w:r>
              <w:rPr>
                <w:rFonts w:cs="宋体"/>
                <w:bCs w:val="0"/>
                <w:color w:val="auto"/>
                <w:kern w:val="0"/>
                <w:sz w:val="21"/>
                <w:szCs w:val="21"/>
                <w:highlight w:val="none"/>
              </w:rPr>
              <w:t>/S</w:t>
            </w:r>
            <w:r>
              <w:rPr>
                <w:rFonts w:hint="eastAsia" w:cs="宋体"/>
                <w:bCs w:val="0"/>
                <w:color w:val="auto"/>
                <w:kern w:val="0"/>
                <w:sz w:val="21"/>
                <w:szCs w:val="21"/>
                <w:highlight w:val="none"/>
              </w:rPr>
              <w:t>架构系统）内业务数据的结构、存储方式以及数据量。通过分析各系统中业务数据的具体属性，建立一套准确的数据映射关系，确保不同来源的数据在整合过程中能够相互对应和匹配，以便能够在检务综合平台上实现用户数据的无缝对接和统一管理。</w:t>
            </w:r>
          </w:p>
        </w:tc>
      </w:tr>
      <w:tr w14:paraId="60ACCA36">
        <w:tblPrEx>
          <w:tblCellMar>
            <w:top w:w="0" w:type="dxa"/>
            <w:left w:w="108" w:type="dxa"/>
            <w:bottom w:w="0" w:type="dxa"/>
            <w:right w:w="108" w:type="dxa"/>
          </w:tblCellMar>
        </w:tblPrEx>
        <w:trPr>
          <w:trHeight w:val="510" w:hRule="atLeast"/>
          <w:jc w:val="center"/>
        </w:trPr>
        <w:tc>
          <w:tcPr>
            <w:tcW w:w="505" w:type="dxa"/>
            <w:tcBorders>
              <w:top w:val="single" w:color="auto" w:sz="4" w:space="0"/>
              <w:left w:val="single" w:color="auto" w:sz="4" w:space="0"/>
              <w:bottom w:val="single" w:color="auto" w:sz="4" w:space="0"/>
              <w:right w:val="single" w:color="auto" w:sz="4" w:space="0"/>
            </w:tcBorders>
            <w:vAlign w:val="center"/>
          </w:tcPr>
          <w:p w14:paraId="3679A84F">
            <w:pPr>
              <w:snapToGrid w:val="0"/>
              <w:spacing w:line="400" w:lineRule="exact"/>
              <w:jc w:val="center"/>
              <w:rPr>
                <w:rFonts w:ascii="宋体" w:hAnsi="宋体" w:eastAsia="Courier New" w:cs="宋体"/>
                <w:color w:val="auto"/>
                <w:kern w:val="0"/>
                <w:szCs w:val="21"/>
                <w:highlight w:val="none"/>
              </w:rPr>
            </w:pPr>
            <w:r>
              <w:rPr>
                <w:rFonts w:hint="eastAsia" w:ascii="宋体" w:hAnsi="宋体" w:cs="宋体"/>
                <w:color w:val="auto"/>
                <w:kern w:val="0"/>
                <w:szCs w:val="21"/>
                <w:highlight w:val="none"/>
              </w:rPr>
              <w:t>3</w:t>
            </w:r>
          </w:p>
        </w:tc>
        <w:tc>
          <w:tcPr>
            <w:tcW w:w="1119" w:type="dxa"/>
            <w:tcBorders>
              <w:top w:val="single" w:color="auto" w:sz="4" w:space="0"/>
              <w:left w:val="nil"/>
              <w:bottom w:val="single" w:color="auto" w:sz="4" w:space="0"/>
              <w:right w:val="single" w:color="auto" w:sz="4" w:space="0"/>
            </w:tcBorders>
            <w:vAlign w:val="center"/>
          </w:tcPr>
          <w:p w14:paraId="727C29E7">
            <w:pPr>
              <w:spacing w:line="400" w:lineRule="exact"/>
              <w:jc w:val="center"/>
              <w:rPr>
                <w:rFonts w:ascii="宋体" w:hAnsi="宋体" w:cs="宋体"/>
                <w:color w:val="auto"/>
                <w:szCs w:val="21"/>
                <w:highlight w:val="none"/>
              </w:rPr>
            </w:pPr>
            <w:r>
              <w:rPr>
                <w:rFonts w:hint="eastAsia" w:ascii="宋体" w:hAnsi="宋体"/>
                <w:color w:val="auto"/>
                <w:szCs w:val="21"/>
                <w:highlight w:val="none"/>
              </w:rPr>
              <w:t>检务综合平台与可视化大屏引擎组件对接服务</w:t>
            </w:r>
          </w:p>
        </w:tc>
        <w:tc>
          <w:tcPr>
            <w:tcW w:w="662" w:type="dxa"/>
            <w:tcBorders>
              <w:top w:val="single" w:color="auto" w:sz="4" w:space="0"/>
              <w:left w:val="single" w:color="auto" w:sz="4" w:space="0"/>
              <w:bottom w:val="single" w:color="auto" w:sz="4" w:space="0"/>
              <w:right w:val="single" w:color="auto" w:sz="4" w:space="0"/>
            </w:tcBorders>
            <w:vAlign w:val="center"/>
          </w:tcPr>
          <w:p w14:paraId="19878963">
            <w:pPr>
              <w:jc w:val="center"/>
              <w:rPr>
                <w:rFonts w:ascii="宋体" w:hAnsi="宋体" w:cs="宋体"/>
                <w:color w:val="auto"/>
                <w:szCs w:val="21"/>
                <w:highlight w:val="none"/>
              </w:rPr>
            </w:pPr>
            <w:r>
              <w:rPr>
                <w:rFonts w:hint="eastAsia" w:ascii="宋体" w:hAnsi="宋体"/>
                <w:color w:val="auto"/>
                <w:szCs w:val="21"/>
                <w:highlight w:val="none"/>
              </w:rPr>
              <w:t>1</w:t>
            </w:r>
          </w:p>
        </w:tc>
        <w:tc>
          <w:tcPr>
            <w:tcW w:w="650" w:type="dxa"/>
            <w:tcBorders>
              <w:top w:val="single" w:color="auto" w:sz="4" w:space="0"/>
              <w:left w:val="single" w:color="auto" w:sz="4" w:space="0"/>
              <w:bottom w:val="single" w:color="auto" w:sz="4" w:space="0"/>
              <w:right w:val="single" w:color="auto" w:sz="4" w:space="0"/>
            </w:tcBorders>
            <w:vAlign w:val="center"/>
          </w:tcPr>
          <w:p w14:paraId="66A79A07">
            <w:pPr>
              <w:pStyle w:val="126"/>
              <w:widowControl/>
              <w:suppressLineNumbers/>
              <w:suppressAutoHyphens/>
              <w:spacing w:line="400" w:lineRule="exact"/>
              <w:ind w:firstLine="0" w:firstLineChars="0"/>
              <w:contextualSpacing/>
              <w:jc w:val="center"/>
              <w:rPr>
                <w:rFonts w:cs="宋体"/>
                <w:color w:val="auto"/>
                <w:szCs w:val="21"/>
                <w:highlight w:val="none"/>
              </w:rPr>
            </w:pPr>
            <w:r>
              <w:rPr>
                <w:rFonts w:hint="eastAsia"/>
                <w:color w:val="auto"/>
                <w:szCs w:val="21"/>
                <w:highlight w:val="none"/>
              </w:rPr>
              <w:t>项</w:t>
            </w:r>
          </w:p>
        </w:tc>
        <w:tc>
          <w:tcPr>
            <w:tcW w:w="6578" w:type="dxa"/>
            <w:tcBorders>
              <w:top w:val="single" w:color="auto" w:sz="4" w:space="0"/>
              <w:left w:val="single" w:color="auto" w:sz="4" w:space="0"/>
              <w:bottom w:val="single" w:color="auto" w:sz="4" w:space="0"/>
              <w:right w:val="single" w:color="auto" w:sz="4" w:space="0"/>
            </w:tcBorders>
            <w:vAlign w:val="center"/>
          </w:tcPr>
          <w:p w14:paraId="263ED118">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利用广西政务云公共网络区的可视化大屏引擎组件，建设自治区检察院可视化展示平台，满足对检察机关办公、办案、管理及数字检察业务应用等数据指标展示、汇报、分析等需求。具体要求如下：</w:t>
            </w:r>
          </w:p>
          <w:p w14:paraId="132F2B4A">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1、广西政务云的可视化大屏引擎组件部署在政务外网的公共网络区，以租户方式给各党政机关提供可视化计算展示等应用服务，因此，为了确保安全可靠地应用该可视化大屏引擎实现数据展示，则需要配合用户，按照检察工作网边界安全规范要求，做好系统安全规划，充分利用用户的网闸等设施，实现安全地应用该可视化大屏引擎组件，做好本项目可视化大屏建设。</w:t>
            </w:r>
          </w:p>
          <w:p w14:paraId="3387D773">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2、将检务综合平台集中收集各个应用系统办公流程、办案信息、队伍管理以及检务保障资源使用等方面的数据进行整合、清洗和转换，经过筛选、排序和聚合处理后，通过可视化大屏引擎组件实现以下大屏指标（包含但不限于）的展示：</w:t>
            </w:r>
          </w:p>
          <w:p w14:paraId="21FB2DAB">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（1）办公系统：可以通过柱状图、折线图等形式展示各部门的办文工作效率、任务完成情况等数据；通过饼图展示部门间的工作分配比例；通过热力图展示工作时间的分布情况等。</w:t>
            </w:r>
          </w:p>
          <w:p w14:paraId="388AD4A1">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（2）办案系统：可以通过地图展示案件的地理分布情况；通过时间轴展示案件的处理进度；通过柱状图展示各类案件的数量比例等展示各类办案业务系统及其指标信息情况。</w:t>
            </w:r>
          </w:p>
          <w:p w14:paraId="0F7A5E33">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（3）队伍管理系统：可以通过组织结构图展示人员的结构分布；通过雷达图展示工作人员的各项考核指标；通过折线图展示的工作表现趋势等。</w:t>
            </w:r>
          </w:p>
          <w:p w14:paraId="435EF1B8">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（4）检务保障系统：可以通过饼图展示各项资源的使用比例；通过柱状图展示各项服务的满意度等。</w:t>
            </w:r>
          </w:p>
          <w:p w14:paraId="50CBF12B">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（5）大数据法律监督模型平台：根据用户需求，参照大数据法律监督模型平台可视化模块，结合地图，以同比、环比、趋势、热词等形式，动态地展示大数据法律监督模型建设与应用情况。</w:t>
            </w:r>
          </w:p>
          <w:p w14:paraId="153D3D77">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cs="宋体"/>
                <w:bCs w:val="0"/>
                <w:color w:val="auto"/>
                <w:kern w:val="0"/>
                <w:sz w:val="21"/>
                <w:szCs w:val="21"/>
                <w:highlight w:val="none"/>
              </w:rPr>
              <w:t>3</w:t>
            </w:r>
            <w:r>
              <w:rPr>
                <w:rFonts w:hint="eastAsia" w:cs="宋体"/>
                <w:bCs w:val="0"/>
                <w:color w:val="auto"/>
                <w:kern w:val="0"/>
                <w:sz w:val="21"/>
                <w:szCs w:val="21"/>
                <w:highlight w:val="none"/>
              </w:rPr>
              <w:t>、可视化大屏的在页面布局上需综合考虑整体布局规划、元素排列与对齐、信息呈现与主次关系、布局类型与选择以及稳定性与传输效率等方面。在内容上要便于可读性和用户体验，使大屏展示更加直观、形象且易于理解。</w:t>
            </w:r>
          </w:p>
          <w:p w14:paraId="6206E2E4">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cs="宋体"/>
                <w:bCs w:val="0"/>
                <w:color w:val="auto"/>
                <w:kern w:val="0"/>
                <w:sz w:val="21"/>
                <w:szCs w:val="21"/>
                <w:highlight w:val="none"/>
              </w:rPr>
              <w:t>4</w:t>
            </w:r>
            <w:r>
              <w:rPr>
                <w:rFonts w:hint="eastAsia" w:cs="宋体"/>
                <w:bCs w:val="0"/>
                <w:color w:val="auto"/>
                <w:kern w:val="0"/>
                <w:sz w:val="21"/>
                <w:szCs w:val="21"/>
                <w:highlight w:val="none"/>
              </w:rPr>
              <w:t>、按照广西政务云公共网络区的可视化大屏引擎组件接口规范，通过webAPI方式向可视化大屏引擎提供用户的数据展示，确保用户数据安全。</w:t>
            </w:r>
          </w:p>
          <w:p w14:paraId="1400B036">
            <w:pPr>
              <w:pStyle w:val="126"/>
              <w:widowControl/>
              <w:suppressLineNumbers/>
              <w:suppressAutoHyphens/>
              <w:spacing w:line="400" w:lineRule="exact"/>
              <w:ind w:firstLine="420"/>
              <w:contextualSpacing/>
              <w:rPr>
                <w:color w:val="auto"/>
                <w:szCs w:val="21"/>
                <w:highlight w:val="none"/>
              </w:rPr>
            </w:pPr>
            <w:r>
              <w:rPr>
                <w:rFonts w:cs="宋体"/>
                <w:bCs w:val="0"/>
                <w:color w:val="auto"/>
                <w:kern w:val="0"/>
                <w:sz w:val="21"/>
                <w:szCs w:val="21"/>
                <w:highlight w:val="none"/>
              </w:rPr>
              <w:t>5</w:t>
            </w:r>
            <w:r>
              <w:rPr>
                <w:rFonts w:hint="eastAsia" w:cs="宋体"/>
                <w:bCs w:val="0"/>
                <w:color w:val="auto"/>
                <w:kern w:val="0"/>
                <w:sz w:val="21"/>
                <w:szCs w:val="21"/>
                <w:highlight w:val="none"/>
              </w:rPr>
              <w:t>、为保证只有授权用户才可以访问大屏，避免未授权用户非法访问大屏页面，在检务综合平台中加强权限管理，对大屏页面数据进行授权访问。</w:t>
            </w:r>
          </w:p>
        </w:tc>
      </w:tr>
      <w:tr w14:paraId="3BD4D39A">
        <w:tblPrEx>
          <w:tblCellMar>
            <w:top w:w="0" w:type="dxa"/>
            <w:left w:w="108" w:type="dxa"/>
            <w:bottom w:w="0" w:type="dxa"/>
            <w:right w:w="108" w:type="dxa"/>
          </w:tblCellMar>
        </w:tblPrEx>
        <w:trPr>
          <w:trHeight w:val="510" w:hRule="atLeast"/>
          <w:jc w:val="center"/>
        </w:trPr>
        <w:tc>
          <w:tcPr>
            <w:tcW w:w="505" w:type="dxa"/>
            <w:tcBorders>
              <w:top w:val="single" w:color="auto" w:sz="4" w:space="0"/>
              <w:left w:val="single" w:color="auto" w:sz="4" w:space="0"/>
              <w:bottom w:val="single" w:color="auto" w:sz="4" w:space="0"/>
              <w:right w:val="single" w:color="auto" w:sz="4" w:space="0"/>
            </w:tcBorders>
            <w:vAlign w:val="center"/>
          </w:tcPr>
          <w:p w14:paraId="103BF676">
            <w:pPr>
              <w:snapToGrid w:val="0"/>
              <w:spacing w:line="400" w:lineRule="exact"/>
              <w:jc w:val="center"/>
              <w:rPr>
                <w:rFonts w:ascii="宋体" w:hAnsi="宋体" w:eastAsia="Courier New" w:cs="宋体"/>
                <w:color w:val="auto"/>
                <w:kern w:val="0"/>
                <w:szCs w:val="21"/>
                <w:highlight w:val="none"/>
              </w:rPr>
            </w:pPr>
            <w:r>
              <w:rPr>
                <w:rFonts w:ascii="宋体" w:hAnsi="宋体" w:cs="宋体"/>
                <w:color w:val="auto"/>
                <w:kern w:val="0"/>
                <w:szCs w:val="21"/>
                <w:highlight w:val="none"/>
              </w:rPr>
              <w:t>4</w:t>
            </w:r>
          </w:p>
        </w:tc>
        <w:tc>
          <w:tcPr>
            <w:tcW w:w="1119" w:type="dxa"/>
            <w:tcBorders>
              <w:top w:val="single" w:color="auto" w:sz="4" w:space="0"/>
              <w:left w:val="nil"/>
              <w:bottom w:val="single" w:color="auto" w:sz="4" w:space="0"/>
              <w:right w:val="single" w:color="auto" w:sz="4" w:space="0"/>
            </w:tcBorders>
            <w:vAlign w:val="center"/>
          </w:tcPr>
          <w:p w14:paraId="1DB0231C">
            <w:pPr>
              <w:spacing w:line="400" w:lineRule="exact"/>
              <w:jc w:val="center"/>
              <w:rPr>
                <w:rFonts w:ascii="宋体" w:hAnsi="宋体"/>
                <w:color w:val="auto"/>
                <w:szCs w:val="21"/>
                <w:highlight w:val="none"/>
              </w:rPr>
            </w:pPr>
            <w:r>
              <w:rPr>
                <w:rFonts w:hint="eastAsia" w:ascii="宋体" w:hAnsi="宋体"/>
                <w:color w:val="auto"/>
                <w:szCs w:val="21"/>
                <w:highlight w:val="none"/>
              </w:rPr>
              <w:t>应用系统与检务综合平台对接服务</w:t>
            </w:r>
          </w:p>
        </w:tc>
        <w:tc>
          <w:tcPr>
            <w:tcW w:w="662" w:type="dxa"/>
            <w:tcBorders>
              <w:top w:val="single" w:color="auto" w:sz="4" w:space="0"/>
              <w:left w:val="single" w:color="auto" w:sz="4" w:space="0"/>
              <w:bottom w:val="single" w:color="auto" w:sz="4" w:space="0"/>
              <w:right w:val="single" w:color="auto" w:sz="4" w:space="0"/>
            </w:tcBorders>
            <w:vAlign w:val="center"/>
          </w:tcPr>
          <w:p w14:paraId="3BF293E8">
            <w:pPr>
              <w:jc w:val="center"/>
              <w:rPr>
                <w:rFonts w:ascii="宋体" w:hAnsi="宋体" w:cs="宋体"/>
                <w:color w:val="auto"/>
                <w:szCs w:val="21"/>
                <w:highlight w:val="none"/>
              </w:rPr>
            </w:pPr>
            <w:r>
              <w:rPr>
                <w:rFonts w:hint="eastAsia" w:ascii="宋体" w:hAnsi="宋体"/>
                <w:color w:val="auto"/>
                <w:szCs w:val="21"/>
                <w:highlight w:val="none"/>
              </w:rPr>
              <w:t>1</w:t>
            </w:r>
          </w:p>
        </w:tc>
        <w:tc>
          <w:tcPr>
            <w:tcW w:w="650" w:type="dxa"/>
            <w:tcBorders>
              <w:top w:val="single" w:color="auto" w:sz="4" w:space="0"/>
              <w:left w:val="single" w:color="auto" w:sz="4" w:space="0"/>
              <w:bottom w:val="single" w:color="auto" w:sz="4" w:space="0"/>
              <w:right w:val="single" w:color="auto" w:sz="4" w:space="0"/>
            </w:tcBorders>
            <w:vAlign w:val="center"/>
          </w:tcPr>
          <w:p w14:paraId="08B1CED3">
            <w:pPr>
              <w:pStyle w:val="126"/>
              <w:widowControl/>
              <w:suppressLineNumbers/>
              <w:suppressAutoHyphens/>
              <w:spacing w:line="400" w:lineRule="exact"/>
              <w:ind w:firstLine="0" w:firstLineChars="0"/>
              <w:contextualSpacing/>
              <w:jc w:val="center"/>
              <w:rPr>
                <w:rFonts w:cs="宋体"/>
                <w:color w:val="auto"/>
                <w:szCs w:val="21"/>
                <w:highlight w:val="none"/>
              </w:rPr>
            </w:pPr>
            <w:r>
              <w:rPr>
                <w:rFonts w:hint="eastAsia"/>
                <w:color w:val="auto"/>
                <w:szCs w:val="21"/>
                <w:highlight w:val="none"/>
              </w:rPr>
              <w:t>项</w:t>
            </w:r>
          </w:p>
        </w:tc>
        <w:tc>
          <w:tcPr>
            <w:tcW w:w="6578" w:type="dxa"/>
            <w:tcBorders>
              <w:top w:val="single" w:color="auto" w:sz="4" w:space="0"/>
              <w:left w:val="single" w:color="auto" w:sz="4" w:space="0"/>
              <w:bottom w:val="single" w:color="auto" w:sz="4" w:space="0"/>
              <w:right w:val="single" w:color="auto" w:sz="4" w:space="0"/>
            </w:tcBorders>
            <w:vAlign w:val="center"/>
          </w:tcPr>
          <w:p w14:paraId="3DB163FE">
            <w:pPr>
              <w:pStyle w:val="126"/>
              <w:widowControl/>
              <w:suppressLineNumbers/>
              <w:suppressAutoHyphens/>
              <w:spacing w:line="400" w:lineRule="exact"/>
              <w:ind w:firstLine="422"/>
              <w:contextualSpacing/>
              <w:rPr>
                <w:rFonts w:cs="宋体"/>
                <w:b/>
                <w:bCs w:val="0"/>
                <w:color w:val="auto"/>
                <w:kern w:val="0"/>
                <w:sz w:val="21"/>
                <w:szCs w:val="21"/>
                <w:highlight w:val="none"/>
              </w:rPr>
            </w:pPr>
            <w:r>
              <w:rPr>
                <w:rFonts w:hint="eastAsia" w:cs="宋体"/>
                <w:b/>
                <w:bCs w:val="0"/>
                <w:color w:val="auto"/>
                <w:kern w:val="0"/>
                <w:sz w:val="21"/>
                <w:szCs w:val="21"/>
                <w:highlight w:val="none"/>
              </w:rPr>
              <w:t>一、应用系统与检务综合平台对接要求</w:t>
            </w:r>
          </w:p>
          <w:p w14:paraId="64CA7F8E">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通过对软件源码、JAVA软件包反编译以及数据库读写日志等分析的方式，深入了解用户需要整合系统（≤</w:t>
            </w:r>
            <w:r>
              <w:rPr>
                <w:rFonts w:cs="宋体"/>
                <w:bCs w:val="0"/>
                <w:color w:val="auto"/>
                <w:kern w:val="0"/>
                <w:sz w:val="21"/>
                <w:szCs w:val="21"/>
                <w:highlight w:val="none"/>
              </w:rPr>
              <w:t>40</w:t>
            </w:r>
            <w:r>
              <w:rPr>
                <w:rFonts w:hint="eastAsia" w:cs="宋体"/>
                <w:bCs w:val="0"/>
                <w:color w:val="auto"/>
                <w:kern w:val="0"/>
                <w:sz w:val="21"/>
                <w:szCs w:val="21"/>
                <w:highlight w:val="none"/>
              </w:rPr>
              <w:t>套B</w:t>
            </w:r>
            <w:r>
              <w:rPr>
                <w:rFonts w:cs="宋体"/>
                <w:bCs w:val="0"/>
                <w:color w:val="auto"/>
                <w:kern w:val="0"/>
                <w:sz w:val="21"/>
                <w:szCs w:val="21"/>
                <w:highlight w:val="none"/>
              </w:rPr>
              <w:t>/S</w:t>
            </w:r>
            <w:r>
              <w:rPr>
                <w:rFonts w:hint="eastAsia" w:cs="宋体"/>
                <w:bCs w:val="0"/>
                <w:color w:val="auto"/>
                <w:kern w:val="0"/>
                <w:sz w:val="21"/>
                <w:szCs w:val="21"/>
                <w:highlight w:val="none"/>
              </w:rPr>
              <w:t>架构系统）的用户登录处理过程，开发对应的系统接口，通过用户统一消息平台、网关等渠道，与检务综合平台对接，实现单点登录、待办或已办信息集中展示等应用。本项目按照</w:t>
            </w:r>
            <w:r>
              <w:rPr>
                <w:rFonts w:cs="宋体"/>
                <w:bCs w:val="0"/>
                <w:color w:val="auto"/>
                <w:kern w:val="0"/>
                <w:sz w:val="21"/>
                <w:szCs w:val="21"/>
                <w:highlight w:val="none"/>
              </w:rPr>
              <w:t>能整合</w:t>
            </w:r>
            <w:r>
              <w:rPr>
                <w:rFonts w:hint="eastAsia" w:cs="宋体"/>
                <w:bCs w:val="0"/>
                <w:color w:val="auto"/>
                <w:kern w:val="0"/>
                <w:sz w:val="21"/>
                <w:szCs w:val="21"/>
                <w:highlight w:val="none"/>
              </w:rPr>
              <w:t>必须</w:t>
            </w:r>
            <w:r>
              <w:rPr>
                <w:rFonts w:cs="宋体"/>
                <w:bCs w:val="0"/>
                <w:color w:val="auto"/>
                <w:kern w:val="0"/>
                <w:sz w:val="21"/>
                <w:szCs w:val="21"/>
                <w:highlight w:val="none"/>
              </w:rPr>
              <w:t>整合</w:t>
            </w:r>
            <w:r>
              <w:rPr>
                <w:rFonts w:hint="eastAsia" w:cs="宋体"/>
                <w:bCs w:val="0"/>
                <w:color w:val="auto"/>
                <w:kern w:val="0"/>
                <w:sz w:val="21"/>
                <w:szCs w:val="21"/>
                <w:highlight w:val="none"/>
              </w:rPr>
              <w:t>的</w:t>
            </w:r>
            <w:r>
              <w:rPr>
                <w:rFonts w:cs="宋体"/>
                <w:bCs w:val="0"/>
                <w:color w:val="auto"/>
                <w:kern w:val="0"/>
                <w:sz w:val="21"/>
                <w:szCs w:val="21"/>
                <w:highlight w:val="none"/>
              </w:rPr>
              <w:t>原则</w:t>
            </w:r>
            <w:r>
              <w:rPr>
                <w:rFonts w:hint="eastAsia" w:cs="宋体"/>
                <w:bCs w:val="0"/>
                <w:color w:val="auto"/>
                <w:kern w:val="0"/>
                <w:sz w:val="21"/>
                <w:szCs w:val="21"/>
                <w:highlight w:val="none"/>
              </w:rPr>
              <w:t>整合对接以下主要系统如下（包含但不限于，总数≤</w:t>
            </w:r>
            <w:r>
              <w:rPr>
                <w:rFonts w:cs="宋体"/>
                <w:bCs w:val="0"/>
                <w:color w:val="auto"/>
                <w:kern w:val="0"/>
                <w:sz w:val="21"/>
                <w:szCs w:val="21"/>
                <w:highlight w:val="none"/>
              </w:rPr>
              <w:t>40</w:t>
            </w:r>
            <w:r>
              <w:rPr>
                <w:rFonts w:hint="eastAsia" w:cs="宋体"/>
                <w:bCs w:val="0"/>
                <w:color w:val="auto"/>
                <w:kern w:val="0"/>
                <w:sz w:val="21"/>
                <w:szCs w:val="21"/>
                <w:highlight w:val="none"/>
              </w:rPr>
              <w:t>套B</w:t>
            </w:r>
            <w:r>
              <w:rPr>
                <w:rFonts w:cs="宋体"/>
                <w:bCs w:val="0"/>
                <w:color w:val="auto"/>
                <w:kern w:val="0"/>
                <w:sz w:val="21"/>
                <w:szCs w:val="21"/>
                <w:highlight w:val="none"/>
              </w:rPr>
              <w:t>/S</w:t>
            </w:r>
            <w:r>
              <w:rPr>
                <w:rFonts w:hint="eastAsia" w:cs="宋体"/>
                <w:bCs w:val="0"/>
                <w:color w:val="auto"/>
                <w:kern w:val="0"/>
                <w:sz w:val="21"/>
                <w:szCs w:val="21"/>
                <w:highlight w:val="none"/>
              </w:rPr>
              <w:t>架构系统）:</w:t>
            </w:r>
          </w:p>
          <w:p w14:paraId="52CE42D0">
            <w:pPr>
              <w:pStyle w:val="126"/>
              <w:widowControl/>
              <w:suppressLineNumbers/>
              <w:suppressAutoHyphens/>
              <w:spacing w:line="400" w:lineRule="exact"/>
              <w:ind w:firstLine="420"/>
              <w:contextualSpacing/>
              <w:rPr>
                <w:rFonts w:hint="eastAsia" w:cs="宋体"/>
                <w:bCs w:val="0"/>
                <w:color w:val="auto"/>
                <w:kern w:val="0"/>
                <w:sz w:val="21"/>
                <w:szCs w:val="21"/>
                <w:highlight w:val="none"/>
              </w:rPr>
            </w:pPr>
            <w:r>
              <w:rPr>
                <w:rFonts w:hint="eastAsia" w:cs="宋体"/>
                <w:bCs w:val="0"/>
                <w:color w:val="auto"/>
                <w:kern w:val="0"/>
                <w:sz w:val="21"/>
                <w:szCs w:val="21"/>
                <w:highlight w:val="none"/>
              </w:rPr>
              <w:t>1、检察业务应用系统2</w:t>
            </w:r>
            <w:r>
              <w:rPr>
                <w:rFonts w:cs="宋体"/>
                <w:bCs w:val="0"/>
                <w:color w:val="auto"/>
                <w:kern w:val="0"/>
                <w:sz w:val="21"/>
                <w:szCs w:val="21"/>
                <w:highlight w:val="none"/>
              </w:rPr>
              <w:t>.0</w:t>
            </w:r>
          </w:p>
          <w:p w14:paraId="6F2C5FA4">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2、大数据法律监督模型管理平台</w:t>
            </w:r>
          </w:p>
          <w:p w14:paraId="64417F80">
            <w:pPr>
              <w:pStyle w:val="126"/>
              <w:widowControl/>
              <w:suppressLineNumbers/>
              <w:suppressAutoHyphens/>
              <w:spacing w:line="400" w:lineRule="exact"/>
              <w:ind w:firstLine="420"/>
              <w:contextualSpacing/>
              <w:rPr>
                <w:rFonts w:hint="eastAsia" w:cs="宋体"/>
                <w:bCs w:val="0"/>
                <w:color w:val="auto"/>
                <w:kern w:val="0"/>
                <w:sz w:val="21"/>
                <w:szCs w:val="21"/>
                <w:highlight w:val="none"/>
              </w:rPr>
            </w:pPr>
            <w:r>
              <w:rPr>
                <w:rFonts w:hint="eastAsia" w:cs="宋体"/>
                <w:bCs w:val="0"/>
                <w:color w:val="auto"/>
                <w:kern w:val="0"/>
                <w:sz w:val="21"/>
                <w:szCs w:val="21"/>
                <w:highlight w:val="none"/>
              </w:rPr>
              <w:t>3、辅助办案子系统</w:t>
            </w:r>
          </w:p>
          <w:p w14:paraId="6FF8483F">
            <w:pPr>
              <w:pStyle w:val="126"/>
              <w:widowControl/>
              <w:suppressLineNumbers/>
              <w:suppressAutoHyphens/>
              <w:spacing w:line="400" w:lineRule="exact"/>
              <w:ind w:firstLine="420"/>
              <w:contextualSpacing/>
              <w:rPr>
                <w:rFonts w:hint="eastAsia" w:cs="宋体"/>
                <w:bCs w:val="0"/>
                <w:color w:val="auto"/>
                <w:kern w:val="0"/>
                <w:sz w:val="21"/>
                <w:szCs w:val="21"/>
                <w:highlight w:val="none"/>
              </w:rPr>
            </w:pPr>
            <w:r>
              <w:rPr>
                <w:rFonts w:hint="eastAsia" w:cs="宋体"/>
                <w:bCs w:val="0"/>
                <w:color w:val="auto"/>
                <w:kern w:val="0"/>
                <w:sz w:val="21"/>
                <w:szCs w:val="21"/>
                <w:highlight w:val="none"/>
              </w:rPr>
              <w:t>4、电子卷宗OCR识别系统</w:t>
            </w:r>
          </w:p>
          <w:p w14:paraId="378C327A">
            <w:pPr>
              <w:pStyle w:val="126"/>
              <w:widowControl/>
              <w:suppressLineNumbers/>
              <w:suppressAutoHyphens/>
              <w:spacing w:line="400" w:lineRule="exact"/>
              <w:ind w:firstLine="420"/>
              <w:contextualSpacing/>
              <w:rPr>
                <w:rFonts w:hint="eastAsia" w:cs="宋体"/>
                <w:bCs w:val="0"/>
                <w:color w:val="auto"/>
                <w:kern w:val="0"/>
                <w:sz w:val="21"/>
                <w:szCs w:val="21"/>
                <w:highlight w:val="none"/>
              </w:rPr>
            </w:pPr>
            <w:r>
              <w:rPr>
                <w:rFonts w:hint="eastAsia" w:cs="宋体"/>
                <w:bCs w:val="0"/>
                <w:color w:val="auto"/>
                <w:kern w:val="0"/>
                <w:sz w:val="21"/>
                <w:szCs w:val="21"/>
                <w:highlight w:val="none"/>
              </w:rPr>
              <w:t>5、政法机关跨部门大数据协同办案平台</w:t>
            </w:r>
          </w:p>
          <w:p w14:paraId="6A27AB63">
            <w:pPr>
              <w:pStyle w:val="126"/>
              <w:widowControl/>
              <w:suppressLineNumbers/>
              <w:suppressAutoHyphens/>
              <w:spacing w:line="400" w:lineRule="exact"/>
              <w:ind w:firstLine="420"/>
              <w:contextualSpacing/>
              <w:rPr>
                <w:rFonts w:hint="eastAsia" w:cs="宋体"/>
                <w:bCs w:val="0"/>
                <w:color w:val="auto"/>
                <w:kern w:val="0"/>
                <w:sz w:val="21"/>
                <w:szCs w:val="21"/>
                <w:highlight w:val="none"/>
              </w:rPr>
            </w:pPr>
            <w:r>
              <w:rPr>
                <w:rFonts w:hint="eastAsia" w:cs="宋体"/>
                <w:bCs w:val="0"/>
                <w:color w:val="auto"/>
                <w:kern w:val="0"/>
                <w:sz w:val="21"/>
                <w:szCs w:val="21"/>
                <w:highlight w:val="none"/>
              </w:rPr>
              <w:t>6、刑事执行检察管理系统</w:t>
            </w:r>
          </w:p>
          <w:p w14:paraId="04162348">
            <w:pPr>
              <w:pStyle w:val="126"/>
              <w:widowControl/>
              <w:suppressLineNumbers/>
              <w:suppressAutoHyphens/>
              <w:spacing w:line="400" w:lineRule="exact"/>
              <w:ind w:firstLine="420"/>
              <w:contextualSpacing/>
              <w:rPr>
                <w:rFonts w:hint="eastAsia" w:cs="宋体"/>
                <w:bCs w:val="0"/>
                <w:color w:val="auto"/>
                <w:kern w:val="0"/>
                <w:sz w:val="21"/>
                <w:szCs w:val="21"/>
                <w:highlight w:val="none"/>
              </w:rPr>
            </w:pPr>
            <w:r>
              <w:rPr>
                <w:rFonts w:hint="eastAsia" w:cs="宋体"/>
                <w:bCs w:val="0"/>
                <w:color w:val="auto"/>
                <w:kern w:val="0"/>
                <w:sz w:val="21"/>
                <w:szCs w:val="21"/>
                <w:highlight w:val="none"/>
              </w:rPr>
              <w:t>7、控申工作信息管理系统</w:t>
            </w:r>
          </w:p>
          <w:p w14:paraId="167EA8C7">
            <w:pPr>
              <w:pStyle w:val="126"/>
              <w:widowControl/>
              <w:suppressLineNumbers/>
              <w:suppressAutoHyphens/>
              <w:spacing w:line="400" w:lineRule="exact"/>
              <w:ind w:firstLine="420"/>
              <w:contextualSpacing/>
              <w:rPr>
                <w:rFonts w:hint="eastAsia" w:cs="宋体"/>
                <w:bCs w:val="0"/>
                <w:color w:val="auto"/>
                <w:kern w:val="0"/>
                <w:sz w:val="21"/>
                <w:szCs w:val="21"/>
                <w:highlight w:val="none"/>
              </w:rPr>
            </w:pPr>
            <w:r>
              <w:rPr>
                <w:rFonts w:hint="eastAsia" w:cs="宋体"/>
                <w:bCs w:val="0"/>
                <w:color w:val="auto"/>
                <w:kern w:val="0"/>
                <w:sz w:val="21"/>
                <w:szCs w:val="21"/>
                <w:highlight w:val="none"/>
              </w:rPr>
              <w:t>8、案件信息管理综合平台</w:t>
            </w:r>
          </w:p>
          <w:p w14:paraId="7B44D4A5">
            <w:pPr>
              <w:pStyle w:val="126"/>
              <w:widowControl/>
              <w:suppressLineNumbers/>
              <w:suppressAutoHyphens/>
              <w:spacing w:line="400" w:lineRule="exact"/>
              <w:ind w:firstLine="420"/>
              <w:contextualSpacing/>
              <w:rPr>
                <w:rFonts w:hint="eastAsia" w:cs="宋体"/>
                <w:bCs w:val="0"/>
                <w:color w:val="auto"/>
                <w:kern w:val="0"/>
                <w:sz w:val="21"/>
                <w:szCs w:val="21"/>
                <w:highlight w:val="none"/>
              </w:rPr>
            </w:pPr>
            <w:r>
              <w:rPr>
                <w:rFonts w:hint="eastAsia" w:cs="宋体"/>
                <w:bCs w:val="0"/>
                <w:color w:val="auto"/>
                <w:kern w:val="0"/>
                <w:sz w:val="21"/>
                <w:szCs w:val="21"/>
                <w:highlight w:val="none"/>
              </w:rPr>
              <w:t>9、司法绩效系统</w:t>
            </w:r>
          </w:p>
          <w:p w14:paraId="23348751">
            <w:pPr>
              <w:pStyle w:val="126"/>
              <w:widowControl/>
              <w:suppressLineNumbers/>
              <w:suppressAutoHyphens/>
              <w:spacing w:line="400" w:lineRule="exact"/>
              <w:ind w:firstLine="420"/>
              <w:contextualSpacing/>
              <w:rPr>
                <w:rFonts w:hint="eastAsia" w:cs="宋体"/>
                <w:bCs w:val="0"/>
                <w:color w:val="auto"/>
                <w:kern w:val="0"/>
                <w:sz w:val="21"/>
                <w:szCs w:val="21"/>
                <w:highlight w:val="none"/>
              </w:rPr>
            </w:pPr>
            <w:r>
              <w:rPr>
                <w:rFonts w:hint="eastAsia" w:cs="宋体"/>
                <w:bCs w:val="0"/>
                <w:color w:val="auto"/>
                <w:kern w:val="0"/>
                <w:sz w:val="21"/>
                <w:szCs w:val="21"/>
                <w:highlight w:val="none"/>
              </w:rPr>
              <w:t>10、技术性证据审查智能辅助办案平台</w:t>
            </w:r>
          </w:p>
          <w:p w14:paraId="0C711AAD">
            <w:pPr>
              <w:pStyle w:val="126"/>
              <w:widowControl/>
              <w:suppressLineNumbers/>
              <w:suppressAutoHyphens/>
              <w:spacing w:line="400" w:lineRule="exact"/>
              <w:ind w:firstLine="420"/>
              <w:contextualSpacing/>
              <w:rPr>
                <w:rFonts w:hint="eastAsia" w:cs="宋体"/>
                <w:bCs w:val="0"/>
                <w:color w:val="auto"/>
                <w:kern w:val="0"/>
                <w:sz w:val="21"/>
                <w:szCs w:val="21"/>
                <w:highlight w:val="none"/>
              </w:rPr>
            </w:pPr>
            <w:r>
              <w:rPr>
                <w:rFonts w:hint="eastAsia" w:cs="宋体"/>
                <w:bCs w:val="0"/>
                <w:color w:val="auto"/>
                <w:kern w:val="0"/>
                <w:sz w:val="21"/>
                <w:szCs w:val="21"/>
                <w:highlight w:val="none"/>
              </w:rPr>
              <w:t>11、案件质量评查系统</w:t>
            </w:r>
          </w:p>
          <w:p w14:paraId="56C77BF6">
            <w:pPr>
              <w:pStyle w:val="126"/>
              <w:widowControl/>
              <w:suppressLineNumbers/>
              <w:suppressAutoHyphens/>
              <w:spacing w:line="400" w:lineRule="exact"/>
              <w:ind w:firstLine="420"/>
              <w:contextualSpacing/>
              <w:rPr>
                <w:rFonts w:hint="eastAsia" w:cs="宋体"/>
                <w:bCs w:val="0"/>
                <w:color w:val="auto"/>
                <w:kern w:val="0"/>
                <w:sz w:val="21"/>
                <w:szCs w:val="21"/>
                <w:highlight w:val="none"/>
              </w:rPr>
            </w:pPr>
            <w:r>
              <w:rPr>
                <w:rFonts w:hint="eastAsia" w:cs="宋体"/>
                <w:bCs w:val="0"/>
                <w:color w:val="auto"/>
                <w:kern w:val="0"/>
                <w:sz w:val="21"/>
                <w:szCs w:val="21"/>
                <w:highlight w:val="none"/>
              </w:rPr>
              <w:t>12、检务数据分析与决策系统</w:t>
            </w:r>
          </w:p>
          <w:p w14:paraId="3FCB7E79">
            <w:pPr>
              <w:pStyle w:val="126"/>
              <w:widowControl/>
              <w:suppressLineNumbers/>
              <w:suppressAutoHyphens/>
              <w:spacing w:line="400" w:lineRule="exact"/>
              <w:ind w:firstLine="420"/>
              <w:contextualSpacing/>
              <w:rPr>
                <w:rFonts w:hint="eastAsia" w:cs="宋体"/>
                <w:bCs w:val="0"/>
                <w:color w:val="auto"/>
                <w:kern w:val="0"/>
                <w:sz w:val="21"/>
                <w:szCs w:val="21"/>
                <w:highlight w:val="none"/>
              </w:rPr>
            </w:pPr>
            <w:r>
              <w:rPr>
                <w:rFonts w:hint="eastAsia" w:cs="宋体"/>
                <w:bCs w:val="0"/>
                <w:color w:val="auto"/>
                <w:kern w:val="0"/>
                <w:sz w:val="21"/>
                <w:szCs w:val="21"/>
                <w:highlight w:val="none"/>
              </w:rPr>
              <w:t>13、同步录音录像审查系统</w:t>
            </w:r>
          </w:p>
          <w:p w14:paraId="428CAD41">
            <w:pPr>
              <w:pStyle w:val="126"/>
              <w:widowControl/>
              <w:suppressLineNumbers/>
              <w:suppressAutoHyphens/>
              <w:spacing w:line="400" w:lineRule="exact"/>
              <w:ind w:firstLine="420"/>
              <w:contextualSpacing/>
              <w:rPr>
                <w:rFonts w:hint="eastAsia" w:cs="宋体"/>
                <w:bCs w:val="0"/>
                <w:color w:val="auto"/>
                <w:kern w:val="0"/>
                <w:sz w:val="21"/>
                <w:szCs w:val="21"/>
                <w:highlight w:val="none"/>
              </w:rPr>
            </w:pPr>
            <w:r>
              <w:rPr>
                <w:rFonts w:hint="eastAsia" w:cs="宋体"/>
                <w:bCs w:val="0"/>
                <w:color w:val="auto"/>
                <w:kern w:val="0"/>
                <w:sz w:val="21"/>
                <w:szCs w:val="21"/>
                <w:highlight w:val="none"/>
              </w:rPr>
              <w:t>14、提讯辅助办案平台</w:t>
            </w:r>
          </w:p>
          <w:p w14:paraId="0D5C7F40">
            <w:pPr>
              <w:pStyle w:val="126"/>
              <w:widowControl/>
              <w:suppressLineNumbers/>
              <w:suppressAutoHyphens/>
              <w:spacing w:line="400" w:lineRule="exact"/>
              <w:ind w:firstLine="420"/>
              <w:contextualSpacing/>
              <w:rPr>
                <w:rFonts w:hint="eastAsia" w:cs="宋体"/>
                <w:bCs w:val="0"/>
                <w:color w:val="auto"/>
                <w:kern w:val="0"/>
                <w:sz w:val="21"/>
                <w:szCs w:val="21"/>
                <w:highlight w:val="none"/>
              </w:rPr>
            </w:pPr>
            <w:r>
              <w:rPr>
                <w:rFonts w:hint="eastAsia" w:cs="宋体"/>
                <w:bCs w:val="0"/>
                <w:color w:val="auto"/>
                <w:kern w:val="0"/>
                <w:sz w:val="21"/>
                <w:szCs w:val="21"/>
                <w:highlight w:val="none"/>
              </w:rPr>
              <w:t>15、检委会无纸化办公系统</w:t>
            </w:r>
          </w:p>
          <w:p w14:paraId="461A3C6A">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16、多方案件研讨系统</w:t>
            </w:r>
          </w:p>
          <w:p w14:paraId="67F3BCA6">
            <w:pPr>
              <w:pStyle w:val="126"/>
              <w:widowControl/>
              <w:suppressLineNumbers/>
              <w:suppressAutoHyphens/>
              <w:spacing w:line="400" w:lineRule="exact"/>
              <w:ind w:firstLine="420"/>
              <w:contextualSpacing/>
              <w:rPr>
                <w:rFonts w:hint="eastAsia" w:cs="宋体"/>
                <w:bCs w:val="0"/>
                <w:color w:val="auto"/>
                <w:kern w:val="0"/>
                <w:sz w:val="21"/>
                <w:szCs w:val="21"/>
                <w:highlight w:val="none"/>
              </w:rPr>
            </w:pPr>
            <w:r>
              <w:rPr>
                <w:rFonts w:hint="eastAsia" w:cs="宋体"/>
                <w:bCs w:val="0"/>
                <w:color w:val="auto"/>
                <w:kern w:val="0"/>
                <w:sz w:val="21"/>
                <w:szCs w:val="21"/>
                <w:highlight w:val="none"/>
              </w:rPr>
              <w:t>17、党政机关综合办公平台</w:t>
            </w:r>
          </w:p>
          <w:p w14:paraId="659DC57D">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18、原办公OA系统（含：考勤管理系统、用车管理系统、平时考核系统、法警申请系统）</w:t>
            </w:r>
          </w:p>
          <w:p w14:paraId="1B1EADB3">
            <w:pPr>
              <w:pStyle w:val="126"/>
              <w:widowControl/>
              <w:suppressLineNumbers/>
              <w:suppressAutoHyphens/>
              <w:spacing w:line="400" w:lineRule="exact"/>
              <w:ind w:firstLine="420"/>
              <w:contextualSpacing/>
              <w:rPr>
                <w:rFonts w:hint="eastAsia" w:cs="宋体"/>
                <w:bCs w:val="0"/>
                <w:color w:val="auto"/>
                <w:kern w:val="0"/>
                <w:sz w:val="21"/>
                <w:szCs w:val="21"/>
                <w:highlight w:val="none"/>
              </w:rPr>
            </w:pPr>
            <w:r>
              <w:rPr>
                <w:rFonts w:cs="宋体"/>
                <w:bCs w:val="0"/>
                <w:color w:val="auto"/>
                <w:kern w:val="0"/>
                <w:sz w:val="21"/>
                <w:szCs w:val="21"/>
                <w:highlight w:val="none"/>
              </w:rPr>
              <w:t>19</w:t>
            </w:r>
            <w:r>
              <w:rPr>
                <w:rFonts w:hint="eastAsia" w:cs="宋体"/>
                <w:bCs w:val="0"/>
                <w:color w:val="auto"/>
                <w:kern w:val="0"/>
                <w:sz w:val="21"/>
                <w:szCs w:val="21"/>
                <w:highlight w:val="none"/>
              </w:rPr>
              <w:t>、电子档案系统</w:t>
            </w:r>
          </w:p>
          <w:p w14:paraId="657E5367">
            <w:pPr>
              <w:pStyle w:val="126"/>
              <w:widowControl/>
              <w:suppressLineNumbers/>
              <w:suppressAutoHyphens/>
              <w:spacing w:line="400" w:lineRule="exact"/>
              <w:ind w:firstLine="420"/>
              <w:contextualSpacing/>
              <w:rPr>
                <w:rFonts w:hint="eastAsia" w:cs="宋体"/>
                <w:bCs w:val="0"/>
                <w:color w:val="auto"/>
                <w:kern w:val="0"/>
                <w:sz w:val="21"/>
                <w:szCs w:val="21"/>
                <w:highlight w:val="none"/>
              </w:rPr>
            </w:pPr>
            <w:r>
              <w:rPr>
                <w:rFonts w:hint="eastAsia" w:cs="宋体"/>
                <w:bCs w:val="0"/>
                <w:color w:val="auto"/>
                <w:kern w:val="0"/>
                <w:sz w:val="21"/>
                <w:szCs w:val="21"/>
                <w:highlight w:val="none"/>
              </w:rPr>
              <w:t>20、智能会务管理系统</w:t>
            </w:r>
          </w:p>
          <w:p w14:paraId="6DD3C25D">
            <w:pPr>
              <w:pStyle w:val="126"/>
              <w:widowControl/>
              <w:suppressLineNumbers/>
              <w:suppressAutoHyphens/>
              <w:spacing w:line="400" w:lineRule="exact"/>
              <w:ind w:firstLine="420"/>
              <w:contextualSpacing/>
              <w:rPr>
                <w:rFonts w:hint="eastAsia" w:cs="宋体"/>
                <w:bCs w:val="0"/>
                <w:color w:val="auto"/>
                <w:kern w:val="0"/>
                <w:sz w:val="21"/>
                <w:szCs w:val="21"/>
                <w:highlight w:val="none"/>
              </w:rPr>
            </w:pPr>
            <w:r>
              <w:rPr>
                <w:rFonts w:hint="eastAsia" w:cs="宋体"/>
                <w:bCs w:val="0"/>
                <w:color w:val="auto"/>
                <w:kern w:val="0"/>
                <w:sz w:val="21"/>
                <w:szCs w:val="21"/>
                <w:highlight w:val="none"/>
              </w:rPr>
              <w:t>21、队伍管理系统(含：全国检察机关队伍管理信息系统)</w:t>
            </w:r>
          </w:p>
          <w:p w14:paraId="0130E44D">
            <w:pPr>
              <w:pStyle w:val="126"/>
              <w:widowControl/>
              <w:suppressLineNumbers/>
              <w:suppressAutoHyphens/>
              <w:spacing w:line="400" w:lineRule="exact"/>
              <w:ind w:firstLine="420"/>
              <w:contextualSpacing/>
              <w:rPr>
                <w:rFonts w:hint="eastAsia" w:cs="宋体"/>
                <w:bCs w:val="0"/>
                <w:color w:val="auto"/>
                <w:kern w:val="0"/>
                <w:sz w:val="21"/>
                <w:szCs w:val="21"/>
                <w:highlight w:val="none"/>
              </w:rPr>
            </w:pPr>
            <w:r>
              <w:rPr>
                <w:rFonts w:hint="eastAsia" w:cs="宋体"/>
                <w:bCs w:val="0"/>
                <w:color w:val="auto"/>
                <w:kern w:val="0"/>
                <w:sz w:val="21"/>
                <w:szCs w:val="21"/>
                <w:highlight w:val="none"/>
              </w:rPr>
              <w:t>22、人事信息管理平台</w:t>
            </w:r>
          </w:p>
          <w:p w14:paraId="7539A3A8">
            <w:pPr>
              <w:pStyle w:val="126"/>
              <w:widowControl/>
              <w:suppressLineNumbers/>
              <w:suppressAutoHyphens/>
              <w:spacing w:line="400" w:lineRule="exact"/>
              <w:ind w:firstLine="420"/>
              <w:contextualSpacing/>
              <w:rPr>
                <w:rFonts w:hint="eastAsia" w:cs="宋体"/>
                <w:bCs w:val="0"/>
                <w:color w:val="auto"/>
                <w:kern w:val="0"/>
                <w:sz w:val="21"/>
                <w:szCs w:val="21"/>
                <w:highlight w:val="none"/>
              </w:rPr>
            </w:pPr>
            <w:r>
              <w:rPr>
                <w:rFonts w:hint="eastAsia" w:cs="宋体"/>
                <w:bCs w:val="0"/>
                <w:color w:val="auto"/>
                <w:kern w:val="0"/>
                <w:sz w:val="21"/>
                <w:szCs w:val="21"/>
                <w:highlight w:val="none"/>
              </w:rPr>
              <w:t>23、法警管理系统</w:t>
            </w:r>
          </w:p>
          <w:p w14:paraId="2E61D715">
            <w:pPr>
              <w:pStyle w:val="126"/>
              <w:widowControl/>
              <w:suppressLineNumbers/>
              <w:suppressAutoHyphens/>
              <w:spacing w:line="400" w:lineRule="exact"/>
              <w:ind w:firstLine="420"/>
              <w:contextualSpacing/>
              <w:rPr>
                <w:rFonts w:hint="eastAsia" w:cs="宋体"/>
                <w:bCs w:val="0"/>
                <w:color w:val="auto"/>
                <w:kern w:val="0"/>
                <w:sz w:val="21"/>
                <w:szCs w:val="21"/>
                <w:highlight w:val="none"/>
              </w:rPr>
            </w:pPr>
            <w:r>
              <w:rPr>
                <w:rFonts w:hint="eastAsia" w:cs="宋体"/>
                <w:bCs w:val="0"/>
                <w:color w:val="auto"/>
                <w:kern w:val="0"/>
                <w:sz w:val="21"/>
                <w:szCs w:val="21"/>
                <w:highlight w:val="none"/>
              </w:rPr>
              <w:t>24、检务保障系统</w:t>
            </w:r>
          </w:p>
          <w:p w14:paraId="00E259A1">
            <w:pPr>
              <w:pStyle w:val="126"/>
              <w:widowControl/>
              <w:suppressLineNumbers/>
              <w:suppressAutoHyphens/>
              <w:spacing w:line="400" w:lineRule="exact"/>
              <w:ind w:firstLine="420"/>
              <w:contextualSpacing/>
              <w:rPr>
                <w:rFonts w:hint="eastAsia" w:cs="宋体"/>
                <w:bCs w:val="0"/>
                <w:color w:val="auto"/>
                <w:kern w:val="0"/>
                <w:sz w:val="21"/>
                <w:szCs w:val="21"/>
                <w:highlight w:val="none"/>
              </w:rPr>
            </w:pPr>
            <w:r>
              <w:rPr>
                <w:rFonts w:hint="eastAsia" w:cs="宋体"/>
                <w:bCs w:val="0"/>
                <w:color w:val="auto"/>
                <w:kern w:val="0"/>
                <w:sz w:val="21"/>
                <w:szCs w:val="21"/>
                <w:highlight w:val="none"/>
              </w:rPr>
              <w:t>25、检务保障系统工资子系统</w:t>
            </w:r>
          </w:p>
          <w:p w14:paraId="28E4786C">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26、检务保障系统报帐子系统</w:t>
            </w:r>
          </w:p>
          <w:p w14:paraId="17EF01AC">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27、工作网站集群系统</w:t>
            </w:r>
          </w:p>
          <w:p w14:paraId="24C72346">
            <w:pPr>
              <w:pStyle w:val="126"/>
              <w:widowControl/>
              <w:suppressLineNumbers/>
              <w:suppressAutoHyphens/>
              <w:spacing w:line="400" w:lineRule="exact"/>
              <w:ind w:firstLine="420"/>
              <w:contextualSpacing/>
              <w:rPr>
                <w:rFonts w:hint="eastAsia" w:cs="宋体"/>
                <w:bCs w:val="0"/>
                <w:color w:val="auto"/>
                <w:kern w:val="0"/>
                <w:sz w:val="21"/>
                <w:szCs w:val="21"/>
                <w:highlight w:val="none"/>
              </w:rPr>
            </w:pPr>
            <w:r>
              <w:rPr>
                <w:rFonts w:hint="eastAsia" w:cs="宋体"/>
                <w:bCs w:val="0"/>
                <w:color w:val="auto"/>
                <w:kern w:val="0"/>
                <w:sz w:val="21"/>
                <w:szCs w:val="21"/>
                <w:highlight w:val="none"/>
              </w:rPr>
              <w:t>28、安全电子邮件系统</w:t>
            </w:r>
          </w:p>
          <w:p w14:paraId="357FC168">
            <w:pPr>
              <w:pStyle w:val="126"/>
              <w:widowControl/>
              <w:suppressLineNumbers/>
              <w:suppressAutoHyphens/>
              <w:spacing w:line="400" w:lineRule="exact"/>
              <w:ind w:firstLine="420"/>
              <w:contextualSpacing/>
              <w:rPr>
                <w:rFonts w:hint="eastAsia" w:cs="宋体"/>
                <w:bCs w:val="0"/>
                <w:color w:val="auto"/>
                <w:kern w:val="0"/>
                <w:sz w:val="21"/>
                <w:szCs w:val="21"/>
                <w:highlight w:val="none"/>
              </w:rPr>
            </w:pPr>
            <w:r>
              <w:rPr>
                <w:rFonts w:hint="eastAsia" w:cs="宋体"/>
                <w:bCs w:val="0"/>
                <w:color w:val="auto"/>
                <w:kern w:val="0"/>
                <w:sz w:val="21"/>
                <w:szCs w:val="21"/>
                <w:highlight w:val="none"/>
              </w:rPr>
              <w:t>29、身份认证体系</w:t>
            </w:r>
          </w:p>
          <w:p w14:paraId="7E19C323">
            <w:pPr>
              <w:pStyle w:val="126"/>
              <w:widowControl/>
              <w:suppressLineNumbers/>
              <w:suppressAutoHyphens/>
              <w:spacing w:line="400" w:lineRule="exact"/>
              <w:ind w:firstLine="420"/>
              <w:contextualSpacing/>
              <w:rPr>
                <w:rFonts w:hint="eastAsia" w:cs="宋体"/>
                <w:bCs w:val="0"/>
                <w:color w:val="auto"/>
                <w:kern w:val="0"/>
                <w:sz w:val="21"/>
                <w:szCs w:val="21"/>
                <w:highlight w:val="none"/>
              </w:rPr>
            </w:pPr>
            <w:r>
              <w:rPr>
                <w:rFonts w:hint="eastAsia" w:cs="宋体"/>
                <w:bCs w:val="0"/>
                <w:color w:val="auto"/>
                <w:kern w:val="0"/>
                <w:sz w:val="21"/>
                <w:szCs w:val="21"/>
                <w:highlight w:val="none"/>
              </w:rPr>
              <w:t>30、电子印章库</w:t>
            </w:r>
          </w:p>
          <w:p w14:paraId="78F0A95E">
            <w:pPr>
              <w:pStyle w:val="126"/>
              <w:widowControl/>
              <w:suppressLineNumbers/>
              <w:suppressAutoHyphens/>
              <w:spacing w:line="400" w:lineRule="exact"/>
              <w:ind w:firstLine="420"/>
              <w:contextualSpacing/>
              <w:rPr>
                <w:rFonts w:hint="eastAsia" w:cs="宋体"/>
                <w:bCs w:val="0"/>
                <w:color w:val="auto"/>
                <w:kern w:val="0"/>
                <w:sz w:val="21"/>
                <w:szCs w:val="21"/>
                <w:highlight w:val="none"/>
              </w:rPr>
            </w:pPr>
            <w:r>
              <w:rPr>
                <w:rFonts w:hint="eastAsia" w:cs="宋体"/>
                <w:bCs w:val="0"/>
                <w:color w:val="auto"/>
                <w:kern w:val="0"/>
                <w:sz w:val="21"/>
                <w:szCs w:val="21"/>
                <w:highlight w:val="none"/>
              </w:rPr>
              <w:t>31、书生电子文档管控系统</w:t>
            </w:r>
          </w:p>
          <w:p w14:paraId="0C761105">
            <w:pPr>
              <w:pStyle w:val="126"/>
              <w:widowControl/>
              <w:suppressLineNumbers/>
              <w:suppressAutoHyphens/>
              <w:spacing w:line="400" w:lineRule="exact"/>
              <w:ind w:firstLine="420"/>
              <w:contextualSpacing/>
              <w:rPr>
                <w:rFonts w:hint="eastAsia" w:cs="宋体"/>
                <w:bCs w:val="0"/>
                <w:color w:val="auto"/>
                <w:kern w:val="0"/>
                <w:sz w:val="21"/>
                <w:szCs w:val="21"/>
                <w:highlight w:val="none"/>
              </w:rPr>
            </w:pPr>
            <w:r>
              <w:rPr>
                <w:rFonts w:hint="eastAsia" w:cs="宋体"/>
                <w:bCs w:val="0"/>
                <w:color w:val="auto"/>
                <w:kern w:val="0"/>
                <w:sz w:val="21"/>
                <w:szCs w:val="21"/>
                <w:highlight w:val="none"/>
              </w:rPr>
              <w:t>32、打印安全监控审计系统</w:t>
            </w:r>
          </w:p>
          <w:p w14:paraId="7C0A347E">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cs="宋体"/>
                <w:bCs w:val="0"/>
                <w:color w:val="auto"/>
                <w:kern w:val="0"/>
                <w:sz w:val="21"/>
                <w:szCs w:val="21"/>
                <w:highlight w:val="none"/>
              </w:rPr>
              <w:t>33</w:t>
            </w:r>
            <w:r>
              <w:rPr>
                <w:rFonts w:hint="eastAsia" w:cs="宋体"/>
                <w:bCs w:val="0"/>
                <w:color w:val="auto"/>
                <w:kern w:val="0"/>
                <w:sz w:val="21"/>
                <w:szCs w:val="21"/>
                <w:highlight w:val="none"/>
              </w:rPr>
              <w:t>、非涉密</w:t>
            </w:r>
            <w:r>
              <w:rPr>
                <w:rFonts w:cs="宋体"/>
                <w:bCs w:val="0"/>
                <w:color w:val="auto"/>
                <w:kern w:val="0"/>
                <w:sz w:val="21"/>
                <w:szCs w:val="21"/>
                <w:highlight w:val="none"/>
              </w:rPr>
              <w:t>视频应用</w:t>
            </w:r>
            <w:r>
              <w:rPr>
                <w:rFonts w:hint="eastAsia" w:cs="宋体"/>
                <w:bCs w:val="0"/>
                <w:color w:val="auto"/>
                <w:kern w:val="0"/>
                <w:sz w:val="21"/>
                <w:szCs w:val="21"/>
                <w:highlight w:val="none"/>
              </w:rPr>
              <w:t>一体化平台</w:t>
            </w:r>
          </w:p>
          <w:p w14:paraId="7905FC30">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bCs w:val="0"/>
                <w:color w:val="auto"/>
                <w:kern w:val="0"/>
                <w:sz w:val="21"/>
                <w:szCs w:val="21"/>
                <w:highlight w:val="none"/>
              </w:rPr>
              <w:t>34、</w:t>
            </w:r>
            <w:r>
              <w:rPr>
                <w:rFonts w:hint="eastAsia" w:cs="宋体"/>
                <w:color w:val="auto"/>
                <w:kern w:val="0"/>
                <w:sz w:val="21"/>
                <w:szCs w:val="21"/>
                <w:highlight w:val="none"/>
              </w:rPr>
              <w:t>统一消息推送平台</w:t>
            </w:r>
          </w:p>
          <w:p w14:paraId="5C71DB31">
            <w:pPr>
              <w:pStyle w:val="126"/>
              <w:widowControl/>
              <w:suppressLineNumbers/>
              <w:suppressAutoHyphens/>
              <w:spacing w:line="400" w:lineRule="exact"/>
              <w:ind w:firstLine="420"/>
              <w:contextualSpacing/>
              <w:rPr>
                <w:rFonts w:hint="eastAsia" w:cs="宋体"/>
                <w:bCs/>
                <w:color w:val="auto"/>
                <w:kern w:val="0"/>
                <w:sz w:val="21"/>
                <w:szCs w:val="21"/>
                <w:highlight w:val="none"/>
              </w:rPr>
            </w:pPr>
            <w:r>
              <w:rPr>
                <w:rFonts w:hint="eastAsia" w:cs="宋体"/>
                <w:bCs w:val="0"/>
                <w:color w:val="auto"/>
                <w:kern w:val="0"/>
                <w:sz w:val="21"/>
                <w:szCs w:val="21"/>
                <w:highlight w:val="none"/>
              </w:rPr>
              <w:t>35、</w:t>
            </w:r>
            <w:r>
              <w:rPr>
                <w:rFonts w:hint="eastAsia" w:cs="宋体"/>
                <w:color w:val="auto"/>
                <w:kern w:val="0"/>
                <w:sz w:val="21"/>
                <w:szCs w:val="21"/>
                <w:highlight w:val="none"/>
              </w:rPr>
              <w:t>信息化运维工单系统</w:t>
            </w:r>
          </w:p>
          <w:p w14:paraId="21CD33E0">
            <w:pPr>
              <w:pStyle w:val="126"/>
              <w:widowControl/>
              <w:suppressLineNumbers/>
              <w:suppressAutoHyphens/>
              <w:spacing w:line="400" w:lineRule="exact"/>
              <w:ind w:firstLine="422"/>
              <w:contextualSpacing/>
              <w:rPr>
                <w:rFonts w:cs="宋体"/>
                <w:b/>
                <w:bCs w:val="0"/>
                <w:color w:val="auto"/>
                <w:kern w:val="0"/>
                <w:sz w:val="21"/>
                <w:szCs w:val="21"/>
                <w:highlight w:val="none"/>
              </w:rPr>
            </w:pPr>
            <w:r>
              <w:rPr>
                <w:rFonts w:hint="eastAsia" w:cs="宋体"/>
                <w:b/>
                <w:bCs w:val="0"/>
                <w:color w:val="auto"/>
                <w:kern w:val="0"/>
                <w:sz w:val="21"/>
                <w:szCs w:val="21"/>
                <w:highlight w:val="none"/>
              </w:rPr>
              <w:t>二、系统整合对接的功能要求</w:t>
            </w:r>
          </w:p>
          <w:p w14:paraId="515B249E">
            <w:pPr>
              <w:pStyle w:val="126"/>
              <w:widowControl/>
              <w:suppressLineNumbers/>
              <w:suppressAutoHyphens/>
              <w:spacing w:line="400" w:lineRule="exact"/>
              <w:ind w:firstLine="422"/>
              <w:contextualSpacing/>
              <w:rPr>
                <w:rFonts w:cs="宋体"/>
                <w:bCs w:val="0"/>
                <w:color w:val="auto"/>
                <w:kern w:val="0"/>
                <w:sz w:val="21"/>
                <w:szCs w:val="21"/>
                <w:highlight w:val="none"/>
              </w:rPr>
            </w:pPr>
            <w:r>
              <w:rPr>
                <w:rFonts w:hint="eastAsia" w:cs="宋体"/>
                <w:b/>
                <w:bCs w:val="0"/>
                <w:color w:val="auto"/>
                <w:kern w:val="0"/>
                <w:sz w:val="21"/>
                <w:szCs w:val="21"/>
                <w:highlight w:val="none"/>
              </w:rPr>
              <w:t>1、单点登录</w:t>
            </w:r>
          </w:p>
          <w:p w14:paraId="4AFF6392">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通过统一身份认证机制，用户只需登录一次即可访问已对接注册的整合系统，无需重复登录。</w:t>
            </w:r>
          </w:p>
          <w:p w14:paraId="6D430BD1">
            <w:pPr>
              <w:pStyle w:val="126"/>
              <w:widowControl/>
              <w:suppressLineNumbers/>
              <w:suppressAutoHyphens/>
              <w:spacing w:line="400" w:lineRule="exact"/>
              <w:ind w:firstLine="422"/>
              <w:contextualSpacing/>
              <w:rPr>
                <w:rFonts w:cs="宋体"/>
                <w:bCs w:val="0"/>
                <w:color w:val="auto"/>
                <w:kern w:val="0"/>
                <w:sz w:val="21"/>
                <w:szCs w:val="21"/>
                <w:highlight w:val="none"/>
              </w:rPr>
            </w:pPr>
            <w:r>
              <w:rPr>
                <w:rFonts w:hint="eastAsia" w:cs="宋体"/>
                <w:b/>
                <w:bCs w:val="0"/>
                <w:color w:val="auto"/>
                <w:kern w:val="0"/>
                <w:sz w:val="21"/>
                <w:szCs w:val="21"/>
                <w:highlight w:val="none"/>
              </w:rPr>
              <w:t>2、页面跳转</w:t>
            </w:r>
          </w:p>
          <w:p w14:paraId="38555717">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（1）允许自定义跳转默认页面，以便用户根据需求设置自己的首选起始页面。</w:t>
            </w:r>
          </w:p>
          <w:p w14:paraId="5D00BB53">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（2）各系统页面需要改造以返回管理界面，或者向系统管理员申请修改更新。</w:t>
            </w:r>
          </w:p>
          <w:p w14:paraId="0A6EAD95">
            <w:pPr>
              <w:pStyle w:val="126"/>
              <w:widowControl/>
              <w:suppressLineNumbers/>
              <w:suppressAutoHyphens/>
              <w:spacing w:line="400" w:lineRule="exact"/>
              <w:ind w:firstLine="422"/>
              <w:contextualSpacing/>
              <w:rPr>
                <w:rFonts w:cs="宋体"/>
                <w:bCs w:val="0"/>
                <w:color w:val="auto"/>
                <w:kern w:val="0"/>
                <w:sz w:val="21"/>
                <w:szCs w:val="21"/>
                <w:highlight w:val="none"/>
              </w:rPr>
            </w:pPr>
            <w:r>
              <w:rPr>
                <w:rFonts w:hint="eastAsia" w:cs="宋体"/>
                <w:b/>
                <w:bCs w:val="0"/>
                <w:color w:val="auto"/>
                <w:kern w:val="0"/>
                <w:sz w:val="21"/>
                <w:szCs w:val="21"/>
                <w:highlight w:val="none"/>
              </w:rPr>
              <w:t>3、组织机构同步</w:t>
            </w:r>
          </w:p>
          <w:p w14:paraId="05F963C2">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根据用户需求，确保整合对接系统与检务综合平台组织机构信息一致。</w:t>
            </w:r>
          </w:p>
          <w:p w14:paraId="18F64071">
            <w:pPr>
              <w:pStyle w:val="126"/>
              <w:widowControl/>
              <w:suppressLineNumbers/>
              <w:suppressAutoHyphens/>
              <w:spacing w:line="400" w:lineRule="exact"/>
              <w:ind w:firstLine="422"/>
              <w:contextualSpacing/>
              <w:rPr>
                <w:rFonts w:cs="宋体"/>
                <w:bCs w:val="0"/>
                <w:color w:val="auto"/>
                <w:kern w:val="0"/>
                <w:sz w:val="21"/>
                <w:szCs w:val="21"/>
                <w:highlight w:val="none"/>
              </w:rPr>
            </w:pPr>
            <w:r>
              <w:rPr>
                <w:rFonts w:hint="eastAsia" w:cs="宋体"/>
                <w:b/>
                <w:bCs w:val="0"/>
                <w:color w:val="auto"/>
                <w:kern w:val="0"/>
                <w:sz w:val="21"/>
                <w:szCs w:val="21"/>
                <w:highlight w:val="none"/>
              </w:rPr>
              <w:t>4、用户管理</w:t>
            </w:r>
          </w:p>
          <w:p w14:paraId="33F696AD">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完成统一身份认证后，用户访问系统时，如在系统中有与检务综合平台用户关系则可直接登录，没有则在系统创建新用户待系统管理员审核完成后方可登录系统。</w:t>
            </w:r>
          </w:p>
          <w:p w14:paraId="6B3E9B3A">
            <w:pPr>
              <w:pStyle w:val="126"/>
              <w:widowControl/>
              <w:suppressLineNumbers/>
              <w:suppressAutoHyphens/>
              <w:spacing w:line="400" w:lineRule="exact"/>
              <w:ind w:firstLine="422"/>
              <w:contextualSpacing/>
              <w:rPr>
                <w:rFonts w:cs="宋体"/>
                <w:b/>
                <w:bCs w:val="0"/>
                <w:color w:val="auto"/>
                <w:kern w:val="0"/>
                <w:sz w:val="21"/>
                <w:szCs w:val="21"/>
                <w:highlight w:val="none"/>
              </w:rPr>
            </w:pPr>
            <w:r>
              <w:rPr>
                <w:rFonts w:hint="eastAsia" w:cs="宋体"/>
                <w:b/>
                <w:bCs w:val="0"/>
                <w:color w:val="auto"/>
                <w:kern w:val="0"/>
                <w:sz w:val="21"/>
                <w:szCs w:val="21"/>
                <w:highlight w:val="none"/>
              </w:rPr>
              <w:t>5、统一身份认证</w:t>
            </w:r>
          </w:p>
          <w:p w14:paraId="61DFEE04">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确保用户都能够通过统一的身份认证系统进行验证和授权。</w:t>
            </w:r>
          </w:p>
          <w:p w14:paraId="1EE08A16">
            <w:pPr>
              <w:pStyle w:val="126"/>
              <w:widowControl/>
              <w:suppressLineNumbers/>
              <w:suppressAutoHyphens/>
              <w:spacing w:line="400" w:lineRule="exact"/>
              <w:ind w:firstLine="422"/>
              <w:contextualSpacing/>
              <w:rPr>
                <w:rFonts w:cs="宋体"/>
                <w:b/>
                <w:bCs w:val="0"/>
                <w:color w:val="auto"/>
                <w:kern w:val="0"/>
                <w:sz w:val="21"/>
                <w:szCs w:val="21"/>
                <w:highlight w:val="none"/>
              </w:rPr>
            </w:pPr>
            <w:r>
              <w:rPr>
                <w:rFonts w:hint="eastAsia" w:cs="宋体"/>
                <w:b/>
                <w:bCs w:val="0"/>
                <w:color w:val="auto"/>
                <w:kern w:val="0"/>
                <w:sz w:val="21"/>
                <w:szCs w:val="21"/>
                <w:highlight w:val="none"/>
              </w:rPr>
              <w:t>6、应用系统对接协议说明</w:t>
            </w:r>
          </w:p>
          <w:p w14:paraId="710B75EA">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统一身份认证系统采用标准Oauth2.0协议进行开发，应用系统具备对接Oauth2.0协议则无需更改或少量更改配置即可实现单点登录，应用系统不具备对接此协议需要进行系统二次开发工作量。</w:t>
            </w:r>
          </w:p>
          <w:p w14:paraId="63721542">
            <w:pPr>
              <w:pStyle w:val="126"/>
              <w:widowControl/>
              <w:suppressLineNumbers/>
              <w:suppressAutoHyphens/>
              <w:spacing w:line="400" w:lineRule="exact"/>
              <w:ind w:firstLine="480"/>
              <w:contextualSpacing/>
              <w:rPr>
                <w:color w:val="auto"/>
                <w:szCs w:val="21"/>
                <w:highlight w:val="none"/>
              </w:rPr>
            </w:pPr>
          </w:p>
        </w:tc>
      </w:tr>
      <w:tr w14:paraId="35025B05">
        <w:tblPrEx>
          <w:tblCellMar>
            <w:top w:w="0" w:type="dxa"/>
            <w:left w:w="108" w:type="dxa"/>
            <w:bottom w:w="0" w:type="dxa"/>
            <w:right w:w="108" w:type="dxa"/>
          </w:tblCellMar>
        </w:tblPrEx>
        <w:trPr>
          <w:trHeight w:val="510" w:hRule="atLeast"/>
          <w:jc w:val="center"/>
        </w:trPr>
        <w:tc>
          <w:tcPr>
            <w:tcW w:w="505" w:type="dxa"/>
            <w:tcBorders>
              <w:top w:val="single" w:color="auto" w:sz="4" w:space="0"/>
              <w:left w:val="single" w:color="auto" w:sz="4" w:space="0"/>
              <w:bottom w:val="single" w:color="auto" w:sz="4" w:space="0"/>
              <w:right w:val="single" w:color="auto" w:sz="4" w:space="0"/>
            </w:tcBorders>
            <w:vAlign w:val="center"/>
          </w:tcPr>
          <w:p w14:paraId="73282A42">
            <w:pPr>
              <w:snapToGrid w:val="0"/>
              <w:spacing w:line="400" w:lineRule="exact"/>
              <w:jc w:val="center"/>
              <w:rPr>
                <w:rFonts w:ascii="宋体" w:hAnsi="宋体" w:eastAsia="Courier New" w:cs="宋体"/>
                <w:color w:val="auto"/>
                <w:kern w:val="0"/>
                <w:szCs w:val="21"/>
                <w:highlight w:val="none"/>
              </w:rPr>
            </w:pPr>
            <w:r>
              <w:rPr>
                <w:rFonts w:hint="eastAsia" w:ascii="宋体" w:hAnsi="宋体" w:cs="宋体"/>
                <w:color w:val="auto"/>
                <w:kern w:val="0"/>
                <w:szCs w:val="21"/>
                <w:highlight w:val="none"/>
              </w:rPr>
              <w:t>5</w:t>
            </w:r>
          </w:p>
        </w:tc>
        <w:tc>
          <w:tcPr>
            <w:tcW w:w="1119" w:type="dxa"/>
            <w:tcBorders>
              <w:top w:val="single" w:color="auto" w:sz="4" w:space="0"/>
              <w:left w:val="nil"/>
              <w:bottom w:val="single" w:color="auto" w:sz="4" w:space="0"/>
              <w:right w:val="single" w:color="auto" w:sz="4" w:space="0"/>
            </w:tcBorders>
            <w:vAlign w:val="center"/>
          </w:tcPr>
          <w:p w14:paraId="2013FD48">
            <w:pPr>
              <w:spacing w:line="400" w:lineRule="exact"/>
              <w:jc w:val="center"/>
              <w:rPr>
                <w:rFonts w:ascii="宋体" w:hAnsi="宋体"/>
                <w:color w:val="auto"/>
                <w:szCs w:val="21"/>
                <w:highlight w:val="none"/>
              </w:rPr>
            </w:pPr>
            <w:r>
              <w:rPr>
                <w:rFonts w:hint="eastAsia" w:ascii="宋体" w:hAnsi="宋体"/>
                <w:color w:val="auto"/>
                <w:szCs w:val="21"/>
                <w:highlight w:val="none"/>
              </w:rPr>
              <w:t>信息系统网络安全等级保护测评服务和信息安全风险评估服务</w:t>
            </w:r>
          </w:p>
        </w:tc>
        <w:tc>
          <w:tcPr>
            <w:tcW w:w="662" w:type="dxa"/>
            <w:tcBorders>
              <w:top w:val="single" w:color="auto" w:sz="4" w:space="0"/>
              <w:left w:val="single" w:color="auto" w:sz="4" w:space="0"/>
              <w:bottom w:val="single" w:color="auto" w:sz="4" w:space="0"/>
              <w:right w:val="single" w:color="auto" w:sz="4" w:space="0"/>
            </w:tcBorders>
            <w:vAlign w:val="center"/>
          </w:tcPr>
          <w:p w14:paraId="2C90C39B">
            <w:pPr>
              <w:spacing w:line="400" w:lineRule="exact"/>
              <w:jc w:val="center"/>
              <w:rPr>
                <w:rFonts w:ascii="宋体" w:hAnsi="宋体" w:cs="宋体"/>
                <w:color w:val="auto"/>
                <w:szCs w:val="21"/>
                <w:highlight w:val="none"/>
              </w:rPr>
            </w:pPr>
            <w:r>
              <w:rPr>
                <w:rFonts w:ascii="宋体" w:hAnsi="宋体"/>
                <w:color w:val="auto"/>
                <w:szCs w:val="21"/>
                <w:highlight w:val="none"/>
              </w:rPr>
              <w:t>1</w:t>
            </w:r>
          </w:p>
        </w:tc>
        <w:tc>
          <w:tcPr>
            <w:tcW w:w="650" w:type="dxa"/>
            <w:tcBorders>
              <w:top w:val="single" w:color="auto" w:sz="4" w:space="0"/>
              <w:left w:val="single" w:color="auto" w:sz="4" w:space="0"/>
              <w:bottom w:val="single" w:color="auto" w:sz="4" w:space="0"/>
              <w:right w:val="single" w:color="auto" w:sz="4" w:space="0"/>
            </w:tcBorders>
            <w:vAlign w:val="center"/>
          </w:tcPr>
          <w:p w14:paraId="0BB3B969">
            <w:pPr>
              <w:pStyle w:val="126"/>
              <w:widowControl/>
              <w:suppressLineNumbers/>
              <w:suppressAutoHyphens/>
              <w:spacing w:line="400" w:lineRule="exact"/>
              <w:ind w:firstLine="0" w:firstLineChars="0"/>
              <w:contextualSpacing/>
              <w:jc w:val="center"/>
              <w:rPr>
                <w:rFonts w:cs="宋体"/>
                <w:color w:val="auto"/>
                <w:szCs w:val="21"/>
                <w:highlight w:val="none"/>
              </w:rPr>
            </w:pPr>
            <w:r>
              <w:rPr>
                <w:rFonts w:hint="eastAsia"/>
                <w:color w:val="auto"/>
                <w:szCs w:val="21"/>
                <w:highlight w:val="none"/>
              </w:rPr>
              <w:t>项</w:t>
            </w:r>
          </w:p>
        </w:tc>
        <w:tc>
          <w:tcPr>
            <w:tcW w:w="6578" w:type="dxa"/>
            <w:tcBorders>
              <w:top w:val="single" w:color="auto" w:sz="4" w:space="0"/>
              <w:left w:val="single" w:color="auto" w:sz="4" w:space="0"/>
              <w:bottom w:val="single" w:color="auto" w:sz="4" w:space="0"/>
              <w:right w:val="single" w:color="auto" w:sz="4" w:space="0"/>
            </w:tcBorders>
            <w:vAlign w:val="center"/>
          </w:tcPr>
          <w:p w14:paraId="0DFAC6C9">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为确保检察机关非涉密信息系统能够安全运行管理，特采购本项信息系统网络安全等级保护测评服务和信息安全风险评估服务，即按照国家网络安全及</w:t>
            </w:r>
            <w:r>
              <w:rPr>
                <w:rFonts w:cs="宋体"/>
                <w:bCs w:val="0"/>
                <w:color w:val="auto"/>
                <w:kern w:val="0"/>
                <w:sz w:val="21"/>
                <w:szCs w:val="21"/>
                <w:highlight w:val="none"/>
              </w:rPr>
              <w:t>数据安全等</w:t>
            </w:r>
            <w:r>
              <w:rPr>
                <w:rFonts w:hint="eastAsia" w:cs="宋体"/>
                <w:bCs w:val="0"/>
                <w:color w:val="auto"/>
                <w:kern w:val="0"/>
                <w:sz w:val="21"/>
                <w:szCs w:val="21"/>
                <w:highlight w:val="none"/>
              </w:rPr>
              <w:t>相关要求，通过</w:t>
            </w:r>
            <w:r>
              <w:rPr>
                <w:rFonts w:hint="eastAsia" w:cs="宋体"/>
                <w:b/>
                <w:bCs w:val="0"/>
                <w:color w:val="auto"/>
                <w:kern w:val="0"/>
                <w:sz w:val="21"/>
                <w:szCs w:val="21"/>
                <w:highlight w:val="none"/>
              </w:rPr>
              <w:t>聘请具有公安部</w:t>
            </w:r>
            <w:r>
              <w:rPr>
                <w:rFonts w:cs="宋体"/>
                <w:b/>
                <w:bCs w:val="0"/>
                <w:color w:val="auto"/>
                <w:kern w:val="0"/>
                <w:sz w:val="21"/>
                <w:szCs w:val="21"/>
                <w:highlight w:val="none"/>
              </w:rPr>
              <w:t>第三研究所</w:t>
            </w:r>
            <w:r>
              <w:rPr>
                <w:rFonts w:hint="eastAsia" w:cs="宋体"/>
                <w:b/>
                <w:bCs w:val="0"/>
                <w:color w:val="auto"/>
                <w:kern w:val="0"/>
                <w:sz w:val="21"/>
                <w:szCs w:val="21"/>
                <w:highlight w:val="none"/>
              </w:rPr>
              <w:t>认证</w:t>
            </w:r>
            <w:r>
              <w:rPr>
                <w:rFonts w:cs="宋体"/>
                <w:b/>
                <w:bCs w:val="0"/>
                <w:color w:val="auto"/>
                <w:kern w:val="0"/>
                <w:sz w:val="21"/>
                <w:szCs w:val="21"/>
                <w:highlight w:val="none"/>
              </w:rPr>
              <w:t>的</w:t>
            </w:r>
            <w:r>
              <w:rPr>
                <w:rFonts w:hint="eastAsia" w:cs="宋体"/>
                <w:b/>
                <w:bCs w:val="0"/>
                <w:color w:val="auto"/>
                <w:kern w:val="0"/>
                <w:sz w:val="21"/>
                <w:szCs w:val="21"/>
                <w:highlight w:val="none"/>
              </w:rPr>
              <w:t>符合TRIMPS-SC13-001《网络安全等级测评与检测评估机构 服务认证实施规则》要求的服务认证有效证书和具有</w:t>
            </w:r>
            <w:r>
              <w:rPr>
                <w:rFonts w:cs="宋体"/>
                <w:b/>
                <w:bCs w:val="0"/>
                <w:color w:val="auto"/>
                <w:kern w:val="0"/>
                <w:sz w:val="21"/>
                <w:szCs w:val="21"/>
                <w:highlight w:val="none"/>
              </w:rPr>
              <w:t>CCRC或ISCCC</w:t>
            </w:r>
            <w:r>
              <w:rPr>
                <w:rFonts w:hint="eastAsia" w:cs="宋体"/>
                <w:b/>
                <w:bCs w:val="0"/>
                <w:color w:val="auto"/>
                <w:kern w:val="0"/>
                <w:sz w:val="21"/>
                <w:szCs w:val="21"/>
                <w:highlight w:val="none"/>
              </w:rPr>
              <w:t>或中国信息安全测评中心</w:t>
            </w:r>
            <w:r>
              <w:rPr>
                <w:rFonts w:cs="宋体"/>
                <w:b/>
                <w:bCs w:val="0"/>
                <w:color w:val="auto"/>
                <w:kern w:val="0"/>
                <w:sz w:val="21"/>
                <w:szCs w:val="21"/>
                <w:highlight w:val="none"/>
              </w:rPr>
              <w:t>认证的</w:t>
            </w:r>
            <w:r>
              <w:rPr>
                <w:rFonts w:hint="eastAsia" w:cs="宋体"/>
                <w:b/>
                <w:bCs w:val="0"/>
                <w:color w:val="auto"/>
                <w:kern w:val="0"/>
                <w:sz w:val="21"/>
                <w:szCs w:val="21"/>
                <w:highlight w:val="none"/>
              </w:rPr>
              <w:t>信息安全风险评估服务资质认证有效证书的第三方服务机构</w:t>
            </w:r>
            <w:r>
              <w:rPr>
                <w:rFonts w:cs="宋体"/>
                <w:b/>
                <w:bCs w:val="0"/>
                <w:color w:val="auto"/>
                <w:kern w:val="0"/>
                <w:sz w:val="21"/>
                <w:szCs w:val="21"/>
                <w:highlight w:val="none"/>
              </w:rPr>
              <w:t>(</w:t>
            </w:r>
            <w:r>
              <w:rPr>
                <w:rFonts w:hint="eastAsia" w:cs="宋体"/>
                <w:b/>
                <w:color w:val="auto"/>
                <w:kern w:val="0"/>
                <w:sz w:val="21"/>
                <w:szCs w:val="21"/>
                <w:highlight w:val="none"/>
              </w:rPr>
              <w:t>如成交供应商具有相关资质，可自行按本项要求做好测评和评估工作</w:t>
            </w:r>
            <w:r>
              <w:rPr>
                <w:rFonts w:hint="eastAsia" w:cs="宋体"/>
                <w:bCs w:val="0"/>
                <w:color w:val="auto"/>
                <w:kern w:val="0"/>
                <w:sz w:val="21"/>
                <w:szCs w:val="21"/>
                <w:highlight w:val="none"/>
              </w:rPr>
              <w:t>)，从2</w:t>
            </w:r>
            <w:r>
              <w:rPr>
                <w:rFonts w:cs="宋体"/>
                <w:bCs w:val="0"/>
                <w:color w:val="auto"/>
                <w:kern w:val="0"/>
                <w:sz w:val="21"/>
                <w:szCs w:val="21"/>
                <w:highlight w:val="none"/>
              </w:rPr>
              <w:t>025</w:t>
            </w:r>
            <w:r>
              <w:rPr>
                <w:rFonts w:hint="eastAsia" w:cs="宋体"/>
                <w:bCs w:val="0"/>
                <w:color w:val="auto"/>
                <w:kern w:val="0"/>
                <w:sz w:val="21"/>
                <w:szCs w:val="21"/>
                <w:highlight w:val="none"/>
              </w:rPr>
              <w:t>年至2</w:t>
            </w:r>
            <w:r>
              <w:rPr>
                <w:rFonts w:cs="宋体"/>
                <w:bCs w:val="0"/>
                <w:color w:val="auto"/>
                <w:kern w:val="0"/>
                <w:sz w:val="21"/>
                <w:szCs w:val="21"/>
                <w:highlight w:val="none"/>
              </w:rPr>
              <w:t>027</w:t>
            </w:r>
            <w:r>
              <w:rPr>
                <w:rFonts w:hint="eastAsia" w:cs="宋体"/>
                <w:bCs w:val="0"/>
                <w:color w:val="auto"/>
                <w:kern w:val="0"/>
                <w:sz w:val="21"/>
                <w:szCs w:val="21"/>
                <w:highlight w:val="none"/>
              </w:rPr>
              <w:t>年连续3年做好检务综合平台、全区检察工作网和广西检察融媒体新闻宣传平台等信息系统的网络安全等级保护测评和信息安全风险评估工作，其中网络</w:t>
            </w:r>
            <w:r>
              <w:rPr>
                <w:rFonts w:cs="宋体"/>
                <w:bCs w:val="0"/>
                <w:color w:val="auto"/>
                <w:kern w:val="0"/>
                <w:sz w:val="21"/>
                <w:szCs w:val="21"/>
                <w:highlight w:val="none"/>
              </w:rPr>
              <w:t>安全等级保护测评</w:t>
            </w:r>
            <w:r>
              <w:rPr>
                <w:rFonts w:hint="eastAsia" w:cs="宋体"/>
                <w:bCs w:val="0"/>
                <w:color w:val="auto"/>
                <w:kern w:val="0"/>
                <w:sz w:val="21"/>
                <w:szCs w:val="21"/>
                <w:highlight w:val="none"/>
              </w:rPr>
              <w:t>结果</w:t>
            </w:r>
            <w:r>
              <w:rPr>
                <w:rFonts w:cs="宋体"/>
                <w:bCs w:val="0"/>
                <w:color w:val="auto"/>
                <w:kern w:val="0"/>
                <w:sz w:val="21"/>
                <w:szCs w:val="21"/>
                <w:highlight w:val="none"/>
              </w:rPr>
              <w:t>必须</w:t>
            </w:r>
            <w:r>
              <w:rPr>
                <w:rFonts w:hint="eastAsia" w:cs="宋体"/>
                <w:bCs w:val="0"/>
                <w:color w:val="auto"/>
                <w:kern w:val="0"/>
                <w:sz w:val="21"/>
                <w:szCs w:val="21"/>
                <w:highlight w:val="none"/>
              </w:rPr>
              <w:t>通过</w:t>
            </w:r>
            <w:r>
              <w:rPr>
                <w:rFonts w:cs="宋体"/>
                <w:bCs w:val="0"/>
                <w:color w:val="auto"/>
                <w:kern w:val="0"/>
                <w:sz w:val="21"/>
                <w:szCs w:val="21"/>
                <w:highlight w:val="none"/>
              </w:rPr>
              <w:t>公安机关认可，</w:t>
            </w:r>
            <w:r>
              <w:rPr>
                <w:rFonts w:hint="eastAsia" w:cs="宋体"/>
                <w:bCs w:val="0"/>
                <w:color w:val="auto"/>
                <w:kern w:val="0"/>
                <w:sz w:val="21"/>
                <w:szCs w:val="21"/>
                <w:highlight w:val="none"/>
              </w:rPr>
              <w:t>具体要求如下：</w:t>
            </w:r>
          </w:p>
          <w:p w14:paraId="6E62FD98">
            <w:pPr>
              <w:pStyle w:val="126"/>
              <w:widowControl/>
              <w:suppressLineNumbers/>
              <w:suppressAutoHyphens/>
              <w:spacing w:line="400" w:lineRule="exact"/>
              <w:ind w:firstLine="422"/>
              <w:contextualSpacing/>
              <w:rPr>
                <w:rFonts w:cs="宋体"/>
                <w:b/>
                <w:bCs w:val="0"/>
                <w:color w:val="auto"/>
                <w:kern w:val="0"/>
                <w:sz w:val="21"/>
                <w:szCs w:val="21"/>
                <w:highlight w:val="none"/>
              </w:rPr>
            </w:pPr>
            <w:r>
              <w:rPr>
                <w:rFonts w:hint="eastAsia" w:cs="宋体"/>
                <w:b/>
                <w:bCs w:val="0"/>
                <w:color w:val="auto"/>
                <w:kern w:val="0"/>
                <w:sz w:val="21"/>
                <w:szCs w:val="21"/>
                <w:highlight w:val="none"/>
              </w:rPr>
              <w:t>一、测评和评估目标</w:t>
            </w:r>
          </w:p>
          <w:p w14:paraId="1EBA731A">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本项目将通过聘用专业机构</w:t>
            </w:r>
            <w:r>
              <w:rPr>
                <w:rFonts w:cs="宋体"/>
                <w:bCs w:val="0"/>
                <w:color w:val="auto"/>
                <w:kern w:val="0"/>
                <w:sz w:val="21"/>
                <w:szCs w:val="21"/>
                <w:highlight w:val="none"/>
              </w:rPr>
              <w:t>的信息</w:t>
            </w:r>
            <w:r>
              <w:rPr>
                <w:rFonts w:hint="eastAsia" w:cs="宋体"/>
                <w:bCs w:val="0"/>
                <w:color w:val="auto"/>
                <w:kern w:val="0"/>
                <w:sz w:val="21"/>
                <w:szCs w:val="21"/>
                <w:highlight w:val="none"/>
              </w:rPr>
              <w:t>系统网络安全等级保护测评和信息安全风险评估，全面审视和强化检务综合平台、全区检察工作网、广西检察融媒体新闻宣传平台的安全性能。通过这一系列的评估和测评活动，发现潜在的安全风险，提升系统的整体安全防护能力，确保检察工作数据的安全和完整性，同时符合国家关于信息系统</w:t>
            </w:r>
            <w:r>
              <w:rPr>
                <w:rFonts w:cs="宋体"/>
                <w:bCs w:val="0"/>
                <w:color w:val="auto"/>
                <w:kern w:val="0"/>
                <w:sz w:val="21"/>
                <w:szCs w:val="21"/>
                <w:highlight w:val="none"/>
              </w:rPr>
              <w:t>网络</w:t>
            </w:r>
            <w:r>
              <w:rPr>
                <w:rFonts w:hint="eastAsia" w:cs="宋体"/>
                <w:bCs w:val="0"/>
                <w:color w:val="auto"/>
                <w:kern w:val="0"/>
                <w:sz w:val="21"/>
                <w:szCs w:val="21"/>
                <w:highlight w:val="none"/>
              </w:rPr>
              <w:t>安全和</w:t>
            </w:r>
            <w:r>
              <w:rPr>
                <w:rFonts w:cs="宋体"/>
                <w:bCs w:val="0"/>
                <w:color w:val="auto"/>
                <w:kern w:val="0"/>
                <w:sz w:val="21"/>
                <w:szCs w:val="21"/>
                <w:highlight w:val="none"/>
              </w:rPr>
              <w:t>数据安全</w:t>
            </w:r>
            <w:r>
              <w:rPr>
                <w:rFonts w:hint="eastAsia" w:cs="宋体"/>
                <w:bCs w:val="0"/>
                <w:color w:val="auto"/>
                <w:kern w:val="0"/>
                <w:sz w:val="21"/>
                <w:szCs w:val="21"/>
                <w:highlight w:val="none"/>
              </w:rPr>
              <w:t>的法律法规要求。</w:t>
            </w:r>
          </w:p>
          <w:p w14:paraId="6321F279">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1、确保各系统符合国家关于信息系统</w:t>
            </w:r>
            <w:r>
              <w:rPr>
                <w:rFonts w:cs="宋体"/>
                <w:bCs w:val="0"/>
                <w:color w:val="auto"/>
                <w:kern w:val="0"/>
                <w:sz w:val="21"/>
                <w:szCs w:val="21"/>
                <w:highlight w:val="none"/>
              </w:rPr>
              <w:t>网络</w:t>
            </w:r>
            <w:r>
              <w:rPr>
                <w:rFonts w:hint="eastAsia" w:cs="宋体"/>
                <w:bCs w:val="0"/>
                <w:color w:val="auto"/>
                <w:kern w:val="0"/>
                <w:sz w:val="21"/>
                <w:szCs w:val="21"/>
                <w:highlight w:val="none"/>
              </w:rPr>
              <w:t>安全和</w:t>
            </w:r>
            <w:r>
              <w:rPr>
                <w:rFonts w:cs="宋体"/>
                <w:bCs w:val="0"/>
                <w:color w:val="auto"/>
                <w:kern w:val="0"/>
                <w:sz w:val="21"/>
                <w:szCs w:val="21"/>
                <w:highlight w:val="none"/>
              </w:rPr>
              <w:t>数据安全</w:t>
            </w:r>
            <w:r>
              <w:rPr>
                <w:rFonts w:hint="eastAsia" w:cs="宋体"/>
                <w:bCs w:val="0"/>
                <w:color w:val="auto"/>
                <w:kern w:val="0"/>
                <w:sz w:val="21"/>
                <w:szCs w:val="21"/>
                <w:highlight w:val="none"/>
              </w:rPr>
              <w:t>的法律法规要求，通过等级保护测评；</w:t>
            </w:r>
          </w:p>
          <w:p w14:paraId="7EC8EB5C">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2、识别现有系统中的潜在安全漏洞和薄弱环节，提高整体安全性；</w:t>
            </w:r>
          </w:p>
          <w:p w14:paraId="3D529865">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3、制定并实施有效的数据安全管理策略，保障重要数据的安全性与完整性；</w:t>
            </w:r>
          </w:p>
          <w:p w14:paraId="1DEDD079">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4、提升信息安全意识，加强网络安全培训教育；</w:t>
            </w:r>
          </w:p>
          <w:p w14:paraId="58BA8679">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5、建立健全网络安全应急响应机制，及时处理各类网络安全事件。</w:t>
            </w:r>
          </w:p>
          <w:p w14:paraId="07B8D9DF">
            <w:pPr>
              <w:pStyle w:val="126"/>
              <w:widowControl/>
              <w:suppressLineNumbers/>
              <w:suppressAutoHyphens/>
              <w:spacing w:line="400" w:lineRule="exact"/>
              <w:ind w:firstLine="422"/>
              <w:contextualSpacing/>
              <w:rPr>
                <w:rFonts w:cs="宋体"/>
                <w:b/>
                <w:bCs w:val="0"/>
                <w:color w:val="auto"/>
                <w:kern w:val="0"/>
                <w:sz w:val="21"/>
                <w:szCs w:val="21"/>
                <w:highlight w:val="none"/>
              </w:rPr>
            </w:pPr>
            <w:r>
              <w:rPr>
                <w:rFonts w:hint="eastAsia" w:cs="宋体"/>
                <w:b/>
                <w:bCs w:val="0"/>
                <w:color w:val="auto"/>
                <w:kern w:val="0"/>
                <w:sz w:val="21"/>
                <w:szCs w:val="21"/>
                <w:highlight w:val="none"/>
              </w:rPr>
              <w:t>二、测评和评估范围</w:t>
            </w:r>
          </w:p>
          <w:p w14:paraId="0898FD5E">
            <w:pPr>
              <w:pStyle w:val="126"/>
              <w:widowControl/>
              <w:suppressLineNumbers/>
              <w:suppressAutoHyphens/>
              <w:spacing w:line="400" w:lineRule="exact"/>
              <w:ind w:firstLine="420"/>
              <w:contextualSpacing/>
              <w:rPr>
                <w:rFonts w:cs="宋体"/>
                <w:b/>
                <w:bCs w:val="0"/>
                <w:color w:val="auto"/>
                <w:kern w:val="0"/>
                <w:sz w:val="21"/>
                <w:szCs w:val="21"/>
                <w:highlight w:val="none"/>
              </w:rPr>
            </w:pPr>
            <w:r>
              <w:rPr>
                <w:rFonts w:hint="eastAsia" w:cs="宋体"/>
                <w:bCs w:val="0"/>
                <w:color w:val="auto"/>
                <w:kern w:val="0"/>
                <w:sz w:val="21"/>
                <w:szCs w:val="21"/>
                <w:highlight w:val="none"/>
              </w:rPr>
              <w:t>按照</w:t>
            </w:r>
            <w:r>
              <w:rPr>
                <w:rFonts w:cs="宋体"/>
                <w:bCs w:val="0"/>
                <w:color w:val="auto"/>
                <w:kern w:val="0"/>
                <w:sz w:val="21"/>
                <w:szCs w:val="21"/>
                <w:highlight w:val="none"/>
              </w:rPr>
              <w:t>本项</w:t>
            </w:r>
            <w:r>
              <w:rPr>
                <w:rFonts w:hint="eastAsia" w:cs="宋体"/>
                <w:bCs w:val="0"/>
                <w:color w:val="auto"/>
                <w:kern w:val="0"/>
                <w:sz w:val="21"/>
                <w:szCs w:val="21"/>
                <w:highlight w:val="none"/>
              </w:rPr>
              <w:t>要求</w:t>
            </w:r>
            <w:r>
              <w:rPr>
                <w:rFonts w:cs="宋体"/>
                <w:bCs w:val="0"/>
                <w:color w:val="auto"/>
                <w:kern w:val="0"/>
                <w:sz w:val="21"/>
                <w:szCs w:val="21"/>
                <w:highlight w:val="none"/>
              </w:rPr>
              <w:t>有专业机构</w:t>
            </w:r>
            <w:r>
              <w:rPr>
                <w:rFonts w:hint="eastAsia" w:cs="宋体"/>
                <w:bCs w:val="0"/>
                <w:color w:val="auto"/>
                <w:kern w:val="0"/>
                <w:sz w:val="21"/>
                <w:szCs w:val="21"/>
                <w:highlight w:val="none"/>
              </w:rPr>
              <w:t>每年按期做好本项以下信息系统的网络安全等级保护测评及风险评估工作：</w:t>
            </w:r>
          </w:p>
          <w:p w14:paraId="64E20B64">
            <w:pPr>
              <w:pStyle w:val="126"/>
              <w:widowControl/>
              <w:suppressLineNumbers/>
              <w:suppressAutoHyphens/>
              <w:spacing w:line="400" w:lineRule="exact"/>
              <w:ind w:firstLine="422"/>
              <w:contextualSpacing/>
              <w:rPr>
                <w:rFonts w:cs="宋体"/>
                <w:b/>
                <w:bCs w:val="0"/>
                <w:color w:val="auto"/>
                <w:kern w:val="0"/>
                <w:sz w:val="21"/>
                <w:szCs w:val="21"/>
                <w:highlight w:val="none"/>
              </w:rPr>
            </w:pPr>
            <w:r>
              <w:rPr>
                <w:rFonts w:hint="eastAsia" w:cs="宋体"/>
                <w:b/>
                <w:bCs w:val="0"/>
                <w:color w:val="auto"/>
                <w:kern w:val="0"/>
                <w:sz w:val="21"/>
                <w:szCs w:val="21"/>
                <w:highlight w:val="none"/>
              </w:rPr>
              <w:t>（一）检务综合平台</w:t>
            </w:r>
          </w:p>
          <w:p w14:paraId="453901D8">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检务综合平台（本项目建设）通过整合自治区检察院的各类应用系统，包括检察业务应用系统2.0、大数据法律监督模型管理平台、辅助办案子系统、电子卷宗OCR识别系统、政法机关跨部门大数据协同办案平台、刑事执行检察管理系统、控申工作信息管理系统、案件信息管理综合平台、司法绩效系统、技术性证据审查智能辅助办案平台、案件质量评查系统、检务数据分析与决策系统、同步录音录像审查系统、提讯辅助办案平台、检委会无纸化办公系统、多方案件研讨系统、党政机关综合办公平台、考勤管理系统、用车管理系统、平时考核系统、法警申请系统、电子档案系统、智能会务管理系统、队伍管理系统(含：全国检察机关队伍管理信息系统)、人事信息管理平台、法警管理系统、检务保障系统、检务保障系统工资子系统、检务保障系统报帐子系统、工作网站集群系统、安全电子邮件系统、身份认证体系、电子印章库、书生电子文档管控系统、打印安全监控审计系统、非涉密视频应用一体化平台、统一消息推送平台、信息化运维工单系统等子系统</w:t>
            </w:r>
            <w:r>
              <w:rPr>
                <w:rFonts w:cs="宋体"/>
                <w:bCs w:val="0"/>
                <w:color w:val="auto"/>
                <w:kern w:val="0"/>
                <w:sz w:val="21"/>
                <w:szCs w:val="21"/>
                <w:highlight w:val="none"/>
              </w:rPr>
              <w:t>，</w:t>
            </w:r>
            <w:r>
              <w:rPr>
                <w:rFonts w:hint="eastAsia" w:cs="宋体"/>
                <w:bCs w:val="0"/>
                <w:color w:val="auto"/>
                <w:kern w:val="0"/>
                <w:sz w:val="21"/>
                <w:szCs w:val="21"/>
                <w:highlight w:val="none"/>
              </w:rPr>
              <w:t>以及这些</w:t>
            </w:r>
            <w:r>
              <w:rPr>
                <w:rFonts w:cs="宋体"/>
                <w:bCs w:val="0"/>
                <w:color w:val="auto"/>
                <w:kern w:val="0"/>
                <w:sz w:val="21"/>
                <w:szCs w:val="21"/>
                <w:highlight w:val="none"/>
              </w:rPr>
              <w:t>信息</w:t>
            </w:r>
            <w:r>
              <w:rPr>
                <w:rFonts w:hint="eastAsia" w:cs="宋体"/>
                <w:bCs w:val="0"/>
                <w:color w:val="auto"/>
                <w:kern w:val="0"/>
                <w:sz w:val="21"/>
                <w:szCs w:val="21"/>
                <w:highlight w:val="none"/>
              </w:rPr>
              <w:t>系统</w:t>
            </w:r>
            <w:r>
              <w:rPr>
                <w:rFonts w:cs="宋体"/>
                <w:bCs w:val="0"/>
                <w:color w:val="auto"/>
                <w:kern w:val="0"/>
                <w:sz w:val="21"/>
                <w:szCs w:val="21"/>
                <w:highlight w:val="none"/>
              </w:rPr>
              <w:t>扩展延伸移动应用</w:t>
            </w:r>
            <w:r>
              <w:rPr>
                <w:rFonts w:hint="eastAsia" w:cs="宋体"/>
                <w:bCs w:val="0"/>
                <w:color w:val="auto"/>
                <w:kern w:val="0"/>
                <w:sz w:val="21"/>
                <w:szCs w:val="21"/>
                <w:highlight w:val="none"/>
              </w:rPr>
              <w:t>APP子</w:t>
            </w:r>
            <w:r>
              <w:rPr>
                <w:rFonts w:cs="宋体"/>
                <w:bCs w:val="0"/>
                <w:color w:val="auto"/>
                <w:kern w:val="0"/>
                <w:sz w:val="21"/>
                <w:szCs w:val="21"/>
                <w:highlight w:val="none"/>
              </w:rPr>
              <w:t>系统</w:t>
            </w:r>
            <w:r>
              <w:rPr>
                <w:rFonts w:hint="eastAsia" w:cs="宋体"/>
                <w:bCs w:val="0"/>
                <w:color w:val="auto"/>
                <w:kern w:val="0"/>
                <w:sz w:val="21"/>
                <w:szCs w:val="21"/>
                <w:highlight w:val="none"/>
              </w:rPr>
              <w:t>等，成为检察机关内部管理和业务处理的核心系统。</w:t>
            </w:r>
          </w:p>
          <w:p w14:paraId="1C810C1A">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平台整合了应用、单点登录、信息的集成，促进各子系统间的数据共享与互通，消除了信息孤岛，确保了数据的一致性和可用性。同时，平台采用统一身份认证与单点登录机制，整合了用户数据和组织架构信息，简化了用户访问流程，并提升了系统的安全性和便捷性。</w:t>
            </w:r>
          </w:p>
          <w:p w14:paraId="3E26CB75">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平台部署在检察专网，网络结构总体按照双链路方式进行建设，互联网边界、内网边界、服务器边界均已部署配备有 IPS、AV 模块的防火墙，网络中已部署日志审计系统、堡垒机、准入控制系统、态势感知系统、终端安全防护系统等，为本系统提供安全监测防护；按照已制定的《信息安全等级保护制度管理规定》、《广西壮族自治区网络安全事件应急预案》等一系列的安全管理制度进行安全运维管理。</w:t>
            </w:r>
          </w:p>
          <w:p w14:paraId="280D0EBA">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为确保检务综合平台的安全性和合规性，需对检务综合平台的安全物理环境、安全通信网络、安全区域边界、安全计算环境、安全管理中心、安全管理制度、安全管理机构、安全管理人员、安全建设管理、安全运维管理等安全通用指标进行全面测评和评估。</w:t>
            </w:r>
          </w:p>
          <w:p w14:paraId="728918DE">
            <w:pPr>
              <w:pStyle w:val="126"/>
              <w:widowControl/>
              <w:suppressLineNumbers/>
              <w:suppressAutoHyphens/>
              <w:spacing w:line="400" w:lineRule="exact"/>
              <w:ind w:firstLine="422"/>
              <w:contextualSpacing/>
              <w:rPr>
                <w:rFonts w:cs="宋体"/>
                <w:b/>
                <w:bCs w:val="0"/>
                <w:color w:val="auto"/>
                <w:kern w:val="0"/>
                <w:sz w:val="21"/>
                <w:szCs w:val="21"/>
                <w:highlight w:val="none"/>
              </w:rPr>
            </w:pPr>
            <w:r>
              <w:rPr>
                <w:rFonts w:hint="eastAsia" w:cs="宋体"/>
                <w:b/>
                <w:bCs w:val="0"/>
                <w:color w:val="auto"/>
                <w:kern w:val="0"/>
                <w:sz w:val="21"/>
                <w:szCs w:val="21"/>
                <w:highlight w:val="none"/>
              </w:rPr>
              <w:t>（二）全区检察工作网</w:t>
            </w:r>
          </w:p>
          <w:p w14:paraId="48345F36">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全区检察工作网（已完成建设）作为基础网络平台，用于自治区检察院内部工作网络连接，以及实现最高检、自治区检察院、地市检察院、县（区）检察院四级网络互联互通。在实现互联互通后访问检察院部署在广西电子政务外网自治区级信创云平台上的应用系统，实现与互联网的安全数据交换，实现与公安、法院等外部专网的安全数据交换。全区检察工作网作为基础的网络通信设施，只承载、传输网络层数据及部署在业务应用上的数据，并进行网络安全防护。全区检察工作网承载、传输的网络层数据主要包括广西电子政务外网自治区级信创云平台上部署的各检察业务应用。全区检察工作网提供的网络安全防护服务主要包括各区域边界防火墙的访问控制和安全防护，态势感知系统提供的入侵防范、态势感知，日志审计系统提供的日志审计服务、防病毒控制中心提供的防病毒服务等。</w:t>
            </w:r>
          </w:p>
          <w:p w14:paraId="1EE30A09">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自治区检察院检察工作网部署在自治区检察院本地，为全区检察工作网的中心节点，进行了网络区域划分，并部署相关安全设备、安全防护系统、应用服务器。检察工作网通过边界路由器接入电子政务外网专线，且广西电子政务外网骨干网使用 MPLS VPN 分流独立出检察工作网链路，从而确保安全上联最高检、下联 15 个市级检察院、119个县级检察院和1个检察官学院的工作网，外联广西电子政务外网自治区级信创云平台。</w:t>
            </w:r>
          </w:p>
          <w:p w14:paraId="535DEA8B">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为确保全区检察工作网的安全性和合规性，需对全区检察工作网安全物理环境、安全通信网络、安全区域边界、安全计算环境、安全管理中心、安全管理制度、安全管理机构、安全管理人员、安全建设管理、安全运维管理等安全通用指标进行全面测评和评估。</w:t>
            </w:r>
          </w:p>
          <w:p w14:paraId="552768F8">
            <w:pPr>
              <w:pStyle w:val="126"/>
              <w:widowControl/>
              <w:suppressLineNumbers/>
              <w:suppressAutoHyphens/>
              <w:spacing w:line="400" w:lineRule="exact"/>
              <w:ind w:firstLine="422"/>
              <w:contextualSpacing/>
              <w:rPr>
                <w:rFonts w:cs="宋体"/>
                <w:b/>
                <w:bCs w:val="0"/>
                <w:color w:val="auto"/>
                <w:kern w:val="0"/>
                <w:sz w:val="21"/>
                <w:szCs w:val="21"/>
                <w:highlight w:val="none"/>
              </w:rPr>
            </w:pPr>
            <w:r>
              <w:rPr>
                <w:rFonts w:hint="eastAsia" w:cs="宋体"/>
                <w:b/>
                <w:bCs w:val="0"/>
                <w:color w:val="auto"/>
                <w:kern w:val="0"/>
                <w:sz w:val="21"/>
                <w:szCs w:val="21"/>
                <w:highlight w:val="none"/>
              </w:rPr>
              <w:t>（三）广西检察融媒体新闻宣传平台</w:t>
            </w:r>
          </w:p>
          <w:p w14:paraId="2A3AC548">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广西检察融媒体新闻宣传平台（已完成建设）可开展检察新媒体矩阵管理、舆情监测应对指挥、新闻发布、音视频节目录制等工作，满足广西检察机关新闻宣传策划、采集、发布、管理等需要。平台主要涵盖九大模块，建立贯穿自治区、市、县三级检察院融媒体节点和舆情应急联动机制，实现检察新闻宣传工作全信息采集、编发、分析、融入和管理。</w:t>
            </w:r>
          </w:p>
          <w:p w14:paraId="23A4CBF2">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平台部署在广西壮族自治区信息中心，网络环境，安全环境，充分运用政务云的边界防火墙、主机安全、堡垒机、虚拟防火墙、漏洞扫描、云WAF、主机防病毒等网络安全服务。</w:t>
            </w:r>
          </w:p>
          <w:p w14:paraId="75FA2B5A">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为确保广西检察融媒体新闻宣传平台的安全性和合规性，需对广西检察融媒体新闻宣传平台安全物理环境、安全通信网络、安全区域边界、安全计算环境、安全管理中心、安全管理制度、安全管理机构、安全管理人员、安全建设管理、安全运维管理等安全通用指标进行全面测评和评估。</w:t>
            </w:r>
          </w:p>
          <w:p w14:paraId="6DCACDAA">
            <w:pPr>
              <w:pStyle w:val="126"/>
              <w:widowControl/>
              <w:suppressLineNumbers/>
              <w:suppressAutoHyphens/>
              <w:spacing w:line="400" w:lineRule="exact"/>
              <w:ind w:firstLine="422"/>
              <w:contextualSpacing/>
              <w:rPr>
                <w:rFonts w:cs="宋体"/>
                <w:b/>
                <w:bCs w:val="0"/>
                <w:color w:val="auto"/>
                <w:kern w:val="0"/>
                <w:sz w:val="21"/>
                <w:szCs w:val="21"/>
                <w:highlight w:val="none"/>
              </w:rPr>
            </w:pPr>
            <w:r>
              <w:rPr>
                <w:rFonts w:hint="eastAsia" w:cs="宋体"/>
                <w:b/>
                <w:bCs w:val="0"/>
                <w:color w:val="auto"/>
                <w:kern w:val="0"/>
                <w:sz w:val="21"/>
                <w:szCs w:val="21"/>
                <w:highlight w:val="none"/>
              </w:rPr>
              <w:t>三、网络安全等级保护测评服务要求</w:t>
            </w:r>
          </w:p>
          <w:p w14:paraId="192D6508">
            <w:pPr>
              <w:pStyle w:val="126"/>
              <w:widowControl/>
              <w:suppressLineNumbers/>
              <w:suppressAutoHyphens/>
              <w:spacing w:line="400" w:lineRule="exact"/>
              <w:ind w:firstLine="422"/>
              <w:contextualSpacing/>
              <w:rPr>
                <w:rFonts w:cs="宋体"/>
                <w:b/>
                <w:bCs w:val="0"/>
                <w:color w:val="auto"/>
                <w:kern w:val="0"/>
                <w:sz w:val="21"/>
                <w:szCs w:val="21"/>
                <w:highlight w:val="none"/>
              </w:rPr>
            </w:pPr>
            <w:r>
              <w:rPr>
                <w:rFonts w:hint="eastAsia" w:cs="宋体"/>
                <w:b/>
                <w:bCs w:val="0"/>
                <w:color w:val="auto"/>
                <w:kern w:val="0"/>
                <w:sz w:val="21"/>
                <w:szCs w:val="21"/>
                <w:highlight w:val="none"/>
              </w:rPr>
              <w:t>（一）定级与备案</w:t>
            </w:r>
          </w:p>
          <w:p w14:paraId="448963CC">
            <w:pPr>
              <w:pStyle w:val="126"/>
              <w:widowControl/>
              <w:suppressLineNumbers/>
              <w:suppressAutoHyphens/>
              <w:spacing w:line="400" w:lineRule="exact"/>
              <w:ind w:firstLine="422"/>
              <w:contextualSpacing/>
              <w:rPr>
                <w:rFonts w:cs="宋体"/>
                <w:b/>
                <w:bCs w:val="0"/>
                <w:color w:val="auto"/>
                <w:kern w:val="0"/>
                <w:sz w:val="21"/>
                <w:szCs w:val="21"/>
                <w:highlight w:val="none"/>
              </w:rPr>
            </w:pPr>
            <w:r>
              <w:rPr>
                <w:rFonts w:cs="宋体"/>
                <w:b/>
                <w:bCs w:val="0"/>
                <w:color w:val="auto"/>
                <w:kern w:val="0"/>
                <w:sz w:val="21"/>
                <w:szCs w:val="21"/>
                <w:highlight w:val="none"/>
              </w:rPr>
              <w:t>1</w:t>
            </w:r>
            <w:r>
              <w:rPr>
                <w:rFonts w:hint="eastAsia" w:cs="宋体"/>
                <w:b/>
                <w:bCs w:val="0"/>
                <w:color w:val="auto"/>
                <w:kern w:val="0"/>
                <w:sz w:val="21"/>
                <w:szCs w:val="21"/>
                <w:highlight w:val="none"/>
              </w:rPr>
              <w:t>、调研</w:t>
            </w:r>
          </w:p>
          <w:p w14:paraId="0175BEA8">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通过调研初步确定各信息系统的名称和级别。</w:t>
            </w:r>
          </w:p>
          <w:p w14:paraId="18B49E3C">
            <w:pPr>
              <w:pStyle w:val="126"/>
              <w:widowControl/>
              <w:suppressLineNumbers/>
              <w:suppressAutoHyphens/>
              <w:spacing w:line="400" w:lineRule="exact"/>
              <w:ind w:firstLine="422"/>
              <w:contextualSpacing/>
              <w:rPr>
                <w:rFonts w:cs="宋体"/>
                <w:b/>
                <w:bCs w:val="0"/>
                <w:color w:val="auto"/>
                <w:kern w:val="0"/>
                <w:sz w:val="21"/>
                <w:szCs w:val="21"/>
                <w:highlight w:val="none"/>
              </w:rPr>
            </w:pPr>
            <w:r>
              <w:rPr>
                <w:rFonts w:cs="宋体"/>
                <w:b/>
                <w:bCs w:val="0"/>
                <w:color w:val="auto"/>
                <w:kern w:val="0"/>
                <w:sz w:val="21"/>
                <w:szCs w:val="21"/>
                <w:highlight w:val="none"/>
              </w:rPr>
              <w:t>2</w:t>
            </w:r>
            <w:r>
              <w:rPr>
                <w:rFonts w:hint="eastAsia" w:cs="宋体"/>
                <w:b/>
                <w:bCs w:val="0"/>
                <w:color w:val="auto"/>
                <w:kern w:val="0"/>
                <w:sz w:val="21"/>
                <w:szCs w:val="21"/>
                <w:highlight w:val="none"/>
              </w:rPr>
              <w:t>、定级报告和备案表</w:t>
            </w:r>
          </w:p>
          <w:p w14:paraId="35C3F52D">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信息安全等级保护工作的第一个环节是系统定级。对信息系统进行定级是等级保护工作的基础，信息系统的安全保护等级应当根据信息系统在国家安全、经济建设、社会生活中的重要程度，信息系统遭到破坏后对国家安全、社会秩序、公共利益以及公民、法人和其他组织的合法权益的危害程度等因素确定。定级工作流程是确定定级对象、确定信息系统安全等级保护等级、组织专家评审、主管部门审批、公安机关审核。信息系统定级以后，应到所在地区地市级上公安机关办理备案手续，备案工作的流程是信息系统备案、受理、审核和备案信息管理等。</w:t>
            </w:r>
          </w:p>
          <w:p w14:paraId="1B63552B">
            <w:pPr>
              <w:pStyle w:val="126"/>
              <w:widowControl/>
              <w:suppressLineNumbers/>
              <w:suppressAutoHyphens/>
              <w:spacing w:line="400" w:lineRule="exact"/>
              <w:ind w:firstLine="422"/>
              <w:contextualSpacing/>
              <w:rPr>
                <w:rFonts w:cs="宋体"/>
                <w:b/>
                <w:bCs w:val="0"/>
                <w:color w:val="auto"/>
                <w:kern w:val="0"/>
                <w:sz w:val="21"/>
                <w:szCs w:val="21"/>
                <w:highlight w:val="none"/>
              </w:rPr>
            </w:pPr>
            <w:r>
              <w:rPr>
                <w:rFonts w:hint="eastAsia" w:cs="宋体"/>
                <w:b/>
                <w:bCs w:val="0"/>
                <w:color w:val="auto"/>
                <w:kern w:val="0"/>
                <w:sz w:val="21"/>
                <w:szCs w:val="21"/>
                <w:highlight w:val="none"/>
              </w:rPr>
              <w:t>（1）协助定级</w:t>
            </w:r>
          </w:p>
          <w:p w14:paraId="50D08D52">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聘请具有行业内调研员及</w:t>
            </w:r>
            <w:r>
              <w:rPr>
                <w:rFonts w:cs="宋体"/>
                <w:bCs w:val="0"/>
                <w:color w:val="auto"/>
                <w:kern w:val="0"/>
                <w:sz w:val="21"/>
                <w:szCs w:val="21"/>
                <w:highlight w:val="none"/>
              </w:rPr>
              <w:t>以上级别</w:t>
            </w:r>
            <w:r>
              <w:rPr>
                <w:rFonts w:hint="eastAsia" w:cs="宋体"/>
                <w:bCs w:val="0"/>
                <w:color w:val="auto"/>
                <w:kern w:val="0"/>
                <w:sz w:val="21"/>
                <w:szCs w:val="21"/>
                <w:highlight w:val="none"/>
              </w:rPr>
              <w:t>或具有计算机</w:t>
            </w:r>
            <w:r>
              <w:rPr>
                <w:rFonts w:cs="宋体"/>
                <w:bCs w:val="0"/>
                <w:color w:val="auto"/>
                <w:kern w:val="0"/>
                <w:sz w:val="21"/>
                <w:szCs w:val="21"/>
                <w:highlight w:val="none"/>
              </w:rPr>
              <w:t>类</w:t>
            </w:r>
            <w:r>
              <w:rPr>
                <w:rFonts w:hint="eastAsia" w:cs="宋体"/>
                <w:bCs w:val="0"/>
                <w:color w:val="auto"/>
                <w:kern w:val="0"/>
                <w:sz w:val="21"/>
                <w:szCs w:val="21"/>
                <w:highlight w:val="none"/>
              </w:rPr>
              <w:t>、</w:t>
            </w:r>
            <w:r>
              <w:rPr>
                <w:rFonts w:cs="宋体"/>
                <w:bCs w:val="0"/>
                <w:color w:val="auto"/>
                <w:kern w:val="0"/>
                <w:sz w:val="21"/>
                <w:szCs w:val="21"/>
                <w:highlight w:val="none"/>
              </w:rPr>
              <w:t>网络类、</w:t>
            </w:r>
            <w:r>
              <w:rPr>
                <w:rFonts w:hint="eastAsia" w:cs="宋体"/>
                <w:bCs w:val="0"/>
                <w:color w:val="auto"/>
                <w:kern w:val="0"/>
                <w:sz w:val="21"/>
                <w:szCs w:val="21"/>
                <w:highlight w:val="none"/>
              </w:rPr>
              <w:t>信息</w:t>
            </w:r>
            <w:r>
              <w:rPr>
                <w:rFonts w:cs="宋体"/>
                <w:bCs w:val="0"/>
                <w:color w:val="auto"/>
                <w:kern w:val="0"/>
                <w:sz w:val="21"/>
                <w:szCs w:val="21"/>
                <w:highlight w:val="none"/>
              </w:rPr>
              <w:t>安全类</w:t>
            </w:r>
            <w:r>
              <w:rPr>
                <w:rFonts w:hint="eastAsia" w:cs="宋体"/>
                <w:bCs w:val="0"/>
                <w:color w:val="auto"/>
                <w:kern w:val="0"/>
                <w:sz w:val="21"/>
                <w:szCs w:val="21"/>
                <w:highlight w:val="none"/>
              </w:rPr>
              <w:t>等</w:t>
            </w:r>
            <w:r>
              <w:rPr>
                <w:rFonts w:cs="宋体"/>
                <w:bCs w:val="0"/>
                <w:color w:val="auto"/>
                <w:kern w:val="0"/>
                <w:sz w:val="21"/>
                <w:szCs w:val="21"/>
                <w:highlight w:val="none"/>
              </w:rPr>
              <w:t>相关专业高级工程师</w:t>
            </w:r>
            <w:r>
              <w:rPr>
                <w:rFonts w:hint="eastAsia" w:cs="宋体"/>
                <w:bCs w:val="0"/>
                <w:color w:val="auto"/>
                <w:kern w:val="0"/>
                <w:sz w:val="21"/>
                <w:szCs w:val="21"/>
                <w:highlight w:val="none"/>
              </w:rPr>
              <w:t>职称等专家协助采购人做好系统定级论证工作（专家论证会成本计入本项目建设成本），对系统情况进行分析，通过分析系统所属类型、所属信息类别、服务范围，了解系统的可用性、完整性、保密性需求，清晰确定保护对象，确定受侵害的客体、确定客体受侵害的程度，最终确定系统的系统服务保护等级和业务信息保护等级，协助用户编制定级报告。</w:t>
            </w:r>
          </w:p>
          <w:p w14:paraId="3DDD17D0">
            <w:pPr>
              <w:pStyle w:val="126"/>
              <w:widowControl/>
              <w:suppressLineNumbers/>
              <w:suppressAutoHyphens/>
              <w:spacing w:line="400" w:lineRule="exact"/>
              <w:ind w:firstLine="422"/>
              <w:contextualSpacing/>
              <w:rPr>
                <w:rFonts w:cs="宋体"/>
                <w:b/>
                <w:bCs w:val="0"/>
                <w:color w:val="auto"/>
                <w:kern w:val="0"/>
                <w:sz w:val="21"/>
                <w:szCs w:val="21"/>
                <w:highlight w:val="none"/>
              </w:rPr>
            </w:pPr>
            <w:r>
              <w:rPr>
                <w:rFonts w:hint="eastAsia" w:cs="宋体"/>
                <w:b/>
                <w:bCs w:val="0"/>
                <w:color w:val="auto"/>
                <w:kern w:val="0"/>
                <w:sz w:val="21"/>
                <w:szCs w:val="21"/>
                <w:highlight w:val="none"/>
              </w:rPr>
              <w:t>（</w:t>
            </w:r>
            <w:r>
              <w:rPr>
                <w:rFonts w:cs="宋体"/>
                <w:b/>
                <w:bCs w:val="0"/>
                <w:color w:val="auto"/>
                <w:kern w:val="0"/>
                <w:sz w:val="21"/>
                <w:szCs w:val="21"/>
                <w:highlight w:val="none"/>
              </w:rPr>
              <w:t>2）协助备案</w:t>
            </w:r>
          </w:p>
          <w:p w14:paraId="78ADA2B4">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协助用户做好原网络</w:t>
            </w:r>
            <w:r>
              <w:rPr>
                <w:rFonts w:cs="宋体"/>
                <w:bCs w:val="0"/>
                <w:color w:val="auto"/>
                <w:kern w:val="0"/>
                <w:sz w:val="21"/>
                <w:szCs w:val="21"/>
                <w:highlight w:val="none"/>
              </w:rPr>
              <w:t>安全等保备案系统调整，并</w:t>
            </w:r>
            <w:r>
              <w:rPr>
                <w:rFonts w:hint="eastAsia" w:cs="宋体"/>
                <w:bCs w:val="0"/>
                <w:color w:val="auto"/>
                <w:kern w:val="0"/>
                <w:sz w:val="21"/>
                <w:szCs w:val="21"/>
                <w:highlight w:val="none"/>
              </w:rPr>
              <w:t>根据</w:t>
            </w:r>
            <w:r>
              <w:rPr>
                <w:rFonts w:cs="宋体"/>
                <w:bCs w:val="0"/>
                <w:color w:val="auto"/>
                <w:kern w:val="0"/>
                <w:sz w:val="21"/>
                <w:szCs w:val="21"/>
                <w:highlight w:val="none"/>
              </w:rPr>
              <w:t>建设情况</w:t>
            </w:r>
            <w:r>
              <w:rPr>
                <w:rFonts w:hint="eastAsia" w:cs="宋体"/>
                <w:bCs w:val="0"/>
                <w:color w:val="auto"/>
                <w:kern w:val="0"/>
                <w:sz w:val="21"/>
                <w:szCs w:val="21"/>
                <w:highlight w:val="none"/>
              </w:rPr>
              <w:t>填写《信息系统安全等级保护备案表》，协助用户到公安机关进行系统备案，获得系统备案证。</w:t>
            </w:r>
          </w:p>
          <w:p w14:paraId="20DF5F82">
            <w:pPr>
              <w:pStyle w:val="126"/>
              <w:widowControl/>
              <w:suppressLineNumbers/>
              <w:suppressAutoHyphens/>
              <w:spacing w:line="400" w:lineRule="exact"/>
              <w:ind w:firstLine="422"/>
              <w:contextualSpacing/>
              <w:rPr>
                <w:rFonts w:cs="宋体"/>
                <w:b/>
                <w:bCs w:val="0"/>
                <w:color w:val="auto"/>
                <w:kern w:val="0"/>
                <w:sz w:val="21"/>
                <w:szCs w:val="21"/>
                <w:highlight w:val="none"/>
              </w:rPr>
            </w:pPr>
            <w:r>
              <w:rPr>
                <w:rFonts w:hint="eastAsia" w:cs="宋体"/>
                <w:b/>
                <w:bCs w:val="0"/>
                <w:color w:val="auto"/>
                <w:kern w:val="0"/>
                <w:sz w:val="21"/>
                <w:szCs w:val="21"/>
                <w:highlight w:val="none"/>
              </w:rPr>
              <w:t>（二）等保测评</w:t>
            </w:r>
          </w:p>
          <w:p w14:paraId="14B3A7DA">
            <w:pPr>
              <w:pStyle w:val="126"/>
              <w:widowControl/>
              <w:suppressLineNumbers/>
              <w:suppressAutoHyphens/>
              <w:spacing w:line="400" w:lineRule="exact"/>
              <w:ind w:firstLine="422"/>
              <w:contextualSpacing/>
              <w:rPr>
                <w:rFonts w:cs="宋体"/>
                <w:b/>
                <w:bCs w:val="0"/>
                <w:color w:val="auto"/>
                <w:kern w:val="0"/>
                <w:sz w:val="21"/>
                <w:szCs w:val="21"/>
                <w:highlight w:val="none"/>
              </w:rPr>
            </w:pPr>
            <w:r>
              <w:rPr>
                <w:rFonts w:hint="eastAsia" w:cs="宋体"/>
                <w:b/>
                <w:bCs w:val="0"/>
                <w:color w:val="auto"/>
                <w:kern w:val="0"/>
                <w:sz w:val="21"/>
                <w:szCs w:val="21"/>
                <w:highlight w:val="none"/>
              </w:rPr>
              <w:t>1、测评依据</w:t>
            </w:r>
          </w:p>
          <w:p w14:paraId="1C631754">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（1）网络安全等级保护条例</w:t>
            </w:r>
          </w:p>
          <w:p w14:paraId="70731225">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（2）计算机信息系统安全保护等级划分准则（GB 17859-1999）</w:t>
            </w:r>
          </w:p>
          <w:p w14:paraId="19D628CA">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（3）网络安全等级保护实施指南（GB/T25058-2020）</w:t>
            </w:r>
          </w:p>
          <w:p w14:paraId="26240BE6">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（4）网络安全等级保护定级指南（GB/T22240-2020）</w:t>
            </w:r>
          </w:p>
          <w:p w14:paraId="0971FEBF">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（5）网络安全等级保护基本要求（GB/T22239-2019）</w:t>
            </w:r>
          </w:p>
          <w:p w14:paraId="152345FA">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（6）网络安全等级保护设计技术要求（GB/T25070-2019）</w:t>
            </w:r>
          </w:p>
          <w:p w14:paraId="27A16F5B">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（7）网络安全等级保护测评要求（GB/T28448-2019）</w:t>
            </w:r>
          </w:p>
          <w:p w14:paraId="10A4A1B6">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（8）网络安全等级保护测评过程指南（GB/T28449-2018）</w:t>
            </w:r>
          </w:p>
          <w:p w14:paraId="38C6C380">
            <w:pPr>
              <w:pStyle w:val="126"/>
              <w:widowControl/>
              <w:suppressLineNumbers/>
              <w:suppressAutoHyphens/>
              <w:spacing w:line="400" w:lineRule="exact"/>
              <w:ind w:firstLine="422"/>
              <w:contextualSpacing/>
              <w:rPr>
                <w:rFonts w:cs="宋体"/>
                <w:b/>
                <w:bCs w:val="0"/>
                <w:color w:val="auto"/>
                <w:kern w:val="0"/>
                <w:sz w:val="21"/>
                <w:szCs w:val="21"/>
                <w:highlight w:val="none"/>
              </w:rPr>
            </w:pPr>
            <w:r>
              <w:rPr>
                <w:rFonts w:cs="宋体"/>
                <w:b/>
                <w:bCs w:val="0"/>
                <w:color w:val="auto"/>
                <w:kern w:val="0"/>
                <w:sz w:val="21"/>
                <w:szCs w:val="21"/>
                <w:highlight w:val="none"/>
              </w:rPr>
              <w:t>2</w:t>
            </w:r>
            <w:r>
              <w:rPr>
                <w:rFonts w:hint="eastAsia" w:cs="宋体"/>
                <w:b/>
                <w:bCs w:val="0"/>
                <w:color w:val="auto"/>
                <w:kern w:val="0"/>
                <w:sz w:val="21"/>
                <w:szCs w:val="21"/>
                <w:highlight w:val="none"/>
              </w:rPr>
              <w:t>、测评过程</w:t>
            </w:r>
          </w:p>
          <w:p w14:paraId="1D111471">
            <w:pPr>
              <w:pStyle w:val="126"/>
              <w:widowControl/>
              <w:suppressLineNumbers/>
              <w:suppressAutoHyphens/>
              <w:spacing w:line="240" w:lineRule="auto"/>
              <w:ind w:firstLine="0" w:firstLineChars="0"/>
              <w:contextualSpacing/>
              <w:jc w:val="center"/>
              <w:rPr>
                <w:rFonts w:cs="宋体"/>
                <w:bCs w:val="0"/>
                <w:color w:val="auto"/>
                <w:kern w:val="0"/>
                <w:sz w:val="21"/>
                <w:szCs w:val="21"/>
                <w:highlight w:val="none"/>
              </w:rPr>
            </w:pPr>
            <w:r>
              <w:rPr>
                <w:color w:val="auto"/>
                <w:highlight w:val="none"/>
              </w:rPr>
              <w:drawing>
                <wp:inline distT="0" distB="0" distL="114300" distR="114300">
                  <wp:extent cx="3963035" cy="2653030"/>
                  <wp:effectExtent l="0" t="0" r="18415" b="13970"/>
                  <wp:docPr id="10" name="图片 16" descr="测评过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6" descr="测评过程.jpg"/>
                          <pic:cNvPicPr>
                            <a:picLocks noChangeAspect="1"/>
                          </pic:cNvPicPr>
                        </pic:nvPicPr>
                        <pic:blipFill>
                          <a:blip r:embed="rId19"/>
                          <a:stretch>
                            <a:fillRect/>
                          </a:stretch>
                        </pic:blipFill>
                        <pic:spPr>
                          <a:xfrm>
                            <a:off x="0" y="0"/>
                            <a:ext cx="3963035" cy="2653030"/>
                          </a:xfrm>
                          <a:prstGeom prst="rect">
                            <a:avLst/>
                          </a:prstGeom>
                          <a:noFill/>
                          <a:ln>
                            <a:noFill/>
                          </a:ln>
                        </pic:spPr>
                      </pic:pic>
                    </a:graphicData>
                  </a:graphic>
                </wp:inline>
              </w:drawing>
            </w:r>
          </w:p>
          <w:p w14:paraId="62997B9E">
            <w:pPr>
              <w:pStyle w:val="126"/>
              <w:widowControl/>
              <w:suppressLineNumbers/>
              <w:suppressAutoHyphens/>
              <w:spacing w:line="400" w:lineRule="exact"/>
              <w:ind w:firstLine="422"/>
              <w:contextualSpacing/>
              <w:rPr>
                <w:rFonts w:cs="宋体"/>
                <w:b/>
                <w:bCs w:val="0"/>
                <w:color w:val="auto"/>
                <w:kern w:val="0"/>
                <w:sz w:val="21"/>
                <w:szCs w:val="21"/>
                <w:highlight w:val="none"/>
              </w:rPr>
            </w:pPr>
            <w:r>
              <w:rPr>
                <w:rFonts w:cs="宋体"/>
                <w:b/>
                <w:bCs w:val="0"/>
                <w:color w:val="auto"/>
                <w:kern w:val="0"/>
                <w:sz w:val="21"/>
                <w:szCs w:val="21"/>
                <w:highlight w:val="none"/>
              </w:rPr>
              <w:t>3</w:t>
            </w:r>
            <w:r>
              <w:rPr>
                <w:rFonts w:hint="eastAsia" w:cs="宋体"/>
                <w:b/>
                <w:bCs w:val="0"/>
                <w:color w:val="auto"/>
                <w:kern w:val="0"/>
                <w:sz w:val="21"/>
                <w:szCs w:val="21"/>
                <w:highlight w:val="none"/>
              </w:rPr>
              <w:t>、测评内容与实施</w:t>
            </w:r>
          </w:p>
          <w:p w14:paraId="7BC18CFC">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把测评指标和测评方式结合到信息系统的具体测评对象上，就构成了可以具体测评的安全子类。具体分为物理安全、网络安全、主机系统安全、应用安全、数据安全及备份恢复、安全管理机构、安全管理制度、人员安全管理、系统建设管理和系统运维管理等几个方面。</w:t>
            </w:r>
          </w:p>
          <w:p w14:paraId="28273464">
            <w:pPr>
              <w:pStyle w:val="126"/>
              <w:widowControl/>
              <w:suppressLineNumbers/>
              <w:suppressAutoHyphens/>
              <w:spacing w:line="400" w:lineRule="exact"/>
              <w:ind w:firstLine="422"/>
              <w:contextualSpacing/>
              <w:rPr>
                <w:rFonts w:cs="宋体"/>
                <w:b/>
                <w:bCs w:val="0"/>
                <w:color w:val="auto"/>
                <w:kern w:val="0"/>
                <w:sz w:val="21"/>
                <w:szCs w:val="21"/>
                <w:highlight w:val="none"/>
              </w:rPr>
            </w:pPr>
            <w:r>
              <w:rPr>
                <w:rFonts w:hint="eastAsia" w:cs="宋体"/>
                <w:b/>
                <w:bCs w:val="0"/>
                <w:color w:val="auto"/>
                <w:kern w:val="0"/>
                <w:sz w:val="21"/>
                <w:szCs w:val="21"/>
                <w:highlight w:val="none"/>
              </w:rPr>
              <w:t>（1）物理安全</w:t>
            </w:r>
          </w:p>
          <w:p w14:paraId="20DE2C71">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物理安全测评将通过访谈和检查的方式评测信息系统的物理安全保障情况。</w:t>
            </w:r>
          </w:p>
          <w:p w14:paraId="33CD4254">
            <w:pPr>
              <w:pStyle w:val="126"/>
              <w:widowControl/>
              <w:suppressLineNumbers/>
              <w:suppressAutoHyphens/>
              <w:spacing w:line="400" w:lineRule="exact"/>
              <w:ind w:firstLine="422"/>
              <w:contextualSpacing/>
              <w:rPr>
                <w:rFonts w:cs="宋体"/>
                <w:b/>
                <w:bCs w:val="0"/>
                <w:color w:val="auto"/>
                <w:kern w:val="0"/>
                <w:sz w:val="21"/>
                <w:szCs w:val="21"/>
                <w:highlight w:val="none"/>
              </w:rPr>
            </w:pPr>
            <w:r>
              <w:rPr>
                <w:rFonts w:hint="eastAsia" w:cs="宋体"/>
                <w:b/>
                <w:bCs w:val="0"/>
                <w:color w:val="auto"/>
                <w:kern w:val="0"/>
                <w:sz w:val="21"/>
                <w:szCs w:val="21"/>
                <w:highlight w:val="none"/>
              </w:rPr>
              <w:t>（2）网络安全</w:t>
            </w:r>
          </w:p>
          <w:p w14:paraId="0AE92ACE">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网络安全测评将通过访谈、检查和测试的方式评测信息系统的网络安全保障情况。</w:t>
            </w:r>
          </w:p>
          <w:p w14:paraId="3C84C57C">
            <w:pPr>
              <w:pStyle w:val="126"/>
              <w:widowControl/>
              <w:suppressLineNumbers/>
              <w:suppressAutoHyphens/>
              <w:spacing w:line="400" w:lineRule="exact"/>
              <w:ind w:firstLine="422"/>
              <w:contextualSpacing/>
              <w:rPr>
                <w:rFonts w:cs="宋体"/>
                <w:b/>
                <w:bCs w:val="0"/>
                <w:color w:val="auto"/>
                <w:kern w:val="0"/>
                <w:sz w:val="21"/>
                <w:szCs w:val="21"/>
                <w:highlight w:val="none"/>
              </w:rPr>
            </w:pPr>
            <w:r>
              <w:rPr>
                <w:rFonts w:hint="eastAsia" w:cs="宋体"/>
                <w:b/>
                <w:bCs w:val="0"/>
                <w:color w:val="auto"/>
                <w:kern w:val="0"/>
                <w:sz w:val="21"/>
                <w:szCs w:val="21"/>
                <w:highlight w:val="none"/>
              </w:rPr>
              <w:t>（3）主机安全</w:t>
            </w:r>
          </w:p>
          <w:p w14:paraId="7C00FB55">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主机系统安全测评将通过访谈、检查和测试的方式评测信息系统的管理终端和管理支撑服务器（包括：审计服务器、防病毒服务器、补丁升级服务器等）安全保障情况。</w:t>
            </w:r>
          </w:p>
          <w:p w14:paraId="299243D5">
            <w:pPr>
              <w:pStyle w:val="126"/>
              <w:widowControl/>
              <w:suppressLineNumbers/>
              <w:suppressAutoHyphens/>
              <w:spacing w:line="400" w:lineRule="exact"/>
              <w:ind w:firstLine="422"/>
              <w:contextualSpacing/>
              <w:rPr>
                <w:rFonts w:cs="宋体"/>
                <w:b/>
                <w:bCs w:val="0"/>
                <w:color w:val="auto"/>
                <w:kern w:val="0"/>
                <w:sz w:val="21"/>
                <w:szCs w:val="21"/>
                <w:highlight w:val="none"/>
              </w:rPr>
            </w:pPr>
            <w:r>
              <w:rPr>
                <w:rFonts w:hint="eastAsia" w:cs="宋体"/>
                <w:b/>
                <w:bCs w:val="0"/>
                <w:color w:val="auto"/>
                <w:kern w:val="0"/>
                <w:sz w:val="21"/>
                <w:szCs w:val="21"/>
                <w:highlight w:val="none"/>
              </w:rPr>
              <w:t>（4）应用安全</w:t>
            </w:r>
          </w:p>
          <w:p w14:paraId="5B71F5F5">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应用安全测评将通过访谈、检查和测试的方式评测信息系统的应用安全保障情况。</w:t>
            </w:r>
          </w:p>
          <w:p w14:paraId="10D707B4">
            <w:pPr>
              <w:pStyle w:val="126"/>
              <w:widowControl/>
              <w:suppressLineNumbers/>
              <w:suppressAutoHyphens/>
              <w:spacing w:line="400" w:lineRule="exact"/>
              <w:ind w:firstLine="422"/>
              <w:contextualSpacing/>
              <w:rPr>
                <w:rFonts w:cs="宋体"/>
                <w:b/>
                <w:bCs w:val="0"/>
                <w:color w:val="auto"/>
                <w:kern w:val="0"/>
                <w:sz w:val="21"/>
                <w:szCs w:val="21"/>
                <w:highlight w:val="none"/>
              </w:rPr>
            </w:pPr>
            <w:r>
              <w:rPr>
                <w:rFonts w:hint="eastAsia" w:cs="宋体"/>
                <w:b/>
                <w:bCs w:val="0"/>
                <w:color w:val="auto"/>
                <w:kern w:val="0"/>
                <w:sz w:val="21"/>
                <w:szCs w:val="21"/>
                <w:highlight w:val="none"/>
              </w:rPr>
              <w:t>（5）数据安全及备份恢复</w:t>
            </w:r>
          </w:p>
          <w:p w14:paraId="1BAC756F">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数据安全及备份恢复测评将通过访谈和检查的方式评测信息系统的数据安全保障情况。</w:t>
            </w:r>
          </w:p>
          <w:p w14:paraId="73DDD579">
            <w:pPr>
              <w:pStyle w:val="126"/>
              <w:widowControl/>
              <w:suppressLineNumbers/>
              <w:suppressAutoHyphens/>
              <w:spacing w:line="400" w:lineRule="exact"/>
              <w:ind w:firstLine="422"/>
              <w:contextualSpacing/>
              <w:rPr>
                <w:rFonts w:cs="宋体"/>
                <w:b/>
                <w:bCs w:val="0"/>
                <w:color w:val="auto"/>
                <w:kern w:val="0"/>
                <w:sz w:val="21"/>
                <w:szCs w:val="21"/>
                <w:highlight w:val="none"/>
              </w:rPr>
            </w:pPr>
            <w:r>
              <w:rPr>
                <w:rFonts w:hint="eastAsia" w:cs="宋体"/>
                <w:b/>
                <w:bCs w:val="0"/>
                <w:color w:val="auto"/>
                <w:kern w:val="0"/>
                <w:sz w:val="21"/>
                <w:szCs w:val="21"/>
                <w:highlight w:val="none"/>
              </w:rPr>
              <w:t>（6）安全管理制度</w:t>
            </w:r>
          </w:p>
          <w:p w14:paraId="6DCE5784">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安全管理制度测评将通过访谈和检查的形式评测安全管理制度的制定、发布、评审和修订等情况。</w:t>
            </w:r>
          </w:p>
          <w:p w14:paraId="041E611B">
            <w:pPr>
              <w:pStyle w:val="126"/>
              <w:widowControl/>
              <w:suppressLineNumbers/>
              <w:suppressAutoHyphens/>
              <w:spacing w:line="400" w:lineRule="exact"/>
              <w:ind w:firstLine="422"/>
              <w:contextualSpacing/>
              <w:rPr>
                <w:rFonts w:cs="宋体"/>
                <w:b/>
                <w:bCs w:val="0"/>
                <w:color w:val="auto"/>
                <w:kern w:val="0"/>
                <w:sz w:val="21"/>
                <w:szCs w:val="21"/>
                <w:highlight w:val="none"/>
              </w:rPr>
            </w:pPr>
            <w:r>
              <w:rPr>
                <w:rFonts w:hint="eastAsia" w:cs="宋体"/>
                <w:b/>
                <w:bCs w:val="0"/>
                <w:color w:val="auto"/>
                <w:kern w:val="0"/>
                <w:sz w:val="21"/>
                <w:szCs w:val="21"/>
                <w:highlight w:val="none"/>
              </w:rPr>
              <w:t>（7）安全管理机构</w:t>
            </w:r>
          </w:p>
          <w:p w14:paraId="3E0C9811">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通过访谈安全主管，了解安全管理职能部门的人员岗位设置情况：是否设立系统管理员、网络管理员、安全管理员等岗位，是否成立信息安全工作委员会或领导小组。了解各个安全管理岗位的人员和关键岗位人员的配备情况。了解授权与审批制度设立情况和单位内部各部门之间和单位与其他兄弟单位、公安机关、电信公司、供应商、业界专家、专业安全公司或安全组织的相互沟通与协调的机制，机构是否聘请信息安全专家作为机构的安全顾问。了解信息系统日常安全检查情况和系统定期进行全面安全检查的情况。</w:t>
            </w:r>
          </w:p>
          <w:p w14:paraId="38F6A5F2">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查看部门、岗位职责等相关文件是否明确定义了机构及各岗位人员的职责范围，岗位人员名单中关键岗位是否配备了多人共同管理。查看检查授权与审批制度文档，查看文档是否明确各审批事项的审批部门、批准人及审批流程等，检查相应审批记录是否按照审批程序执行审批过程对重要活动进行逐级审批。检查是否有信息安全管理委员会或领导小组执行日常管理工作的文件或工作记录、是否有外联单位列表、是否有信息安全专家的聘用文件。</w:t>
            </w:r>
          </w:p>
          <w:p w14:paraId="03AC0B65">
            <w:pPr>
              <w:pStyle w:val="126"/>
              <w:widowControl/>
              <w:suppressLineNumbers/>
              <w:suppressAutoHyphens/>
              <w:spacing w:line="400" w:lineRule="exact"/>
              <w:ind w:firstLine="422"/>
              <w:contextualSpacing/>
              <w:rPr>
                <w:rFonts w:cs="宋体"/>
                <w:b/>
                <w:bCs w:val="0"/>
                <w:color w:val="auto"/>
                <w:kern w:val="0"/>
                <w:sz w:val="21"/>
                <w:szCs w:val="21"/>
                <w:highlight w:val="none"/>
              </w:rPr>
            </w:pPr>
            <w:r>
              <w:rPr>
                <w:rFonts w:hint="eastAsia" w:cs="宋体"/>
                <w:b/>
                <w:bCs w:val="0"/>
                <w:color w:val="auto"/>
                <w:kern w:val="0"/>
                <w:sz w:val="21"/>
                <w:szCs w:val="21"/>
                <w:highlight w:val="none"/>
              </w:rPr>
              <w:t>（</w:t>
            </w:r>
            <w:r>
              <w:rPr>
                <w:rFonts w:cs="宋体"/>
                <w:b/>
                <w:bCs w:val="0"/>
                <w:color w:val="auto"/>
                <w:kern w:val="0"/>
                <w:sz w:val="21"/>
                <w:szCs w:val="21"/>
                <w:highlight w:val="none"/>
              </w:rPr>
              <w:t>8</w:t>
            </w:r>
            <w:r>
              <w:rPr>
                <w:rFonts w:hint="eastAsia" w:cs="宋体"/>
                <w:b/>
                <w:bCs w:val="0"/>
                <w:color w:val="auto"/>
                <w:kern w:val="0"/>
                <w:sz w:val="21"/>
                <w:szCs w:val="21"/>
                <w:highlight w:val="none"/>
              </w:rPr>
              <w:t>）人员安全管理</w:t>
            </w:r>
          </w:p>
          <w:p w14:paraId="0709CB64">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访谈安全主管或人事负责人，了解人员录用流程、关键岗位工作人员的选拔流程、人员离岗流程、信息安全培训考核情况和外来人员访问控制措施，包括人员录用时是否对被录用人的身份、背景、专业资格和资质进行审查，是否签署了保密协议，离岗时是否终止离岗人员的所有访问权限、收回离岗人员的设备和物品和离岗审查、承诺保密责任等情况，安全教育和培训计划制定实施情况、对各个岗位人员进行安全技能及安全知识考核的情况和对关键岗位人员进行安全审查、安全技能及安全知识的考核情况。了解对外部人员的访问管理措施。</w:t>
            </w:r>
          </w:p>
          <w:p w14:paraId="4A7739B9">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检查是否有录用人员技术技能的考核记录、保密协议、关键岗位人员的岗位安全协议书、离岗手续记录、安全意识教育和培训计划和记录、考核记录和外部人员访问的申请审批和登记备案的记录。</w:t>
            </w:r>
          </w:p>
          <w:p w14:paraId="7A134D6B">
            <w:pPr>
              <w:pStyle w:val="126"/>
              <w:widowControl/>
              <w:suppressLineNumbers/>
              <w:suppressAutoHyphens/>
              <w:spacing w:line="400" w:lineRule="exact"/>
              <w:ind w:firstLine="422"/>
              <w:contextualSpacing/>
              <w:rPr>
                <w:rFonts w:cs="宋体"/>
                <w:b/>
                <w:bCs w:val="0"/>
                <w:color w:val="auto"/>
                <w:kern w:val="0"/>
                <w:sz w:val="21"/>
                <w:szCs w:val="21"/>
                <w:highlight w:val="none"/>
              </w:rPr>
            </w:pPr>
            <w:r>
              <w:rPr>
                <w:rFonts w:hint="eastAsia" w:cs="宋体"/>
                <w:b/>
                <w:bCs w:val="0"/>
                <w:color w:val="auto"/>
                <w:kern w:val="0"/>
                <w:sz w:val="21"/>
                <w:szCs w:val="21"/>
                <w:highlight w:val="none"/>
              </w:rPr>
              <w:t>（9）系统建设管理</w:t>
            </w:r>
          </w:p>
          <w:p w14:paraId="3126CFAC">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访谈安全主管，了解信息系统的整个定级过程和信息系统的报批过程。了解安全方案的整个设计过程和安全建设总体规划情况、产品采购流程、保证系统自主开发软件和外包开发软件安全的相关情况。了解负责工程实施过程、测试验收、系统交付的管理人员或管理部门，对工程实施、测试验收、系统交付过程的进度和质量控制的方法和措施、测试验收方案的制定情况、对系统进行安全测试的机构、验收结果的审定情况，是否根据交付清单对所交接的设备、文档、软件等进行清点，系统建设实施方对运维技术人员进行了哪些培训。了解系统备案的情况和为其提供服务的信息系统安全服务商的有关情况。</w:t>
            </w:r>
          </w:p>
          <w:p w14:paraId="25AB8349">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收集并查看产品采购、软件开发、工程实施、测试验收和系统交付过程的管理制度，查看系统定级文档是否有信息系统划分的方法和理由、定级方法和理由的描述、专家对定级结果的论证意见和有相关部门或主管部门的批准意见。查看安全方案内容是否包括总体安全策略、安全技术框架、安全管理策略、详细设计内容等方面。检查是否有安全建设的工作计划书、代码编写规范、开发文档、软件设计文档、使用指南、软件测试验收文档、软件需求分析说明书、软件设计说明书、软件操作手册、工程实施方案、安全测试报告、测试验收方案、测试验收报告、系统交付清单、安全服务商的相关服务协议或合同。</w:t>
            </w:r>
          </w:p>
          <w:p w14:paraId="65C7C125">
            <w:pPr>
              <w:pStyle w:val="126"/>
              <w:widowControl/>
              <w:suppressLineNumbers/>
              <w:suppressAutoHyphens/>
              <w:spacing w:line="400" w:lineRule="exact"/>
              <w:ind w:firstLine="422"/>
              <w:contextualSpacing/>
              <w:rPr>
                <w:rFonts w:cs="宋体"/>
                <w:b/>
                <w:bCs w:val="0"/>
                <w:color w:val="auto"/>
                <w:kern w:val="0"/>
                <w:sz w:val="21"/>
                <w:szCs w:val="21"/>
                <w:highlight w:val="none"/>
              </w:rPr>
            </w:pPr>
            <w:r>
              <w:rPr>
                <w:rFonts w:hint="eastAsia" w:cs="宋体"/>
                <w:b/>
                <w:bCs w:val="0"/>
                <w:color w:val="auto"/>
                <w:kern w:val="0"/>
                <w:sz w:val="21"/>
                <w:szCs w:val="21"/>
                <w:highlight w:val="none"/>
              </w:rPr>
              <w:t>（1</w:t>
            </w:r>
            <w:r>
              <w:rPr>
                <w:rFonts w:cs="宋体"/>
                <w:b/>
                <w:bCs w:val="0"/>
                <w:color w:val="auto"/>
                <w:kern w:val="0"/>
                <w:sz w:val="21"/>
                <w:szCs w:val="21"/>
                <w:highlight w:val="none"/>
              </w:rPr>
              <w:t>0</w:t>
            </w:r>
            <w:r>
              <w:rPr>
                <w:rFonts w:hint="eastAsia" w:cs="宋体"/>
                <w:b/>
                <w:bCs w:val="0"/>
                <w:color w:val="auto"/>
                <w:kern w:val="0"/>
                <w:sz w:val="21"/>
                <w:szCs w:val="21"/>
                <w:highlight w:val="none"/>
              </w:rPr>
              <w:t>）系统运维管理</w:t>
            </w:r>
          </w:p>
          <w:p w14:paraId="7C60353E">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访谈安全主管或相关安全负责人了解机房管理、资产管理、介质管理、设备管理、监控管理和安全管理中心、网络安全管理、系统安全管理、恶意代码防范管理、密码管理、变更管理、备份和恢复管理、安全事件处置和应急预案管理的有关情况。</w:t>
            </w:r>
          </w:p>
          <w:p w14:paraId="2C4D7BD0">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收集并查看机房管理制度、资产管理制度、介质管理制度、基于申报审批和专人负责的设备安全管理制度、配套设施和软硬件维护方面的管理制度、网络安全管理制度、系统安全管理制度、恶意代码防范管理制度、密码管理制度、变更管理制度、备份与恢复相关管理制度、安全事件报告和处置管理制度是否对相关事项进行了明确。查看监控系统了解设备运行、网络流量、应用程序的监控情况，安全管理中心集中管理情况。检查是否有不同事件应急预案，是否有介质归档、查询等的登记记录、信息处理设备带离机房或办公地点的审批记录、主机系统、网络、安全设备等的操作日志和维护记录、网络接入和外联授权审批记录、定期检查违反规定行为的记录、机房日常巡检记录、对主机、网络设备和应用软件等的监控记录和日志的分析报告、恶意代码检测、升级记录和分析报告、备份过程记录、变更方案评审记录和变更过程记录、安全事件处理过程记录、应急预案培训、演练、审查记录。</w:t>
            </w:r>
          </w:p>
          <w:p w14:paraId="6C9514F9">
            <w:pPr>
              <w:pStyle w:val="126"/>
              <w:widowControl/>
              <w:suppressLineNumbers/>
              <w:suppressAutoHyphens/>
              <w:spacing w:line="400" w:lineRule="exact"/>
              <w:ind w:firstLine="422"/>
              <w:contextualSpacing/>
              <w:rPr>
                <w:rFonts w:cs="宋体"/>
                <w:b/>
                <w:bCs w:val="0"/>
                <w:color w:val="auto"/>
                <w:kern w:val="0"/>
                <w:sz w:val="21"/>
                <w:szCs w:val="21"/>
                <w:highlight w:val="none"/>
              </w:rPr>
            </w:pPr>
            <w:r>
              <w:rPr>
                <w:rFonts w:cs="宋体"/>
                <w:b/>
                <w:bCs w:val="0"/>
                <w:color w:val="auto"/>
                <w:kern w:val="0"/>
                <w:sz w:val="21"/>
                <w:szCs w:val="21"/>
                <w:highlight w:val="none"/>
              </w:rPr>
              <w:t>4</w:t>
            </w:r>
            <w:r>
              <w:rPr>
                <w:rFonts w:hint="eastAsia" w:cs="宋体"/>
                <w:b/>
                <w:bCs w:val="0"/>
                <w:color w:val="auto"/>
                <w:kern w:val="0"/>
                <w:sz w:val="21"/>
                <w:szCs w:val="21"/>
                <w:highlight w:val="none"/>
              </w:rPr>
              <w:t>、等级保护测评交付物</w:t>
            </w:r>
          </w:p>
          <w:p w14:paraId="260D488D">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每年完成测评后，均需提交《信息系统网络</w:t>
            </w:r>
            <w:r>
              <w:rPr>
                <w:rFonts w:cs="宋体"/>
                <w:bCs w:val="0"/>
                <w:color w:val="auto"/>
                <w:kern w:val="0"/>
                <w:sz w:val="21"/>
                <w:szCs w:val="21"/>
                <w:highlight w:val="none"/>
              </w:rPr>
              <w:t>安全</w:t>
            </w:r>
            <w:r>
              <w:rPr>
                <w:rFonts w:hint="eastAsia" w:cs="宋体"/>
                <w:bCs w:val="0"/>
                <w:color w:val="auto"/>
                <w:kern w:val="0"/>
                <w:sz w:val="21"/>
                <w:szCs w:val="21"/>
                <w:highlight w:val="none"/>
              </w:rPr>
              <w:t>等级保护测评报告》、《信息系统安全整改方案》等成果。</w:t>
            </w:r>
          </w:p>
          <w:p w14:paraId="15D60AAA">
            <w:pPr>
              <w:pStyle w:val="126"/>
              <w:widowControl/>
              <w:suppressLineNumbers/>
              <w:suppressAutoHyphens/>
              <w:spacing w:line="400" w:lineRule="exact"/>
              <w:ind w:firstLine="422"/>
              <w:contextualSpacing/>
              <w:rPr>
                <w:rFonts w:cs="宋体"/>
                <w:b/>
                <w:bCs w:val="0"/>
                <w:color w:val="auto"/>
                <w:kern w:val="0"/>
                <w:sz w:val="21"/>
                <w:szCs w:val="21"/>
                <w:highlight w:val="none"/>
              </w:rPr>
            </w:pPr>
            <w:r>
              <w:rPr>
                <w:rFonts w:hint="eastAsia" w:cs="宋体"/>
                <w:b/>
                <w:bCs w:val="0"/>
                <w:color w:val="auto"/>
                <w:kern w:val="0"/>
                <w:sz w:val="21"/>
                <w:szCs w:val="21"/>
                <w:highlight w:val="none"/>
              </w:rPr>
              <w:t>四、信息安全风险评估要求</w:t>
            </w:r>
          </w:p>
          <w:p w14:paraId="17C92AA3">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按照国家发展和改革委员会、中华人民共和国公安部、国家保密局三部委在《关于加强国家电子政务工程建设项目信息安全风险评估工作的通知》等相关要求，对本项要求测评和评估范围的信息系统开展风险评估工作，全面检查，查漏补缺，更好地查找并发现信息系统存在的安全风险并进行修复，消除安全隐患，避免安全事件的发生。</w:t>
            </w:r>
          </w:p>
          <w:p w14:paraId="1BD2134C">
            <w:pPr>
              <w:pStyle w:val="126"/>
              <w:widowControl/>
              <w:suppressLineNumbers/>
              <w:suppressAutoHyphens/>
              <w:spacing w:line="400" w:lineRule="exact"/>
              <w:ind w:firstLine="422"/>
              <w:contextualSpacing/>
              <w:rPr>
                <w:rFonts w:cs="宋体"/>
                <w:b/>
                <w:bCs w:val="0"/>
                <w:color w:val="auto"/>
                <w:kern w:val="0"/>
                <w:sz w:val="21"/>
                <w:szCs w:val="21"/>
                <w:highlight w:val="none"/>
              </w:rPr>
            </w:pPr>
            <w:r>
              <w:rPr>
                <w:rFonts w:hint="eastAsia" w:cs="宋体"/>
                <w:b/>
                <w:bCs w:val="0"/>
                <w:color w:val="auto"/>
                <w:kern w:val="0"/>
                <w:sz w:val="21"/>
                <w:szCs w:val="21"/>
                <w:highlight w:val="none"/>
              </w:rPr>
              <w:t>（一）评估依据</w:t>
            </w:r>
          </w:p>
          <w:p w14:paraId="6B5E4B12">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 xml:space="preserve">（1）适用的法律法规 </w:t>
            </w:r>
          </w:p>
          <w:p w14:paraId="59F5F8E9">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（2）现有国际标准、国家标准、行业标准</w:t>
            </w:r>
          </w:p>
          <w:p w14:paraId="745BE810">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（3）GB/T 20984-2022《信息安全技术 信息安全风险评估方法》；</w:t>
            </w:r>
          </w:p>
          <w:p w14:paraId="62CD53A9">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（4）GB/T 22239-2019《信息安全等级保护基本要求》；</w:t>
            </w:r>
          </w:p>
          <w:p w14:paraId="36D19207">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（5）GB/T20271-2006《信息安全技术 信息系统通用安全技术要求》；</w:t>
            </w:r>
          </w:p>
          <w:p w14:paraId="381E82F7">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（6）GB/T 18336-2015《信息安全技术 信息技术安全性评估准则》；</w:t>
            </w:r>
          </w:p>
          <w:p w14:paraId="3C4015DA">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（7）GB/T20270-2006《信息安全技术 网络基础安全技术要求》；</w:t>
            </w:r>
          </w:p>
          <w:p w14:paraId="527255EF">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（8）GB/T 20272-2019《信息安全技术 操作系统安全技术要求》；</w:t>
            </w:r>
          </w:p>
          <w:p w14:paraId="79AB123B">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（9）GB/T 20273-2019《信息安全技术 数据库管理系统安全技术要求》；</w:t>
            </w:r>
          </w:p>
          <w:p w14:paraId="411D89AA">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（1</w:t>
            </w:r>
            <w:r>
              <w:rPr>
                <w:rFonts w:cs="宋体"/>
                <w:bCs w:val="0"/>
                <w:color w:val="auto"/>
                <w:kern w:val="0"/>
                <w:sz w:val="21"/>
                <w:szCs w:val="21"/>
                <w:highlight w:val="none"/>
              </w:rPr>
              <w:t>0</w:t>
            </w:r>
            <w:r>
              <w:rPr>
                <w:rFonts w:hint="eastAsia" w:cs="宋体"/>
                <w:bCs w:val="0"/>
                <w:color w:val="auto"/>
                <w:kern w:val="0"/>
                <w:sz w:val="21"/>
                <w:szCs w:val="21"/>
                <w:highlight w:val="none"/>
              </w:rPr>
              <w:t>）GB/T21028-2007《信息安全技术 服务器技术要求》；</w:t>
            </w:r>
          </w:p>
          <w:p w14:paraId="335DFB91">
            <w:pPr>
              <w:pStyle w:val="126"/>
              <w:widowControl/>
              <w:suppressLineNumbers/>
              <w:suppressAutoHyphens/>
              <w:spacing w:line="400" w:lineRule="exact"/>
              <w:ind w:firstLine="422"/>
              <w:contextualSpacing/>
              <w:rPr>
                <w:rFonts w:cs="宋体"/>
                <w:b/>
                <w:bCs w:val="0"/>
                <w:color w:val="auto"/>
                <w:kern w:val="0"/>
                <w:sz w:val="21"/>
                <w:szCs w:val="21"/>
                <w:highlight w:val="none"/>
              </w:rPr>
            </w:pPr>
            <w:r>
              <w:rPr>
                <w:rFonts w:hint="eastAsia" w:cs="宋体"/>
                <w:b/>
                <w:bCs w:val="0"/>
                <w:color w:val="auto"/>
                <w:kern w:val="0"/>
                <w:sz w:val="21"/>
                <w:szCs w:val="21"/>
                <w:highlight w:val="none"/>
              </w:rPr>
              <w:t>（二）评估服务方案</w:t>
            </w:r>
          </w:p>
          <w:p w14:paraId="2F2F5F7F">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 xml:space="preserve">根据本项目的实际情况，评估机构提供风险评估的服务方案，方案主要内容包括：对项目需求、评估范围、评估内容、评估方法进行说明，为保证服务质量和进度，方案中对派出的服务团队、工作计划和各阶段工作目标和成果进行说明，对验收方法和使用的工具等同时做出规定。 </w:t>
            </w:r>
          </w:p>
          <w:p w14:paraId="78D758A6">
            <w:pPr>
              <w:pStyle w:val="126"/>
              <w:widowControl/>
              <w:suppressLineNumbers/>
              <w:suppressAutoHyphens/>
              <w:spacing w:line="400" w:lineRule="exact"/>
              <w:ind w:firstLine="422"/>
              <w:contextualSpacing/>
              <w:rPr>
                <w:rFonts w:cs="宋体"/>
                <w:b/>
                <w:bCs w:val="0"/>
                <w:color w:val="auto"/>
                <w:kern w:val="0"/>
                <w:sz w:val="21"/>
                <w:szCs w:val="21"/>
                <w:highlight w:val="none"/>
              </w:rPr>
            </w:pPr>
            <w:r>
              <w:rPr>
                <w:rFonts w:hint="eastAsia" w:cs="宋体"/>
                <w:b/>
                <w:bCs w:val="0"/>
                <w:color w:val="auto"/>
                <w:kern w:val="0"/>
                <w:sz w:val="21"/>
                <w:szCs w:val="21"/>
                <w:highlight w:val="none"/>
              </w:rPr>
              <w:t xml:space="preserve">（三）评估内容 </w:t>
            </w:r>
          </w:p>
          <w:p w14:paraId="26836748">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 xml:space="preserve">1、评估项目概述：项目背景、评估依据、工作原则、评估流程、实施团队和实施安排等。 </w:t>
            </w:r>
          </w:p>
          <w:p w14:paraId="368104EB">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cs="宋体"/>
                <w:bCs w:val="0"/>
                <w:color w:val="auto"/>
                <w:kern w:val="0"/>
                <w:sz w:val="21"/>
                <w:szCs w:val="21"/>
                <w:highlight w:val="none"/>
              </w:rPr>
              <w:t>2</w:t>
            </w:r>
            <w:r>
              <w:rPr>
                <w:rFonts w:hint="eastAsia" w:cs="宋体"/>
                <w:bCs w:val="0"/>
                <w:color w:val="auto"/>
                <w:kern w:val="0"/>
                <w:sz w:val="21"/>
                <w:szCs w:val="21"/>
                <w:highlight w:val="none"/>
              </w:rPr>
              <w:t>、评估对象：包括系统单元（计算机设备、存储设备、智能终端设备、网络设备、传输线路、安全设备等）、系统组件（应用系统、应用软件、系统软件、支撑平台、服务接口）、人力资源（运维人员、业务操作人员、安全管理人员、外包服务人员等）及其他资源。</w:t>
            </w:r>
          </w:p>
          <w:p w14:paraId="67DC95DB">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 xml:space="preserve">3、资产识别与分析：从资产的三个安全属性即保密性、完整性和可用性对资产进行识别和分析。资产可分为物理环境资产、信息资产、系统资产和管理资产。通过对资产在这三个安全属性上的达成程度或者其安全属性未达成时所造成的影响程度，确定资产的价值以及已采用的安全措施对资产安全属性的达成程度产生的影响。 </w:t>
            </w:r>
          </w:p>
          <w:p w14:paraId="4B61A5AC">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 xml:space="preserve">4、威胁识别与分析：威胁可以通过威胁主体、资源、动机、途径等多种属性来描述。分析威胁对信息系统直接或间接的攻击，在保密性、完整性和可用性等方面造成损害。 </w:t>
            </w:r>
          </w:p>
          <w:p w14:paraId="714BDEF4">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 xml:space="preserve">5、脆弱性识别与分析：脆弱性是指资产本身存在的，可以被威胁利用，并引起资产或商业目标的损害。通过对信息资产脆弱性的严重程度进行评估，找出每一种脆弱性能被威胁所利用的程度。 </w:t>
            </w:r>
          </w:p>
          <w:p w14:paraId="1169C0E1">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 xml:space="preserve">6、风险计算和分析 </w:t>
            </w:r>
          </w:p>
          <w:p w14:paraId="7F563761">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 xml:space="preserve">7、综合分析和评价 </w:t>
            </w:r>
          </w:p>
          <w:p w14:paraId="502C9DE7">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 xml:space="preserve">风险控制建议：对风险评估结果进行分析，并根据风险的具体情况，提出风险控制建议。风险控制建议可以根据风险处置的不同方式提出。风险处置有：降低风险、转移风险、规避风险、接受风险等四种。 </w:t>
            </w:r>
          </w:p>
          <w:p w14:paraId="4B808505">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结合网络安全等级保护要求对信息系统安全风险评估增加相应测评项，评估等级保护存在的不符合的风险项。</w:t>
            </w:r>
          </w:p>
          <w:p w14:paraId="01B9EFED">
            <w:pPr>
              <w:pStyle w:val="126"/>
              <w:widowControl/>
              <w:suppressLineNumbers/>
              <w:suppressAutoHyphens/>
              <w:spacing w:line="400" w:lineRule="exact"/>
              <w:ind w:firstLine="422"/>
              <w:contextualSpacing/>
              <w:rPr>
                <w:rFonts w:cs="宋体"/>
                <w:b/>
                <w:bCs w:val="0"/>
                <w:color w:val="auto"/>
                <w:kern w:val="0"/>
                <w:sz w:val="21"/>
                <w:szCs w:val="21"/>
                <w:highlight w:val="none"/>
              </w:rPr>
            </w:pPr>
            <w:r>
              <w:rPr>
                <w:rFonts w:hint="eastAsia" w:cs="宋体"/>
                <w:b/>
                <w:bCs w:val="0"/>
                <w:color w:val="auto"/>
                <w:kern w:val="0"/>
                <w:sz w:val="21"/>
                <w:szCs w:val="21"/>
                <w:highlight w:val="none"/>
              </w:rPr>
              <w:t>（四）评估实施基本流程</w:t>
            </w:r>
          </w:p>
          <w:p w14:paraId="2D5C4F21">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风险评估流程包括评估准备、风险识别、风险分析、风险评价四个阶段。风险评估的实施流程如下图所示：</w:t>
            </w:r>
          </w:p>
          <w:p w14:paraId="38391268">
            <w:pPr>
              <w:pStyle w:val="126"/>
              <w:widowControl/>
              <w:suppressLineNumbers/>
              <w:suppressAutoHyphens/>
              <w:spacing w:line="240" w:lineRule="auto"/>
              <w:ind w:firstLine="0" w:firstLineChars="0"/>
              <w:contextualSpacing/>
              <w:jc w:val="center"/>
              <w:rPr>
                <w:rFonts w:cs="宋体"/>
                <w:bCs w:val="0"/>
                <w:color w:val="auto"/>
                <w:kern w:val="0"/>
                <w:sz w:val="21"/>
                <w:szCs w:val="21"/>
                <w:highlight w:val="none"/>
              </w:rPr>
            </w:pPr>
            <w:r>
              <w:rPr>
                <w:color w:val="auto"/>
                <w:highlight w:val="none"/>
              </w:rPr>
              <w:drawing>
                <wp:inline distT="0" distB="0" distL="114300" distR="114300">
                  <wp:extent cx="3928110" cy="2304415"/>
                  <wp:effectExtent l="0" t="0" r="15240" b="635"/>
                  <wp:docPr id="11" name="图片 17" descr="C:\Users\ou\AppData\Local\Temp\ksohtml2256\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descr="C:\Users\ou\AppData\Local\Temp\ksohtml2256\wps2.jpg"/>
                          <pic:cNvPicPr>
                            <a:picLocks noChangeAspect="1"/>
                          </pic:cNvPicPr>
                        </pic:nvPicPr>
                        <pic:blipFill>
                          <a:blip r:embed="rId20"/>
                          <a:stretch>
                            <a:fillRect/>
                          </a:stretch>
                        </pic:blipFill>
                        <pic:spPr>
                          <a:xfrm>
                            <a:off x="0" y="0"/>
                            <a:ext cx="3928110" cy="2304415"/>
                          </a:xfrm>
                          <a:prstGeom prst="rect">
                            <a:avLst/>
                          </a:prstGeom>
                          <a:noFill/>
                          <a:ln>
                            <a:noFill/>
                          </a:ln>
                        </pic:spPr>
                      </pic:pic>
                    </a:graphicData>
                  </a:graphic>
                </wp:inline>
              </w:drawing>
            </w:r>
          </w:p>
          <w:p w14:paraId="1FF8DDB4">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风险评估流程包括如下内容：</w:t>
            </w:r>
          </w:p>
          <w:p w14:paraId="5D05ACEA">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1、评估准备，此阶段应包括：</w:t>
            </w:r>
          </w:p>
          <w:p w14:paraId="364BBA79">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（1)确定风险评估的目标；</w:t>
            </w:r>
          </w:p>
          <w:p w14:paraId="62AA7972">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（2)确定风险评估的对象、范围和边界；</w:t>
            </w:r>
          </w:p>
          <w:p w14:paraId="5850AA88">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（3)组建评估团队；</w:t>
            </w:r>
          </w:p>
          <w:p w14:paraId="73EC9A00">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（4)开展前期调研；</w:t>
            </w:r>
          </w:p>
          <w:p w14:paraId="794C8677">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（5)确定评估依据；</w:t>
            </w:r>
          </w:p>
          <w:p w14:paraId="270FCBB8">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（6)建立风险评价准则；</w:t>
            </w:r>
          </w:p>
          <w:p w14:paraId="68F7CEC9">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（7)指定评估方案。</w:t>
            </w:r>
          </w:p>
          <w:p w14:paraId="0D8A9029">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组织应形成完整的风险评估实施方案，并获得组织最高管理者的支持和批准。</w:t>
            </w:r>
          </w:p>
          <w:p w14:paraId="675D5688">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2、风险识别，此阶段应包括：</w:t>
            </w:r>
          </w:p>
          <w:p w14:paraId="072EEDFD">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（1)资产识别；</w:t>
            </w:r>
          </w:p>
          <w:p w14:paraId="2B424EA3">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（2)威胁识别；</w:t>
            </w:r>
          </w:p>
          <w:p w14:paraId="62F69C5F">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（3)已有安全措施识别；</w:t>
            </w:r>
          </w:p>
          <w:p w14:paraId="2BAED816">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（4)脆弱性识别。</w:t>
            </w:r>
          </w:p>
          <w:p w14:paraId="0CFF432D">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3、风险分析，此阶段依据识别的结果计算得到风险值。</w:t>
            </w:r>
          </w:p>
          <w:p w14:paraId="547D41F4">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4、风险评价，此阶段依据风险的评价准则确定风险等级。</w:t>
            </w:r>
          </w:p>
          <w:p w14:paraId="614A658E">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沟通与协商和评估过程文档管理贯穿于整个风险评估过程。风险评估工作是持续性的活动,当评估对象的政策环境、外部威胁环境、业务目标、安全目标等发生变化时，应重新开展风险评估。</w:t>
            </w:r>
          </w:p>
          <w:p w14:paraId="030E7A46">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风险评估的结果能够为风险处理提供决策支撑，风险处理是指对风险进行处理的一系列活动,如接受风险、规避风险、转移风险、降低风险等。</w:t>
            </w:r>
          </w:p>
          <w:p w14:paraId="644BD744">
            <w:pPr>
              <w:pStyle w:val="126"/>
              <w:widowControl/>
              <w:suppressLineNumbers/>
              <w:suppressAutoHyphens/>
              <w:spacing w:line="400" w:lineRule="exact"/>
              <w:ind w:firstLine="422"/>
              <w:contextualSpacing/>
              <w:rPr>
                <w:rFonts w:cs="宋体"/>
                <w:b/>
                <w:bCs w:val="0"/>
                <w:color w:val="auto"/>
                <w:kern w:val="0"/>
                <w:sz w:val="21"/>
                <w:szCs w:val="21"/>
                <w:highlight w:val="none"/>
              </w:rPr>
            </w:pPr>
            <w:r>
              <w:rPr>
                <w:rFonts w:hint="eastAsia" w:cs="宋体"/>
                <w:b/>
                <w:bCs w:val="0"/>
                <w:color w:val="auto"/>
                <w:kern w:val="0"/>
                <w:sz w:val="21"/>
                <w:szCs w:val="21"/>
                <w:highlight w:val="none"/>
              </w:rPr>
              <w:t>（五）信息安全风险评估交付成果</w:t>
            </w:r>
          </w:p>
          <w:p w14:paraId="7E67437E">
            <w:pPr>
              <w:pStyle w:val="126"/>
              <w:widowControl/>
              <w:suppressLineNumbers/>
              <w:suppressAutoHyphens/>
              <w:spacing w:line="400" w:lineRule="exact"/>
              <w:ind w:firstLine="420"/>
              <w:contextualSpacing/>
              <w:rPr>
                <w:rFonts w:cs="宋体"/>
                <w:bCs w:val="0"/>
                <w:color w:val="auto"/>
                <w:kern w:val="0"/>
                <w:sz w:val="21"/>
                <w:szCs w:val="21"/>
                <w:highlight w:val="none"/>
              </w:rPr>
            </w:pPr>
            <w:r>
              <w:rPr>
                <w:rFonts w:hint="eastAsia" w:cs="宋体"/>
                <w:bCs w:val="0"/>
                <w:color w:val="auto"/>
                <w:kern w:val="0"/>
                <w:sz w:val="21"/>
                <w:szCs w:val="21"/>
                <w:highlight w:val="none"/>
              </w:rPr>
              <w:t>完成风险评估工作，出具正式的报告《信息安全风险评估报告》，并协助做好系统风险整改工作。</w:t>
            </w:r>
          </w:p>
          <w:p w14:paraId="3FA0E0C5">
            <w:pPr>
              <w:pStyle w:val="126"/>
              <w:widowControl/>
              <w:suppressLineNumbers/>
              <w:suppressAutoHyphens/>
              <w:spacing w:line="400" w:lineRule="exact"/>
              <w:ind w:firstLine="480"/>
              <w:contextualSpacing/>
              <w:rPr>
                <w:color w:val="auto"/>
                <w:szCs w:val="21"/>
                <w:highlight w:val="none"/>
              </w:rPr>
            </w:pPr>
          </w:p>
        </w:tc>
      </w:tr>
      <w:tr w14:paraId="468779BD">
        <w:tblPrEx>
          <w:tblCellMar>
            <w:top w:w="0" w:type="dxa"/>
            <w:left w:w="108" w:type="dxa"/>
            <w:bottom w:w="0" w:type="dxa"/>
            <w:right w:w="108" w:type="dxa"/>
          </w:tblCellMar>
        </w:tblPrEx>
        <w:trPr>
          <w:trHeight w:val="510" w:hRule="atLeast"/>
          <w:jc w:val="center"/>
        </w:trPr>
        <w:tc>
          <w:tcPr>
            <w:tcW w:w="505" w:type="dxa"/>
            <w:tcBorders>
              <w:top w:val="single" w:color="auto" w:sz="4" w:space="0"/>
              <w:left w:val="single" w:color="auto" w:sz="4" w:space="0"/>
              <w:bottom w:val="single" w:color="auto" w:sz="4" w:space="0"/>
              <w:right w:val="single" w:color="auto" w:sz="4" w:space="0"/>
            </w:tcBorders>
            <w:vAlign w:val="center"/>
          </w:tcPr>
          <w:p w14:paraId="2E1A9DE7">
            <w:pPr>
              <w:snapToGrid w:val="0"/>
              <w:spacing w:line="400" w:lineRule="exact"/>
              <w:jc w:val="center"/>
              <w:rPr>
                <w:rFonts w:ascii="宋体" w:hAnsi="宋体" w:eastAsia="Courier New" w:cs="宋体"/>
                <w:color w:val="auto"/>
                <w:kern w:val="0"/>
                <w:szCs w:val="21"/>
                <w:highlight w:val="none"/>
              </w:rPr>
            </w:pPr>
            <w:r>
              <w:rPr>
                <w:rFonts w:hint="eastAsia" w:ascii="宋体" w:hAnsi="宋体" w:cs="宋体"/>
                <w:color w:val="auto"/>
                <w:kern w:val="0"/>
                <w:szCs w:val="21"/>
                <w:highlight w:val="none"/>
              </w:rPr>
              <w:t>6</w:t>
            </w:r>
          </w:p>
        </w:tc>
        <w:tc>
          <w:tcPr>
            <w:tcW w:w="1119" w:type="dxa"/>
            <w:tcBorders>
              <w:top w:val="single" w:color="auto" w:sz="4" w:space="0"/>
              <w:left w:val="nil"/>
              <w:bottom w:val="single" w:color="auto" w:sz="4" w:space="0"/>
              <w:right w:val="single" w:color="auto" w:sz="4" w:space="0"/>
            </w:tcBorders>
            <w:vAlign w:val="center"/>
          </w:tcPr>
          <w:p w14:paraId="5949D77C">
            <w:pPr>
              <w:spacing w:line="400" w:lineRule="exact"/>
              <w:jc w:val="center"/>
              <w:rPr>
                <w:rFonts w:ascii="宋体" w:hAnsi="宋体"/>
                <w:color w:val="auto"/>
                <w:szCs w:val="21"/>
                <w:highlight w:val="none"/>
              </w:rPr>
            </w:pPr>
            <w:r>
              <w:rPr>
                <w:rFonts w:hint="eastAsia" w:ascii="宋体" w:hAnsi="宋体"/>
                <w:color w:val="auto"/>
                <w:szCs w:val="21"/>
                <w:highlight w:val="none"/>
              </w:rPr>
              <w:t>项目建设实施集成服务</w:t>
            </w:r>
          </w:p>
        </w:tc>
        <w:tc>
          <w:tcPr>
            <w:tcW w:w="662" w:type="dxa"/>
            <w:tcBorders>
              <w:top w:val="single" w:color="auto" w:sz="4" w:space="0"/>
              <w:left w:val="single" w:color="auto" w:sz="4" w:space="0"/>
              <w:bottom w:val="single" w:color="auto" w:sz="4" w:space="0"/>
              <w:right w:val="single" w:color="auto" w:sz="4" w:space="0"/>
            </w:tcBorders>
            <w:vAlign w:val="center"/>
          </w:tcPr>
          <w:p w14:paraId="627CCECC">
            <w:pPr>
              <w:spacing w:line="400" w:lineRule="exact"/>
              <w:jc w:val="center"/>
              <w:rPr>
                <w:rFonts w:ascii="宋体" w:hAnsi="宋体" w:cs="宋体"/>
                <w:color w:val="auto"/>
                <w:szCs w:val="21"/>
                <w:highlight w:val="none"/>
              </w:rPr>
            </w:pPr>
            <w:r>
              <w:rPr>
                <w:rFonts w:hint="eastAsia" w:ascii="宋体" w:hAnsi="宋体"/>
                <w:color w:val="auto"/>
                <w:szCs w:val="21"/>
                <w:highlight w:val="none"/>
              </w:rPr>
              <w:t>1</w:t>
            </w:r>
          </w:p>
        </w:tc>
        <w:tc>
          <w:tcPr>
            <w:tcW w:w="650" w:type="dxa"/>
            <w:tcBorders>
              <w:top w:val="single" w:color="auto" w:sz="4" w:space="0"/>
              <w:left w:val="single" w:color="auto" w:sz="4" w:space="0"/>
              <w:bottom w:val="single" w:color="auto" w:sz="4" w:space="0"/>
              <w:right w:val="single" w:color="auto" w:sz="4" w:space="0"/>
            </w:tcBorders>
            <w:vAlign w:val="center"/>
          </w:tcPr>
          <w:p w14:paraId="2091C1A6">
            <w:pPr>
              <w:pStyle w:val="126"/>
              <w:widowControl/>
              <w:suppressLineNumbers/>
              <w:suppressAutoHyphens/>
              <w:spacing w:line="400" w:lineRule="exact"/>
              <w:ind w:firstLine="0" w:firstLineChars="0"/>
              <w:contextualSpacing/>
              <w:jc w:val="center"/>
              <w:rPr>
                <w:rFonts w:cs="宋体"/>
                <w:color w:val="auto"/>
                <w:szCs w:val="21"/>
                <w:highlight w:val="none"/>
              </w:rPr>
            </w:pPr>
            <w:r>
              <w:rPr>
                <w:rFonts w:hint="eastAsia"/>
                <w:color w:val="auto"/>
                <w:szCs w:val="21"/>
                <w:highlight w:val="none"/>
              </w:rPr>
              <w:t>项</w:t>
            </w:r>
          </w:p>
        </w:tc>
        <w:tc>
          <w:tcPr>
            <w:tcW w:w="6578" w:type="dxa"/>
            <w:tcBorders>
              <w:top w:val="single" w:color="auto" w:sz="4" w:space="0"/>
              <w:left w:val="single" w:color="auto" w:sz="4" w:space="0"/>
              <w:bottom w:val="single" w:color="auto" w:sz="4" w:space="0"/>
              <w:right w:val="single" w:color="auto" w:sz="4" w:space="0"/>
            </w:tcBorders>
            <w:vAlign w:val="center"/>
          </w:tcPr>
          <w:p w14:paraId="6B67E56A">
            <w:pPr>
              <w:pStyle w:val="126"/>
              <w:widowControl/>
              <w:suppressLineNumbers/>
              <w:suppressAutoHyphens/>
              <w:spacing w:line="400" w:lineRule="exact"/>
              <w:ind w:firstLine="420"/>
              <w:contextualSpacing/>
              <w:rPr>
                <w:rFonts w:ascii="黑体" w:hAnsi="黑体" w:eastAsia="黑体" w:cs="宋体"/>
                <w:color w:val="auto"/>
                <w:kern w:val="0"/>
                <w:sz w:val="21"/>
                <w:szCs w:val="21"/>
                <w:highlight w:val="none"/>
              </w:rPr>
            </w:pPr>
            <w:r>
              <w:rPr>
                <w:rFonts w:hint="eastAsia" w:ascii="黑体" w:hAnsi="黑体" w:eastAsia="黑体" w:cs="宋体"/>
                <w:color w:val="auto"/>
                <w:kern w:val="0"/>
                <w:sz w:val="21"/>
                <w:szCs w:val="21"/>
                <w:highlight w:val="none"/>
              </w:rPr>
              <w:t>一</w:t>
            </w:r>
            <w:r>
              <w:rPr>
                <w:rFonts w:ascii="黑体" w:hAnsi="黑体" w:eastAsia="黑体" w:cs="宋体"/>
                <w:color w:val="auto"/>
                <w:kern w:val="0"/>
                <w:sz w:val="21"/>
                <w:szCs w:val="21"/>
                <w:highlight w:val="none"/>
              </w:rPr>
              <w:t>、项目实施</w:t>
            </w:r>
            <w:r>
              <w:rPr>
                <w:rFonts w:hint="eastAsia" w:ascii="黑体" w:hAnsi="黑体" w:eastAsia="黑体" w:cs="宋体"/>
                <w:color w:val="auto"/>
                <w:kern w:val="0"/>
                <w:sz w:val="21"/>
                <w:szCs w:val="21"/>
                <w:highlight w:val="none"/>
              </w:rPr>
              <w:t>集成</w:t>
            </w:r>
            <w:r>
              <w:rPr>
                <w:rFonts w:ascii="黑体" w:hAnsi="黑体" w:eastAsia="黑体" w:cs="宋体"/>
                <w:color w:val="auto"/>
                <w:kern w:val="0"/>
                <w:sz w:val="21"/>
                <w:szCs w:val="21"/>
                <w:highlight w:val="none"/>
              </w:rPr>
              <w:t>服务</w:t>
            </w:r>
            <w:r>
              <w:rPr>
                <w:rFonts w:hint="eastAsia" w:ascii="黑体" w:hAnsi="黑体" w:eastAsia="黑体" w:cs="宋体"/>
                <w:color w:val="auto"/>
                <w:kern w:val="0"/>
                <w:sz w:val="21"/>
                <w:szCs w:val="21"/>
                <w:highlight w:val="none"/>
              </w:rPr>
              <w:t>要求</w:t>
            </w:r>
          </w:p>
          <w:p w14:paraId="4950D23D">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本项目除</w:t>
            </w:r>
            <w:r>
              <w:rPr>
                <w:rFonts w:hint="eastAsia" w:cs="宋体"/>
                <w:b/>
                <w:color w:val="auto"/>
                <w:kern w:val="0"/>
                <w:sz w:val="21"/>
                <w:szCs w:val="21"/>
                <w:highlight w:val="none"/>
              </w:rPr>
              <w:t>“5.信息系统网络安全等级保护测评服务和信息安全风险评估服务”</w:t>
            </w:r>
            <w:r>
              <w:rPr>
                <w:rFonts w:hint="eastAsia" w:cs="宋体"/>
                <w:color w:val="auto"/>
                <w:kern w:val="0"/>
                <w:sz w:val="21"/>
                <w:szCs w:val="21"/>
                <w:highlight w:val="none"/>
              </w:rPr>
              <w:t>外，应当按以下要求分阶段组织实施：</w:t>
            </w:r>
          </w:p>
          <w:p w14:paraId="7D3C1BA5">
            <w:pPr>
              <w:pStyle w:val="126"/>
              <w:widowControl/>
              <w:suppressLineNumbers/>
              <w:suppressAutoHyphens/>
              <w:spacing w:line="400" w:lineRule="exact"/>
              <w:ind w:firstLine="422"/>
              <w:contextualSpacing/>
              <w:rPr>
                <w:rFonts w:cs="宋体"/>
                <w:b/>
                <w:color w:val="auto"/>
                <w:kern w:val="0"/>
                <w:sz w:val="21"/>
                <w:szCs w:val="21"/>
                <w:highlight w:val="none"/>
              </w:rPr>
            </w:pPr>
            <w:r>
              <w:rPr>
                <w:rFonts w:cs="宋体"/>
                <w:b/>
                <w:color w:val="auto"/>
                <w:kern w:val="0"/>
                <w:sz w:val="21"/>
                <w:szCs w:val="21"/>
                <w:highlight w:val="none"/>
              </w:rPr>
              <w:t>1</w:t>
            </w:r>
            <w:r>
              <w:rPr>
                <w:rFonts w:hint="eastAsia" w:cs="宋体"/>
                <w:b/>
                <w:color w:val="auto"/>
                <w:kern w:val="0"/>
                <w:sz w:val="21"/>
                <w:szCs w:val="21"/>
                <w:highlight w:val="none"/>
              </w:rPr>
              <w:t>、需求分析阶段</w:t>
            </w:r>
          </w:p>
          <w:p w14:paraId="1A09F187">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由成交供应商根据进度安排，组织具有系统架构或系统分析资质和经验的技术团队驻场，开展调研，深入了解采购人及其下属机构（全区134个检察院及1个检察官学院）对本项目需求，梳理业务需求，转化成系统建设需求，其中系统建设需求包含但不限于网络及安全需求、商用密码合规性建设需求、数据资源及共享开放需求、软件二次开发改造功能需求、软件技术路线及性能需求、基础运行平台需求、支撑环境需求、历史数据迁移需求、第三方软件接口需求、系统测试、部署实施、培训及售后运维管理等建设需求，形成需求清单，并交付给采购人确认。</w:t>
            </w:r>
          </w:p>
          <w:p w14:paraId="251A3EEF">
            <w:pPr>
              <w:pStyle w:val="126"/>
              <w:widowControl/>
              <w:suppressLineNumbers/>
              <w:suppressAutoHyphens/>
              <w:spacing w:line="400" w:lineRule="exact"/>
              <w:ind w:firstLine="422"/>
              <w:contextualSpacing/>
              <w:rPr>
                <w:rFonts w:cs="宋体"/>
                <w:b/>
                <w:color w:val="auto"/>
                <w:kern w:val="0"/>
                <w:sz w:val="21"/>
                <w:szCs w:val="21"/>
                <w:highlight w:val="none"/>
              </w:rPr>
            </w:pPr>
            <w:r>
              <w:rPr>
                <w:rFonts w:cs="宋体"/>
                <w:b/>
                <w:color w:val="auto"/>
                <w:kern w:val="0"/>
                <w:sz w:val="21"/>
                <w:szCs w:val="21"/>
                <w:highlight w:val="none"/>
              </w:rPr>
              <w:t>2</w:t>
            </w:r>
            <w:r>
              <w:rPr>
                <w:rFonts w:hint="eastAsia" w:cs="宋体"/>
                <w:b/>
                <w:color w:val="auto"/>
                <w:kern w:val="0"/>
                <w:sz w:val="21"/>
                <w:szCs w:val="21"/>
                <w:highlight w:val="none"/>
              </w:rPr>
              <w:t>、系统设计阶段</w:t>
            </w:r>
          </w:p>
          <w:p w14:paraId="7F5B8204">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按照采购人确认的系统建设需求，分析建设的重难点，设计项目建设原型，完善项目建设方案，形成项目建设系统实施开发方案，经采购人同意确认后，制定实施计划，按进度开展实施工作。</w:t>
            </w:r>
          </w:p>
          <w:p w14:paraId="61A87748">
            <w:pPr>
              <w:pStyle w:val="126"/>
              <w:widowControl/>
              <w:suppressLineNumbers/>
              <w:suppressAutoHyphens/>
              <w:spacing w:line="400" w:lineRule="exact"/>
              <w:ind w:firstLine="422"/>
              <w:contextualSpacing/>
              <w:rPr>
                <w:rFonts w:cs="宋体"/>
                <w:b/>
                <w:color w:val="auto"/>
                <w:kern w:val="0"/>
                <w:sz w:val="21"/>
                <w:szCs w:val="21"/>
                <w:highlight w:val="none"/>
              </w:rPr>
            </w:pPr>
            <w:r>
              <w:rPr>
                <w:rFonts w:cs="宋体"/>
                <w:b/>
                <w:color w:val="auto"/>
                <w:kern w:val="0"/>
                <w:sz w:val="21"/>
                <w:szCs w:val="21"/>
                <w:highlight w:val="none"/>
              </w:rPr>
              <w:t>3</w:t>
            </w:r>
            <w:r>
              <w:rPr>
                <w:rFonts w:hint="eastAsia" w:cs="宋体"/>
                <w:b/>
                <w:color w:val="auto"/>
                <w:kern w:val="0"/>
                <w:sz w:val="21"/>
                <w:szCs w:val="21"/>
                <w:highlight w:val="none"/>
              </w:rPr>
              <w:t>、组织实施阶段</w:t>
            </w:r>
          </w:p>
          <w:p w14:paraId="4B926505">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按照采购人确认的系统建设方案，按以下要求组织团队开展项目实施工作：</w:t>
            </w:r>
          </w:p>
          <w:p w14:paraId="08AB27B5">
            <w:pPr>
              <w:pStyle w:val="126"/>
              <w:widowControl/>
              <w:suppressLineNumbers/>
              <w:suppressAutoHyphens/>
              <w:spacing w:line="400" w:lineRule="exact"/>
              <w:ind w:firstLine="422"/>
              <w:contextualSpacing/>
              <w:rPr>
                <w:rFonts w:cs="宋体"/>
                <w:color w:val="auto"/>
                <w:kern w:val="0"/>
                <w:sz w:val="21"/>
                <w:szCs w:val="21"/>
                <w:highlight w:val="none"/>
              </w:rPr>
            </w:pPr>
            <w:r>
              <w:rPr>
                <w:rFonts w:hint="eastAsia" w:cs="宋体"/>
                <w:b/>
                <w:color w:val="auto"/>
                <w:kern w:val="0"/>
                <w:sz w:val="21"/>
                <w:szCs w:val="21"/>
                <w:highlight w:val="none"/>
              </w:rPr>
              <w:t>一是集成服务的团队</w:t>
            </w:r>
            <w:r>
              <w:rPr>
                <w:rFonts w:hint="eastAsia" w:cs="宋体"/>
                <w:color w:val="auto"/>
                <w:kern w:val="0"/>
                <w:sz w:val="21"/>
                <w:szCs w:val="21"/>
                <w:highlight w:val="none"/>
              </w:rPr>
              <w:t>，需要进场配合采购人加强与最高检相关部门、自治区大数据发展局、自治区信息中心等管理单位沟通，并在这些管理单位指导下，按要求编制相关建设实施方案，申请项目建设相关的网络、安全、商密、运行环境等资源，按要求做好软件部署及运行环境的建设工作。</w:t>
            </w:r>
          </w:p>
          <w:p w14:paraId="08329CFA">
            <w:pPr>
              <w:pStyle w:val="126"/>
              <w:widowControl/>
              <w:suppressLineNumbers/>
              <w:suppressAutoHyphens/>
              <w:spacing w:line="400" w:lineRule="exact"/>
              <w:ind w:firstLine="422"/>
              <w:contextualSpacing/>
              <w:rPr>
                <w:rFonts w:cs="宋体"/>
                <w:color w:val="auto"/>
                <w:kern w:val="0"/>
                <w:sz w:val="21"/>
                <w:szCs w:val="21"/>
                <w:highlight w:val="none"/>
              </w:rPr>
            </w:pPr>
            <w:r>
              <w:rPr>
                <w:rFonts w:hint="eastAsia" w:cs="宋体"/>
                <w:b/>
                <w:color w:val="auto"/>
                <w:kern w:val="0"/>
                <w:sz w:val="21"/>
                <w:szCs w:val="21"/>
                <w:highlight w:val="none"/>
              </w:rPr>
              <w:t>二是软件编码开发团队</w:t>
            </w:r>
            <w:r>
              <w:rPr>
                <w:rFonts w:hint="eastAsia" w:cs="宋体"/>
                <w:color w:val="auto"/>
                <w:kern w:val="0"/>
                <w:sz w:val="21"/>
                <w:szCs w:val="21"/>
                <w:highlight w:val="none"/>
              </w:rPr>
              <w:t>，需要按照信创信息系统建设要求，本着充分利旧、合理节约等原则，充分依托采购人现有条件，确定技术路线后，组织实施团队做好软件开发工作，在软考开发过程中，必须让采购人技术人员充分参与，使得技术人员深入了解软件技术架构和工作原理，为质保期后软件运维提供保障。</w:t>
            </w:r>
          </w:p>
          <w:p w14:paraId="69E044EB">
            <w:pPr>
              <w:pStyle w:val="126"/>
              <w:widowControl/>
              <w:suppressLineNumbers/>
              <w:suppressAutoHyphens/>
              <w:spacing w:line="400" w:lineRule="exact"/>
              <w:ind w:firstLine="422"/>
              <w:contextualSpacing/>
              <w:rPr>
                <w:rFonts w:cs="宋体"/>
                <w:b/>
                <w:color w:val="auto"/>
                <w:kern w:val="0"/>
                <w:sz w:val="21"/>
                <w:szCs w:val="21"/>
                <w:highlight w:val="none"/>
              </w:rPr>
            </w:pPr>
            <w:r>
              <w:rPr>
                <w:rFonts w:cs="宋体"/>
                <w:b/>
                <w:color w:val="auto"/>
                <w:kern w:val="0"/>
                <w:sz w:val="21"/>
                <w:szCs w:val="21"/>
                <w:highlight w:val="none"/>
              </w:rPr>
              <w:t>4</w:t>
            </w:r>
            <w:r>
              <w:rPr>
                <w:rFonts w:hint="eastAsia" w:cs="宋体"/>
                <w:b/>
                <w:color w:val="auto"/>
                <w:kern w:val="0"/>
                <w:sz w:val="21"/>
                <w:szCs w:val="21"/>
                <w:highlight w:val="none"/>
              </w:rPr>
              <w:t>、系统上线测试阶段</w:t>
            </w:r>
          </w:p>
          <w:p w14:paraId="277A0783">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按照采购人确认的系统建设方案，组织项目实施团队及时做好项目建设软件的功能及性能测试工作。软件部署后，编制系统试运行测试方案，经采购人确认同意后，配合采购人按测试方案组织做好软件试运行的测试工作，测试内容包含但不限于软件系统功能符合性、多用户并发性能、软件数据资源安全性、软件用户权限合规性等方面测试工作，在测试过程中，提供测试用例，做好执行测试，做好软件缺陷记录、及时组织修复完善并验证修复，做好系统调优等工作。</w:t>
            </w:r>
          </w:p>
          <w:p w14:paraId="34A731B1">
            <w:pPr>
              <w:pStyle w:val="126"/>
              <w:widowControl/>
              <w:suppressLineNumbers/>
              <w:suppressAutoHyphens/>
              <w:spacing w:line="400" w:lineRule="exact"/>
              <w:ind w:firstLine="422"/>
              <w:contextualSpacing/>
              <w:rPr>
                <w:rFonts w:cs="宋体"/>
                <w:b/>
                <w:color w:val="auto"/>
                <w:kern w:val="0"/>
                <w:sz w:val="21"/>
                <w:szCs w:val="21"/>
                <w:highlight w:val="none"/>
              </w:rPr>
            </w:pPr>
            <w:r>
              <w:rPr>
                <w:rFonts w:cs="宋体"/>
                <w:b/>
                <w:color w:val="auto"/>
                <w:kern w:val="0"/>
                <w:sz w:val="21"/>
                <w:szCs w:val="21"/>
                <w:highlight w:val="none"/>
              </w:rPr>
              <w:t>5</w:t>
            </w:r>
            <w:r>
              <w:rPr>
                <w:rFonts w:hint="eastAsia" w:cs="宋体"/>
                <w:b/>
                <w:color w:val="auto"/>
                <w:kern w:val="0"/>
                <w:sz w:val="21"/>
                <w:szCs w:val="21"/>
                <w:highlight w:val="none"/>
              </w:rPr>
              <w:t>、实施部署</w:t>
            </w:r>
          </w:p>
          <w:p w14:paraId="3AD582E8">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项目建设内容经采购人确认试运行完成后，应当按照采购人确认的系统建设方案，及时组织项目实施团队做好项目以下部署实施工作：</w:t>
            </w:r>
          </w:p>
          <w:p w14:paraId="4865E3AA">
            <w:pPr>
              <w:pStyle w:val="126"/>
              <w:widowControl/>
              <w:suppressLineNumbers/>
              <w:suppressAutoHyphens/>
              <w:spacing w:line="400" w:lineRule="exact"/>
              <w:ind w:firstLine="422"/>
              <w:contextualSpacing/>
              <w:rPr>
                <w:rFonts w:cs="宋体"/>
                <w:b/>
                <w:color w:val="auto"/>
                <w:kern w:val="0"/>
                <w:sz w:val="21"/>
                <w:szCs w:val="21"/>
                <w:highlight w:val="none"/>
              </w:rPr>
            </w:pPr>
            <w:r>
              <w:rPr>
                <w:rFonts w:hint="eastAsia" w:cs="宋体"/>
                <w:b/>
                <w:color w:val="auto"/>
                <w:kern w:val="0"/>
                <w:sz w:val="21"/>
                <w:szCs w:val="21"/>
                <w:highlight w:val="none"/>
              </w:rPr>
              <w:t>（</w:t>
            </w:r>
            <w:r>
              <w:rPr>
                <w:rFonts w:cs="宋体"/>
                <w:b/>
                <w:color w:val="auto"/>
                <w:kern w:val="0"/>
                <w:sz w:val="21"/>
                <w:szCs w:val="21"/>
                <w:highlight w:val="none"/>
              </w:rPr>
              <w:t>1</w:t>
            </w:r>
            <w:r>
              <w:rPr>
                <w:rFonts w:hint="eastAsia" w:cs="宋体"/>
                <w:b/>
                <w:color w:val="auto"/>
                <w:kern w:val="0"/>
                <w:sz w:val="21"/>
                <w:szCs w:val="21"/>
                <w:highlight w:val="none"/>
              </w:rPr>
              <w:t>）软件安装部署</w:t>
            </w:r>
          </w:p>
          <w:p w14:paraId="0785D198">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一是根据项目建设内容用户规模及响应速度要求，做好项目建设内容运行基础平台（含服务器、存储、备份，以及操作系统、数据库、中间件等基础软硬件平台）、网络传输系统、安全防护措施等分析工作，合理规划，制定项目建设软件的安装部署实施方案，经采购人确认同意后，再组织安装实施工作。</w:t>
            </w:r>
          </w:p>
          <w:p w14:paraId="64C41C53">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二是根据采购人同意确定的部署实施方案，做好服务器、存储设备、以及操作系统等安装配置等工作。</w:t>
            </w:r>
          </w:p>
          <w:p w14:paraId="3C20062C">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三是根据采购人同意确定的部署实施方案，做好网络连接、安全防护措施、数据备份及恢复、应急处置等设备设施等安装配置工作。</w:t>
            </w:r>
          </w:p>
          <w:p w14:paraId="5E9251C7">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四是根据采购人同意确定的部署实施方案，做好数据库管理软件、数据库集群、数据库高可用、数据同步、数据备份、中间件等支撑软件的安装配置工作。</w:t>
            </w:r>
          </w:p>
          <w:p w14:paraId="1070192A">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五是根据采购人同意确定的部署实施方案，做好本项目建设软件平台部署、初始化配置、组织机构及用户信息迁移配置、群组角色权限配置、用户页面初始化配置等工作。</w:t>
            </w:r>
          </w:p>
          <w:p w14:paraId="39A4FB5B">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六是根据采购人同意确定的部署实施方案，根据软件试用情况，做好本项目建设软件系统平台、以及软件平台支撑环境参数（比如：Java参数、数据库参数、操作系统参数、中间件参数）等调优工作，确保软件系统平台处于稳定好、性能最优的状态运行使用。</w:t>
            </w:r>
          </w:p>
          <w:p w14:paraId="339FA1E7">
            <w:pPr>
              <w:pStyle w:val="126"/>
              <w:widowControl/>
              <w:suppressLineNumbers/>
              <w:suppressAutoHyphens/>
              <w:spacing w:line="400" w:lineRule="exact"/>
              <w:ind w:firstLine="422"/>
              <w:contextualSpacing/>
              <w:rPr>
                <w:rFonts w:cs="宋体"/>
                <w:b/>
                <w:color w:val="auto"/>
                <w:kern w:val="0"/>
                <w:sz w:val="21"/>
                <w:szCs w:val="21"/>
                <w:highlight w:val="none"/>
              </w:rPr>
            </w:pPr>
            <w:r>
              <w:rPr>
                <w:rFonts w:hint="eastAsia" w:cs="宋体"/>
                <w:b/>
                <w:color w:val="auto"/>
                <w:kern w:val="0"/>
                <w:sz w:val="21"/>
                <w:szCs w:val="21"/>
                <w:highlight w:val="none"/>
              </w:rPr>
              <w:t>（</w:t>
            </w:r>
            <w:r>
              <w:rPr>
                <w:rFonts w:cs="宋体"/>
                <w:b/>
                <w:color w:val="auto"/>
                <w:kern w:val="0"/>
                <w:sz w:val="21"/>
                <w:szCs w:val="21"/>
                <w:highlight w:val="none"/>
              </w:rPr>
              <w:t>2</w:t>
            </w:r>
            <w:r>
              <w:rPr>
                <w:rFonts w:hint="eastAsia" w:cs="宋体"/>
                <w:b/>
                <w:color w:val="auto"/>
                <w:kern w:val="0"/>
                <w:sz w:val="21"/>
                <w:szCs w:val="21"/>
                <w:highlight w:val="none"/>
              </w:rPr>
              <w:t>）上线应用支持要求</w:t>
            </w:r>
          </w:p>
          <w:p w14:paraId="00BE2862">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项目质保期间，成交供应商必须按要求建立售后服务团队，驻场在采购人的场地中，做好以下工作：</w:t>
            </w:r>
          </w:p>
          <w:p w14:paraId="5588A843">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①问题收集处理。收集用户使用过程问题，在公司二线团队支持下，及时处理用户使用过程中遇到问题，确保系统的正常运行。</w:t>
            </w:r>
          </w:p>
          <w:p w14:paraId="158F8773">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②性能优化。根据用户使用情况，在公司二线团队支持下，对系统进行运行安全性、稳定性、响应速度等性能进行优化，保障系统处于最优状态运行使用。</w:t>
            </w:r>
          </w:p>
          <w:p w14:paraId="75035717">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③功能升级完善。项目质保期也是系统敏感运行适应期，期间成交供应商应免费提供项目建设内容的升级和完善服务，要承诺全力配合采购人根据工作实际，及时对使用过程中提出的合理意见和建议进行软件修订，做好软件版本管控工作，及时发布升级处理。期间，若最高检或地方党委政府出台有新的相关政策规范、技术标准及文件要求等，必须调整本项目建设内容才能让采购人开展项目建设内容的应用工作，则必须配合采购人对软件升级改造，不能另行收取费用。</w:t>
            </w:r>
          </w:p>
          <w:p w14:paraId="60D3C5C7">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④数据备份。成交供应商售后服务团队必须定期对系统的数据进行备份，以防止数据丢失。</w:t>
            </w:r>
          </w:p>
          <w:p w14:paraId="6081E754">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⑤系统维护。成交供应商售后服务团队必须对系统进行定期巡检维护，及时发现本项目建设系统问题，做好预警及处置工作，确保系统的安全性、稳定性和可靠性。</w:t>
            </w:r>
          </w:p>
          <w:p w14:paraId="0981FB0C">
            <w:pPr>
              <w:pStyle w:val="126"/>
              <w:widowControl/>
              <w:suppressLineNumbers/>
              <w:suppressAutoHyphens/>
              <w:spacing w:line="400" w:lineRule="exact"/>
              <w:ind w:firstLine="420"/>
              <w:contextualSpacing/>
              <w:rPr>
                <w:rFonts w:ascii="黑体" w:hAnsi="黑体" w:eastAsia="黑体" w:cs="宋体"/>
                <w:color w:val="auto"/>
                <w:kern w:val="0"/>
                <w:sz w:val="21"/>
                <w:szCs w:val="21"/>
                <w:highlight w:val="none"/>
              </w:rPr>
            </w:pPr>
            <w:r>
              <w:rPr>
                <w:rFonts w:hint="eastAsia" w:ascii="黑体" w:hAnsi="黑体" w:eastAsia="黑体" w:cs="宋体"/>
                <w:color w:val="auto"/>
                <w:kern w:val="0"/>
                <w:sz w:val="21"/>
                <w:szCs w:val="21"/>
                <w:highlight w:val="none"/>
              </w:rPr>
              <w:t>二、运维管理服务要求</w:t>
            </w:r>
          </w:p>
          <w:p w14:paraId="3D80F293">
            <w:pPr>
              <w:pStyle w:val="126"/>
              <w:widowControl/>
              <w:suppressLineNumbers/>
              <w:suppressAutoHyphens/>
              <w:spacing w:line="400" w:lineRule="exact"/>
              <w:ind w:firstLine="422"/>
              <w:contextualSpacing/>
              <w:rPr>
                <w:rFonts w:cs="宋体"/>
                <w:b/>
                <w:color w:val="auto"/>
                <w:kern w:val="0"/>
                <w:sz w:val="21"/>
                <w:szCs w:val="21"/>
                <w:highlight w:val="none"/>
              </w:rPr>
            </w:pPr>
            <w:r>
              <w:rPr>
                <w:rFonts w:hint="eastAsia" w:cs="宋体"/>
                <w:b/>
                <w:color w:val="auto"/>
                <w:kern w:val="0"/>
                <w:sz w:val="21"/>
                <w:szCs w:val="21"/>
                <w:highlight w:val="none"/>
              </w:rPr>
              <w:t>（一）总则</w:t>
            </w:r>
          </w:p>
          <w:p w14:paraId="112B18A2">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为规范本采购运维管理，保障本项目建设平台的安全、稳定、高效运行，根据建设单位以及项目合同要求，制定本办法，用于指导和规范本项目建设系统运维管理工作。</w:t>
            </w:r>
          </w:p>
          <w:p w14:paraId="41B612DC">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本办法所称运维管理是针对参与本项目建设系统的供应商管理、运维人员提供的一系列管理和服务活动。</w:t>
            </w:r>
          </w:p>
          <w:p w14:paraId="5320EA4D">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运维工作按照“谁主管谁负责，谁建设谁负责”的原则，坚持管理和技术并重，构建职责清晰、流程规范、响应及时、协同联动的运维管理体系。</w:t>
            </w:r>
          </w:p>
          <w:p w14:paraId="78E1DF5D">
            <w:pPr>
              <w:pStyle w:val="126"/>
              <w:widowControl/>
              <w:suppressLineNumbers/>
              <w:suppressAutoHyphens/>
              <w:spacing w:line="400" w:lineRule="exact"/>
              <w:ind w:firstLine="422"/>
              <w:contextualSpacing/>
              <w:rPr>
                <w:rFonts w:cs="宋体"/>
                <w:b/>
                <w:color w:val="auto"/>
                <w:kern w:val="0"/>
                <w:sz w:val="21"/>
                <w:szCs w:val="21"/>
                <w:highlight w:val="none"/>
              </w:rPr>
            </w:pPr>
            <w:r>
              <w:rPr>
                <w:rFonts w:hint="eastAsia" w:cs="宋体"/>
                <w:b/>
                <w:color w:val="auto"/>
                <w:kern w:val="0"/>
                <w:sz w:val="21"/>
                <w:szCs w:val="21"/>
                <w:highlight w:val="none"/>
              </w:rPr>
              <w:t>（二）组织与分工</w:t>
            </w:r>
          </w:p>
          <w:p w14:paraId="2D942293">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运维组织架构按照项目管理小组、专家组、运维组，明确职责分工，各开发公司应按组织职责分工配置具备相关资质的人员，不得随意变更。</w:t>
            </w:r>
          </w:p>
          <w:p w14:paraId="11D48D3A">
            <w:pPr>
              <w:pStyle w:val="126"/>
              <w:widowControl/>
              <w:suppressLineNumbers/>
              <w:suppressAutoHyphens/>
              <w:spacing w:line="400" w:lineRule="exact"/>
              <w:ind w:firstLine="422"/>
              <w:contextualSpacing/>
              <w:rPr>
                <w:rFonts w:cs="宋体"/>
                <w:b/>
                <w:color w:val="auto"/>
                <w:kern w:val="0"/>
                <w:sz w:val="21"/>
                <w:szCs w:val="21"/>
                <w:highlight w:val="none"/>
              </w:rPr>
            </w:pPr>
            <w:r>
              <w:rPr>
                <w:rFonts w:hint="eastAsia" w:cs="宋体"/>
                <w:b/>
                <w:color w:val="auto"/>
                <w:kern w:val="0"/>
                <w:sz w:val="21"/>
                <w:szCs w:val="21"/>
                <w:highlight w:val="none"/>
              </w:rPr>
              <w:t>1、项目管理小组</w:t>
            </w:r>
          </w:p>
          <w:p w14:paraId="2B24BB47">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项目管理小组统筹指挥运维管理工作，负责重大紧急事故应急指挥决策、资源协调、故障处置汇报等工作</w:t>
            </w:r>
          </w:p>
          <w:p w14:paraId="1FCE7329">
            <w:pPr>
              <w:pStyle w:val="126"/>
              <w:widowControl/>
              <w:suppressLineNumbers/>
              <w:suppressAutoHyphens/>
              <w:spacing w:line="400" w:lineRule="exact"/>
              <w:ind w:firstLine="422"/>
              <w:contextualSpacing/>
              <w:rPr>
                <w:rFonts w:cs="宋体"/>
                <w:b/>
                <w:color w:val="auto"/>
                <w:kern w:val="0"/>
                <w:sz w:val="21"/>
                <w:szCs w:val="21"/>
                <w:highlight w:val="none"/>
              </w:rPr>
            </w:pPr>
            <w:r>
              <w:rPr>
                <w:rFonts w:hint="eastAsia" w:cs="宋体"/>
                <w:b/>
                <w:color w:val="auto"/>
                <w:kern w:val="0"/>
                <w:sz w:val="21"/>
                <w:szCs w:val="21"/>
                <w:highlight w:val="none"/>
              </w:rPr>
              <w:t>2、专家组</w:t>
            </w:r>
          </w:p>
          <w:p w14:paraId="0AEEA9D9">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专家组负责组织各相关方进行故障处理、执行问题根本原因分析、制定优化解决方案等工作。</w:t>
            </w:r>
          </w:p>
          <w:p w14:paraId="7BE6A621">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专家组设立组长1名，成员由各应用系统开发公司技术负责人担任。</w:t>
            </w:r>
          </w:p>
          <w:p w14:paraId="4B4A94FF">
            <w:pPr>
              <w:pStyle w:val="126"/>
              <w:widowControl/>
              <w:suppressLineNumbers/>
              <w:suppressAutoHyphens/>
              <w:spacing w:line="400" w:lineRule="exact"/>
              <w:ind w:firstLine="422"/>
              <w:contextualSpacing/>
              <w:rPr>
                <w:rFonts w:cs="宋体"/>
                <w:b/>
                <w:color w:val="auto"/>
                <w:kern w:val="0"/>
                <w:sz w:val="21"/>
                <w:szCs w:val="21"/>
                <w:highlight w:val="none"/>
              </w:rPr>
            </w:pPr>
            <w:r>
              <w:rPr>
                <w:rFonts w:hint="eastAsia" w:cs="宋体"/>
                <w:b/>
                <w:color w:val="auto"/>
                <w:kern w:val="0"/>
                <w:sz w:val="21"/>
                <w:szCs w:val="21"/>
                <w:highlight w:val="none"/>
              </w:rPr>
              <w:t>3、运维工作组</w:t>
            </w:r>
          </w:p>
          <w:p w14:paraId="0E81A125">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运维工作组负责系统日常定期巡检、告警监控、故障相应、问题处理等工作，并对告警信息及报障信息进行识别，发现重大故障或隐患需第一时间向项目管理组进行上报。</w:t>
            </w:r>
          </w:p>
          <w:p w14:paraId="76086492">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运维工作组要求在业主单位指定的办公地点驻场办公，并签订保密协议，工作时间与建设（使用或管理）单位同步，在用户指定时间内（含节假日）进行值班，特殊情况需经建设（使用或管理）单位协商后调整值班时间；从服务期第二年起除正常工作时段外24小时电话值班。驻场人员必须遵守建设（使用或管理）单位的规章制度及安全保密等各项规定。</w:t>
            </w:r>
          </w:p>
          <w:p w14:paraId="0F8852E7">
            <w:pPr>
              <w:pStyle w:val="126"/>
              <w:widowControl/>
              <w:suppressLineNumbers/>
              <w:suppressAutoHyphens/>
              <w:spacing w:line="400" w:lineRule="exact"/>
              <w:ind w:firstLine="422"/>
              <w:contextualSpacing/>
              <w:rPr>
                <w:rFonts w:cs="宋体"/>
                <w:b/>
                <w:color w:val="auto"/>
                <w:kern w:val="0"/>
                <w:sz w:val="21"/>
                <w:szCs w:val="21"/>
                <w:highlight w:val="none"/>
              </w:rPr>
            </w:pPr>
            <w:r>
              <w:rPr>
                <w:rFonts w:hint="eastAsia" w:cs="宋体"/>
                <w:b/>
                <w:color w:val="auto"/>
                <w:kern w:val="0"/>
                <w:sz w:val="21"/>
                <w:szCs w:val="21"/>
                <w:highlight w:val="none"/>
              </w:rPr>
              <w:t>（三）运行管理</w:t>
            </w:r>
          </w:p>
          <w:p w14:paraId="7091D9DE">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运行管理工作遵循日常预防维护为主、应急故障处理为辅的管理原则，运维工作组须开展日常监测和定期巡检工作，对设备、网络、系统等进行实时监视、控制和调度，确保故障“第一时间发现、第一时间处理，第一时间上报”。各参与建设和运维的相关方要建立相应的运维管理方案。</w:t>
            </w:r>
          </w:p>
          <w:p w14:paraId="5D4313BF">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运维工作组负责对各业务系统运行维护范围内的应用运行状态、核心业务流程、应用服务器、数据库等状态进行每日巡检</w:t>
            </w:r>
          </w:p>
          <w:p w14:paraId="331F2CCA">
            <w:pPr>
              <w:pStyle w:val="126"/>
              <w:widowControl/>
              <w:suppressLineNumbers/>
              <w:suppressAutoHyphens/>
              <w:spacing w:line="400" w:lineRule="exact"/>
              <w:ind w:firstLine="422"/>
              <w:contextualSpacing/>
              <w:rPr>
                <w:rFonts w:cs="宋体"/>
                <w:color w:val="auto"/>
                <w:kern w:val="0"/>
                <w:sz w:val="21"/>
                <w:szCs w:val="21"/>
                <w:highlight w:val="none"/>
              </w:rPr>
            </w:pPr>
            <w:r>
              <w:rPr>
                <w:rFonts w:cs="宋体"/>
                <w:b/>
                <w:color w:val="auto"/>
                <w:kern w:val="0"/>
                <w:sz w:val="21"/>
                <w:szCs w:val="21"/>
                <w:highlight w:val="none"/>
              </w:rPr>
              <w:t>1</w:t>
            </w:r>
            <w:r>
              <w:rPr>
                <w:rFonts w:hint="eastAsia" w:cs="宋体"/>
                <w:b/>
                <w:color w:val="auto"/>
                <w:kern w:val="0"/>
                <w:sz w:val="21"/>
                <w:szCs w:val="21"/>
                <w:highlight w:val="none"/>
              </w:rPr>
              <w:t>、巡检时间及频率：</w:t>
            </w:r>
            <w:r>
              <w:rPr>
                <w:rFonts w:hint="eastAsia" w:cs="宋体"/>
                <w:color w:val="auto"/>
                <w:kern w:val="0"/>
                <w:sz w:val="21"/>
                <w:szCs w:val="21"/>
                <w:highlight w:val="none"/>
              </w:rPr>
              <w:t>每天按照用户要求时间节点，至少组织2次的本项目建设系统巡检工作。</w:t>
            </w:r>
          </w:p>
          <w:p w14:paraId="285F8411">
            <w:pPr>
              <w:pStyle w:val="126"/>
              <w:widowControl/>
              <w:suppressLineNumbers/>
              <w:suppressAutoHyphens/>
              <w:spacing w:line="400" w:lineRule="exact"/>
              <w:ind w:firstLine="422"/>
              <w:contextualSpacing/>
              <w:rPr>
                <w:rFonts w:cs="宋体"/>
                <w:color w:val="auto"/>
                <w:kern w:val="0"/>
                <w:sz w:val="21"/>
                <w:szCs w:val="21"/>
                <w:highlight w:val="none"/>
              </w:rPr>
            </w:pPr>
            <w:r>
              <w:rPr>
                <w:rFonts w:cs="宋体"/>
                <w:b/>
                <w:color w:val="auto"/>
                <w:kern w:val="0"/>
                <w:sz w:val="21"/>
                <w:szCs w:val="21"/>
                <w:highlight w:val="none"/>
              </w:rPr>
              <w:t>2</w:t>
            </w:r>
            <w:r>
              <w:rPr>
                <w:rFonts w:hint="eastAsia" w:cs="宋体"/>
                <w:b/>
                <w:color w:val="auto"/>
                <w:kern w:val="0"/>
                <w:sz w:val="21"/>
                <w:szCs w:val="21"/>
                <w:highlight w:val="none"/>
              </w:rPr>
              <w:t>、巡检内容：</w:t>
            </w:r>
            <w:r>
              <w:rPr>
                <w:rFonts w:hint="eastAsia" w:cs="宋体"/>
                <w:color w:val="auto"/>
                <w:kern w:val="0"/>
                <w:sz w:val="21"/>
                <w:szCs w:val="21"/>
                <w:highlight w:val="none"/>
              </w:rPr>
              <w:t>由各业务系统运维经理负责梳理系统巡检内容指标，包括但不限于：检查各系统功能是否能够正常登录、核心业务场景是否正常使用，以及应用运行状态、接口调用成功率、服务器CPU、内存、文件存储等指标检测，并针对日常保障出现的问题不断完善检查项。</w:t>
            </w:r>
          </w:p>
          <w:p w14:paraId="2FB7A8DA">
            <w:pPr>
              <w:pStyle w:val="126"/>
              <w:widowControl/>
              <w:suppressLineNumbers/>
              <w:suppressAutoHyphens/>
              <w:spacing w:line="400" w:lineRule="exact"/>
              <w:ind w:firstLine="422"/>
              <w:contextualSpacing/>
              <w:rPr>
                <w:rFonts w:cs="宋体"/>
                <w:color w:val="auto"/>
                <w:kern w:val="0"/>
                <w:sz w:val="21"/>
                <w:szCs w:val="21"/>
                <w:highlight w:val="none"/>
              </w:rPr>
            </w:pPr>
            <w:r>
              <w:rPr>
                <w:rFonts w:cs="宋体"/>
                <w:b/>
                <w:color w:val="auto"/>
                <w:kern w:val="0"/>
                <w:sz w:val="21"/>
                <w:szCs w:val="21"/>
                <w:highlight w:val="none"/>
              </w:rPr>
              <w:t>3</w:t>
            </w:r>
            <w:r>
              <w:rPr>
                <w:rFonts w:hint="eastAsia" w:cs="宋体"/>
                <w:b/>
                <w:color w:val="auto"/>
                <w:kern w:val="0"/>
                <w:sz w:val="21"/>
                <w:szCs w:val="21"/>
                <w:highlight w:val="none"/>
              </w:rPr>
              <w:t>、巡检汇报：</w:t>
            </w:r>
            <w:r>
              <w:rPr>
                <w:rFonts w:hint="eastAsia" w:cs="宋体"/>
                <w:color w:val="auto"/>
                <w:kern w:val="0"/>
                <w:sz w:val="21"/>
                <w:szCs w:val="21"/>
                <w:highlight w:val="none"/>
              </w:rPr>
              <w:t>巡检结束后各业务系统运维经理按模板输出巡检报告，巡检报告要有截图及巡检结果说明。</w:t>
            </w:r>
          </w:p>
          <w:p w14:paraId="71A3DE33">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不断优化应用系统流程，增强应用系统和基础软硬件的安全稳定性。</w:t>
            </w:r>
          </w:p>
          <w:p w14:paraId="5A0CE645">
            <w:pPr>
              <w:pStyle w:val="126"/>
              <w:widowControl/>
              <w:suppressLineNumbers/>
              <w:suppressAutoHyphens/>
              <w:spacing w:line="400" w:lineRule="exact"/>
              <w:ind w:firstLine="422"/>
              <w:contextualSpacing/>
              <w:rPr>
                <w:rFonts w:cs="宋体"/>
                <w:b/>
                <w:color w:val="auto"/>
                <w:kern w:val="0"/>
                <w:sz w:val="21"/>
                <w:szCs w:val="21"/>
                <w:highlight w:val="none"/>
              </w:rPr>
            </w:pPr>
            <w:r>
              <w:rPr>
                <w:rFonts w:hint="eastAsia" w:cs="宋体"/>
                <w:b/>
                <w:color w:val="auto"/>
                <w:kern w:val="0"/>
                <w:sz w:val="21"/>
                <w:szCs w:val="21"/>
                <w:highlight w:val="none"/>
              </w:rPr>
              <w:t>（四）运维服务技术要求</w:t>
            </w:r>
          </w:p>
          <w:p w14:paraId="6ADF5044">
            <w:pPr>
              <w:pStyle w:val="126"/>
              <w:widowControl/>
              <w:suppressLineNumbers/>
              <w:suppressAutoHyphens/>
              <w:spacing w:line="400" w:lineRule="exact"/>
              <w:ind w:firstLine="422"/>
              <w:contextualSpacing/>
              <w:rPr>
                <w:rFonts w:cs="宋体"/>
                <w:b/>
                <w:color w:val="auto"/>
                <w:kern w:val="0"/>
                <w:sz w:val="21"/>
                <w:szCs w:val="21"/>
                <w:highlight w:val="none"/>
              </w:rPr>
            </w:pPr>
            <w:r>
              <w:rPr>
                <w:rFonts w:cs="宋体"/>
                <w:b/>
                <w:color w:val="auto"/>
                <w:kern w:val="0"/>
                <w:sz w:val="21"/>
                <w:szCs w:val="21"/>
                <w:highlight w:val="none"/>
              </w:rPr>
              <w:t>1</w:t>
            </w:r>
            <w:r>
              <w:rPr>
                <w:rFonts w:hint="eastAsia" w:cs="宋体"/>
                <w:b/>
                <w:color w:val="auto"/>
                <w:kern w:val="0"/>
                <w:sz w:val="21"/>
                <w:szCs w:val="21"/>
                <w:highlight w:val="none"/>
              </w:rPr>
              <w:t>、概述</w:t>
            </w:r>
          </w:p>
          <w:p w14:paraId="2BF6EBF4">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运维工作遵循日常预防维护为主、应急故障处理为辅的管理原则，运维工作组须开展日常监测和定期巡检工作，对设备、网络、系统等进行实时监视、控制和调度，确保故障“第一时间发现、第一时间处理，第一时间上报”。</w:t>
            </w:r>
          </w:p>
          <w:p w14:paraId="083BF36D">
            <w:pPr>
              <w:pStyle w:val="126"/>
              <w:widowControl/>
              <w:suppressLineNumbers/>
              <w:suppressAutoHyphens/>
              <w:spacing w:line="400" w:lineRule="exact"/>
              <w:ind w:firstLine="422"/>
              <w:contextualSpacing/>
              <w:rPr>
                <w:rFonts w:cs="宋体"/>
                <w:b/>
                <w:color w:val="auto"/>
                <w:kern w:val="0"/>
                <w:sz w:val="21"/>
                <w:szCs w:val="21"/>
                <w:highlight w:val="none"/>
              </w:rPr>
            </w:pPr>
            <w:r>
              <w:rPr>
                <w:rFonts w:cs="宋体"/>
                <w:b/>
                <w:color w:val="auto"/>
                <w:kern w:val="0"/>
                <w:sz w:val="21"/>
                <w:szCs w:val="21"/>
                <w:highlight w:val="none"/>
              </w:rPr>
              <w:t>2</w:t>
            </w:r>
            <w:r>
              <w:rPr>
                <w:rFonts w:hint="eastAsia" w:cs="宋体"/>
                <w:b/>
                <w:color w:val="auto"/>
                <w:kern w:val="0"/>
                <w:sz w:val="21"/>
                <w:szCs w:val="21"/>
                <w:highlight w:val="none"/>
              </w:rPr>
              <w:t>、定期巡检</w:t>
            </w:r>
          </w:p>
          <w:p w14:paraId="40EE86EA">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运维工作组负责对各业务系统运行维护范围内的应用运行状态、核心业务流程、应用服务器、数据库等状态进行每日巡检。</w:t>
            </w:r>
          </w:p>
          <w:p w14:paraId="681136E8">
            <w:pPr>
              <w:pStyle w:val="126"/>
              <w:widowControl/>
              <w:suppressLineNumbers/>
              <w:suppressAutoHyphens/>
              <w:spacing w:line="400" w:lineRule="exact"/>
              <w:ind w:firstLine="422"/>
              <w:contextualSpacing/>
              <w:rPr>
                <w:rFonts w:cs="宋体"/>
                <w:color w:val="auto"/>
                <w:kern w:val="0"/>
                <w:sz w:val="21"/>
                <w:szCs w:val="21"/>
                <w:highlight w:val="none"/>
              </w:rPr>
            </w:pPr>
            <w:r>
              <w:rPr>
                <w:rFonts w:hint="eastAsia" w:cs="宋体"/>
                <w:b/>
                <w:color w:val="auto"/>
                <w:kern w:val="0"/>
                <w:sz w:val="21"/>
                <w:szCs w:val="21"/>
                <w:highlight w:val="none"/>
              </w:rPr>
              <w:t>（1）巡检时间及频率：</w:t>
            </w:r>
            <w:r>
              <w:rPr>
                <w:rFonts w:hint="eastAsia" w:cs="宋体"/>
                <w:color w:val="auto"/>
                <w:kern w:val="0"/>
                <w:sz w:val="21"/>
                <w:szCs w:val="21"/>
                <w:highlight w:val="none"/>
              </w:rPr>
              <w:t>每天按照用户要求时间节点，至少组织2次的本项目建设系统巡检工作。</w:t>
            </w:r>
          </w:p>
          <w:p w14:paraId="65CFFEF2">
            <w:pPr>
              <w:pStyle w:val="126"/>
              <w:widowControl/>
              <w:suppressLineNumbers/>
              <w:suppressAutoHyphens/>
              <w:spacing w:line="400" w:lineRule="exact"/>
              <w:ind w:firstLine="422"/>
              <w:contextualSpacing/>
              <w:rPr>
                <w:rFonts w:cs="宋体"/>
                <w:color w:val="auto"/>
                <w:kern w:val="0"/>
                <w:sz w:val="21"/>
                <w:szCs w:val="21"/>
                <w:highlight w:val="none"/>
              </w:rPr>
            </w:pPr>
            <w:r>
              <w:rPr>
                <w:rFonts w:hint="eastAsia" w:cs="宋体"/>
                <w:b/>
                <w:color w:val="auto"/>
                <w:kern w:val="0"/>
                <w:sz w:val="21"/>
                <w:szCs w:val="21"/>
                <w:highlight w:val="none"/>
              </w:rPr>
              <w:t>（2）巡检内容：</w:t>
            </w:r>
            <w:r>
              <w:rPr>
                <w:rFonts w:hint="eastAsia" w:cs="宋体"/>
                <w:color w:val="auto"/>
                <w:kern w:val="0"/>
                <w:sz w:val="21"/>
                <w:szCs w:val="21"/>
                <w:highlight w:val="none"/>
              </w:rPr>
              <w:t>由各业务系统运维经理负责梳理系统巡检内容指标，包括但不限于：检查各系统功能是否能够正常登录、核心业务场景是否正常使用，以及应用运行状态、接口调用成功率、服务器CPU、内存、文件存储等指标检测，并针对日常保障出现的问题不断完善检查项。</w:t>
            </w:r>
          </w:p>
          <w:p w14:paraId="24B87552">
            <w:pPr>
              <w:pStyle w:val="126"/>
              <w:widowControl/>
              <w:suppressLineNumbers/>
              <w:suppressAutoHyphens/>
              <w:spacing w:line="400" w:lineRule="exact"/>
              <w:ind w:firstLine="422"/>
              <w:contextualSpacing/>
              <w:rPr>
                <w:rFonts w:cs="宋体"/>
                <w:color w:val="auto"/>
                <w:kern w:val="0"/>
                <w:sz w:val="21"/>
                <w:szCs w:val="21"/>
                <w:highlight w:val="none"/>
              </w:rPr>
            </w:pPr>
            <w:r>
              <w:rPr>
                <w:rFonts w:hint="eastAsia" w:cs="宋体"/>
                <w:b/>
                <w:color w:val="auto"/>
                <w:kern w:val="0"/>
                <w:sz w:val="21"/>
                <w:szCs w:val="21"/>
                <w:highlight w:val="none"/>
              </w:rPr>
              <w:t>（3）巡检汇报：</w:t>
            </w:r>
            <w:r>
              <w:rPr>
                <w:rFonts w:hint="eastAsia" w:cs="宋体"/>
                <w:color w:val="auto"/>
                <w:kern w:val="0"/>
                <w:sz w:val="21"/>
                <w:szCs w:val="21"/>
                <w:highlight w:val="none"/>
              </w:rPr>
              <w:t>巡检结束后各业务系统运维经理按模板输出巡检报告，巡检报告要有截图及巡检结果说明，并向业主进行汇报。</w:t>
            </w:r>
          </w:p>
          <w:p w14:paraId="038CFADF">
            <w:pPr>
              <w:pStyle w:val="126"/>
              <w:widowControl/>
              <w:suppressLineNumbers/>
              <w:suppressAutoHyphens/>
              <w:spacing w:line="400" w:lineRule="exact"/>
              <w:ind w:firstLine="422"/>
              <w:contextualSpacing/>
              <w:rPr>
                <w:rFonts w:cs="宋体"/>
                <w:b/>
                <w:color w:val="auto"/>
                <w:kern w:val="0"/>
                <w:sz w:val="21"/>
                <w:szCs w:val="21"/>
                <w:highlight w:val="none"/>
              </w:rPr>
            </w:pPr>
            <w:r>
              <w:rPr>
                <w:rFonts w:cs="宋体"/>
                <w:b/>
                <w:color w:val="auto"/>
                <w:kern w:val="0"/>
                <w:sz w:val="21"/>
                <w:szCs w:val="21"/>
                <w:highlight w:val="none"/>
              </w:rPr>
              <w:t>3</w:t>
            </w:r>
            <w:r>
              <w:rPr>
                <w:rFonts w:hint="eastAsia" w:cs="宋体"/>
                <w:b/>
                <w:color w:val="auto"/>
                <w:kern w:val="0"/>
                <w:sz w:val="21"/>
                <w:szCs w:val="21"/>
                <w:highlight w:val="none"/>
              </w:rPr>
              <w:t>、软件升级</w:t>
            </w:r>
          </w:p>
          <w:p w14:paraId="00C51530">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按照使用单位提出需求，不断优化各应用系统及中台系统的功能与流程，增强软件系统适用性与稳定性。</w:t>
            </w:r>
          </w:p>
          <w:p w14:paraId="10607805">
            <w:pPr>
              <w:pStyle w:val="126"/>
              <w:widowControl/>
              <w:suppressLineNumbers/>
              <w:suppressAutoHyphens/>
              <w:spacing w:line="400" w:lineRule="exact"/>
              <w:ind w:firstLine="422"/>
              <w:contextualSpacing/>
              <w:rPr>
                <w:rFonts w:cs="宋体"/>
                <w:b/>
                <w:color w:val="auto"/>
                <w:kern w:val="0"/>
                <w:sz w:val="21"/>
                <w:szCs w:val="21"/>
                <w:highlight w:val="none"/>
              </w:rPr>
            </w:pPr>
            <w:r>
              <w:rPr>
                <w:rFonts w:cs="宋体"/>
                <w:b/>
                <w:color w:val="auto"/>
                <w:kern w:val="0"/>
                <w:sz w:val="21"/>
                <w:szCs w:val="21"/>
                <w:highlight w:val="none"/>
              </w:rPr>
              <w:t>4</w:t>
            </w:r>
            <w:r>
              <w:rPr>
                <w:rFonts w:hint="eastAsia" w:cs="宋体"/>
                <w:b/>
                <w:color w:val="auto"/>
                <w:kern w:val="0"/>
                <w:sz w:val="21"/>
                <w:szCs w:val="21"/>
                <w:highlight w:val="none"/>
              </w:rPr>
              <w:t>、数据备份</w:t>
            </w:r>
          </w:p>
          <w:p w14:paraId="05CFE668">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为防止应用系统发生严重故障或者瘫痪，造成数据资源丢失，运维工作组须制定数据备份策略和应急预案，明确数据备份的范围、时间间隔、技术及介质和通信要求等，定期检查备份的完成情况，确保系统故障或者瘫痪状态可恢复到可运行状态。</w:t>
            </w:r>
          </w:p>
          <w:p w14:paraId="002F052F">
            <w:pPr>
              <w:pStyle w:val="126"/>
              <w:widowControl/>
              <w:suppressLineNumbers/>
              <w:suppressAutoHyphens/>
              <w:spacing w:line="400" w:lineRule="exact"/>
              <w:ind w:firstLine="422"/>
              <w:contextualSpacing/>
              <w:rPr>
                <w:rFonts w:cs="宋体"/>
                <w:b/>
                <w:color w:val="auto"/>
                <w:kern w:val="0"/>
                <w:sz w:val="21"/>
                <w:szCs w:val="21"/>
                <w:highlight w:val="none"/>
              </w:rPr>
            </w:pPr>
            <w:r>
              <w:rPr>
                <w:rFonts w:cs="宋体"/>
                <w:b/>
                <w:color w:val="auto"/>
                <w:kern w:val="0"/>
                <w:sz w:val="21"/>
                <w:szCs w:val="21"/>
                <w:highlight w:val="none"/>
              </w:rPr>
              <w:t>5</w:t>
            </w:r>
            <w:r>
              <w:rPr>
                <w:rFonts w:hint="eastAsia" w:cs="宋体"/>
                <w:b/>
                <w:color w:val="auto"/>
                <w:kern w:val="0"/>
                <w:sz w:val="21"/>
                <w:szCs w:val="21"/>
                <w:highlight w:val="none"/>
              </w:rPr>
              <w:t>、业务容灾管理</w:t>
            </w:r>
          </w:p>
          <w:p w14:paraId="79204E9E">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为防止应用系统在发生严重故障或者瘫痪后，造成应用的长时间不可用，运维工作组须结合检务综合平台灾备中心的建设内容制定灾备系统的切换策略和切换预案，在确保系统数据完整性、可用性的同时保障业务连续性。</w:t>
            </w:r>
          </w:p>
          <w:p w14:paraId="4055939E">
            <w:pPr>
              <w:pStyle w:val="126"/>
              <w:widowControl/>
              <w:suppressLineNumbers/>
              <w:suppressAutoHyphens/>
              <w:spacing w:line="400" w:lineRule="exact"/>
              <w:ind w:firstLine="422"/>
              <w:contextualSpacing/>
              <w:rPr>
                <w:rFonts w:cs="宋体"/>
                <w:b/>
                <w:color w:val="auto"/>
                <w:kern w:val="0"/>
                <w:sz w:val="21"/>
                <w:szCs w:val="21"/>
                <w:highlight w:val="none"/>
              </w:rPr>
            </w:pPr>
            <w:r>
              <w:rPr>
                <w:rFonts w:cs="宋体"/>
                <w:b/>
                <w:color w:val="auto"/>
                <w:kern w:val="0"/>
                <w:sz w:val="21"/>
                <w:szCs w:val="21"/>
                <w:highlight w:val="none"/>
              </w:rPr>
              <w:t>6</w:t>
            </w:r>
            <w:r>
              <w:rPr>
                <w:rFonts w:hint="eastAsia" w:cs="宋体"/>
                <w:b/>
                <w:color w:val="auto"/>
                <w:kern w:val="0"/>
                <w:sz w:val="21"/>
                <w:szCs w:val="21"/>
                <w:highlight w:val="none"/>
              </w:rPr>
              <w:t>、后台业务操作</w:t>
            </w:r>
          </w:p>
          <w:p w14:paraId="7253E467">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对应用系统使用人员无法在界面处理的业务操作，可提交应用系统维护人员在后台处理，后台数据处理人员与数据库管理员、应用系统管理员不能为同一人。</w:t>
            </w:r>
          </w:p>
          <w:p w14:paraId="527F113F">
            <w:pPr>
              <w:pStyle w:val="126"/>
              <w:widowControl/>
              <w:suppressLineNumbers/>
              <w:suppressAutoHyphens/>
              <w:spacing w:line="400" w:lineRule="exact"/>
              <w:ind w:firstLine="422"/>
              <w:contextualSpacing/>
              <w:rPr>
                <w:rFonts w:cs="宋体"/>
                <w:color w:val="auto"/>
                <w:kern w:val="0"/>
                <w:sz w:val="21"/>
                <w:szCs w:val="21"/>
                <w:highlight w:val="none"/>
              </w:rPr>
            </w:pPr>
            <w:r>
              <w:rPr>
                <w:rFonts w:hint="eastAsia" w:cs="宋体"/>
                <w:b/>
                <w:color w:val="auto"/>
                <w:kern w:val="0"/>
                <w:sz w:val="21"/>
                <w:szCs w:val="21"/>
                <w:highlight w:val="none"/>
              </w:rPr>
              <w:t>（1</w:t>
            </w:r>
            <w:r>
              <w:rPr>
                <w:rFonts w:cs="宋体"/>
                <w:b/>
                <w:color w:val="auto"/>
                <w:kern w:val="0"/>
                <w:sz w:val="21"/>
                <w:szCs w:val="21"/>
                <w:highlight w:val="none"/>
              </w:rPr>
              <w:t>）</w:t>
            </w:r>
            <w:r>
              <w:rPr>
                <w:rFonts w:hint="eastAsia" w:cs="宋体"/>
                <w:b/>
                <w:color w:val="auto"/>
                <w:kern w:val="0"/>
                <w:sz w:val="21"/>
                <w:szCs w:val="21"/>
                <w:highlight w:val="none"/>
              </w:rPr>
              <w:t>对业务数据的后台手工操作：</w:t>
            </w:r>
            <w:r>
              <w:rPr>
                <w:rFonts w:hint="eastAsia" w:cs="宋体"/>
                <w:color w:val="auto"/>
                <w:kern w:val="0"/>
                <w:sz w:val="21"/>
                <w:szCs w:val="21"/>
                <w:highlight w:val="none"/>
              </w:rPr>
              <w:t>对必须通过后台手工修改的数据操作，可由应用系统管理员和数据库管理员共同编制数据修改方案，方可进行后台手工修改。手工修改由应用系统维护人员操作，必须由数据库管理员授予临时账号和相应权限。在操作过程中，操作人员必须按照数据修改方案进行操作，并采取备份、修改结果检查等措施保证修改的正确性，同时有操作日志留存。数据库管理员应随工操作，并对操作步骤和内容予以监督和确认，操作完毕后要立即收回相应账号。</w:t>
            </w:r>
          </w:p>
          <w:p w14:paraId="10BDE02C">
            <w:pPr>
              <w:pStyle w:val="126"/>
              <w:widowControl/>
              <w:suppressLineNumbers/>
              <w:suppressAutoHyphens/>
              <w:spacing w:line="400" w:lineRule="exact"/>
              <w:ind w:firstLine="422"/>
              <w:contextualSpacing/>
              <w:rPr>
                <w:rFonts w:cs="宋体"/>
                <w:color w:val="auto"/>
                <w:kern w:val="0"/>
                <w:sz w:val="21"/>
                <w:szCs w:val="21"/>
                <w:highlight w:val="none"/>
              </w:rPr>
            </w:pPr>
            <w:r>
              <w:rPr>
                <w:rFonts w:hint="eastAsia" w:cs="宋体"/>
                <w:b/>
                <w:color w:val="auto"/>
                <w:kern w:val="0"/>
                <w:sz w:val="21"/>
                <w:szCs w:val="21"/>
                <w:highlight w:val="none"/>
              </w:rPr>
              <w:t>（2</w:t>
            </w:r>
            <w:r>
              <w:rPr>
                <w:rFonts w:cs="宋体"/>
                <w:b/>
                <w:color w:val="auto"/>
                <w:kern w:val="0"/>
                <w:sz w:val="21"/>
                <w:szCs w:val="21"/>
                <w:highlight w:val="none"/>
              </w:rPr>
              <w:t>）</w:t>
            </w:r>
            <w:r>
              <w:rPr>
                <w:rFonts w:hint="eastAsia" w:cs="宋体"/>
                <w:b/>
                <w:color w:val="auto"/>
                <w:kern w:val="0"/>
                <w:sz w:val="21"/>
                <w:szCs w:val="21"/>
                <w:highlight w:val="none"/>
              </w:rPr>
              <w:t>后台脚本处理：</w:t>
            </w:r>
            <w:r>
              <w:rPr>
                <w:rFonts w:hint="eastAsia" w:cs="宋体"/>
                <w:color w:val="auto"/>
                <w:kern w:val="0"/>
                <w:sz w:val="21"/>
                <w:szCs w:val="21"/>
                <w:highlight w:val="none"/>
              </w:rPr>
              <w:t>对必须在后台用脚本进行处理的业务操作，须由应用系统维护人员和数据库管理员测试，并经过运维部门领导审批后方可操作。操作人员必须由数据库管理员授予账号和相应权限。在操作过程中，操作人员必须按照经过审批和测试的脚本进行操作，并有日志留存。操作完毕后数据库管理员要立即收回相应账号。</w:t>
            </w:r>
          </w:p>
          <w:p w14:paraId="37B21A98">
            <w:pPr>
              <w:pStyle w:val="126"/>
              <w:widowControl/>
              <w:suppressLineNumbers/>
              <w:suppressAutoHyphens/>
              <w:spacing w:line="400" w:lineRule="exact"/>
              <w:ind w:firstLine="422"/>
              <w:contextualSpacing/>
              <w:rPr>
                <w:rFonts w:cs="宋体"/>
                <w:b/>
                <w:color w:val="auto"/>
                <w:kern w:val="0"/>
                <w:sz w:val="21"/>
                <w:szCs w:val="21"/>
                <w:highlight w:val="none"/>
              </w:rPr>
            </w:pPr>
            <w:r>
              <w:rPr>
                <w:rFonts w:cs="宋体"/>
                <w:b/>
                <w:color w:val="auto"/>
                <w:kern w:val="0"/>
                <w:sz w:val="21"/>
                <w:szCs w:val="21"/>
                <w:highlight w:val="none"/>
              </w:rPr>
              <w:t>7</w:t>
            </w:r>
            <w:r>
              <w:rPr>
                <w:rFonts w:hint="eastAsia" w:cs="宋体"/>
                <w:b/>
                <w:color w:val="auto"/>
                <w:kern w:val="0"/>
                <w:sz w:val="21"/>
                <w:szCs w:val="21"/>
                <w:highlight w:val="none"/>
              </w:rPr>
              <w:t>、配置及变更管理</w:t>
            </w:r>
          </w:p>
          <w:p w14:paraId="0A4B6E44">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配置及变更管理是指设备、资源、配置的变更管理工作以及业务的割接管理工作，包括制定变更管理办法、提出变更申请、变更的审核与实施，以及变更的响应等，生产环境的变更操作应由各开发公司提交更新文档，经业主审批通过后，方可在生产环境执行，配置变更之前必须对原有配置进行备份。</w:t>
            </w:r>
          </w:p>
          <w:p w14:paraId="7D414158">
            <w:pPr>
              <w:pStyle w:val="126"/>
              <w:widowControl/>
              <w:suppressLineNumbers/>
              <w:suppressAutoHyphens/>
              <w:spacing w:line="400" w:lineRule="exact"/>
              <w:ind w:firstLine="422"/>
              <w:contextualSpacing/>
              <w:rPr>
                <w:rFonts w:cs="宋体"/>
                <w:b/>
                <w:color w:val="auto"/>
                <w:kern w:val="0"/>
                <w:sz w:val="21"/>
                <w:szCs w:val="21"/>
                <w:highlight w:val="none"/>
              </w:rPr>
            </w:pPr>
            <w:r>
              <w:rPr>
                <w:rFonts w:cs="宋体"/>
                <w:b/>
                <w:color w:val="auto"/>
                <w:kern w:val="0"/>
                <w:sz w:val="21"/>
                <w:szCs w:val="21"/>
                <w:highlight w:val="none"/>
              </w:rPr>
              <w:t>8</w:t>
            </w:r>
            <w:r>
              <w:rPr>
                <w:rFonts w:hint="eastAsia" w:cs="宋体"/>
                <w:b/>
                <w:color w:val="auto"/>
                <w:kern w:val="0"/>
                <w:sz w:val="21"/>
                <w:szCs w:val="21"/>
                <w:highlight w:val="none"/>
              </w:rPr>
              <w:t>、记录报告</w:t>
            </w:r>
          </w:p>
          <w:p w14:paraId="37C1100A">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对重点事件进行记录，全面把控平台的运行状况，定期应对故障情况进行分析、统计和汇总，每月第一周输出上一个月检务综合平台运行月报，并上报至项目管理组。</w:t>
            </w:r>
          </w:p>
          <w:p w14:paraId="2DBCC185">
            <w:pPr>
              <w:pStyle w:val="126"/>
              <w:widowControl/>
              <w:suppressLineNumbers/>
              <w:suppressAutoHyphens/>
              <w:spacing w:line="400" w:lineRule="exact"/>
              <w:ind w:firstLine="422"/>
              <w:contextualSpacing/>
              <w:rPr>
                <w:rFonts w:cs="宋体"/>
                <w:b/>
                <w:color w:val="auto"/>
                <w:kern w:val="0"/>
                <w:sz w:val="21"/>
                <w:szCs w:val="21"/>
                <w:highlight w:val="none"/>
              </w:rPr>
            </w:pPr>
            <w:r>
              <w:rPr>
                <w:rFonts w:cs="宋体"/>
                <w:b/>
                <w:color w:val="auto"/>
                <w:kern w:val="0"/>
                <w:sz w:val="21"/>
                <w:szCs w:val="21"/>
                <w:highlight w:val="none"/>
              </w:rPr>
              <w:t>9</w:t>
            </w:r>
            <w:r>
              <w:rPr>
                <w:rFonts w:hint="eastAsia" w:cs="宋体"/>
                <w:b/>
                <w:color w:val="auto"/>
                <w:kern w:val="0"/>
                <w:sz w:val="21"/>
                <w:szCs w:val="21"/>
                <w:highlight w:val="none"/>
              </w:rPr>
              <w:t>、性能分析</w:t>
            </w:r>
          </w:p>
          <w:p w14:paraId="5D839BE0">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为保障检务综合平台能满足业务增长的需要，应定期对应用系统进行优化。</w:t>
            </w:r>
          </w:p>
          <w:p w14:paraId="19DE3D66">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对应用系统的性能定期进行分析：定期采集应用系统的性能指标，并进行分析，对超出正常阀值的异常情况进行分析，形成分析报告，并提交系统开发人员进行程序优化。</w:t>
            </w:r>
          </w:p>
          <w:p w14:paraId="62C1B784">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研究并提出方便系统维护，提高维护效率的维护工具或监控工具要求。</w:t>
            </w:r>
          </w:p>
          <w:p w14:paraId="1B24AD75">
            <w:pPr>
              <w:pStyle w:val="126"/>
              <w:widowControl/>
              <w:suppressLineNumbers/>
              <w:suppressAutoHyphens/>
              <w:spacing w:line="400" w:lineRule="exact"/>
              <w:ind w:firstLine="422"/>
              <w:contextualSpacing/>
              <w:rPr>
                <w:rFonts w:cs="宋体"/>
                <w:b/>
                <w:color w:val="auto"/>
                <w:kern w:val="0"/>
                <w:sz w:val="21"/>
                <w:szCs w:val="21"/>
                <w:highlight w:val="none"/>
              </w:rPr>
            </w:pPr>
            <w:r>
              <w:rPr>
                <w:rFonts w:cs="宋体"/>
                <w:b/>
                <w:color w:val="auto"/>
                <w:kern w:val="0"/>
                <w:sz w:val="21"/>
                <w:szCs w:val="21"/>
                <w:highlight w:val="none"/>
              </w:rPr>
              <w:t>10</w:t>
            </w:r>
            <w:r>
              <w:rPr>
                <w:rFonts w:hint="eastAsia" w:cs="宋体"/>
                <w:b/>
                <w:color w:val="auto"/>
                <w:kern w:val="0"/>
                <w:sz w:val="21"/>
                <w:szCs w:val="21"/>
                <w:highlight w:val="none"/>
              </w:rPr>
              <w:t>、数据维护管理</w:t>
            </w:r>
          </w:p>
          <w:p w14:paraId="5499AD4B">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（1</w:t>
            </w:r>
            <w:r>
              <w:rPr>
                <w:rFonts w:cs="宋体"/>
                <w:color w:val="auto"/>
                <w:kern w:val="0"/>
                <w:sz w:val="21"/>
                <w:szCs w:val="21"/>
                <w:highlight w:val="none"/>
              </w:rPr>
              <w:t>）</w:t>
            </w:r>
            <w:r>
              <w:rPr>
                <w:rFonts w:hint="eastAsia" w:cs="宋体"/>
                <w:color w:val="auto"/>
                <w:kern w:val="0"/>
                <w:sz w:val="21"/>
                <w:szCs w:val="21"/>
                <w:highlight w:val="none"/>
              </w:rPr>
              <w:t>数据分为系统数据、业务数据两类。系统数据是指为系统软件运行而需配置的参数数据，主要包括：应用系统数据、操作系统数据、数据库系统数据、网络管理数据。业务数据是指在系统运行中各项业务产生的真正的数据，客观的记录每项业务的运行情况，主要包括：应用系统业务信息数据，应用系统业务配置数据和其他数据。</w:t>
            </w:r>
          </w:p>
          <w:p w14:paraId="3B2A8DDC">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（2）严格控制业务数据的管理权限，业务数据管理权限要分为查询权限、插入权限、更改权限、删除权限等。对不同人员，可根据不同业务需求授予一个或多个权限。</w:t>
            </w:r>
          </w:p>
          <w:p w14:paraId="3D9FB474">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（3）采取必要的安全措施，保证系统管理数据、鉴别信息和重要业务数据在传输和存储过程中完整和准确性。</w:t>
            </w:r>
          </w:p>
          <w:p w14:paraId="7375DC21">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（4</w:t>
            </w:r>
            <w:r>
              <w:rPr>
                <w:rFonts w:cs="宋体"/>
                <w:color w:val="auto"/>
                <w:kern w:val="0"/>
                <w:sz w:val="21"/>
                <w:szCs w:val="21"/>
                <w:highlight w:val="none"/>
              </w:rPr>
              <w:t>）</w:t>
            </w:r>
            <w:r>
              <w:rPr>
                <w:rFonts w:hint="eastAsia" w:cs="宋体"/>
                <w:color w:val="auto"/>
                <w:kern w:val="0"/>
                <w:sz w:val="21"/>
                <w:szCs w:val="21"/>
                <w:highlight w:val="none"/>
              </w:rPr>
              <w:t>数据的访问范围和权限设置必须由系统管理员集中控制，并可以控制授权范围内的数据流向和行为。</w:t>
            </w:r>
          </w:p>
          <w:p w14:paraId="4F805177">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（5）数据的操作必须经过严格的身份鉴别与权限控制，确保数据访问遵循最小授权原则。关键业务数据和用户账号信息必须实行专人管理。</w:t>
            </w:r>
          </w:p>
          <w:p w14:paraId="16A118D9">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6）数据的更改应严格遵循相关管理办法及操作规范执行，填写业务数据修改记录，包括：修改内容、修改时间、要解决的问题、修改方法等，防止系统数据的非法生成、变更、泄漏、丢失与破坏；数据的更改必须两人负责，一人操作，一人审核，防止使用过程中产生误操作或被非法篡改。</w:t>
            </w:r>
          </w:p>
          <w:p w14:paraId="727B6B0B">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（7）严禁通过系统管理员、数据库管理员账号直接对系统中存储、处理或传输的业务数据信息进行增加、修改、复制和删除等；</w:t>
            </w:r>
          </w:p>
          <w:p w14:paraId="4DC33775">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（8）系统管理员必须定期对系统数据的处理和传输进行详细的安全检查和维护，避免因为系统崩溃和损坏而对系统内的信息造成破坏和损失；</w:t>
            </w:r>
          </w:p>
          <w:p w14:paraId="0F8618BD">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9）系统管理员必须严格执行相关管理规定和职业操守，对所负责系统的数据内容安全进行评测，保护信息的机密性、完整性和可用性，并采取技术措施对所发现的漏洞进行补救，防止窃取、冒充信息等。对于发现的数据安全问题必须立即向主管领导汇报；</w:t>
            </w:r>
          </w:p>
          <w:p w14:paraId="373CFBC9">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10）应用软件对用户涉及关键数据变更的操作均应记入日志，日志中包含该用户的标识信息、操作时间、操作内容等，日志可由具有权限的管理人员随时查询及统计；对外提供系统业务数据的统计必须按照数据提取流程进行审批，并签订保密协议，保障数据信息的使用范围可控制。</w:t>
            </w:r>
          </w:p>
          <w:p w14:paraId="579898B5">
            <w:pPr>
              <w:pStyle w:val="126"/>
              <w:widowControl/>
              <w:suppressLineNumbers/>
              <w:suppressAutoHyphens/>
              <w:spacing w:line="400" w:lineRule="exact"/>
              <w:ind w:firstLine="422"/>
              <w:contextualSpacing/>
              <w:rPr>
                <w:rFonts w:cs="宋体"/>
                <w:b/>
                <w:color w:val="auto"/>
                <w:kern w:val="0"/>
                <w:sz w:val="21"/>
                <w:szCs w:val="21"/>
                <w:highlight w:val="none"/>
              </w:rPr>
            </w:pPr>
            <w:r>
              <w:rPr>
                <w:rFonts w:cs="宋体"/>
                <w:b/>
                <w:color w:val="auto"/>
                <w:kern w:val="0"/>
                <w:sz w:val="21"/>
                <w:szCs w:val="21"/>
                <w:highlight w:val="none"/>
              </w:rPr>
              <w:t>11</w:t>
            </w:r>
            <w:r>
              <w:rPr>
                <w:rFonts w:hint="eastAsia" w:cs="宋体"/>
                <w:b/>
                <w:color w:val="auto"/>
                <w:kern w:val="0"/>
                <w:sz w:val="21"/>
                <w:szCs w:val="21"/>
                <w:highlight w:val="none"/>
              </w:rPr>
              <w:t>、应急演练管理</w:t>
            </w:r>
          </w:p>
          <w:p w14:paraId="72572208">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为确保检务综合平台稳定运行，提高现场服务人员的故障应急响应和处置能力，定期组织故障应急演练。检验应急方案的组织、协调、领导、指挥、处置等环节是否快速、有效。通过演练，进一步明确应急处置工作的职责，对应急方案中存在的问题和不足及时进行补充、完善。</w:t>
            </w:r>
          </w:p>
          <w:p w14:paraId="7CD742A2">
            <w:pPr>
              <w:pStyle w:val="126"/>
              <w:widowControl/>
              <w:suppressLineNumbers/>
              <w:suppressAutoHyphens/>
              <w:spacing w:line="400" w:lineRule="exact"/>
              <w:ind w:firstLine="422"/>
              <w:contextualSpacing/>
              <w:rPr>
                <w:rFonts w:cs="宋体"/>
                <w:b/>
                <w:color w:val="auto"/>
                <w:kern w:val="0"/>
                <w:sz w:val="21"/>
                <w:szCs w:val="21"/>
                <w:highlight w:val="none"/>
              </w:rPr>
            </w:pPr>
            <w:r>
              <w:rPr>
                <w:rFonts w:cs="宋体"/>
                <w:b/>
                <w:color w:val="auto"/>
                <w:kern w:val="0"/>
                <w:sz w:val="21"/>
                <w:szCs w:val="21"/>
                <w:highlight w:val="none"/>
              </w:rPr>
              <w:t>12</w:t>
            </w:r>
            <w:r>
              <w:rPr>
                <w:rFonts w:hint="eastAsia" w:cs="宋体"/>
                <w:b/>
                <w:color w:val="auto"/>
                <w:kern w:val="0"/>
                <w:sz w:val="21"/>
                <w:szCs w:val="21"/>
                <w:highlight w:val="none"/>
              </w:rPr>
              <w:t>、安全保障</w:t>
            </w:r>
          </w:p>
          <w:p w14:paraId="0122B24E">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（1）建立相应的安全管理方案，并按照相应的安全管理方案严格执行。</w:t>
            </w:r>
          </w:p>
          <w:p w14:paraId="2944CD0D">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（2</w:t>
            </w:r>
            <w:r>
              <w:rPr>
                <w:rFonts w:cs="宋体"/>
                <w:color w:val="auto"/>
                <w:kern w:val="0"/>
                <w:sz w:val="21"/>
                <w:szCs w:val="21"/>
                <w:highlight w:val="none"/>
              </w:rPr>
              <w:t>）</w:t>
            </w:r>
            <w:r>
              <w:rPr>
                <w:rFonts w:hint="eastAsia" w:cs="宋体"/>
                <w:color w:val="auto"/>
                <w:kern w:val="0"/>
                <w:sz w:val="21"/>
                <w:szCs w:val="21"/>
                <w:highlight w:val="none"/>
              </w:rPr>
              <w:t>严格制定和落实技术防护策略，提升基础设施安全、网络安全防护、数据安全防护、应用安全技术防护能力。</w:t>
            </w:r>
          </w:p>
          <w:p w14:paraId="66509BBE">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（3）按照网络安全等级保护第三级要求有关规定，要做好应用技术保障。</w:t>
            </w:r>
          </w:p>
          <w:p w14:paraId="202AA754">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（4</w:t>
            </w:r>
            <w:r>
              <w:rPr>
                <w:rFonts w:cs="宋体"/>
                <w:color w:val="auto"/>
                <w:kern w:val="0"/>
                <w:sz w:val="21"/>
                <w:szCs w:val="21"/>
                <w:highlight w:val="none"/>
              </w:rPr>
              <w:t>）</w:t>
            </w:r>
            <w:r>
              <w:rPr>
                <w:rFonts w:hint="eastAsia" w:cs="宋体"/>
                <w:color w:val="auto"/>
                <w:kern w:val="0"/>
                <w:sz w:val="21"/>
                <w:szCs w:val="21"/>
                <w:highlight w:val="none"/>
              </w:rPr>
              <w:t>严格按照国家和自治区相关法律法规，对检务综合平台产生的数据资源进行管理，涉及工作秘密、商业机密、个人隐私等敏感数据的，严格遵守隐私保护和数据脱敏脱密有关规定要求。</w:t>
            </w:r>
          </w:p>
          <w:p w14:paraId="26946246">
            <w:pPr>
              <w:pStyle w:val="126"/>
              <w:widowControl/>
              <w:suppressLineNumbers/>
              <w:suppressAutoHyphens/>
              <w:spacing w:line="400" w:lineRule="exact"/>
              <w:ind w:firstLine="422"/>
              <w:contextualSpacing/>
              <w:rPr>
                <w:rFonts w:cs="宋体"/>
                <w:b/>
                <w:color w:val="auto"/>
                <w:kern w:val="0"/>
                <w:sz w:val="21"/>
                <w:szCs w:val="21"/>
                <w:highlight w:val="none"/>
              </w:rPr>
            </w:pPr>
            <w:r>
              <w:rPr>
                <w:rFonts w:cs="宋体"/>
                <w:b/>
                <w:color w:val="auto"/>
                <w:kern w:val="0"/>
                <w:sz w:val="21"/>
                <w:szCs w:val="21"/>
                <w:highlight w:val="none"/>
              </w:rPr>
              <w:t>13</w:t>
            </w:r>
            <w:r>
              <w:rPr>
                <w:rFonts w:hint="eastAsia" w:cs="宋体"/>
                <w:b/>
                <w:color w:val="auto"/>
                <w:kern w:val="0"/>
                <w:sz w:val="21"/>
                <w:szCs w:val="21"/>
                <w:highlight w:val="none"/>
              </w:rPr>
              <w:t>、故障处理</w:t>
            </w:r>
          </w:p>
          <w:p w14:paraId="2CBEF39D">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及时处理各应用系统及中台系统发生的故障，增强软件系统的运行稳定性。</w:t>
            </w:r>
          </w:p>
          <w:p w14:paraId="259E589A">
            <w:pPr>
              <w:pStyle w:val="126"/>
              <w:widowControl/>
              <w:suppressLineNumbers/>
              <w:suppressAutoHyphens/>
              <w:spacing w:line="400" w:lineRule="exact"/>
              <w:ind w:firstLine="422"/>
              <w:contextualSpacing/>
              <w:rPr>
                <w:rFonts w:cs="宋体"/>
                <w:b/>
                <w:color w:val="auto"/>
                <w:kern w:val="0"/>
                <w:sz w:val="21"/>
                <w:szCs w:val="21"/>
                <w:highlight w:val="none"/>
              </w:rPr>
            </w:pPr>
            <w:r>
              <w:rPr>
                <w:rFonts w:cs="宋体"/>
                <w:b/>
                <w:color w:val="auto"/>
                <w:kern w:val="0"/>
                <w:sz w:val="21"/>
                <w:szCs w:val="21"/>
                <w:highlight w:val="none"/>
              </w:rPr>
              <w:t>14</w:t>
            </w:r>
            <w:r>
              <w:rPr>
                <w:rFonts w:hint="eastAsia" w:cs="宋体"/>
                <w:b/>
                <w:color w:val="auto"/>
                <w:kern w:val="0"/>
                <w:sz w:val="21"/>
                <w:szCs w:val="21"/>
                <w:highlight w:val="none"/>
              </w:rPr>
              <w:t>、应急保障方案</w:t>
            </w:r>
          </w:p>
          <w:p w14:paraId="531022ED">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为了保障检务综合平台的稳定运行，提高应对紧急突发事件的处理能力，制定应用应急保障、密码安全应急保障方案。</w:t>
            </w:r>
          </w:p>
          <w:p w14:paraId="3AFB7E5D">
            <w:pPr>
              <w:pStyle w:val="126"/>
              <w:widowControl/>
              <w:suppressLineNumbers/>
              <w:suppressAutoHyphens/>
              <w:spacing w:line="400" w:lineRule="exact"/>
              <w:ind w:firstLine="420"/>
              <w:contextualSpacing/>
              <w:rPr>
                <w:rFonts w:ascii="黑体" w:hAnsi="黑体" w:eastAsia="黑体" w:cs="宋体"/>
                <w:color w:val="auto"/>
                <w:kern w:val="0"/>
                <w:sz w:val="21"/>
                <w:szCs w:val="21"/>
                <w:highlight w:val="none"/>
              </w:rPr>
            </w:pPr>
            <w:r>
              <w:rPr>
                <w:rFonts w:hint="eastAsia" w:ascii="黑体" w:hAnsi="黑体" w:eastAsia="黑体" w:cs="宋体"/>
                <w:color w:val="auto"/>
                <w:kern w:val="0"/>
                <w:sz w:val="21"/>
                <w:szCs w:val="21"/>
                <w:highlight w:val="none"/>
              </w:rPr>
              <w:t>三、项目培训服务</w:t>
            </w:r>
          </w:p>
          <w:p w14:paraId="333E6012">
            <w:pPr>
              <w:pStyle w:val="126"/>
              <w:widowControl/>
              <w:suppressLineNumbers/>
              <w:suppressAutoHyphens/>
              <w:spacing w:line="400" w:lineRule="exact"/>
              <w:ind w:firstLine="422"/>
              <w:contextualSpacing/>
              <w:rPr>
                <w:rFonts w:cs="宋体"/>
                <w:b/>
                <w:color w:val="auto"/>
                <w:kern w:val="0"/>
                <w:sz w:val="21"/>
                <w:szCs w:val="21"/>
                <w:highlight w:val="none"/>
              </w:rPr>
            </w:pPr>
            <w:r>
              <w:rPr>
                <w:rFonts w:hint="eastAsia" w:cs="宋体"/>
                <w:b/>
                <w:color w:val="auto"/>
                <w:kern w:val="0"/>
                <w:sz w:val="21"/>
                <w:szCs w:val="21"/>
                <w:highlight w:val="none"/>
              </w:rPr>
              <w:t>（一）培训要求</w:t>
            </w:r>
          </w:p>
          <w:p w14:paraId="19117BCB">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本项目要求提供完善的培训计划，提供多种培训方式，针对不同人员制定合理的培训课程，包括提供相应的应用软件技术和系统操作等方面的培训安排、课程及内容。并提供相关的培训质量保证措施，保障用户能够方便快捷的熟悉使用产品。</w:t>
            </w:r>
          </w:p>
          <w:p w14:paraId="056DA3AB">
            <w:pPr>
              <w:pStyle w:val="126"/>
              <w:widowControl/>
              <w:suppressLineNumbers/>
              <w:suppressAutoHyphens/>
              <w:spacing w:line="400" w:lineRule="exact"/>
              <w:ind w:firstLine="422"/>
              <w:contextualSpacing/>
              <w:rPr>
                <w:rFonts w:cs="宋体"/>
                <w:b/>
                <w:color w:val="auto"/>
                <w:kern w:val="0"/>
                <w:sz w:val="21"/>
                <w:szCs w:val="21"/>
                <w:highlight w:val="none"/>
              </w:rPr>
            </w:pPr>
            <w:r>
              <w:rPr>
                <w:rFonts w:hint="eastAsia" w:cs="宋体"/>
                <w:b/>
                <w:color w:val="auto"/>
                <w:kern w:val="0"/>
                <w:sz w:val="21"/>
                <w:szCs w:val="21"/>
                <w:highlight w:val="none"/>
              </w:rPr>
              <w:t>（二）培训对象</w:t>
            </w:r>
          </w:p>
          <w:p w14:paraId="28B24D02">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针对项目的各系统应用，结合用户今后系统运行、管理的实际需要，安排人力和物力，对全区各级检察机关相关人员进行免费培训。培训将分别针对系统管理员、普通用户和领导等设立不同的培训内容。</w:t>
            </w:r>
          </w:p>
          <w:p w14:paraId="4EBCEA14">
            <w:pPr>
              <w:pStyle w:val="126"/>
              <w:widowControl/>
              <w:suppressLineNumbers/>
              <w:suppressAutoHyphens/>
              <w:spacing w:line="400" w:lineRule="exact"/>
              <w:ind w:firstLine="422"/>
              <w:contextualSpacing/>
              <w:rPr>
                <w:rFonts w:cs="宋体"/>
                <w:b/>
                <w:color w:val="auto"/>
                <w:kern w:val="0"/>
                <w:sz w:val="21"/>
                <w:szCs w:val="21"/>
                <w:highlight w:val="none"/>
              </w:rPr>
            </w:pPr>
            <w:r>
              <w:rPr>
                <w:rFonts w:hint="eastAsia" w:cs="宋体"/>
                <w:b/>
                <w:color w:val="auto"/>
                <w:kern w:val="0"/>
                <w:sz w:val="21"/>
                <w:szCs w:val="21"/>
                <w:highlight w:val="none"/>
              </w:rPr>
              <w:t>（三）培训目标</w:t>
            </w:r>
          </w:p>
          <w:p w14:paraId="7EA4C3A6">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1、使采购方的系统管理人员熟悉平台硬件和软件结构、系统配置，熟练掌握系统基本组成及原理，熟练掌握系统操作步骤和系统运行管理，熟练掌握用户权限、用户配置等系统管理，熟练掌握系统的安装、检测、维护技术，熟练掌握排除系统故障的基本技术。</w:t>
            </w:r>
          </w:p>
          <w:p w14:paraId="24470F46">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2、使系统的普通用户能够了解系统基本组成及原理，熟练掌握系统功能，熟练掌握系统操作步骤、一般故障及排除。</w:t>
            </w:r>
          </w:p>
          <w:p w14:paraId="7A04BB2A">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3、使领导了解系统功能，能够进行业务办理、效能监察、综合查询的使用。</w:t>
            </w:r>
          </w:p>
          <w:p w14:paraId="467FABB2">
            <w:pPr>
              <w:pStyle w:val="126"/>
              <w:widowControl/>
              <w:suppressLineNumbers/>
              <w:suppressAutoHyphens/>
              <w:spacing w:line="400" w:lineRule="exact"/>
              <w:ind w:firstLine="422"/>
              <w:contextualSpacing/>
              <w:rPr>
                <w:rFonts w:cs="宋体"/>
                <w:b/>
                <w:color w:val="auto"/>
                <w:kern w:val="0"/>
                <w:sz w:val="21"/>
                <w:szCs w:val="21"/>
                <w:highlight w:val="none"/>
              </w:rPr>
            </w:pPr>
            <w:r>
              <w:rPr>
                <w:rFonts w:hint="eastAsia" w:cs="宋体"/>
                <w:b/>
                <w:color w:val="auto"/>
                <w:kern w:val="0"/>
                <w:sz w:val="21"/>
                <w:szCs w:val="21"/>
                <w:highlight w:val="none"/>
              </w:rPr>
              <w:t>（四）培训方式</w:t>
            </w:r>
          </w:p>
          <w:p w14:paraId="54B9FDB5">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系统培训分为集中培训和网络远程培训。</w:t>
            </w:r>
          </w:p>
          <w:p w14:paraId="5935C7C9">
            <w:pPr>
              <w:pStyle w:val="126"/>
              <w:widowControl/>
              <w:suppressLineNumbers/>
              <w:suppressAutoHyphens/>
              <w:spacing w:line="400" w:lineRule="exact"/>
              <w:ind w:firstLine="422"/>
              <w:contextualSpacing/>
              <w:rPr>
                <w:rFonts w:cs="宋体"/>
                <w:b/>
                <w:color w:val="auto"/>
                <w:kern w:val="0"/>
                <w:sz w:val="21"/>
                <w:szCs w:val="21"/>
                <w:highlight w:val="none"/>
              </w:rPr>
            </w:pPr>
            <w:r>
              <w:rPr>
                <w:rFonts w:hint="eastAsia" w:cs="宋体"/>
                <w:b/>
                <w:color w:val="auto"/>
                <w:kern w:val="0"/>
                <w:sz w:val="21"/>
                <w:szCs w:val="21"/>
                <w:highlight w:val="none"/>
              </w:rPr>
              <w:t>1、集中培训</w:t>
            </w:r>
          </w:p>
          <w:p w14:paraId="60C16ED8">
            <w:pPr>
              <w:pStyle w:val="126"/>
              <w:widowControl/>
              <w:suppressLineNumbers/>
              <w:suppressAutoHyphens/>
              <w:spacing w:line="400" w:lineRule="exact"/>
              <w:ind w:firstLine="420"/>
              <w:contextualSpacing/>
              <w:rPr>
                <w:rFonts w:cs="宋体"/>
                <w:color w:val="auto"/>
                <w:kern w:val="0"/>
                <w:sz w:val="21"/>
                <w:szCs w:val="21"/>
                <w:highlight w:val="none"/>
              </w:rPr>
            </w:pPr>
            <w:r>
              <w:rPr>
                <w:rFonts w:hint="eastAsia" w:cs="宋体"/>
                <w:color w:val="auto"/>
                <w:kern w:val="0"/>
                <w:sz w:val="21"/>
                <w:szCs w:val="21"/>
                <w:highlight w:val="none"/>
              </w:rPr>
              <w:t>按照采购人要求，至少负责组织1次集中培训工作，即在系统调试、部署运行初期，有采购人将相关人员集中，再由成交供应商提供不少3人团队师资进行授课培训。集中培训主要通过纸质教材、PPT等结合真实系统进行培训，通过细致的逐步操作描述方便参训人员彻底掌握系统。课件与教材均使用中文教材，讲师授课使用普通话。培训过程中的所有教学资料，如幻灯片、录像、磁盘或光盘等在培训结束后将无偿提供给采购人使用，培训过程师资交通、食宿等差旅，以及场地租用等费用。</w:t>
            </w:r>
          </w:p>
          <w:p w14:paraId="09D3FCBC">
            <w:pPr>
              <w:pStyle w:val="126"/>
              <w:widowControl/>
              <w:suppressLineNumbers/>
              <w:suppressAutoHyphens/>
              <w:spacing w:line="400" w:lineRule="exact"/>
              <w:ind w:firstLine="422"/>
              <w:contextualSpacing/>
              <w:rPr>
                <w:rFonts w:cs="宋体"/>
                <w:b/>
                <w:color w:val="auto"/>
                <w:kern w:val="0"/>
                <w:sz w:val="21"/>
                <w:szCs w:val="21"/>
                <w:highlight w:val="none"/>
              </w:rPr>
            </w:pPr>
            <w:r>
              <w:rPr>
                <w:rFonts w:hint="eastAsia" w:cs="宋体"/>
                <w:b/>
                <w:color w:val="auto"/>
                <w:kern w:val="0"/>
                <w:sz w:val="21"/>
                <w:szCs w:val="21"/>
                <w:highlight w:val="none"/>
              </w:rPr>
              <w:t>2、网络远程培训</w:t>
            </w:r>
          </w:p>
          <w:p w14:paraId="13307146">
            <w:pPr>
              <w:pStyle w:val="126"/>
              <w:widowControl/>
              <w:suppressLineNumbers/>
              <w:suppressAutoHyphens/>
              <w:spacing w:line="400" w:lineRule="exact"/>
              <w:ind w:firstLine="420"/>
              <w:contextualSpacing/>
              <w:rPr>
                <w:color w:val="auto"/>
                <w:szCs w:val="21"/>
                <w:highlight w:val="none"/>
              </w:rPr>
            </w:pPr>
            <w:r>
              <w:rPr>
                <w:rFonts w:hint="eastAsia" w:cs="宋体"/>
                <w:color w:val="auto"/>
                <w:kern w:val="0"/>
                <w:sz w:val="21"/>
                <w:szCs w:val="21"/>
                <w:highlight w:val="none"/>
              </w:rPr>
              <w:t>按照采购人要求，派不少于2人的师资团队到15个市分检察院中开展≥3天的培训工作，采取集中+网络培训模式，对全区134个检察院使用干警进行培训，确保各级检察机关干警能熟练掌握项目建设内容使用方法，顺利推动应用，并在培训中实时解决用户在应用中遇到的问题。</w:t>
            </w:r>
          </w:p>
        </w:tc>
      </w:tr>
      <w:tr w14:paraId="3729D124">
        <w:tblPrEx>
          <w:tblCellMar>
            <w:top w:w="15" w:type="dxa"/>
            <w:left w:w="15" w:type="dxa"/>
            <w:bottom w:w="15" w:type="dxa"/>
            <w:right w:w="15" w:type="dxa"/>
          </w:tblCellMar>
        </w:tblPrEx>
        <w:trPr>
          <w:trHeight w:val="20" w:hRule="atLeast"/>
          <w:jc w:val="center"/>
        </w:trPr>
        <w:tc>
          <w:tcPr>
            <w:tcW w:w="9514" w:type="dxa"/>
            <w:gridSpan w:val="5"/>
            <w:tcBorders>
              <w:top w:val="single" w:color="000000" w:sz="4" w:space="0"/>
              <w:left w:val="single" w:color="000000" w:sz="4" w:space="0"/>
              <w:bottom w:val="single" w:color="000000" w:sz="4" w:space="0"/>
              <w:right w:val="single" w:color="000000" w:sz="4" w:space="0"/>
            </w:tcBorders>
            <w:vAlign w:val="center"/>
          </w:tcPr>
          <w:p w14:paraId="62F5A409">
            <w:pPr>
              <w:widowControl/>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三、商务要求表</w:t>
            </w:r>
          </w:p>
          <w:p w14:paraId="2D917F59">
            <w:pPr>
              <w:widowControl/>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rPr>
              <w:t>供应商商务响应表与售后服务承诺同一内容不相符的，以最低响应计算，不满足商务要求的响应无效。</w:t>
            </w:r>
          </w:p>
        </w:tc>
      </w:tr>
      <w:tr w14:paraId="06211170">
        <w:tblPrEx>
          <w:tblCellMar>
            <w:top w:w="15" w:type="dxa"/>
            <w:left w:w="15" w:type="dxa"/>
            <w:bottom w:w="15" w:type="dxa"/>
            <w:right w:w="15" w:type="dxa"/>
          </w:tblCellMar>
        </w:tblPrEx>
        <w:trPr>
          <w:trHeight w:val="20" w:hRule="atLeast"/>
          <w:jc w:val="center"/>
        </w:trPr>
        <w:tc>
          <w:tcPr>
            <w:tcW w:w="5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A3BA4E2">
            <w:pPr>
              <w:pStyle w:val="126"/>
              <w:widowControl/>
              <w:suppressLineNumbers/>
              <w:suppressAutoHyphens/>
              <w:spacing w:line="400" w:lineRule="exact"/>
              <w:ind w:firstLine="0" w:firstLineChars="0"/>
              <w:contextualSpacing/>
              <w:jc w:val="center"/>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kern w:val="0"/>
                <w:sz w:val="21"/>
                <w:szCs w:val="21"/>
                <w:highlight w:val="none"/>
              </w:rPr>
              <w:t>1</w:t>
            </w:r>
          </w:p>
        </w:tc>
        <w:tc>
          <w:tcPr>
            <w:tcW w:w="2431" w:type="dxa"/>
            <w:gridSpan w:val="3"/>
            <w:tcBorders>
              <w:top w:val="single" w:color="auto" w:sz="4" w:space="0"/>
              <w:left w:val="nil"/>
              <w:bottom w:val="single" w:color="auto" w:sz="4" w:space="0"/>
              <w:right w:val="single" w:color="auto" w:sz="4" w:space="0"/>
            </w:tcBorders>
            <w:tcMar>
              <w:top w:w="0" w:type="dxa"/>
              <w:left w:w="108" w:type="dxa"/>
              <w:bottom w:w="0" w:type="dxa"/>
              <w:right w:w="108" w:type="dxa"/>
            </w:tcMar>
            <w:vAlign w:val="center"/>
          </w:tcPr>
          <w:p w14:paraId="22227726">
            <w:pPr>
              <w:pStyle w:val="126"/>
              <w:widowControl/>
              <w:suppressLineNumbers/>
              <w:suppressAutoHyphens/>
              <w:spacing w:line="400" w:lineRule="exact"/>
              <w:ind w:firstLine="0" w:firstLineChars="0"/>
              <w:contextualSpacing/>
              <w:jc w:val="center"/>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项目实施单位及人员要求</w:t>
            </w:r>
          </w:p>
        </w:tc>
        <w:tc>
          <w:tcPr>
            <w:tcW w:w="657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5DEADE7">
            <w:pPr>
              <w:spacing w:line="400" w:lineRule="exact"/>
              <w:ind w:firstLine="422" w:firstLineChars="200"/>
              <w:contextualSpacing/>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一、</w:t>
            </w:r>
            <w:r>
              <w:rPr>
                <w:rFonts w:hint="eastAsia" w:asciiTheme="minorEastAsia" w:hAnsiTheme="minorEastAsia" w:eastAsiaTheme="minorEastAsia" w:cstheme="minorEastAsia"/>
                <w:b/>
                <w:bCs/>
                <w:color w:val="auto"/>
                <w:szCs w:val="21"/>
                <w:highlight w:val="none"/>
              </w:rPr>
              <w:t>服务商要求</w:t>
            </w:r>
          </w:p>
          <w:p w14:paraId="6FE142BC">
            <w:pPr>
              <w:spacing w:line="400" w:lineRule="exact"/>
              <w:ind w:firstLine="420" w:firstLineChars="200"/>
              <w:contextualSpacing/>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本项目建设内容以软件开发为主，信息系统等保测评及风险评估等系统集成服务为辅，为确保项目顺利实施，成交供应商必须具有国家认可的软件开发、系统集成、网络安全、数据安全等方面相关资质。</w:t>
            </w:r>
          </w:p>
          <w:p w14:paraId="3EF9011C">
            <w:pPr>
              <w:spacing w:line="400" w:lineRule="exact"/>
              <w:ind w:firstLine="422" w:firstLineChars="200"/>
              <w:contextualSpacing/>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color w:val="auto"/>
                <w:szCs w:val="21"/>
                <w:highlight w:val="none"/>
              </w:rPr>
              <w:t>二、</w:t>
            </w:r>
            <w:r>
              <w:rPr>
                <w:rFonts w:hint="eastAsia" w:asciiTheme="minorEastAsia" w:hAnsiTheme="minorEastAsia" w:eastAsiaTheme="minorEastAsia" w:cstheme="minorEastAsia"/>
                <w:b/>
                <w:bCs/>
                <w:color w:val="auto"/>
                <w:szCs w:val="21"/>
                <w:highlight w:val="none"/>
              </w:rPr>
              <w:t>项目实施团队要求</w:t>
            </w:r>
          </w:p>
          <w:p w14:paraId="784F7F0A">
            <w:pPr>
              <w:spacing w:line="400" w:lineRule="exact"/>
              <w:ind w:firstLine="420" w:firstLineChars="200"/>
              <w:contextualSpacing/>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供应商须根据项目特点及建设内容要求，制定科学合理的实施计划，并提供配套的实施人员组成一线和二线实施团队，其中一线团队必须具有与本项目实施服务相符的技术能力，在采购人指定办公地点驻场提供实施服务（南宁市内），二线团队在公司监督管理下，提供非涉密信息系统方面的研发、运维等后端技术支持服务，协助解决一线团队无法解决的问题。所有一线驻场人员必须基本固定并服从采购人工作调配，做好项目实施工作。</w:t>
            </w:r>
          </w:p>
          <w:p w14:paraId="3FD1A01C">
            <w:pPr>
              <w:spacing w:line="400" w:lineRule="exact"/>
              <w:ind w:firstLine="420" w:firstLineChars="200"/>
              <w:contextualSpacing/>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成交供应商需在驻场的一线团队中至少指定两名技术负责人，以AB岗方式常驻的采购人指定场地（南宁市内），做好驻场团队的工作安排、技术安全、服务质量、工作生活纪律管理、协调指挥、故障排查与复盘、总结汇报等管理工作；另外，必须安排一名项目经理，专职负责与采购人进行业务对接，负责做好一、二线运维团队的人员统筹调配、业务联系、项目实施进度把控、团队监督、用户投诉、人员更换、业务交接等管理工作。</w:t>
            </w:r>
          </w:p>
          <w:p w14:paraId="716AD94E">
            <w:pPr>
              <w:spacing w:line="400" w:lineRule="exact"/>
              <w:ind w:firstLine="420" w:firstLineChars="200"/>
              <w:contextualSpacing/>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成交供应商必须确保项目实施的驻场人员具有良好的技术能力和职业素质，且保持人员相对固定、工作效率高。驻场人员必须服从采购人的统一指挥、调配、指导及管理，遵守采购人现场的各项管理及规章制度，特别应遵守突发事件、公共安全事件的处置及防控管理要求，做到文明服务、安全服务。具体要求如下：</w:t>
            </w:r>
          </w:p>
          <w:p w14:paraId="54B59885">
            <w:pPr>
              <w:spacing w:line="400" w:lineRule="exact"/>
              <w:ind w:firstLine="420" w:firstLineChars="200"/>
              <w:contextualSpacing/>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未经书面申请并取得采购人许可，不得随意更换项目负责人和技术负责人，如确需更换的，应提前7个日历日书面通知采购人，经采购人同意方可替换。如未征得采购人同意擅自撤换项目负责人、技术负责人的，采购人有权除了责令成交供应商在7日内将擅自撤换的主要人员调回本项目外，还有权要求成交供应商赔偿所造成的各类损失。</w:t>
            </w:r>
          </w:p>
          <w:p w14:paraId="3C6AE275">
            <w:pPr>
              <w:spacing w:line="400" w:lineRule="exact"/>
              <w:ind w:firstLine="420" w:firstLineChars="200"/>
              <w:contextualSpacing/>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采购人有权对驻场服务人员的工作情况进行监督、评议，如经采购人评议发现驻场人员不服从采购人管理或者服务技术能力达不到采购人要求的，成交供应商在自接到采购人书面通知10个工作日内，必须按采购人提供的实际证据，完成实施过程中质量低劣、技术差、不服从指挥、有违法乱纪行为的项目负责人、驻场人员更换工作。</w:t>
            </w:r>
          </w:p>
          <w:p w14:paraId="294013E9">
            <w:pPr>
              <w:spacing w:line="400" w:lineRule="exact"/>
              <w:ind w:firstLine="420" w:firstLineChars="200"/>
              <w:contextualSpacing/>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如采购人发现成交供应商工作中的安全措施、设施不符合国家、地方、行业及本合同有关规定，或者成交供应商驻场人员素质能力不符合服务要求严重影响服务效率、服务质量的，采购人有权要求成交供应商限期整改。如成交供应商不整改或不能满足整改要求时，采购人有权自行安排该项整改，所发生的费用由成交供应商负责。如有违反且情节严重、严重影响采购人声誉或造成国家利益受损，采购人有权解除合同，并另行委托第三方机构为采购人提供维保服务，由此产生的费用应由成交供应商承担。</w:t>
            </w:r>
          </w:p>
          <w:p w14:paraId="0DAB7CB7">
            <w:pPr>
              <w:spacing w:line="400" w:lineRule="exact"/>
              <w:ind w:firstLine="420" w:firstLineChars="200"/>
              <w:contextualSpacing/>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因采购人属于国家机关单位，成交供应商和其参与项目实施或维保的人员均必须与采购人签订保密协议，必须严格遵守《中华人民共和国保守国家秘密法》等相关法规和采购人保密管理要求，保证参与人对服务过程中所有接触资料和数据的保密责任和义务，并接受采购人监管，未经采购人书面同意，成交供应商不得擅自对外发布或违规使用所接触到的与采购人相关的任何信息，必须具体要求如下：</w:t>
            </w:r>
          </w:p>
          <w:p w14:paraId="5041FB01">
            <w:pPr>
              <w:spacing w:line="400" w:lineRule="exact"/>
              <w:ind w:firstLine="420" w:firstLineChars="200"/>
              <w:contextualSpacing/>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（1）未经采购人同意，成交供应商不得向第三方转让合同项下全部或部分服务内容，如擅自转让合同项下全部或部分服务内容，则视为成交供应商违约。按照合同相关违约条款约定处理。</w:t>
            </w:r>
          </w:p>
          <w:p w14:paraId="46AAB428">
            <w:pPr>
              <w:spacing w:line="400" w:lineRule="exact"/>
              <w:ind w:firstLine="420" w:firstLineChars="200"/>
              <w:contextualSpacing/>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成交供应商提供技术支持服务过程中形成的工作流程及管理制度、收集的业务信息或个人信息、业务数据、相关系统策略及配置信息等不属于成交供应商的资产，须严格按照采购人的规定进行管理和使用，未经采购人同意，不得修改、披露、转让、违规备份、违规利用、擅自销毁这些信息及数据。</w:t>
            </w:r>
          </w:p>
          <w:p w14:paraId="7B3CC6DB">
            <w:pPr>
              <w:spacing w:line="400" w:lineRule="exact"/>
              <w:ind w:firstLine="420" w:firstLineChars="200"/>
              <w:contextualSpacing/>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成交供应商所提供的项目成果归采购人所有，未经采购人书面同意，成交供应商不得擅自对采购人提供的相关资料及服务相关成果进行加密、阻断、销售、传播、著作权申请、版权登记等行为，成交供应商亦无权对第三方泄露本项目关联的任何数据信息内容。</w:t>
            </w:r>
          </w:p>
          <w:p w14:paraId="7DC979F3">
            <w:pPr>
              <w:spacing w:line="400" w:lineRule="exact"/>
              <w:ind w:firstLine="420" w:firstLineChars="200"/>
              <w:contextualSpacing/>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（4）因成交供应商或其员工违规操作造成泄密的，将移送国家保密行政机构按照相关法律规定追究其法律责任，给采购人利益侵害造成损失的，采购人有权追究其违法犯罪行为造成经济和法律责任。</w:t>
            </w:r>
          </w:p>
          <w:p w14:paraId="0B0830A7">
            <w:pPr>
              <w:spacing w:line="400" w:lineRule="exact"/>
              <w:ind w:firstLine="420" w:firstLineChars="200"/>
              <w:contextualSpacing/>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成交供应商进场实施前，应提供项目服务团队人员的基本资料给采购人，并配合采购人做好人员能力资格审核和政治审查工作，服务团队人员通过采购人的审查后，经采购人进行相应保密要求和工作纪律培训后方可上岗提供服务。</w:t>
            </w:r>
          </w:p>
          <w:p w14:paraId="0A761AE4">
            <w:pPr>
              <w:spacing w:line="400" w:lineRule="exact"/>
              <w:ind w:firstLine="420" w:firstLineChars="200"/>
              <w:contextualSpacing/>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成交供应商需对本项目实施或维保服务人员进行安全行为管理，杜绝项目实施人员违规造成信息泄露、生产事故、系统中断服务、信息安全事故等不良事件。如因成交供应商的项目实施人员引起不良事件的，采购人有权要求成交供应商赔偿不良事件引发的损失并终止双方合同。</w:t>
            </w:r>
          </w:p>
        </w:tc>
      </w:tr>
      <w:tr w14:paraId="2F63D8F3">
        <w:tblPrEx>
          <w:tblCellMar>
            <w:top w:w="15" w:type="dxa"/>
            <w:left w:w="15" w:type="dxa"/>
            <w:bottom w:w="15" w:type="dxa"/>
            <w:right w:w="15" w:type="dxa"/>
          </w:tblCellMar>
        </w:tblPrEx>
        <w:trPr>
          <w:trHeight w:val="20" w:hRule="atLeast"/>
          <w:jc w:val="center"/>
        </w:trPr>
        <w:tc>
          <w:tcPr>
            <w:tcW w:w="5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39CB409">
            <w:pPr>
              <w:pStyle w:val="126"/>
              <w:widowControl/>
              <w:suppressLineNumbers/>
              <w:suppressAutoHyphens/>
              <w:spacing w:line="400" w:lineRule="exact"/>
              <w:ind w:firstLine="0" w:firstLineChars="0"/>
              <w:contextualSpacing/>
              <w:jc w:val="center"/>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kern w:val="0"/>
                <w:sz w:val="21"/>
                <w:szCs w:val="21"/>
                <w:highlight w:val="none"/>
              </w:rPr>
              <w:t>2</w:t>
            </w:r>
          </w:p>
        </w:tc>
        <w:tc>
          <w:tcPr>
            <w:tcW w:w="2431" w:type="dxa"/>
            <w:gridSpan w:val="3"/>
            <w:tcBorders>
              <w:top w:val="single" w:color="auto" w:sz="4" w:space="0"/>
              <w:left w:val="nil"/>
              <w:bottom w:val="single" w:color="auto" w:sz="4" w:space="0"/>
              <w:right w:val="single" w:color="auto" w:sz="4" w:space="0"/>
            </w:tcBorders>
            <w:tcMar>
              <w:top w:w="0" w:type="dxa"/>
              <w:left w:w="108" w:type="dxa"/>
              <w:bottom w:w="0" w:type="dxa"/>
              <w:right w:w="108" w:type="dxa"/>
            </w:tcMar>
            <w:vAlign w:val="center"/>
          </w:tcPr>
          <w:p w14:paraId="6B4E6710">
            <w:pPr>
              <w:pStyle w:val="126"/>
              <w:widowControl/>
              <w:suppressLineNumbers/>
              <w:suppressAutoHyphens/>
              <w:spacing w:line="400" w:lineRule="exact"/>
              <w:ind w:firstLine="0" w:firstLineChars="0"/>
              <w:contextualSpacing/>
              <w:jc w:val="center"/>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bCs w:val="0"/>
                <w:color w:val="auto"/>
                <w:sz w:val="21"/>
                <w:szCs w:val="21"/>
                <w:highlight w:val="none"/>
              </w:rPr>
              <w:t>项目实施服务地点</w:t>
            </w:r>
          </w:p>
        </w:tc>
        <w:tc>
          <w:tcPr>
            <w:tcW w:w="657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59D76C5">
            <w:pPr>
              <w:spacing w:line="400" w:lineRule="exact"/>
              <w:ind w:firstLine="420" w:firstLineChars="200"/>
              <w:contextualSpacing/>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广西区内采购人指定地点。</w:t>
            </w:r>
          </w:p>
        </w:tc>
      </w:tr>
      <w:tr w14:paraId="47FEE736">
        <w:tblPrEx>
          <w:tblCellMar>
            <w:top w:w="15" w:type="dxa"/>
            <w:left w:w="15" w:type="dxa"/>
            <w:bottom w:w="15" w:type="dxa"/>
            <w:right w:w="15" w:type="dxa"/>
          </w:tblCellMar>
        </w:tblPrEx>
        <w:trPr>
          <w:trHeight w:val="20" w:hRule="atLeast"/>
          <w:jc w:val="center"/>
        </w:trPr>
        <w:tc>
          <w:tcPr>
            <w:tcW w:w="5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2B202B2">
            <w:pPr>
              <w:pStyle w:val="126"/>
              <w:widowControl/>
              <w:suppressLineNumbers/>
              <w:suppressAutoHyphens/>
              <w:spacing w:line="400" w:lineRule="exact"/>
              <w:ind w:firstLine="0" w:firstLineChars="0"/>
              <w:contextualSpacing/>
              <w:jc w:val="center"/>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kern w:val="0"/>
                <w:sz w:val="21"/>
                <w:szCs w:val="21"/>
                <w:highlight w:val="none"/>
              </w:rPr>
              <w:t>3</w:t>
            </w:r>
          </w:p>
        </w:tc>
        <w:tc>
          <w:tcPr>
            <w:tcW w:w="2431" w:type="dxa"/>
            <w:gridSpan w:val="3"/>
            <w:tcBorders>
              <w:top w:val="single" w:color="auto" w:sz="4" w:space="0"/>
              <w:left w:val="nil"/>
              <w:bottom w:val="single" w:color="auto" w:sz="4" w:space="0"/>
              <w:right w:val="single" w:color="auto" w:sz="4" w:space="0"/>
            </w:tcBorders>
            <w:tcMar>
              <w:top w:w="0" w:type="dxa"/>
              <w:left w:w="108" w:type="dxa"/>
              <w:bottom w:w="0" w:type="dxa"/>
              <w:right w:w="108" w:type="dxa"/>
            </w:tcMar>
            <w:vAlign w:val="center"/>
          </w:tcPr>
          <w:p w14:paraId="4ADA339F">
            <w:pPr>
              <w:pStyle w:val="126"/>
              <w:widowControl/>
              <w:suppressLineNumbers/>
              <w:suppressAutoHyphens/>
              <w:spacing w:line="400" w:lineRule="exact"/>
              <w:ind w:firstLine="0" w:firstLineChars="0"/>
              <w:contextualSpacing/>
              <w:jc w:val="center"/>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bCs w:val="0"/>
                <w:color w:val="auto"/>
                <w:sz w:val="21"/>
                <w:szCs w:val="21"/>
                <w:highlight w:val="none"/>
              </w:rPr>
              <w:t>项目实施组织要求</w:t>
            </w:r>
          </w:p>
        </w:tc>
        <w:tc>
          <w:tcPr>
            <w:tcW w:w="657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FA02BB1">
            <w:pPr>
              <w:widowControl/>
              <w:spacing w:line="360" w:lineRule="atLeast"/>
              <w:ind w:firstLine="420" w:firstLineChars="200"/>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本项目由采购人负责监督和管理整个项目的实施，并负责同相关系统承建商之间的协调工作。成交供应商在工程实施过程中，需对项目进行规范化管理，确保工程实施质量。</w:t>
            </w:r>
          </w:p>
          <w:p w14:paraId="109507B8">
            <w:pPr>
              <w:spacing w:line="360" w:lineRule="atLeast"/>
              <w:ind w:firstLine="420"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（1）本项目研发改造的软件产品，必须符合国家对信创系统建设要求，以及采购人安装部署的机房、基础软硬件设备设施及网络环境。</w:t>
            </w:r>
          </w:p>
          <w:p w14:paraId="75DDBDB7">
            <w:pPr>
              <w:spacing w:line="360" w:lineRule="atLeas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（2）供应商竞标时应严格按照本章采购内容的</w:t>
            </w:r>
            <w:r>
              <w:rPr>
                <w:rFonts w:hint="eastAsia" w:asciiTheme="minorEastAsia" w:hAnsiTheme="minorEastAsia" w:eastAsiaTheme="minorEastAsia" w:cstheme="minorEastAsia"/>
                <w:b/>
                <w:color w:val="auto"/>
                <w:szCs w:val="21"/>
                <w:highlight w:val="none"/>
              </w:rPr>
              <w:t>“二、采购需求”</w:t>
            </w:r>
            <w:r>
              <w:rPr>
                <w:rFonts w:hint="eastAsia" w:asciiTheme="minorEastAsia" w:hAnsiTheme="minorEastAsia" w:eastAsiaTheme="minorEastAsia" w:cstheme="minorEastAsia"/>
                <w:color w:val="auto"/>
                <w:szCs w:val="21"/>
                <w:highlight w:val="none"/>
              </w:rPr>
              <w:t>中</w:t>
            </w:r>
            <w:r>
              <w:rPr>
                <w:rFonts w:hint="eastAsia" w:asciiTheme="minorEastAsia" w:hAnsiTheme="minorEastAsia" w:eastAsiaTheme="minorEastAsia" w:cstheme="minorEastAsia"/>
                <w:b/>
                <w:color w:val="auto"/>
                <w:szCs w:val="21"/>
                <w:highlight w:val="none"/>
              </w:rPr>
              <w:t>“6、项目建设实施集成服务”实施服务要求，</w:t>
            </w:r>
            <w:r>
              <w:rPr>
                <w:rFonts w:hint="eastAsia" w:asciiTheme="minorEastAsia" w:hAnsiTheme="minorEastAsia" w:eastAsiaTheme="minorEastAsia" w:cstheme="minorEastAsia"/>
                <w:color w:val="auto"/>
                <w:szCs w:val="21"/>
                <w:highlight w:val="none"/>
              </w:rPr>
              <w:t>做好项目深化实施安排，提供切实可行的实施计划，并严格按照本商务要求的</w:t>
            </w:r>
            <w:r>
              <w:rPr>
                <w:rFonts w:hint="eastAsia" w:asciiTheme="minorEastAsia" w:hAnsiTheme="minorEastAsia" w:eastAsiaTheme="minorEastAsia" w:cstheme="minorEastAsia"/>
                <w:b/>
                <w:color w:val="auto"/>
                <w:szCs w:val="21"/>
                <w:highlight w:val="none"/>
              </w:rPr>
              <w:t>“4、项目实施进度要求”</w:t>
            </w:r>
            <w:r>
              <w:rPr>
                <w:rFonts w:hint="eastAsia" w:asciiTheme="minorEastAsia" w:hAnsiTheme="minorEastAsia" w:eastAsiaTheme="minorEastAsia" w:cstheme="minorEastAsia"/>
                <w:color w:val="auto"/>
                <w:szCs w:val="21"/>
                <w:highlight w:val="none"/>
              </w:rPr>
              <w:t>的时间节点进行交付。</w:t>
            </w:r>
          </w:p>
          <w:p w14:paraId="08A9F35F">
            <w:pPr>
              <w:spacing w:line="360" w:lineRule="atLeas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（3）供应商竞标时应提供具体的服务方案、应急措施方案，并能够按这些方案组织实施，包括本项目网络及安全建设、基础运行平台部署实施、技术支持服务、软件维护服务、性能评估与调优等。</w:t>
            </w:r>
          </w:p>
          <w:p w14:paraId="45206F59">
            <w:pPr>
              <w:spacing w:line="360" w:lineRule="atLeas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（4）供应商应提供人员培训方案，并组织实施，内容包括安装调试、使用和运行管理、开发示范、性能调优、问题检测与修复等。</w:t>
            </w:r>
          </w:p>
          <w:p w14:paraId="5327C477">
            <w:pPr>
              <w:spacing w:line="360" w:lineRule="atLeas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在项目实施过程中，供应商必须根据招标要求和用户提供的信息，开展软件需求分析调研工作，经实施团队联合采购人做好项目需求分析、系统架构设计后，完成用户认可的《概要设计方案》、《详细设计方案》、《需求规格说明书》《开发改造软件实施计划书》等，作为项目开发工作主要参照依据。</w:t>
            </w:r>
          </w:p>
          <w:p w14:paraId="69E903EE">
            <w:pPr>
              <w:spacing w:line="360" w:lineRule="atLeas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（6）为使项目保质、保量、按时及有序实施，供应商必须按照本商务要求的</w:t>
            </w:r>
            <w:r>
              <w:rPr>
                <w:rFonts w:hint="eastAsia" w:asciiTheme="minorEastAsia" w:hAnsiTheme="minorEastAsia" w:eastAsiaTheme="minorEastAsia" w:cstheme="minorEastAsia"/>
                <w:b/>
                <w:color w:val="auto"/>
                <w:szCs w:val="21"/>
                <w:highlight w:val="none"/>
              </w:rPr>
              <w:t>“1、项目实施单位及人员要求”</w:t>
            </w:r>
            <w:r>
              <w:rPr>
                <w:rFonts w:hint="eastAsia" w:asciiTheme="minorEastAsia" w:hAnsiTheme="minorEastAsia" w:eastAsiaTheme="minorEastAsia" w:cstheme="minorEastAsia"/>
                <w:color w:val="auto"/>
                <w:szCs w:val="21"/>
                <w:highlight w:val="none"/>
              </w:rPr>
              <w:t>成立合理的项目组织机构，建立健全保障项目顺利实施的各项管理制度和质量保证体系，安排足够数量与满足应标素质技术人员组成开发队伍参加本项目的建设；</w:t>
            </w:r>
          </w:p>
          <w:p w14:paraId="3C4A36F7">
            <w:pPr>
              <w:spacing w:line="360" w:lineRule="atLeas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按照项目实施的要求，必须配置相应的项目管理、需求分析、系统设计、开发、测试、培训、质量保证、售后服务等人员，在项目机构中应明确各岗位的职责、任职资格，确保工程顺利实施。根据本项目的业务性质，配备具有同类系统建设经验的项目经理、技术总监等人员承担本项目工作。</w:t>
            </w:r>
          </w:p>
          <w:p w14:paraId="63867137">
            <w:pPr>
              <w:spacing w:line="360" w:lineRule="atLeas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8）本项目开发改造的平台软件使用范围为全广西检察机关，平台软件将在自治区政务信创云资源中统一部署、统一管理维护，对于外部的第三方数据要求实现接口应用时，必须开发内、外网数据审计交换平台，实现数据衔接联通。</w:t>
            </w:r>
          </w:p>
          <w:p w14:paraId="74E4126C">
            <w:pPr>
              <w:spacing w:line="360" w:lineRule="atLeas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9）本项目数据资源及运行测试的内部办公信息等属于敏感的工作秘密的信息，供应商成交须与采购人签订保密协议，并接受采购人监管进行项目实施，参与人必须严格遵守《中华人民共和国保守国家秘密法》等相关法规，不得擅自对外发布与项目相关的任何信息，造成泄密的单位或个人，将移送国家保密行政机构按照相关法律规定追究其法律责任，给采购人造成损失的，采购人有权追究赔偿损失。</w:t>
            </w:r>
          </w:p>
          <w:p w14:paraId="51D9A5D6">
            <w:pPr>
              <w:spacing w:line="360" w:lineRule="atLeas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（10）为了有效地维护软件及数据资源的知识产权，供应商必须响应本商务要求的“</w:t>
            </w:r>
            <w:r>
              <w:rPr>
                <w:rFonts w:hint="eastAsia" w:asciiTheme="minorEastAsia" w:hAnsiTheme="minorEastAsia" w:eastAsiaTheme="minorEastAsia" w:cstheme="minorEastAsia"/>
                <w:b/>
                <w:color w:val="auto"/>
                <w:szCs w:val="21"/>
                <w:highlight w:val="none"/>
              </w:rPr>
              <w:t>7、项目的知识产权要求</w:t>
            </w:r>
            <w:r>
              <w:rPr>
                <w:rFonts w:hint="eastAsia" w:asciiTheme="minorEastAsia" w:hAnsiTheme="minorEastAsia" w:eastAsiaTheme="minorEastAsia" w:cstheme="minorEastAsia"/>
                <w:color w:val="auto"/>
                <w:szCs w:val="21"/>
                <w:highlight w:val="none"/>
              </w:rPr>
              <w:t>”。</w:t>
            </w:r>
          </w:p>
        </w:tc>
      </w:tr>
      <w:tr w14:paraId="4C02B80F">
        <w:tblPrEx>
          <w:tblCellMar>
            <w:top w:w="15" w:type="dxa"/>
            <w:left w:w="15" w:type="dxa"/>
            <w:bottom w:w="15" w:type="dxa"/>
            <w:right w:w="15" w:type="dxa"/>
          </w:tblCellMar>
        </w:tblPrEx>
        <w:trPr>
          <w:trHeight w:val="20" w:hRule="atLeast"/>
          <w:jc w:val="center"/>
        </w:trPr>
        <w:tc>
          <w:tcPr>
            <w:tcW w:w="5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30882C8">
            <w:pPr>
              <w:pStyle w:val="126"/>
              <w:widowControl/>
              <w:suppressLineNumbers/>
              <w:suppressAutoHyphens/>
              <w:spacing w:line="400" w:lineRule="exact"/>
              <w:ind w:firstLine="0" w:firstLineChars="0"/>
              <w:contextualSpacing/>
              <w:jc w:val="center"/>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kern w:val="0"/>
                <w:sz w:val="21"/>
                <w:szCs w:val="21"/>
                <w:highlight w:val="none"/>
              </w:rPr>
              <w:t>4</w:t>
            </w:r>
          </w:p>
        </w:tc>
        <w:tc>
          <w:tcPr>
            <w:tcW w:w="2431" w:type="dxa"/>
            <w:gridSpan w:val="3"/>
            <w:tcBorders>
              <w:top w:val="single" w:color="auto" w:sz="4" w:space="0"/>
              <w:left w:val="nil"/>
              <w:bottom w:val="single" w:color="auto" w:sz="4" w:space="0"/>
              <w:right w:val="single" w:color="auto" w:sz="4" w:space="0"/>
            </w:tcBorders>
            <w:tcMar>
              <w:top w:w="0" w:type="dxa"/>
              <w:left w:w="108" w:type="dxa"/>
              <w:bottom w:w="0" w:type="dxa"/>
              <w:right w:w="108" w:type="dxa"/>
            </w:tcMar>
            <w:vAlign w:val="center"/>
          </w:tcPr>
          <w:p w14:paraId="772BD959">
            <w:pPr>
              <w:pStyle w:val="126"/>
              <w:widowControl/>
              <w:suppressLineNumbers/>
              <w:suppressAutoHyphens/>
              <w:spacing w:line="400" w:lineRule="exact"/>
              <w:ind w:firstLine="0" w:firstLineChars="0"/>
              <w:contextualSpacing/>
              <w:jc w:val="center"/>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bCs w:val="0"/>
                <w:color w:val="auto"/>
                <w:sz w:val="21"/>
                <w:szCs w:val="21"/>
                <w:highlight w:val="none"/>
              </w:rPr>
              <w:t>项目实施进度要求</w:t>
            </w:r>
          </w:p>
        </w:tc>
        <w:tc>
          <w:tcPr>
            <w:tcW w:w="657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8B7EF19">
            <w:pPr>
              <w:spacing w:line="360" w:lineRule="atLeast"/>
              <w:ind w:firstLine="482"/>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签订合同后10个工作日内，成交供应商必须按竞标响应组织研发团队进场，与采购人召开首次项目实施工作会议，商定项目的实施计划和相关工作安排。项目建设过程要求安排合理可控，必须分歩开展项目建设实施工作，项目的关键时间节点要求如下：</w:t>
            </w:r>
          </w:p>
          <w:p w14:paraId="5F18D1DC">
            <w:pPr>
              <w:spacing w:line="360" w:lineRule="atLeast"/>
              <w:ind w:firstLine="482"/>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（1）2025年</w:t>
            </w:r>
            <w:r>
              <w:rPr>
                <w:rFonts w:asciiTheme="minorEastAsia" w:hAnsiTheme="minorEastAsia" w:eastAsiaTheme="minorEastAsia" w:cstheme="minorEastAsia"/>
                <w:color w:val="auto"/>
                <w:kern w:val="0"/>
                <w:szCs w:val="21"/>
                <w:highlight w:val="none"/>
              </w:rPr>
              <w:t>2</w:t>
            </w:r>
            <w:r>
              <w:rPr>
                <w:rFonts w:hint="eastAsia" w:asciiTheme="minorEastAsia" w:hAnsiTheme="minorEastAsia" w:eastAsiaTheme="minorEastAsia" w:cstheme="minorEastAsia"/>
                <w:color w:val="auto"/>
                <w:kern w:val="0"/>
                <w:szCs w:val="21"/>
                <w:highlight w:val="none"/>
              </w:rPr>
              <w:t>月底前，必须完成检务综合平台需求调研，并通过采购人确认。</w:t>
            </w:r>
          </w:p>
          <w:p w14:paraId="383DE1FA">
            <w:pPr>
              <w:spacing w:line="360" w:lineRule="atLeast"/>
              <w:ind w:firstLine="482"/>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（2）2025年</w:t>
            </w:r>
            <w:r>
              <w:rPr>
                <w:rFonts w:asciiTheme="minorEastAsia" w:hAnsiTheme="minorEastAsia" w:eastAsiaTheme="minorEastAsia" w:cstheme="minorEastAsia"/>
                <w:color w:val="auto"/>
                <w:kern w:val="0"/>
                <w:szCs w:val="21"/>
                <w:highlight w:val="none"/>
              </w:rPr>
              <w:t>4</w:t>
            </w:r>
            <w:r>
              <w:rPr>
                <w:rFonts w:hint="eastAsia" w:asciiTheme="minorEastAsia" w:hAnsiTheme="minorEastAsia" w:eastAsiaTheme="minorEastAsia" w:cstheme="minorEastAsia"/>
                <w:color w:val="auto"/>
                <w:kern w:val="0"/>
                <w:szCs w:val="21"/>
                <w:highlight w:val="none"/>
              </w:rPr>
              <w:t>月底前，必须按项目要求完成本项目的信息系统整合工作，并根据前期试运行情况进行修正软件的缺陷和不足；</w:t>
            </w:r>
          </w:p>
          <w:p w14:paraId="39B3638B">
            <w:pPr>
              <w:spacing w:line="360" w:lineRule="atLeast"/>
              <w:ind w:firstLine="482"/>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（3）2025年6月底前，必须完成信息系统整合的开发测试、实施，并正式上线运行，实现软件的交付应用及竣工验收工作。</w:t>
            </w:r>
          </w:p>
          <w:p w14:paraId="37C9A119">
            <w:pPr>
              <w:spacing w:line="360" w:lineRule="atLeast"/>
              <w:ind w:firstLine="482"/>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rPr>
              <w:t>（4）2025至2027年每年</w:t>
            </w:r>
            <w:r>
              <w:rPr>
                <w:rFonts w:asciiTheme="minorEastAsia" w:hAnsiTheme="minorEastAsia" w:eastAsiaTheme="minorEastAsia" w:cstheme="minorEastAsia"/>
                <w:color w:val="auto"/>
                <w:kern w:val="0"/>
                <w:szCs w:val="21"/>
                <w:highlight w:val="none"/>
              </w:rPr>
              <w:t>8</w:t>
            </w:r>
            <w:r>
              <w:rPr>
                <w:rFonts w:hint="eastAsia" w:asciiTheme="minorEastAsia" w:hAnsiTheme="minorEastAsia" w:eastAsiaTheme="minorEastAsia" w:cstheme="minorEastAsia"/>
                <w:color w:val="auto"/>
                <w:kern w:val="0"/>
                <w:szCs w:val="21"/>
                <w:highlight w:val="none"/>
              </w:rPr>
              <w:t>月底前，必须完成本项目要求的当年度信息系统网络</w:t>
            </w:r>
            <w:r>
              <w:rPr>
                <w:rFonts w:asciiTheme="minorEastAsia" w:hAnsiTheme="minorEastAsia" w:eastAsiaTheme="minorEastAsia" w:cstheme="minorEastAsia"/>
                <w:color w:val="auto"/>
                <w:kern w:val="0"/>
                <w:szCs w:val="21"/>
                <w:highlight w:val="none"/>
              </w:rPr>
              <w:t>安全</w:t>
            </w:r>
            <w:r>
              <w:rPr>
                <w:rFonts w:hint="eastAsia" w:asciiTheme="minorEastAsia" w:hAnsiTheme="minorEastAsia" w:eastAsiaTheme="minorEastAsia" w:cstheme="minorEastAsia"/>
                <w:color w:val="auto"/>
                <w:kern w:val="0"/>
                <w:szCs w:val="21"/>
                <w:highlight w:val="none"/>
              </w:rPr>
              <w:t>等级保护测评或信息</w:t>
            </w:r>
            <w:r>
              <w:rPr>
                <w:rFonts w:asciiTheme="minorEastAsia" w:hAnsiTheme="minorEastAsia" w:eastAsiaTheme="minorEastAsia" w:cstheme="minorEastAsia"/>
                <w:color w:val="auto"/>
                <w:kern w:val="0"/>
                <w:szCs w:val="21"/>
                <w:highlight w:val="none"/>
              </w:rPr>
              <w:t>安全</w:t>
            </w:r>
            <w:r>
              <w:rPr>
                <w:rFonts w:hint="eastAsia" w:asciiTheme="minorEastAsia" w:hAnsiTheme="minorEastAsia" w:eastAsiaTheme="minorEastAsia" w:cstheme="minorEastAsia"/>
                <w:color w:val="auto"/>
                <w:kern w:val="0"/>
                <w:szCs w:val="21"/>
                <w:highlight w:val="none"/>
              </w:rPr>
              <w:t>风险评估工作。</w:t>
            </w:r>
          </w:p>
          <w:p w14:paraId="3388F3A4">
            <w:pPr>
              <w:widowControl/>
              <w:snapToGrid w:val="0"/>
              <w:spacing w:before="60" w:after="60" w:line="360" w:lineRule="atLeast"/>
              <w:ind w:firstLine="482"/>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rPr>
              <w:t>因采购方原因造成项目实施延期的，项目工期由采购人、成交供应商共同协商确定。</w:t>
            </w:r>
          </w:p>
        </w:tc>
      </w:tr>
      <w:tr w14:paraId="36779391">
        <w:tblPrEx>
          <w:tblCellMar>
            <w:top w:w="15" w:type="dxa"/>
            <w:left w:w="15" w:type="dxa"/>
            <w:bottom w:w="15" w:type="dxa"/>
            <w:right w:w="15" w:type="dxa"/>
          </w:tblCellMar>
        </w:tblPrEx>
        <w:trPr>
          <w:trHeight w:val="20" w:hRule="atLeast"/>
          <w:jc w:val="center"/>
        </w:trPr>
        <w:tc>
          <w:tcPr>
            <w:tcW w:w="5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792B732">
            <w:pPr>
              <w:pStyle w:val="126"/>
              <w:widowControl/>
              <w:suppressLineNumbers/>
              <w:suppressAutoHyphens/>
              <w:spacing w:line="400" w:lineRule="exact"/>
              <w:ind w:firstLine="0" w:firstLineChars="0"/>
              <w:contextualSpacing/>
              <w:jc w:val="center"/>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kern w:val="0"/>
                <w:sz w:val="21"/>
                <w:szCs w:val="21"/>
                <w:highlight w:val="none"/>
              </w:rPr>
              <w:t>5</w:t>
            </w:r>
          </w:p>
        </w:tc>
        <w:tc>
          <w:tcPr>
            <w:tcW w:w="2431" w:type="dxa"/>
            <w:gridSpan w:val="3"/>
            <w:tcBorders>
              <w:top w:val="single" w:color="auto" w:sz="4" w:space="0"/>
              <w:left w:val="nil"/>
              <w:bottom w:val="single" w:color="auto" w:sz="4" w:space="0"/>
              <w:right w:val="single" w:color="auto" w:sz="4" w:space="0"/>
            </w:tcBorders>
            <w:tcMar>
              <w:top w:w="0" w:type="dxa"/>
              <w:left w:w="108" w:type="dxa"/>
              <w:bottom w:w="0" w:type="dxa"/>
              <w:right w:w="108" w:type="dxa"/>
            </w:tcMar>
            <w:vAlign w:val="center"/>
          </w:tcPr>
          <w:p w14:paraId="1949F78B">
            <w:pPr>
              <w:pStyle w:val="126"/>
              <w:widowControl/>
              <w:suppressLineNumbers/>
              <w:suppressAutoHyphens/>
              <w:spacing w:line="400" w:lineRule="exact"/>
              <w:ind w:firstLine="0" w:firstLineChars="0"/>
              <w:contextualSpacing/>
              <w:jc w:val="center"/>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bCs w:val="0"/>
                <w:color w:val="auto"/>
                <w:sz w:val="21"/>
                <w:szCs w:val="21"/>
                <w:highlight w:val="none"/>
              </w:rPr>
              <w:t>项目培训服务要求</w:t>
            </w:r>
          </w:p>
        </w:tc>
        <w:tc>
          <w:tcPr>
            <w:tcW w:w="657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23BDFCA">
            <w:pPr>
              <w:widowControl/>
              <w:snapToGrid w:val="0"/>
              <w:spacing w:before="60" w:after="60" w:line="360" w:lineRule="atLeast"/>
              <w:ind w:firstLine="482"/>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供应商在竞标时必须按照</w:t>
            </w:r>
            <w:r>
              <w:rPr>
                <w:rFonts w:hint="eastAsia" w:asciiTheme="minorEastAsia" w:hAnsiTheme="minorEastAsia" w:eastAsiaTheme="minorEastAsia" w:cstheme="minorEastAsia"/>
                <w:color w:val="auto"/>
                <w:szCs w:val="21"/>
                <w:highlight w:val="none"/>
              </w:rPr>
              <w:t>本章采购内容的</w:t>
            </w:r>
            <w:r>
              <w:rPr>
                <w:rFonts w:hint="eastAsia" w:asciiTheme="minorEastAsia" w:hAnsiTheme="minorEastAsia" w:eastAsiaTheme="minorEastAsia" w:cstheme="minorEastAsia"/>
                <w:b/>
                <w:color w:val="auto"/>
                <w:szCs w:val="21"/>
                <w:highlight w:val="none"/>
              </w:rPr>
              <w:t>“二、采购需求”</w:t>
            </w:r>
            <w:r>
              <w:rPr>
                <w:rFonts w:hint="eastAsia" w:asciiTheme="minorEastAsia" w:hAnsiTheme="minorEastAsia" w:eastAsiaTheme="minorEastAsia" w:cstheme="minorEastAsia"/>
                <w:color w:val="auto"/>
                <w:szCs w:val="21"/>
                <w:highlight w:val="none"/>
              </w:rPr>
              <w:t>中</w:t>
            </w:r>
            <w:r>
              <w:rPr>
                <w:rFonts w:hint="eastAsia" w:asciiTheme="minorEastAsia" w:hAnsiTheme="minorEastAsia" w:eastAsiaTheme="minorEastAsia" w:cstheme="minorEastAsia"/>
                <w:b/>
                <w:color w:val="auto"/>
                <w:szCs w:val="21"/>
                <w:highlight w:val="none"/>
              </w:rPr>
              <w:t>“6、项目建设实施集成服务”培训服务</w:t>
            </w:r>
            <w:r>
              <w:rPr>
                <w:rFonts w:hint="eastAsia" w:asciiTheme="minorEastAsia" w:hAnsiTheme="minorEastAsia" w:eastAsiaTheme="minorEastAsia" w:cstheme="minorEastAsia"/>
                <w:color w:val="auto"/>
                <w:szCs w:val="21"/>
                <w:highlight w:val="none"/>
              </w:rPr>
              <w:t>要求，</w:t>
            </w:r>
            <w:r>
              <w:rPr>
                <w:rFonts w:hint="eastAsia" w:asciiTheme="minorEastAsia" w:hAnsiTheme="minorEastAsia" w:eastAsiaTheme="minorEastAsia" w:cstheme="minorEastAsia"/>
                <w:color w:val="auto"/>
                <w:kern w:val="0"/>
                <w:szCs w:val="21"/>
                <w:highlight w:val="none"/>
              </w:rPr>
              <w:t>提供完整详细培训教材和培训计划，培训计划合理可行，根据培训内容的安排详细计划，承诺不低于下列要求：</w:t>
            </w:r>
          </w:p>
          <w:p w14:paraId="708AD49B">
            <w:pPr>
              <w:widowControl/>
              <w:snapToGrid w:val="0"/>
              <w:spacing w:before="60" w:after="60" w:line="360" w:lineRule="atLeast"/>
              <w:ind w:firstLine="482"/>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（1）应用软件用户操作培训：供应商必须提供完整详细的用户操作培训资料教材手册，制定培训计划，配合采购人完成对系统用户开展软件的功能、安装方法、运行使用操作、日常维护等方面的操作培训。</w:t>
            </w:r>
          </w:p>
          <w:p w14:paraId="04136777">
            <w:pPr>
              <w:widowControl/>
              <w:snapToGrid w:val="0"/>
              <w:spacing w:before="60" w:after="60" w:line="360" w:lineRule="atLeast"/>
              <w:ind w:firstLine="482"/>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（2）技术人员开发维护培训：供应商必须提供完整详细的应用系统开发、维护等工作所需的资料教材手册，制定详细的用户方技术人员开发及维护培训计划，并根据用户的要求完成培训任务。</w:t>
            </w:r>
          </w:p>
          <w:p w14:paraId="0A6EC896">
            <w:pPr>
              <w:widowControl/>
              <w:snapToGrid w:val="0"/>
              <w:spacing w:before="60" w:after="60" w:line="360" w:lineRule="atLeast"/>
              <w:ind w:firstLine="482"/>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（3）系统软件现场培训：供应商应具有完整的培训体系结构，制定详细的系统软件使用、配置及维护培训计划，并根据用户的要求完成对用户方技术人员的系统软件现场培训任务。</w:t>
            </w:r>
          </w:p>
          <w:p w14:paraId="72FD5F82">
            <w:pPr>
              <w:widowControl/>
              <w:snapToGrid w:val="0"/>
              <w:spacing w:before="60" w:after="60" w:line="360" w:lineRule="atLeast"/>
              <w:ind w:firstLine="482"/>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（4）培训费用</w:t>
            </w:r>
          </w:p>
          <w:p w14:paraId="1C176707">
            <w:pPr>
              <w:widowControl/>
              <w:snapToGrid w:val="0"/>
              <w:spacing w:before="60" w:after="60" w:line="360" w:lineRule="atLeast"/>
              <w:ind w:firstLine="482"/>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rPr>
              <w:t>供应商须负责本项目在培训过程中所发生的师资（含差旅、劳务等费用）、教材编写及印刷制作、一次性办公耗材用品等费用，培训费用计入总报价内。培训所需计算机环境、网络环境、场地由用户提供。</w:t>
            </w:r>
          </w:p>
        </w:tc>
      </w:tr>
      <w:tr w14:paraId="5BD85FF9">
        <w:tblPrEx>
          <w:tblCellMar>
            <w:top w:w="15" w:type="dxa"/>
            <w:left w:w="15" w:type="dxa"/>
            <w:bottom w:w="15" w:type="dxa"/>
            <w:right w:w="15" w:type="dxa"/>
          </w:tblCellMar>
        </w:tblPrEx>
        <w:trPr>
          <w:trHeight w:val="20" w:hRule="atLeast"/>
          <w:jc w:val="center"/>
        </w:trPr>
        <w:tc>
          <w:tcPr>
            <w:tcW w:w="5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20E2E39">
            <w:pPr>
              <w:pStyle w:val="126"/>
              <w:widowControl/>
              <w:suppressLineNumbers/>
              <w:suppressAutoHyphens/>
              <w:spacing w:line="400" w:lineRule="exact"/>
              <w:ind w:firstLine="0" w:firstLineChars="0"/>
              <w:contextualSpacing/>
              <w:jc w:val="center"/>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kern w:val="0"/>
                <w:sz w:val="21"/>
                <w:szCs w:val="21"/>
                <w:highlight w:val="none"/>
              </w:rPr>
              <w:t>6</w:t>
            </w:r>
          </w:p>
        </w:tc>
        <w:tc>
          <w:tcPr>
            <w:tcW w:w="2431" w:type="dxa"/>
            <w:gridSpan w:val="3"/>
            <w:tcBorders>
              <w:top w:val="single" w:color="auto" w:sz="4" w:space="0"/>
              <w:left w:val="nil"/>
              <w:bottom w:val="single" w:color="auto" w:sz="4" w:space="0"/>
              <w:right w:val="single" w:color="auto" w:sz="4" w:space="0"/>
            </w:tcBorders>
            <w:tcMar>
              <w:top w:w="0" w:type="dxa"/>
              <w:left w:w="108" w:type="dxa"/>
              <w:bottom w:w="0" w:type="dxa"/>
              <w:right w:w="108" w:type="dxa"/>
            </w:tcMar>
            <w:vAlign w:val="center"/>
          </w:tcPr>
          <w:p w14:paraId="6881C0DA">
            <w:pPr>
              <w:pStyle w:val="126"/>
              <w:widowControl/>
              <w:suppressLineNumbers/>
              <w:suppressAutoHyphens/>
              <w:spacing w:line="400" w:lineRule="exact"/>
              <w:ind w:firstLine="0" w:firstLineChars="0"/>
              <w:contextualSpacing/>
              <w:jc w:val="center"/>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bCs w:val="0"/>
                <w:color w:val="auto"/>
                <w:sz w:val="21"/>
                <w:szCs w:val="21"/>
                <w:highlight w:val="none"/>
              </w:rPr>
              <w:t>项目验收要求</w:t>
            </w:r>
          </w:p>
        </w:tc>
        <w:tc>
          <w:tcPr>
            <w:tcW w:w="657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D313376">
            <w:pPr>
              <w:widowControl/>
              <w:snapToGrid w:val="0"/>
              <w:spacing w:before="60" w:after="60" w:line="360" w:lineRule="atLeast"/>
              <w:ind w:firstLine="482"/>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本项目建设成果在推广实施之前，成交供应商需对产品进行模拟环境测试和实际环境下的试运行，包括文档验收、程序验收与测试结果评审等几项工作。</w:t>
            </w:r>
          </w:p>
          <w:p w14:paraId="68FD1E98">
            <w:pPr>
              <w:widowControl/>
              <w:snapToGrid w:val="0"/>
              <w:spacing w:before="60" w:after="60" w:line="360" w:lineRule="atLeast"/>
              <w:ind w:left="962" w:hanging="482"/>
              <w:jc w:val="left"/>
              <w:rPr>
                <w:rFonts w:asciiTheme="minorEastAsia" w:hAnsiTheme="minorEastAsia" w:eastAsiaTheme="minorEastAsia" w:cstheme="minorEastAsia"/>
                <w:b/>
                <w:color w:val="auto"/>
                <w:kern w:val="0"/>
                <w:szCs w:val="21"/>
                <w:highlight w:val="none"/>
              </w:rPr>
            </w:pPr>
            <w:r>
              <w:rPr>
                <w:rFonts w:hint="eastAsia" w:asciiTheme="minorEastAsia" w:hAnsiTheme="minorEastAsia" w:eastAsiaTheme="minorEastAsia" w:cstheme="minorEastAsia"/>
                <w:b/>
                <w:color w:val="auto"/>
                <w:kern w:val="0"/>
                <w:szCs w:val="21"/>
                <w:highlight w:val="none"/>
              </w:rPr>
              <w:t>（1）项目试运行验收</w:t>
            </w:r>
          </w:p>
          <w:p w14:paraId="0099AD86">
            <w:pPr>
              <w:widowControl/>
              <w:snapToGrid w:val="0"/>
              <w:spacing w:before="60" w:after="60" w:line="360" w:lineRule="atLeast"/>
              <w:ind w:firstLine="482"/>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在完成用户要求的客户化定制开发和软件安装部署工作后，成交供应商可申请试运行验收，经采购人同意后，进行试运行验收。</w:t>
            </w:r>
          </w:p>
          <w:p w14:paraId="611BE602">
            <w:pPr>
              <w:widowControl/>
              <w:snapToGrid w:val="0"/>
              <w:spacing w:before="60" w:after="60" w:line="360" w:lineRule="atLeast"/>
              <w:ind w:firstLine="482"/>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在试运行验收前，成交供应商应做好以下工作：制定验收方案，完成相关验收文档的整理，包括需求文档、设计文档、操作手册、应用单位安装实施报告、数据字典等。所有文档应以书面、电子两种形式提交采购人。</w:t>
            </w:r>
          </w:p>
          <w:p w14:paraId="2F236451">
            <w:pPr>
              <w:widowControl/>
              <w:snapToGrid w:val="0"/>
              <w:spacing w:before="60" w:after="60" w:line="360" w:lineRule="atLeast"/>
              <w:ind w:left="962" w:hanging="482"/>
              <w:jc w:val="left"/>
              <w:rPr>
                <w:rFonts w:asciiTheme="minorEastAsia" w:hAnsiTheme="minorEastAsia" w:eastAsiaTheme="minorEastAsia" w:cstheme="minorEastAsia"/>
                <w:b/>
                <w:color w:val="auto"/>
                <w:kern w:val="0"/>
                <w:szCs w:val="21"/>
                <w:highlight w:val="none"/>
              </w:rPr>
            </w:pPr>
            <w:r>
              <w:rPr>
                <w:rFonts w:hint="eastAsia" w:asciiTheme="minorEastAsia" w:hAnsiTheme="minorEastAsia" w:eastAsiaTheme="minorEastAsia" w:cstheme="minorEastAsia"/>
                <w:b/>
                <w:color w:val="auto"/>
                <w:kern w:val="0"/>
                <w:szCs w:val="21"/>
                <w:highlight w:val="none"/>
              </w:rPr>
              <w:t>（2）项目竣工验收</w:t>
            </w:r>
          </w:p>
          <w:p w14:paraId="7A7B4792">
            <w:pPr>
              <w:widowControl/>
              <w:snapToGrid w:val="0"/>
              <w:spacing w:before="60" w:after="60" w:line="360" w:lineRule="atLeast"/>
              <w:ind w:firstLine="482"/>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在试运行验收通过后，成交供应商需完成所有本项目系统的配置信息初始化及专项定制工作，并进行全面推广，全面推广工作完成后，成交供应商可申请项目竣工验收，经采购人同意后，开展竣工验收。</w:t>
            </w:r>
          </w:p>
          <w:p w14:paraId="4EA0E01F">
            <w:pPr>
              <w:widowControl/>
              <w:snapToGrid w:val="0"/>
              <w:spacing w:before="60" w:after="60" w:line="360" w:lineRule="atLeast"/>
              <w:ind w:firstLine="482"/>
              <w:jc w:val="left"/>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在进行竣工验收前，成交供应商应做好以下工作：</w:t>
            </w:r>
          </w:p>
          <w:p w14:paraId="0FB161EF">
            <w:pPr>
              <w:widowControl/>
              <w:snapToGrid w:val="0"/>
              <w:spacing w:before="60" w:after="60" w:line="360" w:lineRule="atLeast"/>
              <w:ind w:firstLine="482"/>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rPr>
              <w:t>相关的实施报告，试运行阶段运行记录，项目验收报告，第三方对</w:t>
            </w:r>
            <w:r>
              <w:rPr>
                <w:rFonts w:asciiTheme="minorEastAsia" w:hAnsiTheme="minorEastAsia" w:eastAsiaTheme="minorEastAsia" w:cstheme="minorEastAsia"/>
                <w:color w:val="auto"/>
                <w:kern w:val="0"/>
                <w:szCs w:val="21"/>
                <w:highlight w:val="none"/>
              </w:rPr>
              <w:t>本项目</w:t>
            </w:r>
            <w:r>
              <w:rPr>
                <w:rFonts w:hint="eastAsia" w:asciiTheme="minorEastAsia" w:hAnsiTheme="minorEastAsia" w:eastAsiaTheme="minorEastAsia" w:cstheme="minorEastAsia"/>
                <w:color w:val="auto"/>
                <w:kern w:val="0"/>
                <w:szCs w:val="21"/>
                <w:highlight w:val="none"/>
              </w:rPr>
              <w:t>1至4项</w:t>
            </w:r>
            <w:r>
              <w:rPr>
                <w:rFonts w:asciiTheme="minorEastAsia" w:hAnsiTheme="minorEastAsia" w:eastAsiaTheme="minorEastAsia" w:cstheme="minorEastAsia"/>
                <w:color w:val="auto"/>
                <w:kern w:val="0"/>
                <w:szCs w:val="21"/>
                <w:highlight w:val="none"/>
              </w:rPr>
              <w:t>软件系统</w:t>
            </w:r>
            <w:r>
              <w:rPr>
                <w:rFonts w:hint="eastAsia" w:asciiTheme="minorEastAsia" w:hAnsiTheme="minorEastAsia" w:eastAsiaTheme="minorEastAsia" w:cstheme="minorEastAsia"/>
                <w:color w:val="auto"/>
                <w:kern w:val="0"/>
                <w:szCs w:val="21"/>
                <w:highlight w:val="none"/>
              </w:rPr>
              <w:t>的检测报告（至少</w:t>
            </w:r>
            <w:r>
              <w:rPr>
                <w:rFonts w:asciiTheme="minorEastAsia" w:hAnsiTheme="minorEastAsia" w:eastAsiaTheme="minorEastAsia" w:cstheme="minorEastAsia"/>
                <w:color w:val="auto"/>
                <w:kern w:val="0"/>
                <w:szCs w:val="21"/>
                <w:highlight w:val="none"/>
              </w:rPr>
              <w:t>含</w:t>
            </w:r>
            <w:r>
              <w:rPr>
                <w:rFonts w:hint="eastAsia" w:asciiTheme="minorEastAsia" w:hAnsiTheme="minorEastAsia" w:eastAsiaTheme="minorEastAsia" w:cstheme="minorEastAsia"/>
                <w:color w:val="auto"/>
                <w:kern w:val="0"/>
                <w:szCs w:val="21"/>
                <w:highlight w:val="none"/>
              </w:rPr>
              <w:t>软件系统</w:t>
            </w:r>
            <w:r>
              <w:rPr>
                <w:rFonts w:asciiTheme="minorEastAsia" w:hAnsiTheme="minorEastAsia" w:eastAsiaTheme="minorEastAsia" w:cstheme="minorEastAsia"/>
                <w:color w:val="auto"/>
                <w:kern w:val="0"/>
                <w:szCs w:val="21"/>
                <w:highlight w:val="none"/>
              </w:rPr>
              <w:t>的功能、性能、</w:t>
            </w:r>
            <w:r>
              <w:rPr>
                <w:rFonts w:hint="eastAsia" w:asciiTheme="minorEastAsia" w:hAnsiTheme="minorEastAsia" w:eastAsiaTheme="minorEastAsia" w:cstheme="minorEastAsia"/>
                <w:color w:val="auto"/>
                <w:kern w:val="0"/>
                <w:szCs w:val="21"/>
                <w:highlight w:val="none"/>
              </w:rPr>
              <w:t>建设</w:t>
            </w:r>
            <w:r>
              <w:rPr>
                <w:rFonts w:asciiTheme="minorEastAsia" w:hAnsiTheme="minorEastAsia" w:eastAsiaTheme="minorEastAsia" w:cstheme="minorEastAsia"/>
                <w:color w:val="auto"/>
                <w:kern w:val="0"/>
                <w:szCs w:val="21"/>
                <w:highlight w:val="none"/>
              </w:rPr>
              <w:t>完整性、需求符合性</w:t>
            </w:r>
            <w:r>
              <w:rPr>
                <w:rFonts w:hint="eastAsia" w:asciiTheme="minorEastAsia" w:hAnsiTheme="minorEastAsia" w:eastAsiaTheme="minorEastAsia" w:cstheme="minorEastAsia"/>
                <w:color w:val="auto"/>
                <w:kern w:val="0"/>
                <w:szCs w:val="21"/>
                <w:highlight w:val="none"/>
              </w:rPr>
              <w:t>、信息安全性和商用密码合规</w:t>
            </w:r>
            <w:r>
              <w:rPr>
                <w:rFonts w:asciiTheme="minorEastAsia" w:hAnsiTheme="minorEastAsia" w:eastAsiaTheme="minorEastAsia" w:cstheme="minorEastAsia"/>
                <w:color w:val="auto"/>
                <w:kern w:val="0"/>
                <w:szCs w:val="21"/>
                <w:highlight w:val="none"/>
              </w:rPr>
              <w:t>性等方面检测）</w:t>
            </w:r>
            <w:r>
              <w:rPr>
                <w:rFonts w:hint="eastAsia" w:asciiTheme="minorEastAsia" w:hAnsiTheme="minorEastAsia" w:eastAsiaTheme="minorEastAsia" w:cstheme="minorEastAsia"/>
                <w:color w:val="auto"/>
                <w:kern w:val="0"/>
                <w:szCs w:val="21"/>
                <w:highlight w:val="none"/>
              </w:rPr>
              <w:t>，应用系统的相关需求分析文档、系统设计文档、系统测试文档、软件用户操作手册、软件培训资料以及采购人需要成交供应商提供的验收文档等。竣工验收的结果要求提供由参加项目终验各方签字的竣工验收报告，并且给出竣工验收的明确结果。通过竣工验收后，即进入系统运行维护阶段。</w:t>
            </w:r>
          </w:p>
        </w:tc>
      </w:tr>
      <w:tr w14:paraId="001712F6">
        <w:tblPrEx>
          <w:tblCellMar>
            <w:top w:w="15" w:type="dxa"/>
            <w:left w:w="15" w:type="dxa"/>
            <w:bottom w:w="15" w:type="dxa"/>
            <w:right w:w="15" w:type="dxa"/>
          </w:tblCellMar>
        </w:tblPrEx>
        <w:trPr>
          <w:trHeight w:val="20" w:hRule="atLeast"/>
          <w:jc w:val="center"/>
        </w:trPr>
        <w:tc>
          <w:tcPr>
            <w:tcW w:w="5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622389D">
            <w:pPr>
              <w:pStyle w:val="126"/>
              <w:widowControl/>
              <w:suppressLineNumbers/>
              <w:suppressAutoHyphens/>
              <w:spacing w:line="400" w:lineRule="exact"/>
              <w:ind w:firstLine="0" w:firstLineChars="0"/>
              <w:contextualSpacing/>
              <w:jc w:val="center"/>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kern w:val="0"/>
                <w:sz w:val="21"/>
                <w:szCs w:val="21"/>
                <w:highlight w:val="none"/>
              </w:rPr>
              <w:t>7</w:t>
            </w:r>
          </w:p>
        </w:tc>
        <w:tc>
          <w:tcPr>
            <w:tcW w:w="2431" w:type="dxa"/>
            <w:gridSpan w:val="3"/>
            <w:tcBorders>
              <w:top w:val="single" w:color="auto" w:sz="4" w:space="0"/>
              <w:left w:val="nil"/>
              <w:bottom w:val="single" w:color="auto" w:sz="4" w:space="0"/>
              <w:right w:val="single" w:color="auto" w:sz="4" w:space="0"/>
            </w:tcBorders>
            <w:tcMar>
              <w:top w:w="0" w:type="dxa"/>
              <w:left w:w="108" w:type="dxa"/>
              <w:bottom w:w="0" w:type="dxa"/>
              <w:right w:w="108" w:type="dxa"/>
            </w:tcMar>
            <w:vAlign w:val="center"/>
          </w:tcPr>
          <w:p w14:paraId="06704B5B">
            <w:pPr>
              <w:pStyle w:val="126"/>
              <w:widowControl/>
              <w:suppressLineNumbers/>
              <w:suppressAutoHyphens/>
              <w:spacing w:line="400" w:lineRule="exact"/>
              <w:ind w:firstLine="0" w:firstLineChars="0"/>
              <w:contextualSpacing/>
              <w:jc w:val="center"/>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bCs w:val="0"/>
                <w:color w:val="auto"/>
                <w:sz w:val="21"/>
                <w:szCs w:val="21"/>
                <w:highlight w:val="none"/>
              </w:rPr>
              <w:t>项目的知识产权要求</w:t>
            </w:r>
          </w:p>
        </w:tc>
        <w:tc>
          <w:tcPr>
            <w:tcW w:w="657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0599282">
            <w:pPr>
              <w:spacing w:line="360" w:lineRule="atLeast"/>
              <w:ind w:firstLine="482"/>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（1）本项目目1至4项软件系统属于委托建设，所建软件</w:t>
            </w:r>
            <w:r>
              <w:rPr>
                <w:rFonts w:asciiTheme="minorEastAsia" w:hAnsiTheme="minorEastAsia" w:eastAsiaTheme="minorEastAsia" w:cstheme="minorEastAsia"/>
                <w:color w:val="auto"/>
                <w:kern w:val="0"/>
                <w:szCs w:val="21"/>
                <w:highlight w:val="none"/>
              </w:rPr>
              <w:t>系统及接口等</w:t>
            </w:r>
            <w:r>
              <w:rPr>
                <w:rFonts w:hint="eastAsia" w:asciiTheme="minorEastAsia" w:hAnsiTheme="minorEastAsia" w:eastAsiaTheme="minorEastAsia" w:cstheme="minorEastAsia"/>
                <w:color w:val="auto"/>
                <w:kern w:val="0"/>
                <w:szCs w:val="21"/>
                <w:highlight w:val="none"/>
              </w:rPr>
              <w:t>知识版权归采购人所有，未经采购人书面授权同意，成交供应商不得擅自将项目建设相关的文档资料、软件平台、数据资源、软件源码等用于商业销售或授权第三方使用，也不能与任何形式提供给其他人或对外发布。</w:t>
            </w:r>
          </w:p>
          <w:p w14:paraId="36118562">
            <w:pPr>
              <w:spacing w:line="360" w:lineRule="atLeast"/>
              <w:ind w:firstLine="482"/>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rPr>
              <w:t>（2）成交供应商在项目交付时，必须给采购人提供项目最终实施部署软件的程序代码，并允许采购人利用程序代码升级软件。成交供应商提供的程序代码不能以二进制的动态库、中间件、系统组件、JAVA包等方式编译或加密，如项目建设的软件的确使用到第三方动态库、系统组件、中间件、JAVA包的，需提供这些第三方产品的软件开发白皮书或程序开发技术规范。</w:t>
            </w:r>
          </w:p>
        </w:tc>
      </w:tr>
      <w:tr w14:paraId="3ED22107">
        <w:tblPrEx>
          <w:tblCellMar>
            <w:top w:w="15" w:type="dxa"/>
            <w:left w:w="15" w:type="dxa"/>
            <w:bottom w:w="15" w:type="dxa"/>
            <w:right w:w="15" w:type="dxa"/>
          </w:tblCellMar>
        </w:tblPrEx>
        <w:trPr>
          <w:trHeight w:val="90" w:hRule="atLeast"/>
          <w:jc w:val="center"/>
        </w:trPr>
        <w:tc>
          <w:tcPr>
            <w:tcW w:w="5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3840171">
            <w:pPr>
              <w:pStyle w:val="126"/>
              <w:widowControl/>
              <w:suppressLineNumbers/>
              <w:suppressAutoHyphens/>
              <w:spacing w:line="400" w:lineRule="exact"/>
              <w:ind w:firstLine="0" w:firstLineChars="0"/>
              <w:contextualSpacing/>
              <w:jc w:val="center"/>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kern w:val="0"/>
                <w:sz w:val="21"/>
                <w:szCs w:val="21"/>
                <w:highlight w:val="none"/>
              </w:rPr>
              <w:t>8</w:t>
            </w:r>
          </w:p>
        </w:tc>
        <w:tc>
          <w:tcPr>
            <w:tcW w:w="2431" w:type="dxa"/>
            <w:gridSpan w:val="3"/>
            <w:tcBorders>
              <w:top w:val="single" w:color="auto" w:sz="4" w:space="0"/>
              <w:left w:val="nil"/>
              <w:bottom w:val="single" w:color="auto" w:sz="4" w:space="0"/>
              <w:right w:val="single" w:color="auto" w:sz="4" w:space="0"/>
            </w:tcBorders>
            <w:tcMar>
              <w:top w:w="0" w:type="dxa"/>
              <w:left w:w="108" w:type="dxa"/>
              <w:bottom w:w="0" w:type="dxa"/>
              <w:right w:w="108" w:type="dxa"/>
            </w:tcMar>
            <w:vAlign w:val="center"/>
          </w:tcPr>
          <w:p w14:paraId="6BB7422E">
            <w:pPr>
              <w:pStyle w:val="126"/>
              <w:widowControl/>
              <w:suppressLineNumbers/>
              <w:suppressAutoHyphens/>
              <w:spacing w:line="400" w:lineRule="exact"/>
              <w:ind w:firstLine="0" w:firstLineChars="0"/>
              <w:contextualSpacing/>
              <w:jc w:val="center"/>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bCs w:val="0"/>
                <w:color w:val="auto"/>
                <w:sz w:val="21"/>
                <w:szCs w:val="21"/>
                <w:highlight w:val="none"/>
              </w:rPr>
              <w:t>项目质保期服务要求</w:t>
            </w:r>
          </w:p>
        </w:tc>
        <w:tc>
          <w:tcPr>
            <w:tcW w:w="657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88368A0">
            <w:pPr>
              <w:spacing w:line="360" w:lineRule="atLeast"/>
              <w:ind w:firstLine="482"/>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成交供应商必须按照</w:t>
            </w:r>
            <w:r>
              <w:rPr>
                <w:rFonts w:hint="eastAsia" w:asciiTheme="minorEastAsia" w:hAnsiTheme="minorEastAsia" w:eastAsiaTheme="minorEastAsia" w:cstheme="minorEastAsia"/>
                <w:color w:val="auto"/>
                <w:szCs w:val="21"/>
                <w:highlight w:val="none"/>
              </w:rPr>
              <w:t>本章采购内容的</w:t>
            </w:r>
            <w:r>
              <w:rPr>
                <w:rFonts w:hint="eastAsia" w:asciiTheme="minorEastAsia" w:hAnsiTheme="minorEastAsia" w:eastAsiaTheme="minorEastAsia" w:cstheme="minorEastAsia"/>
                <w:b/>
                <w:color w:val="auto"/>
                <w:szCs w:val="21"/>
                <w:highlight w:val="none"/>
              </w:rPr>
              <w:t>“二、采购需求”</w:t>
            </w:r>
            <w:r>
              <w:rPr>
                <w:rFonts w:hint="eastAsia" w:asciiTheme="minorEastAsia" w:hAnsiTheme="minorEastAsia" w:eastAsiaTheme="minorEastAsia" w:cstheme="minorEastAsia"/>
                <w:color w:val="auto"/>
                <w:szCs w:val="21"/>
                <w:highlight w:val="none"/>
              </w:rPr>
              <w:t>中</w:t>
            </w:r>
            <w:r>
              <w:rPr>
                <w:rFonts w:hint="eastAsia" w:asciiTheme="minorEastAsia" w:hAnsiTheme="minorEastAsia" w:eastAsiaTheme="minorEastAsia" w:cstheme="minorEastAsia"/>
                <w:b/>
                <w:color w:val="auto"/>
                <w:szCs w:val="21"/>
                <w:highlight w:val="none"/>
              </w:rPr>
              <w:t>“6、项目建设实施集成服务”运维管理服务要求</w:t>
            </w:r>
            <w:r>
              <w:rPr>
                <w:rFonts w:hint="eastAsia" w:asciiTheme="minorEastAsia" w:hAnsiTheme="minorEastAsia" w:eastAsiaTheme="minorEastAsia" w:cstheme="minorEastAsia"/>
                <w:color w:val="auto"/>
                <w:kern w:val="0"/>
                <w:szCs w:val="21"/>
                <w:highlight w:val="none"/>
              </w:rPr>
              <w:t>，为本项目建设的检务综合平台及</w:t>
            </w:r>
            <w:r>
              <w:rPr>
                <w:rFonts w:asciiTheme="minorEastAsia" w:hAnsiTheme="minorEastAsia" w:eastAsiaTheme="minorEastAsia" w:cstheme="minorEastAsia"/>
                <w:color w:val="auto"/>
                <w:kern w:val="0"/>
                <w:szCs w:val="21"/>
                <w:highlight w:val="none"/>
              </w:rPr>
              <w:t>相关接口程序</w:t>
            </w:r>
            <w:r>
              <w:rPr>
                <w:rFonts w:hint="eastAsia" w:asciiTheme="minorEastAsia" w:hAnsiTheme="minorEastAsia" w:eastAsiaTheme="minorEastAsia" w:cstheme="minorEastAsia"/>
                <w:color w:val="auto"/>
                <w:kern w:val="0"/>
                <w:szCs w:val="21"/>
                <w:highlight w:val="none"/>
              </w:rPr>
              <w:t>的提供</w:t>
            </w:r>
            <w:r>
              <w:rPr>
                <w:rFonts w:hint="eastAsia" w:asciiTheme="minorEastAsia" w:hAnsiTheme="minorEastAsia" w:eastAsiaTheme="minorEastAsia" w:cstheme="minorEastAsia"/>
                <w:b/>
                <w:color w:val="auto"/>
                <w:kern w:val="0"/>
                <w:szCs w:val="21"/>
                <w:highlight w:val="none"/>
              </w:rPr>
              <w:t>不少于</w:t>
            </w:r>
            <w:r>
              <w:rPr>
                <w:rFonts w:asciiTheme="minorEastAsia" w:hAnsiTheme="minorEastAsia" w:eastAsiaTheme="minorEastAsia" w:cstheme="minorEastAsia"/>
                <w:b/>
                <w:color w:val="auto"/>
                <w:kern w:val="0"/>
                <w:szCs w:val="21"/>
                <w:highlight w:val="none"/>
              </w:rPr>
              <w:t>1年的免费质保服务</w:t>
            </w:r>
            <w:r>
              <w:rPr>
                <w:rFonts w:hint="eastAsia" w:asciiTheme="minorEastAsia" w:hAnsiTheme="minorEastAsia" w:eastAsiaTheme="minorEastAsia" w:cstheme="minorEastAsia"/>
                <w:color w:val="auto"/>
                <w:kern w:val="0"/>
                <w:szCs w:val="21"/>
                <w:highlight w:val="none"/>
              </w:rPr>
              <w:t>，质保期从项目竣工验收之日起计算，质保期期间至少驻场</w:t>
            </w:r>
            <w:r>
              <w:rPr>
                <w:rFonts w:hint="eastAsia" w:asciiTheme="minorEastAsia" w:hAnsiTheme="minorEastAsia" w:eastAsiaTheme="minorEastAsia" w:cstheme="minorEastAsia"/>
                <w:b/>
                <w:color w:val="auto"/>
                <w:kern w:val="0"/>
                <w:szCs w:val="21"/>
                <w:highlight w:val="none"/>
              </w:rPr>
              <w:t>1个及以上</w:t>
            </w:r>
            <w:r>
              <w:rPr>
                <w:rFonts w:hint="eastAsia" w:asciiTheme="minorEastAsia" w:hAnsiTheme="minorEastAsia" w:eastAsiaTheme="minorEastAsia" w:cstheme="minorEastAsia"/>
                <w:color w:val="auto"/>
                <w:kern w:val="0"/>
                <w:szCs w:val="21"/>
                <w:highlight w:val="none"/>
              </w:rPr>
              <w:t>具有相应技术能力、且参与项目建设、了解项目技术架构的技术人员提供现场服务。具有要求如下：</w:t>
            </w:r>
          </w:p>
          <w:p w14:paraId="5381961D">
            <w:pPr>
              <w:spacing w:line="360" w:lineRule="atLeast"/>
              <w:ind w:firstLine="482"/>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项目售后服务人员必须以采购人为核心，为用户提供7×24小时的应急响应及技术支持服务，接到用户故障报修请求时，必须即可组织人员响应并进行故障处理，对于本项目建设网络平台、基础运行环境、软件平台、系统纠正错误数据类请求，解决时间不能超过2小时；在应用系统软件发生故障时，中断时间不允许超过4小时。如果实在无法按时解决系统故障，则必须向用户书面说明原因，并在12小时内组织售后服务工程师到达现场进行故障处理，清除故障，确保系统故障尽快排除，恢复正常使用。不属于本项目建设内容的支撑硬件或网络环境等故障，虽然不属于本项目的售后服务内容，但是必须协助用户做好故障检测和排除工作。</w:t>
            </w:r>
          </w:p>
          <w:p w14:paraId="2EB46A61">
            <w:pPr>
              <w:spacing w:line="360" w:lineRule="atLeast"/>
              <w:ind w:firstLine="482"/>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国家法定节假日（如国庆、春节、元旦等），国家层面、最高检或采购人的重要会议、重大活动以及突发安全事件期间等特殊时期，如果有具体需要，成交供应商必须按采购人合理要求，安排人员进行驻地值守或为特殊任务加班。</w:t>
            </w:r>
          </w:p>
          <w:p w14:paraId="48A0AEC1">
            <w:pPr>
              <w:spacing w:line="360" w:lineRule="atLeast"/>
              <w:ind w:firstLine="482"/>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（3）形成工作汇报机制。项目售后服务人员必须与采购人进行日常沟通、协调，按时向用户方主管部门交付各种维护文档和记录，包括日常巡检及维护记录、BUG记录、培训和技术支持记录、以及定期工作总结。</w:t>
            </w:r>
          </w:p>
          <w:p w14:paraId="373A99E6">
            <w:pPr>
              <w:spacing w:line="360" w:lineRule="atLeast"/>
              <w:ind w:firstLine="482"/>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服务内容。项目建设系统的运行维护管理包括应用系统的调试、软件日常维护服务、应用技术支持服务、业务需求管理服务、业务数据管理服务，平台的升级服务，评估优化和协助个性化需求整理、开发管理等服务内容。</w:t>
            </w:r>
          </w:p>
          <w:p w14:paraId="7C08D773">
            <w:pPr>
              <w:spacing w:line="360" w:lineRule="atLeast"/>
              <w:ind w:firstLine="482"/>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（5）服务方式。根据服务工作内容提供电话、互联网、E-MAIL等方式的技术支持服务，现场和定期巡检技术服务、免费技术升级服务等方式技术支持服务，以远程服务、电话支持为主包括现场服务等多种方式。</w:t>
            </w:r>
          </w:p>
          <w:p w14:paraId="44434CFA">
            <w:pPr>
              <w:spacing w:line="360" w:lineRule="atLeast"/>
              <w:ind w:firstLine="482"/>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（6）应急服务。根据本项目建设内容实际情况建立应急响应机制，制定应急预案，并严格按照要求实施。</w:t>
            </w:r>
          </w:p>
          <w:p w14:paraId="726C194F">
            <w:pPr>
              <w:spacing w:line="360" w:lineRule="atLeast"/>
              <w:ind w:firstLine="482"/>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（7）项目售后服务人员服从采购人的各项管理规定和要求，对因工作疏失出现的信息安全责任事故，必须承担相应责任，接受惩处。</w:t>
            </w:r>
          </w:p>
          <w:p w14:paraId="74BF6490">
            <w:pPr>
              <w:spacing w:line="360" w:lineRule="atLeast"/>
              <w:ind w:firstLine="482"/>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（8）成交供应商应储备经验丰富的二线技术专家和业务专家，包括业务应用、系统、数据库等，可以随时为驻场人员提供资深技术支持。</w:t>
            </w:r>
          </w:p>
          <w:p w14:paraId="06D309C3">
            <w:pPr>
              <w:spacing w:line="360" w:lineRule="atLeast"/>
              <w:ind w:firstLine="482"/>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rPr>
              <w:t>（9）成交供应商必须积极响应用户要求，确保项目建设的系统7×24小时正常运行，如需到成交供应商到现场服务，应当协商解决，但现场服务价格不能超出竞标时服务报价。</w:t>
            </w:r>
          </w:p>
        </w:tc>
      </w:tr>
      <w:tr w14:paraId="62671C34">
        <w:tblPrEx>
          <w:tblCellMar>
            <w:top w:w="15" w:type="dxa"/>
            <w:left w:w="15" w:type="dxa"/>
            <w:bottom w:w="15" w:type="dxa"/>
            <w:right w:w="15" w:type="dxa"/>
          </w:tblCellMar>
        </w:tblPrEx>
        <w:trPr>
          <w:trHeight w:val="20" w:hRule="atLeast"/>
          <w:jc w:val="center"/>
        </w:trPr>
        <w:tc>
          <w:tcPr>
            <w:tcW w:w="5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864AED6">
            <w:pPr>
              <w:pStyle w:val="126"/>
              <w:widowControl/>
              <w:suppressLineNumbers/>
              <w:suppressAutoHyphens/>
              <w:spacing w:line="400" w:lineRule="exact"/>
              <w:ind w:firstLine="0" w:firstLineChars="0"/>
              <w:contextualSpacing/>
              <w:jc w:val="center"/>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kern w:val="0"/>
                <w:sz w:val="21"/>
                <w:szCs w:val="21"/>
                <w:highlight w:val="none"/>
              </w:rPr>
              <w:t>9</w:t>
            </w:r>
          </w:p>
        </w:tc>
        <w:tc>
          <w:tcPr>
            <w:tcW w:w="2431" w:type="dxa"/>
            <w:gridSpan w:val="3"/>
            <w:tcBorders>
              <w:top w:val="single" w:color="auto" w:sz="4" w:space="0"/>
              <w:left w:val="nil"/>
              <w:bottom w:val="single" w:color="auto" w:sz="4" w:space="0"/>
              <w:right w:val="single" w:color="auto" w:sz="4" w:space="0"/>
            </w:tcBorders>
            <w:tcMar>
              <w:top w:w="0" w:type="dxa"/>
              <w:left w:w="108" w:type="dxa"/>
              <w:bottom w:w="0" w:type="dxa"/>
              <w:right w:w="108" w:type="dxa"/>
            </w:tcMar>
            <w:vAlign w:val="center"/>
          </w:tcPr>
          <w:p w14:paraId="043D116A">
            <w:pPr>
              <w:pStyle w:val="126"/>
              <w:widowControl/>
              <w:suppressLineNumbers/>
              <w:suppressAutoHyphens/>
              <w:spacing w:line="400" w:lineRule="exact"/>
              <w:ind w:firstLine="0" w:firstLineChars="0"/>
              <w:contextualSpacing/>
              <w:jc w:val="center"/>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履约保证金</w:t>
            </w:r>
          </w:p>
        </w:tc>
        <w:tc>
          <w:tcPr>
            <w:tcW w:w="657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D0C4F31">
            <w:pPr>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□本项目不收取履约保证金。</w:t>
            </w:r>
          </w:p>
          <w:p w14:paraId="23C44AA1">
            <w:pPr>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☑本项目收取履约保证金，具体规定如下：履约保证金金额：按成交金额的</w:t>
            </w:r>
            <w:r>
              <w:rPr>
                <w:rFonts w:hint="eastAsia" w:asciiTheme="minorEastAsia" w:hAnsiTheme="minorEastAsia" w:eastAsiaTheme="minorEastAsia" w:cstheme="minorEastAsia"/>
                <w:color w:val="auto"/>
                <w:szCs w:val="21"/>
                <w:highlight w:val="none"/>
                <w:u w:val="single"/>
              </w:rPr>
              <w:t>5%</w:t>
            </w:r>
            <w:r>
              <w:rPr>
                <w:rFonts w:hint="eastAsia" w:asciiTheme="minorEastAsia" w:hAnsiTheme="minorEastAsia" w:eastAsiaTheme="minorEastAsia" w:cstheme="minorEastAsia"/>
                <w:color w:val="auto"/>
                <w:szCs w:val="21"/>
                <w:highlight w:val="none"/>
              </w:rPr>
              <w:t>（注：履约保证金不超过政府采购合同金额的5%，对中小企业收取的履约保证金数额不得超过政府采购合同金额的2%）。履约保证金递交方式：银行转账、支票、汇票、本票或者金融、担保机构出具的保函等非现金方式（参照磋商保证金）。履约保证金退付方式、时间及条件：成交供应商在签订实施合同之前，需要把履约保证金足额交到采购人指定账户。未提交履约保证金的，不予签订合同。项目服务期满后，由双方根据服务质量及履约情况结算扣除款项，将由采购人一次性无息返还结余的履约保证金给成交供应商，具体返还方式见“付款方式”。</w:t>
            </w:r>
          </w:p>
          <w:p w14:paraId="1941AEB8">
            <w:pPr>
              <w:spacing w:line="400" w:lineRule="exact"/>
              <w:ind w:firstLine="422" w:firstLineChars="200"/>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履约保证金指定账户：</w:t>
            </w:r>
          </w:p>
          <w:p w14:paraId="773C40CC">
            <w:pPr>
              <w:spacing w:line="400" w:lineRule="exact"/>
              <w:ind w:firstLine="422" w:firstLineChars="200"/>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开户名称：广西壮族自治区人民检察院</w:t>
            </w:r>
          </w:p>
          <w:p w14:paraId="4E71C38A">
            <w:pPr>
              <w:spacing w:line="400" w:lineRule="exact"/>
              <w:ind w:firstLine="422" w:firstLineChars="200"/>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开户银行：农行南宁市古城支行凤翔分理处</w:t>
            </w:r>
          </w:p>
          <w:p w14:paraId="590E117E">
            <w:pPr>
              <w:spacing w:line="400" w:lineRule="exact"/>
              <w:ind w:firstLine="422" w:firstLineChars="200"/>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银行账号：20009201040000296</w:t>
            </w:r>
          </w:p>
          <w:p w14:paraId="2E3C2BF0">
            <w:pPr>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备注：1、根据桂财规〔2022〕8号，采购人在采购文件中要求提交履约保证金的，履约保证金数额不得超过政府采购合同金额的5%；政府采购要加大对中小企业发展的扶持力度，对中小企业收取的履约保证金数额不得超过政府采购合同金额的2%。中标（成交）供应商的磋商（响应）保证金可转为履约保证金。</w:t>
            </w:r>
          </w:p>
          <w:p w14:paraId="5BA6C0BC">
            <w:pPr>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履约保证金不足额缴纳的（包含保函额度不足的），或者不按规定提交方式提交的，或者保函有效期低于合同履行期限（即合同中规定的当事人履行自己的义务，如交付标的物、价款或者报酬，履行劳务、完成工作的时间界限）的，不予签订合同。</w:t>
            </w:r>
          </w:p>
          <w:p w14:paraId="5BF63C23">
            <w:pPr>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3、采用金融、担保机构出具的保函的，必须为无条件保函，否则不予签订合同。</w:t>
            </w:r>
          </w:p>
          <w:p w14:paraId="12ED73AB">
            <w:pPr>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4、供应商为联合体的，由联合体其中一方按规定提交的履约保证金，视为有效履约保证金。</w:t>
            </w:r>
          </w:p>
        </w:tc>
      </w:tr>
      <w:tr w14:paraId="1EBD605C">
        <w:tblPrEx>
          <w:tblCellMar>
            <w:top w:w="15" w:type="dxa"/>
            <w:left w:w="15" w:type="dxa"/>
            <w:bottom w:w="15" w:type="dxa"/>
            <w:right w:w="15" w:type="dxa"/>
          </w:tblCellMar>
        </w:tblPrEx>
        <w:trPr>
          <w:trHeight w:val="20" w:hRule="atLeast"/>
          <w:jc w:val="center"/>
        </w:trPr>
        <w:tc>
          <w:tcPr>
            <w:tcW w:w="5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8726D08">
            <w:pPr>
              <w:pStyle w:val="126"/>
              <w:widowControl/>
              <w:suppressLineNumbers/>
              <w:suppressAutoHyphens/>
              <w:spacing w:line="400" w:lineRule="exact"/>
              <w:ind w:firstLine="0" w:firstLineChars="0"/>
              <w:contextualSpacing/>
              <w:jc w:val="center"/>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kern w:val="0"/>
                <w:sz w:val="21"/>
                <w:szCs w:val="21"/>
                <w:highlight w:val="none"/>
              </w:rPr>
              <w:t>10</w:t>
            </w:r>
          </w:p>
        </w:tc>
        <w:tc>
          <w:tcPr>
            <w:tcW w:w="2431" w:type="dxa"/>
            <w:gridSpan w:val="3"/>
            <w:tcBorders>
              <w:top w:val="single" w:color="auto" w:sz="4" w:space="0"/>
              <w:left w:val="nil"/>
              <w:bottom w:val="single" w:color="auto" w:sz="4" w:space="0"/>
              <w:right w:val="single" w:color="auto" w:sz="4" w:space="0"/>
            </w:tcBorders>
            <w:tcMar>
              <w:top w:w="0" w:type="dxa"/>
              <w:left w:w="108" w:type="dxa"/>
              <w:bottom w:w="0" w:type="dxa"/>
              <w:right w:w="108" w:type="dxa"/>
            </w:tcMar>
            <w:vAlign w:val="center"/>
          </w:tcPr>
          <w:p w14:paraId="5DB318E5">
            <w:pPr>
              <w:pStyle w:val="126"/>
              <w:widowControl/>
              <w:suppressLineNumbers/>
              <w:suppressAutoHyphens/>
              <w:spacing w:line="400" w:lineRule="exact"/>
              <w:ind w:firstLine="0" w:firstLineChars="0"/>
              <w:contextualSpacing/>
              <w:jc w:val="center"/>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bCs w:val="0"/>
                <w:color w:val="auto"/>
                <w:sz w:val="21"/>
                <w:szCs w:val="21"/>
                <w:highlight w:val="none"/>
              </w:rPr>
              <w:t>项目报价要求</w:t>
            </w:r>
          </w:p>
        </w:tc>
        <w:tc>
          <w:tcPr>
            <w:tcW w:w="657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F486520">
            <w:pPr>
              <w:spacing w:line="360" w:lineRule="atLeas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项目竞标报价为采购人指定地点的现场交货使用的包干报价，须以人民币报价，包含：本项目所需系统调研、项目集成服务、软件平台开发、项目部署实施等服务费、信息系统等级保护测评及风险评估服务费，项目建设应用第三方</w:t>
            </w:r>
            <w:r>
              <w:rPr>
                <w:rFonts w:hint="eastAsia" w:asciiTheme="minorEastAsia" w:hAnsiTheme="minorEastAsia" w:eastAsiaTheme="minorEastAsia" w:cstheme="minorEastAsia"/>
                <w:color w:val="auto"/>
                <w:kern w:val="0"/>
                <w:szCs w:val="21"/>
                <w:highlight w:val="none"/>
              </w:rPr>
              <w:t>动态库、中间件、单点登录系统、应用网关、系统组件等</w:t>
            </w:r>
            <w:r>
              <w:rPr>
                <w:rFonts w:hint="eastAsia" w:asciiTheme="minorEastAsia" w:hAnsiTheme="minorEastAsia" w:eastAsiaTheme="minorEastAsia" w:cstheme="minorEastAsia"/>
                <w:color w:val="auto"/>
                <w:szCs w:val="21"/>
                <w:highlight w:val="none"/>
              </w:rPr>
              <w:t>支撑软件授权使用费，第三方软件测评费，第三方验收费，技术支持及售后服务费，软件培训费（含教材及相关的师资聘请、场地租用等费用），等保定级专家论证会专家及会务费用，供应商投入本项目的所有人员（含外聘专家团队人员）差旅费及必要的保险费用，一次性耗材费和各项税费等其他所有与本项目相关的一切费用等。</w:t>
            </w:r>
          </w:p>
        </w:tc>
      </w:tr>
      <w:tr w14:paraId="41D1A790">
        <w:tblPrEx>
          <w:tblCellMar>
            <w:top w:w="15" w:type="dxa"/>
            <w:left w:w="15" w:type="dxa"/>
            <w:bottom w:w="15" w:type="dxa"/>
            <w:right w:w="15" w:type="dxa"/>
          </w:tblCellMar>
        </w:tblPrEx>
        <w:trPr>
          <w:trHeight w:val="20" w:hRule="atLeast"/>
          <w:jc w:val="center"/>
        </w:trPr>
        <w:tc>
          <w:tcPr>
            <w:tcW w:w="5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427E05B">
            <w:pPr>
              <w:pStyle w:val="126"/>
              <w:widowControl/>
              <w:suppressLineNumbers/>
              <w:suppressAutoHyphens/>
              <w:spacing w:line="400" w:lineRule="exact"/>
              <w:ind w:firstLine="0" w:firstLineChars="0"/>
              <w:contextualSpacing/>
              <w:jc w:val="center"/>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kern w:val="0"/>
                <w:sz w:val="21"/>
                <w:szCs w:val="21"/>
                <w:highlight w:val="none"/>
              </w:rPr>
              <w:t>11</w:t>
            </w:r>
          </w:p>
        </w:tc>
        <w:tc>
          <w:tcPr>
            <w:tcW w:w="2431" w:type="dxa"/>
            <w:gridSpan w:val="3"/>
            <w:tcBorders>
              <w:top w:val="single" w:color="auto" w:sz="4" w:space="0"/>
              <w:left w:val="nil"/>
              <w:bottom w:val="single" w:color="auto" w:sz="4" w:space="0"/>
              <w:right w:val="single" w:color="auto" w:sz="4" w:space="0"/>
            </w:tcBorders>
            <w:tcMar>
              <w:top w:w="0" w:type="dxa"/>
              <w:left w:w="108" w:type="dxa"/>
              <w:bottom w:w="0" w:type="dxa"/>
              <w:right w:w="108" w:type="dxa"/>
            </w:tcMar>
            <w:vAlign w:val="center"/>
          </w:tcPr>
          <w:p w14:paraId="34F10BDB">
            <w:pPr>
              <w:pStyle w:val="126"/>
              <w:widowControl/>
              <w:suppressLineNumbers/>
              <w:suppressAutoHyphens/>
              <w:spacing w:line="400" w:lineRule="exact"/>
              <w:ind w:firstLine="0" w:firstLineChars="0"/>
              <w:contextualSpacing/>
              <w:jc w:val="center"/>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bCs w:val="0"/>
                <w:color w:val="auto"/>
                <w:sz w:val="21"/>
                <w:szCs w:val="21"/>
                <w:highlight w:val="none"/>
              </w:rPr>
              <w:t>项目付款方式</w:t>
            </w:r>
          </w:p>
        </w:tc>
        <w:tc>
          <w:tcPr>
            <w:tcW w:w="657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A64D89D">
            <w:pPr>
              <w:spacing w:line="360" w:lineRule="atLeast"/>
              <w:ind w:firstLine="482"/>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项目采取分批付款方式（分批付款方式以最终双方商议结果为准）支付合同款，具体要求如下：</w:t>
            </w:r>
          </w:p>
          <w:p w14:paraId="1D7800F8">
            <w:pPr>
              <w:spacing w:line="360" w:lineRule="atLeast"/>
              <w:ind w:firstLine="482"/>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（1）合同签订并缴纳项目履约保证金后15个工作日内向成交供应商支付合同金额的45%做为预付款；</w:t>
            </w:r>
          </w:p>
          <w:p w14:paraId="61476C69">
            <w:pPr>
              <w:spacing w:line="360" w:lineRule="atLeast"/>
              <w:ind w:firstLine="482"/>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（2）完成项目需求调研并经采购人确认同意后，采购人自收到成交供应商书面申请之日起15个工作日内，采购人向成交供应商支付合同金额25%的进度款；</w:t>
            </w:r>
          </w:p>
          <w:p w14:paraId="3CA64660">
            <w:pPr>
              <w:spacing w:line="360" w:lineRule="atLeast"/>
              <w:ind w:firstLine="482"/>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（3）完成项目检务综合平台部署上线及验收交付后，采购人自收到成交供应商书面申请之日起15个工作日内，采购人向成交供应商支付合同金额15%的进度款。</w:t>
            </w:r>
          </w:p>
          <w:p w14:paraId="1EB05081">
            <w:pPr>
              <w:spacing w:line="360" w:lineRule="atLeast"/>
              <w:ind w:firstLine="482"/>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（4）完成本项目要求的2025年等级保护测评工作，并完成测评报告备案后，采购人自收到成交供应商书面申请之日起15个工作日内，采购人向成交供应商支付合同金额5%的进度款。</w:t>
            </w:r>
          </w:p>
          <w:p w14:paraId="76FF02B1">
            <w:pPr>
              <w:spacing w:line="360" w:lineRule="atLeast"/>
              <w:ind w:firstLine="482"/>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（5）完成本项目要求的2026年等级保护测评工作，并完成测评报告备案后，采购人自收到成交供应商书面申请之日起15个工作日内，采购人向成交供应商支付合同金额5%的进度款。</w:t>
            </w:r>
          </w:p>
          <w:p w14:paraId="31C0CD9E">
            <w:pPr>
              <w:spacing w:line="360" w:lineRule="atLeast"/>
              <w:ind w:firstLine="482"/>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（6）完成本项目要求的2027年等级保护测评工作，并完成测评报告备案后，采购人自收到成交供应商书面申请之日起15个工作日内，采购人向成交供应商支付合同金额5%的进度款。</w:t>
            </w:r>
          </w:p>
          <w:p w14:paraId="2A4B5215">
            <w:pPr>
              <w:spacing w:line="360" w:lineRule="atLeast"/>
              <w:ind w:firstLine="482"/>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7）整体项目免费质保期结束后，采购人收到成交供应商书面申请之日起15个工作日内，双方根据服务质量及履约情况结算扣除款项，再由采购人一次性无息返还结余的履约保证金给成交供应商（项目履约保证金见“履约保证金”说明）。</w:t>
            </w:r>
          </w:p>
          <w:p w14:paraId="707419D9">
            <w:pPr>
              <w:spacing w:line="360" w:lineRule="atLeast"/>
              <w:ind w:firstLine="482"/>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rPr>
              <w:t>（8）成交供应商每次收到采购人支付的合同款项</w:t>
            </w:r>
            <w:r>
              <w:rPr>
                <w:rFonts w:hint="eastAsia" w:asciiTheme="minorEastAsia" w:hAnsiTheme="minorEastAsia" w:eastAsiaTheme="minorEastAsia" w:cstheme="minorEastAsia"/>
                <w:color w:val="auto"/>
                <w:kern w:val="0"/>
                <w:szCs w:val="21"/>
                <w:highlight w:val="none"/>
                <w:lang w:val="en-US" w:eastAsia="zh-CN"/>
              </w:rPr>
              <w:t>前</w:t>
            </w:r>
            <w:r>
              <w:rPr>
                <w:rFonts w:hint="eastAsia" w:asciiTheme="minorEastAsia" w:hAnsiTheme="minorEastAsia" w:eastAsiaTheme="minorEastAsia" w:cstheme="minorEastAsia"/>
                <w:color w:val="auto"/>
                <w:kern w:val="0"/>
                <w:szCs w:val="21"/>
                <w:highlight w:val="none"/>
              </w:rPr>
              <w:t>必须开具等额的发票</w:t>
            </w:r>
            <w:r>
              <w:rPr>
                <w:rFonts w:hint="eastAsia" w:asciiTheme="minorEastAsia" w:hAnsiTheme="minorEastAsia" w:eastAsiaTheme="minorEastAsia" w:cstheme="minorEastAsia"/>
                <w:color w:val="auto"/>
                <w:kern w:val="0"/>
                <w:szCs w:val="21"/>
                <w:highlight w:val="none"/>
                <w:lang w:val="en-US" w:eastAsia="zh-CN"/>
              </w:rPr>
              <w:t>和请款函等材料</w:t>
            </w:r>
            <w:r>
              <w:rPr>
                <w:rFonts w:hint="eastAsia" w:asciiTheme="minorEastAsia" w:hAnsiTheme="minorEastAsia" w:eastAsiaTheme="minorEastAsia" w:cstheme="minorEastAsia"/>
                <w:color w:val="auto"/>
                <w:kern w:val="0"/>
                <w:szCs w:val="21"/>
                <w:highlight w:val="none"/>
              </w:rPr>
              <w:t>给采购人，否则采购人有权延缓支付</w:t>
            </w:r>
            <w:r>
              <w:rPr>
                <w:rFonts w:hint="eastAsia" w:asciiTheme="minorEastAsia" w:hAnsiTheme="minorEastAsia" w:eastAsiaTheme="minorEastAsia" w:cstheme="minorEastAsia"/>
                <w:color w:val="auto"/>
                <w:kern w:val="0"/>
                <w:szCs w:val="21"/>
                <w:highlight w:val="none"/>
                <w:lang w:val="en-US" w:eastAsia="zh-CN"/>
              </w:rPr>
              <w:t>当次及</w:t>
            </w:r>
            <w:r>
              <w:rPr>
                <w:rFonts w:hint="eastAsia" w:asciiTheme="minorEastAsia" w:hAnsiTheme="minorEastAsia" w:eastAsiaTheme="minorEastAsia" w:cstheme="minorEastAsia"/>
                <w:color w:val="auto"/>
                <w:kern w:val="0"/>
                <w:szCs w:val="21"/>
                <w:highlight w:val="none"/>
              </w:rPr>
              <w:t>后续的合同款项。</w:t>
            </w:r>
          </w:p>
        </w:tc>
      </w:tr>
      <w:tr w14:paraId="3DE668C4">
        <w:tblPrEx>
          <w:tblCellMar>
            <w:top w:w="15" w:type="dxa"/>
            <w:left w:w="15" w:type="dxa"/>
            <w:bottom w:w="15" w:type="dxa"/>
            <w:right w:w="15" w:type="dxa"/>
          </w:tblCellMar>
        </w:tblPrEx>
        <w:trPr>
          <w:trHeight w:val="20" w:hRule="atLeast"/>
          <w:jc w:val="center"/>
        </w:trPr>
        <w:tc>
          <w:tcPr>
            <w:tcW w:w="5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A678F18">
            <w:pPr>
              <w:pStyle w:val="126"/>
              <w:widowControl/>
              <w:suppressLineNumbers/>
              <w:suppressAutoHyphens/>
              <w:spacing w:line="400" w:lineRule="exact"/>
              <w:ind w:firstLine="0" w:firstLineChars="0"/>
              <w:contextualSpacing/>
              <w:jc w:val="center"/>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kern w:val="0"/>
                <w:sz w:val="21"/>
                <w:szCs w:val="21"/>
                <w:highlight w:val="none"/>
              </w:rPr>
              <w:t>12</w:t>
            </w:r>
          </w:p>
        </w:tc>
        <w:tc>
          <w:tcPr>
            <w:tcW w:w="2431" w:type="dxa"/>
            <w:gridSpan w:val="3"/>
            <w:tcBorders>
              <w:top w:val="single" w:color="auto" w:sz="4" w:space="0"/>
              <w:left w:val="nil"/>
              <w:bottom w:val="single" w:color="auto" w:sz="4" w:space="0"/>
              <w:right w:val="single" w:color="auto" w:sz="4" w:space="0"/>
            </w:tcBorders>
            <w:tcMar>
              <w:top w:w="0" w:type="dxa"/>
              <w:left w:w="108" w:type="dxa"/>
              <w:bottom w:w="0" w:type="dxa"/>
              <w:right w:w="108" w:type="dxa"/>
            </w:tcMar>
            <w:vAlign w:val="center"/>
          </w:tcPr>
          <w:p w14:paraId="7D69F7BB">
            <w:pPr>
              <w:pStyle w:val="126"/>
              <w:widowControl/>
              <w:suppressLineNumbers/>
              <w:suppressAutoHyphens/>
              <w:spacing w:line="400" w:lineRule="exact"/>
              <w:ind w:firstLine="0" w:firstLineChars="0"/>
              <w:contextualSpacing/>
              <w:jc w:val="center"/>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bCs w:val="0"/>
                <w:color w:val="auto"/>
                <w:sz w:val="21"/>
                <w:szCs w:val="21"/>
                <w:highlight w:val="none"/>
              </w:rPr>
              <w:t>项目其他说明及要求</w:t>
            </w:r>
          </w:p>
        </w:tc>
        <w:tc>
          <w:tcPr>
            <w:tcW w:w="657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B92912E">
            <w:pPr>
              <w:spacing w:line="360" w:lineRule="atLeast"/>
              <w:ind w:firstLine="482"/>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（1）供应商竞标时时要根据</w:t>
            </w:r>
            <w:r>
              <w:rPr>
                <w:rFonts w:hint="eastAsia" w:asciiTheme="minorEastAsia" w:hAnsiTheme="minorEastAsia" w:eastAsiaTheme="minorEastAsia" w:cstheme="minorEastAsia"/>
                <w:color w:val="auto"/>
                <w:kern w:val="0"/>
                <w:szCs w:val="21"/>
                <w:highlight w:val="none"/>
                <w:lang w:val="en-US" w:eastAsia="zh-CN"/>
              </w:rPr>
              <w:t>采购</w:t>
            </w:r>
            <w:r>
              <w:rPr>
                <w:rFonts w:hint="eastAsia" w:asciiTheme="minorEastAsia" w:hAnsiTheme="minorEastAsia" w:eastAsiaTheme="minorEastAsia" w:cstheme="minorEastAsia"/>
                <w:color w:val="auto"/>
                <w:kern w:val="0"/>
                <w:szCs w:val="21"/>
                <w:highlight w:val="none"/>
              </w:rPr>
              <w:t>项目采购需求提交技术服务方案，方案内容必须按照评分办法具体要求分章节描述响应项目的采购需求。本项目属于服务采购，无核心产品要求，不允许负偏离响应，否则做否决废标处理。</w:t>
            </w:r>
          </w:p>
          <w:p w14:paraId="03C73690">
            <w:pPr>
              <w:spacing w:line="360" w:lineRule="atLeast"/>
              <w:ind w:firstLine="482"/>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供应商应在响应文件中按照采购需求提供售后服务计划和售后服务承诺。在售后服务计划中要从服务内容、服务方式、服务体系、服务承诺等方面进行明确的说明。服务范围包括项目建设基础软硬件环境、网络及安全实施与维护、系统安装配置、软件升级、性能调优、系统管理等。</w:t>
            </w:r>
          </w:p>
          <w:p w14:paraId="105EFF54">
            <w:pPr>
              <w:spacing w:line="360" w:lineRule="atLeast"/>
              <w:ind w:firstLine="482"/>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（3）项目建设及售后服务期间如出现非采购人原因导致的成交供应商的驻场人员人身、财产安全事故、损失等由成交供应商全部负责，采购人不负任何责任。</w:t>
            </w:r>
          </w:p>
          <w:p w14:paraId="1DF877DE">
            <w:pPr>
              <w:spacing w:line="360" w:lineRule="atLeast"/>
              <w:ind w:firstLine="482"/>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成交供应商必须承诺加强参与本项目人员的遵纪守法、廉洁自律教育和监督，对项目人员在项目期间实施违法犯罪行为并对采购人利益造成的侵害承担相应经济和法律责任，承诺在签订合同之日起30天内提供参与项目人员的遵纪守法，恪守职业道德的入职调查材料（含无犯罪记录证明）。</w:t>
            </w:r>
          </w:p>
          <w:p w14:paraId="5BAD811A">
            <w:pPr>
              <w:spacing w:line="360" w:lineRule="atLeast"/>
              <w:ind w:firstLine="482"/>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rPr>
              <w:t>（5）为了确保采购质量和维护公平的竞争，根据《中华人民共和国政府采购法》第七十七条和中华人民共和国反不正当竞争法第十一条，经营者不得以排挤对手为目的，以低于成本的价格销售商品（服务）。磋商小组认为磋商人的报价明显低于其他通过符合性审查磋商人的报价，有可能影响服务（产品）质量或者不能诚信履约的，应当要求其在评审现场合理的时间内提供书面说明，必要时提交相关证明材料；磋商人不能证明其报价合理性的，磋商小组应当将其作为无效竞标处理。</w:t>
            </w:r>
          </w:p>
        </w:tc>
      </w:tr>
    </w:tbl>
    <w:p w14:paraId="1AA51FCB">
      <w:pPr>
        <w:pStyle w:val="20"/>
        <w:jc w:val="left"/>
        <w:rPr>
          <w:rFonts w:hAnsi="宋体" w:cs="宋体"/>
          <w:color w:val="auto"/>
          <w:sz w:val="32"/>
          <w:szCs w:val="32"/>
          <w:highlight w:val="none"/>
        </w:rPr>
      </w:pPr>
      <w:r>
        <w:rPr>
          <w:rFonts w:hint="eastAsia" w:hAnsi="宋体"/>
          <w:b/>
          <w:color w:val="auto"/>
          <w:highlight w:val="none"/>
        </w:rPr>
        <w:br w:type="page"/>
      </w:r>
      <w:r>
        <w:rPr>
          <w:rFonts w:hint="eastAsia" w:hAnsi="宋体" w:cs="宋体"/>
          <w:color w:val="auto"/>
          <w:sz w:val="32"/>
          <w:szCs w:val="32"/>
          <w:highlight w:val="none"/>
        </w:rPr>
        <w:t>附件1：</w:t>
      </w:r>
    </w:p>
    <w:p w14:paraId="38D18BAE">
      <w:pPr>
        <w:spacing w:line="528" w:lineRule="exact"/>
        <w:ind w:left="1871"/>
        <w:rPr>
          <w:rFonts w:ascii="宋体" w:hAnsi="宋体" w:cs="宋体"/>
          <w:color w:val="auto"/>
          <w:sz w:val="40"/>
          <w:szCs w:val="40"/>
          <w:highlight w:val="none"/>
        </w:rPr>
      </w:pPr>
      <w:r>
        <w:rPr>
          <w:rFonts w:hint="eastAsia" w:ascii="宋体" w:hAnsi="宋体" w:cs="宋体"/>
          <w:color w:val="auto"/>
          <w:sz w:val="40"/>
          <w:szCs w:val="40"/>
          <w:highlight w:val="none"/>
        </w:rPr>
        <w:t>中小微企业划型标准</w:t>
      </w:r>
    </w:p>
    <w:tbl>
      <w:tblPr>
        <w:tblStyle w:val="31"/>
        <w:tblW w:w="0" w:type="auto"/>
        <w:tblInd w:w="250" w:type="dxa"/>
        <w:tblLayout w:type="fixed"/>
        <w:tblCellMar>
          <w:top w:w="0" w:type="dxa"/>
          <w:left w:w="108" w:type="dxa"/>
          <w:bottom w:w="0" w:type="dxa"/>
          <w:right w:w="108" w:type="dxa"/>
        </w:tblCellMar>
      </w:tblPr>
      <w:tblGrid>
        <w:gridCol w:w="1985"/>
        <w:gridCol w:w="1984"/>
        <w:gridCol w:w="851"/>
        <w:gridCol w:w="1842"/>
        <w:gridCol w:w="1701"/>
        <w:gridCol w:w="1134"/>
      </w:tblGrid>
      <w:tr w14:paraId="66EE1BB3">
        <w:tblPrEx>
          <w:tblCellMar>
            <w:top w:w="0" w:type="dxa"/>
            <w:left w:w="108" w:type="dxa"/>
            <w:bottom w:w="0" w:type="dxa"/>
            <w:right w:w="108" w:type="dxa"/>
          </w:tblCellMar>
        </w:tblPrEx>
        <w:trPr>
          <w:trHeight w:val="285" w:hRule="atLeast"/>
        </w:trPr>
        <w:tc>
          <w:tcPr>
            <w:tcW w:w="1985" w:type="dxa"/>
            <w:tcBorders>
              <w:top w:val="single" w:color="auto" w:sz="4" w:space="0"/>
              <w:left w:val="single" w:color="auto" w:sz="4" w:space="0"/>
              <w:bottom w:val="single" w:color="auto" w:sz="4" w:space="0"/>
              <w:right w:val="single" w:color="auto" w:sz="4" w:space="0"/>
            </w:tcBorders>
            <w:vAlign w:val="center"/>
          </w:tcPr>
          <w:p w14:paraId="721838C5">
            <w:pPr>
              <w:widowControl/>
              <w:jc w:val="left"/>
              <w:rPr>
                <w:rFonts w:ascii="宋体" w:hAnsi="宋体" w:cs="宋体"/>
                <w:b/>
                <w:color w:val="auto"/>
                <w:kern w:val="0"/>
                <w:sz w:val="24"/>
                <w:highlight w:val="none"/>
              </w:rPr>
            </w:pPr>
            <w:r>
              <w:rPr>
                <w:rFonts w:hint="eastAsia" w:ascii="宋体" w:hAnsi="宋体" w:cs="宋体"/>
                <w:b/>
                <w:color w:val="auto"/>
                <w:kern w:val="0"/>
                <w:sz w:val="24"/>
                <w:highlight w:val="none"/>
              </w:rPr>
              <w:t>行业名称</w:t>
            </w:r>
          </w:p>
        </w:tc>
        <w:tc>
          <w:tcPr>
            <w:tcW w:w="1984" w:type="dxa"/>
            <w:tcBorders>
              <w:top w:val="single" w:color="auto" w:sz="4" w:space="0"/>
              <w:left w:val="nil"/>
              <w:bottom w:val="single" w:color="auto" w:sz="4" w:space="0"/>
              <w:right w:val="single" w:color="auto" w:sz="4" w:space="0"/>
            </w:tcBorders>
            <w:vAlign w:val="center"/>
          </w:tcPr>
          <w:p w14:paraId="33DC880A">
            <w:pPr>
              <w:widowControl/>
              <w:jc w:val="left"/>
              <w:rPr>
                <w:rFonts w:ascii="宋体" w:hAnsi="宋体" w:cs="宋体"/>
                <w:b/>
                <w:color w:val="auto"/>
                <w:kern w:val="0"/>
                <w:sz w:val="24"/>
                <w:highlight w:val="none"/>
              </w:rPr>
            </w:pPr>
            <w:r>
              <w:rPr>
                <w:rFonts w:hint="eastAsia" w:ascii="宋体" w:hAnsi="宋体" w:cs="宋体"/>
                <w:b/>
                <w:color w:val="auto"/>
                <w:kern w:val="0"/>
                <w:sz w:val="24"/>
                <w:highlight w:val="none"/>
              </w:rPr>
              <w:t>指标名称</w:t>
            </w:r>
          </w:p>
        </w:tc>
        <w:tc>
          <w:tcPr>
            <w:tcW w:w="851" w:type="dxa"/>
            <w:tcBorders>
              <w:top w:val="single" w:color="auto" w:sz="4" w:space="0"/>
              <w:left w:val="nil"/>
              <w:bottom w:val="single" w:color="auto" w:sz="4" w:space="0"/>
              <w:right w:val="single" w:color="auto" w:sz="4" w:space="0"/>
            </w:tcBorders>
            <w:vAlign w:val="center"/>
          </w:tcPr>
          <w:p w14:paraId="4E528F75">
            <w:pPr>
              <w:widowControl/>
              <w:jc w:val="left"/>
              <w:rPr>
                <w:rFonts w:ascii="宋体" w:hAnsi="宋体" w:cs="宋体"/>
                <w:b/>
                <w:color w:val="auto"/>
                <w:kern w:val="0"/>
                <w:sz w:val="24"/>
                <w:highlight w:val="none"/>
              </w:rPr>
            </w:pPr>
            <w:r>
              <w:rPr>
                <w:rFonts w:hint="eastAsia" w:ascii="宋体" w:hAnsi="宋体" w:cs="宋体"/>
                <w:b/>
                <w:color w:val="auto"/>
                <w:kern w:val="0"/>
                <w:sz w:val="24"/>
                <w:highlight w:val="none"/>
              </w:rPr>
              <w:t>计量单位</w:t>
            </w:r>
          </w:p>
        </w:tc>
        <w:tc>
          <w:tcPr>
            <w:tcW w:w="1842" w:type="dxa"/>
            <w:tcBorders>
              <w:top w:val="single" w:color="auto" w:sz="4" w:space="0"/>
              <w:left w:val="nil"/>
              <w:bottom w:val="single" w:color="auto" w:sz="4" w:space="0"/>
              <w:right w:val="single" w:color="auto" w:sz="4" w:space="0"/>
            </w:tcBorders>
            <w:vAlign w:val="center"/>
          </w:tcPr>
          <w:p w14:paraId="5B17F1B5">
            <w:pPr>
              <w:widowControl/>
              <w:jc w:val="left"/>
              <w:rPr>
                <w:rFonts w:ascii="宋体" w:hAnsi="宋体" w:cs="宋体"/>
                <w:b/>
                <w:color w:val="auto"/>
                <w:kern w:val="0"/>
                <w:sz w:val="24"/>
                <w:highlight w:val="none"/>
              </w:rPr>
            </w:pPr>
            <w:r>
              <w:rPr>
                <w:rFonts w:hint="eastAsia" w:ascii="宋体" w:hAnsi="宋体" w:cs="宋体"/>
                <w:b/>
                <w:color w:val="auto"/>
                <w:kern w:val="0"/>
                <w:sz w:val="24"/>
                <w:highlight w:val="none"/>
              </w:rPr>
              <w:t>中型</w:t>
            </w:r>
          </w:p>
        </w:tc>
        <w:tc>
          <w:tcPr>
            <w:tcW w:w="1701" w:type="dxa"/>
            <w:tcBorders>
              <w:top w:val="single" w:color="auto" w:sz="4" w:space="0"/>
              <w:left w:val="nil"/>
              <w:bottom w:val="single" w:color="auto" w:sz="4" w:space="0"/>
              <w:right w:val="single" w:color="auto" w:sz="4" w:space="0"/>
            </w:tcBorders>
            <w:vAlign w:val="center"/>
          </w:tcPr>
          <w:p w14:paraId="1B2857F4">
            <w:pPr>
              <w:widowControl/>
              <w:jc w:val="left"/>
              <w:rPr>
                <w:rFonts w:ascii="宋体" w:hAnsi="宋体" w:cs="宋体"/>
                <w:b/>
                <w:color w:val="auto"/>
                <w:kern w:val="0"/>
                <w:sz w:val="24"/>
                <w:highlight w:val="none"/>
              </w:rPr>
            </w:pPr>
            <w:r>
              <w:rPr>
                <w:rFonts w:hint="eastAsia" w:ascii="宋体" w:hAnsi="宋体" w:cs="宋体"/>
                <w:b/>
                <w:color w:val="auto"/>
                <w:kern w:val="0"/>
                <w:sz w:val="24"/>
                <w:highlight w:val="none"/>
              </w:rPr>
              <w:t>小型</w:t>
            </w:r>
          </w:p>
        </w:tc>
        <w:tc>
          <w:tcPr>
            <w:tcW w:w="1134" w:type="dxa"/>
            <w:tcBorders>
              <w:top w:val="single" w:color="auto" w:sz="4" w:space="0"/>
              <w:left w:val="nil"/>
              <w:bottom w:val="single" w:color="auto" w:sz="4" w:space="0"/>
              <w:right w:val="single" w:color="auto" w:sz="4" w:space="0"/>
            </w:tcBorders>
            <w:vAlign w:val="center"/>
          </w:tcPr>
          <w:p w14:paraId="100C7ACA">
            <w:pPr>
              <w:widowControl/>
              <w:jc w:val="left"/>
              <w:rPr>
                <w:rFonts w:ascii="宋体" w:hAnsi="宋体" w:cs="宋体"/>
                <w:b/>
                <w:color w:val="auto"/>
                <w:kern w:val="0"/>
                <w:sz w:val="24"/>
                <w:highlight w:val="none"/>
              </w:rPr>
            </w:pPr>
            <w:r>
              <w:rPr>
                <w:rFonts w:hint="eastAsia" w:ascii="宋体" w:hAnsi="宋体" w:cs="宋体"/>
                <w:b/>
                <w:color w:val="auto"/>
                <w:kern w:val="0"/>
                <w:sz w:val="24"/>
                <w:highlight w:val="none"/>
              </w:rPr>
              <w:t>微型</w:t>
            </w:r>
          </w:p>
        </w:tc>
      </w:tr>
      <w:tr w14:paraId="40E8BC5D">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vAlign w:val="bottom"/>
          </w:tcPr>
          <w:p w14:paraId="7B2F7359">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农、林、牧、渔</w:t>
            </w:r>
          </w:p>
        </w:tc>
        <w:tc>
          <w:tcPr>
            <w:tcW w:w="1984" w:type="dxa"/>
            <w:tcBorders>
              <w:top w:val="nil"/>
              <w:left w:val="nil"/>
              <w:bottom w:val="single" w:color="auto" w:sz="4" w:space="0"/>
              <w:right w:val="single" w:color="auto" w:sz="4" w:space="0"/>
            </w:tcBorders>
            <w:vAlign w:val="center"/>
          </w:tcPr>
          <w:p w14:paraId="58BC1051">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14:paraId="7D382567">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14:paraId="209D7257">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1701" w:type="dxa"/>
            <w:tcBorders>
              <w:top w:val="nil"/>
              <w:left w:val="nil"/>
              <w:bottom w:val="single" w:color="auto" w:sz="4" w:space="0"/>
              <w:right w:val="single" w:color="auto" w:sz="4" w:space="0"/>
            </w:tcBorders>
            <w:vAlign w:val="center"/>
          </w:tcPr>
          <w:p w14:paraId="397A2C6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50≤Y＜500</w:t>
            </w:r>
          </w:p>
        </w:tc>
        <w:tc>
          <w:tcPr>
            <w:tcW w:w="1134" w:type="dxa"/>
            <w:tcBorders>
              <w:top w:val="nil"/>
              <w:left w:val="nil"/>
              <w:bottom w:val="single" w:color="auto" w:sz="4" w:space="0"/>
              <w:right w:val="single" w:color="auto" w:sz="4" w:space="0"/>
            </w:tcBorders>
            <w:vAlign w:val="center"/>
          </w:tcPr>
          <w:p w14:paraId="0837AB5E">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62FB9D0B">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19949462">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工业</w:t>
            </w:r>
          </w:p>
        </w:tc>
        <w:tc>
          <w:tcPr>
            <w:tcW w:w="1984" w:type="dxa"/>
            <w:tcBorders>
              <w:top w:val="nil"/>
              <w:left w:val="nil"/>
              <w:bottom w:val="single" w:color="auto" w:sz="4" w:space="0"/>
              <w:right w:val="single" w:color="auto" w:sz="4" w:space="0"/>
            </w:tcBorders>
            <w:vAlign w:val="center"/>
          </w:tcPr>
          <w:p w14:paraId="0C0E652A">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14:paraId="4E0C59CA">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42" w:type="dxa"/>
            <w:tcBorders>
              <w:top w:val="nil"/>
              <w:left w:val="nil"/>
              <w:bottom w:val="single" w:color="auto" w:sz="4" w:space="0"/>
              <w:right w:val="single" w:color="auto" w:sz="4" w:space="0"/>
            </w:tcBorders>
            <w:vAlign w:val="center"/>
          </w:tcPr>
          <w:p w14:paraId="0D1A7B39">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701" w:type="dxa"/>
            <w:tcBorders>
              <w:top w:val="nil"/>
              <w:left w:val="nil"/>
              <w:bottom w:val="single" w:color="auto" w:sz="4" w:space="0"/>
              <w:right w:val="single" w:color="auto" w:sz="4" w:space="0"/>
            </w:tcBorders>
            <w:vAlign w:val="center"/>
          </w:tcPr>
          <w:p w14:paraId="70886039">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1134" w:type="dxa"/>
            <w:tcBorders>
              <w:top w:val="nil"/>
              <w:left w:val="nil"/>
              <w:bottom w:val="single" w:color="auto" w:sz="4" w:space="0"/>
              <w:right w:val="single" w:color="auto" w:sz="4" w:space="0"/>
            </w:tcBorders>
            <w:vAlign w:val="center"/>
          </w:tcPr>
          <w:p w14:paraId="60FC9964">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5B2AD906">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17FB5199">
            <w:pPr>
              <w:widowControl/>
              <w:jc w:val="left"/>
              <w:rPr>
                <w:rFonts w:ascii="宋体" w:hAnsi="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vAlign w:val="center"/>
          </w:tcPr>
          <w:p w14:paraId="7DDC11CE">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14:paraId="42FE7DD8">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14:paraId="789BA666">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2000≤Y＜40000</w:t>
            </w:r>
          </w:p>
        </w:tc>
        <w:tc>
          <w:tcPr>
            <w:tcW w:w="1701" w:type="dxa"/>
            <w:tcBorders>
              <w:top w:val="nil"/>
              <w:left w:val="nil"/>
              <w:bottom w:val="single" w:color="auto" w:sz="4" w:space="0"/>
              <w:right w:val="single" w:color="auto" w:sz="4" w:space="0"/>
            </w:tcBorders>
            <w:vAlign w:val="center"/>
          </w:tcPr>
          <w:p w14:paraId="4FB85577">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300≤Y＜2000</w:t>
            </w:r>
          </w:p>
        </w:tc>
        <w:tc>
          <w:tcPr>
            <w:tcW w:w="1134" w:type="dxa"/>
            <w:tcBorders>
              <w:top w:val="nil"/>
              <w:left w:val="nil"/>
              <w:bottom w:val="single" w:color="auto" w:sz="4" w:space="0"/>
              <w:right w:val="single" w:color="auto" w:sz="4" w:space="0"/>
            </w:tcBorders>
            <w:vAlign w:val="center"/>
          </w:tcPr>
          <w:p w14:paraId="7AF08650">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130A71BA">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5B27BF8C">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建筑业</w:t>
            </w:r>
          </w:p>
        </w:tc>
        <w:tc>
          <w:tcPr>
            <w:tcW w:w="1984" w:type="dxa"/>
            <w:tcBorders>
              <w:top w:val="nil"/>
              <w:left w:val="nil"/>
              <w:bottom w:val="single" w:color="auto" w:sz="4" w:space="0"/>
              <w:right w:val="single" w:color="auto" w:sz="4" w:space="0"/>
            </w:tcBorders>
            <w:vAlign w:val="center"/>
          </w:tcPr>
          <w:p w14:paraId="68B34EC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14:paraId="67E1FC2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14:paraId="5DF9FAAF">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6000≤Y＜80000</w:t>
            </w:r>
          </w:p>
        </w:tc>
        <w:tc>
          <w:tcPr>
            <w:tcW w:w="1701" w:type="dxa"/>
            <w:tcBorders>
              <w:top w:val="nil"/>
              <w:left w:val="nil"/>
              <w:bottom w:val="single" w:color="auto" w:sz="4" w:space="0"/>
              <w:right w:val="single" w:color="auto" w:sz="4" w:space="0"/>
            </w:tcBorders>
            <w:vAlign w:val="center"/>
          </w:tcPr>
          <w:p w14:paraId="24531B4A">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300≤Y＜6000</w:t>
            </w:r>
          </w:p>
        </w:tc>
        <w:tc>
          <w:tcPr>
            <w:tcW w:w="1134" w:type="dxa"/>
            <w:tcBorders>
              <w:top w:val="nil"/>
              <w:left w:val="nil"/>
              <w:bottom w:val="single" w:color="auto" w:sz="4" w:space="0"/>
              <w:right w:val="single" w:color="auto" w:sz="4" w:space="0"/>
            </w:tcBorders>
            <w:vAlign w:val="center"/>
          </w:tcPr>
          <w:p w14:paraId="6E783714">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18E1ED7A">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61FC0B29">
            <w:pPr>
              <w:widowControl/>
              <w:jc w:val="left"/>
              <w:rPr>
                <w:rFonts w:ascii="宋体" w:hAnsi="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vAlign w:val="center"/>
          </w:tcPr>
          <w:p w14:paraId="2AE6291E">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851" w:type="dxa"/>
            <w:tcBorders>
              <w:top w:val="nil"/>
              <w:left w:val="nil"/>
              <w:bottom w:val="single" w:color="auto" w:sz="4" w:space="0"/>
              <w:right w:val="single" w:color="auto" w:sz="4" w:space="0"/>
            </w:tcBorders>
            <w:vAlign w:val="center"/>
          </w:tcPr>
          <w:p w14:paraId="5FEF790B">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14:paraId="481AA538">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5000≤Z＜80000</w:t>
            </w:r>
          </w:p>
        </w:tc>
        <w:tc>
          <w:tcPr>
            <w:tcW w:w="1701" w:type="dxa"/>
            <w:tcBorders>
              <w:top w:val="nil"/>
              <w:left w:val="nil"/>
              <w:bottom w:val="single" w:color="auto" w:sz="4" w:space="0"/>
              <w:right w:val="single" w:color="auto" w:sz="4" w:space="0"/>
            </w:tcBorders>
            <w:vAlign w:val="center"/>
          </w:tcPr>
          <w:p w14:paraId="6DD55B20">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300≤Z＜5000</w:t>
            </w:r>
          </w:p>
        </w:tc>
        <w:tc>
          <w:tcPr>
            <w:tcW w:w="1134" w:type="dxa"/>
            <w:tcBorders>
              <w:top w:val="nil"/>
              <w:left w:val="nil"/>
              <w:bottom w:val="single" w:color="auto" w:sz="4" w:space="0"/>
              <w:right w:val="single" w:color="auto" w:sz="4" w:space="0"/>
            </w:tcBorders>
            <w:vAlign w:val="center"/>
          </w:tcPr>
          <w:p w14:paraId="07917A28">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Z＜300</w:t>
            </w:r>
          </w:p>
        </w:tc>
      </w:tr>
      <w:tr w14:paraId="7428882B">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46514639">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批发业</w:t>
            </w:r>
          </w:p>
        </w:tc>
        <w:tc>
          <w:tcPr>
            <w:tcW w:w="1984" w:type="dxa"/>
            <w:tcBorders>
              <w:top w:val="nil"/>
              <w:left w:val="nil"/>
              <w:bottom w:val="single" w:color="auto" w:sz="4" w:space="0"/>
              <w:right w:val="single" w:color="auto" w:sz="4" w:space="0"/>
            </w:tcBorders>
            <w:vAlign w:val="center"/>
          </w:tcPr>
          <w:p w14:paraId="6112918F">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14:paraId="296BD309">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42" w:type="dxa"/>
            <w:tcBorders>
              <w:top w:val="nil"/>
              <w:left w:val="nil"/>
              <w:bottom w:val="single" w:color="auto" w:sz="4" w:space="0"/>
              <w:right w:val="single" w:color="auto" w:sz="4" w:space="0"/>
            </w:tcBorders>
            <w:vAlign w:val="center"/>
          </w:tcPr>
          <w:p w14:paraId="1E097AA8">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20≤X＜200</w:t>
            </w:r>
          </w:p>
        </w:tc>
        <w:tc>
          <w:tcPr>
            <w:tcW w:w="1701" w:type="dxa"/>
            <w:tcBorders>
              <w:top w:val="nil"/>
              <w:left w:val="nil"/>
              <w:bottom w:val="single" w:color="auto" w:sz="4" w:space="0"/>
              <w:right w:val="single" w:color="auto" w:sz="4" w:space="0"/>
            </w:tcBorders>
            <w:vAlign w:val="center"/>
          </w:tcPr>
          <w:p w14:paraId="4F8F61BF">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5≤X＜20</w:t>
            </w:r>
          </w:p>
        </w:tc>
        <w:tc>
          <w:tcPr>
            <w:tcW w:w="1134" w:type="dxa"/>
            <w:tcBorders>
              <w:top w:val="nil"/>
              <w:left w:val="nil"/>
              <w:bottom w:val="single" w:color="auto" w:sz="4" w:space="0"/>
              <w:right w:val="single" w:color="auto" w:sz="4" w:space="0"/>
            </w:tcBorders>
            <w:vAlign w:val="center"/>
          </w:tcPr>
          <w:p w14:paraId="77115186">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X＜5</w:t>
            </w:r>
          </w:p>
        </w:tc>
      </w:tr>
      <w:tr w14:paraId="239AF34B">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4C1F8857">
            <w:pPr>
              <w:widowControl/>
              <w:jc w:val="left"/>
              <w:rPr>
                <w:rFonts w:ascii="宋体" w:hAnsi="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vAlign w:val="center"/>
          </w:tcPr>
          <w:p w14:paraId="638231A3">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14:paraId="45610ADD">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14:paraId="147B96C7">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5000≤Y＜40000</w:t>
            </w:r>
          </w:p>
        </w:tc>
        <w:tc>
          <w:tcPr>
            <w:tcW w:w="1701" w:type="dxa"/>
            <w:tcBorders>
              <w:top w:val="nil"/>
              <w:left w:val="nil"/>
              <w:bottom w:val="single" w:color="auto" w:sz="4" w:space="0"/>
              <w:right w:val="single" w:color="auto" w:sz="4" w:space="0"/>
            </w:tcBorders>
            <w:vAlign w:val="center"/>
          </w:tcPr>
          <w:p w14:paraId="575A503A">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1134" w:type="dxa"/>
            <w:tcBorders>
              <w:top w:val="nil"/>
              <w:left w:val="nil"/>
              <w:bottom w:val="single" w:color="auto" w:sz="4" w:space="0"/>
              <w:right w:val="single" w:color="auto" w:sz="4" w:space="0"/>
            </w:tcBorders>
            <w:vAlign w:val="center"/>
          </w:tcPr>
          <w:p w14:paraId="6D81AF66">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w:t>
            </w:r>
          </w:p>
        </w:tc>
      </w:tr>
      <w:tr w14:paraId="203D26F0">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1FADD474">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零售业</w:t>
            </w:r>
          </w:p>
        </w:tc>
        <w:tc>
          <w:tcPr>
            <w:tcW w:w="1984" w:type="dxa"/>
            <w:tcBorders>
              <w:top w:val="nil"/>
              <w:left w:val="nil"/>
              <w:bottom w:val="single" w:color="auto" w:sz="4" w:space="0"/>
              <w:right w:val="single" w:color="auto" w:sz="4" w:space="0"/>
            </w:tcBorders>
            <w:vAlign w:val="center"/>
          </w:tcPr>
          <w:p w14:paraId="48B4DE7C">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14:paraId="0B27050C">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42" w:type="dxa"/>
            <w:tcBorders>
              <w:top w:val="nil"/>
              <w:left w:val="nil"/>
              <w:bottom w:val="single" w:color="auto" w:sz="4" w:space="0"/>
              <w:right w:val="single" w:color="auto" w:sz="4" w:space="0"/>
            </w:tcBorders>
            <w:vAlign w:val="center"/>
          </w:tcPr>
          <w:p w14:paraId="1208538D">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50≤X＜300</w:t>
            </w:r>
          </w:p>
        </w:tc>
        <w:tc>
          <w:tcPr>
            <w:tcW w:w="1701" w:type="dxa"/>
            <w:tcBorders>
              <w:top w:val="nil"/>
              <w:left w:val="nil"/>
              <w:bottom w:val="single" w:color="auto" w:sz="4" w:space="0"/>
              <w:right w:val="single" w:color="auto" w:sz="4" w:space="0"/>
            </w:tcBorders>
            <w:vAlign w:val="center"/>
          </w:tcPr>
          <w:p w14:paraId="7C3460D3">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10≤X＜50</w:t>
            </w:r>
          </w:p>
        </w:tc>
        <w:tc>
          <w:tcPr>
            <w:tcW w:w="1134" w:type="dxa"/>
            <w:tcBorders>
              <w:top w:val="nil"/>
              <w:left w:val="nil"/>
              <w:bottom w:val="single" w:color="auto" w:sz="4" w:space="0"/>
              <w:right w:val="single" w:color="auto" w:sz="4" w:space="0"/>
            </w:tcBorders>
            <w:vAlign w:val="center"/>
          </w:tcPr>
          <w:p w14:paraId="4BE03701">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5AF9AB89">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71F7F6C8">
            <w:pPr>
              <w:widowControl/>
              <w:jc w:val="left"/>
              <w:rPr>
                <w:rFonts w:ascii="宋体" w:hAnsi="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vAlign w:val="center"/>
          </w:tcPr>
          <w:p w14:paraId="40E6068E">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14:paraId="17C74E5A">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14:paraId="31CA436D">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1701" w:type="dxa"/>
            <w:tcBorders>
              <w:top w:val="nil"/>
              <w:left w:val="nil"/>
              <w:bottom w:val="single" w:color="auto" w:sz="4" w:space="0"/>
              <w:right w:val="single" w:color="auto" w:sz="4" w:space="0"/>
            </w:tcBorders>
            <w:vAlign w:val="center"/>
          </w:tcPr>
          <w:p w14:paraId="0CF13644">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100≤Y＜500</w:t>
            </w:r>
          </w:p>
        </w:tc>
        <w:tc>
          <w:tcPr>
            <w:tcW w:w="1134" w:type="dxa"/>
            <w:tcBorders>
              <w:top w:val="nil"/>
              <w:left w:val="nil"/>
              <w:bottom w:val="single" w:color="auto" w:sz="4" w:space="0"/>
              <w:right w:val="single" w:color="auto" w:sz="4" w:space="0"/>
            </w:tcBorders>
            <w:vAlign w:val="center"/>
          </w:tcPr>
          <w:p w14:paraId="1855793B">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5B619BD3">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1EC8DC18">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交通运输业</w:t>
            </w:r>
          </w:p>
        </w:tc>
        <w:tc>
          <w:tcPr>
            <w:tcW w:w="1984" w:type="dxa"/>
            <w:tcBorders>
              <w:top w:val="nil"/>
              <w:left w:val="nil"/>
              <w:bottom w:val="single" w:color="auto" w:sz="4" w:space="0"/>
              <w:right w:val="single" w:color="auto" w:sz="4" w:space="0"/>
            </w:tcBorders>
            <w:vAlign w:val="center"/>
          </w:tcPr>
          <w:p w14:paraId="5792C551">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14:paraId="7FAF6004">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42" w:type="dxa"/>
            <w:tcBorders>
              <w:top w:val="nil"/>
              <w:left w:val="nil"/>
              <w:bottom w:val="single" w:color="auto" w:sz="4" w:space="0"/>
              <w:right w:val="single" w:color="auto" w:sz="4" w:space="0"/>
            </w:tcBorders>
            <w:vAlign w:val="center"/>
          </w:tcPr>
          <w:p w14:paraId="3D2E106A">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701" w:type="dxa"/>
            <w:tcBorders>
              <w:top w:val="nil"/>
              <w:left w:val="nil"/>
              <w:bottom w:val="single" w:color="auto" w:sz="4" w:space="0"/>
              <w:right w:val="single" w:color="auto" w:sz="4" w:space="0"/>
            </w:tcBorders>
            <w:vAlign w:val="center"/>
          </w:tcPr>
          <w:p w14:paraId="4865564D">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1134" w:type="dxa"/>
            <w:tcBorders>
              <w:top w:val="nil"/>
              <w:left w:val="nil"/>
              <w:bottom w:val="single" w:color="auto" w:sz="4" w:space="0"/>
              <w:right w:val="single" w:color="auto" w:sz="4" w:space="0"/>
            </w:tcBorders>
            <w:vAlign w:val="center"/>
          </w:tcPr>
          <w:p w14:paraId="5C95CD74">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76AF0B76">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7335581C">
            <w:pPr>
              <w:widowControl/>
              <w:jc w:val="left"/>
              <w:rPr>
                <w:rFonts w:ascii="宋体" w:hAnsi="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vAlign w:val="center"/>
          </w:tcPr>
          <w:p w14:paraId="35DC37A9">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14:paraId="6B469D4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14:paraId="6C127C7E">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3000≤Y＜30000</w:t>
            </w:r>
          </w:p>
        </w:tc>
        <w:tc>
          <w:tcPr>
            <w:tcW w:w="1701" w:type="dxa"/>
            <w:tcBorders>
              <w:top w:val="nil"/>
              <w:left w:val="nil"/>
              <w:bottom w:val="single" w:color="auto" w:sz="4" w:space="0"/>
              <w:right w:val="single" w:color="auto" w:sz="4" w:space="0"/>
            </w:tcBorders>
            <w:vAlign w:val="center"/>
          </w:tcPr>
          <w:p w14:paraId="7D686E2F">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200≤Y＜3000</w:t>
            </w:r>
          </w:p>
        </w:tc>
        <w:tc>
          <w:tcPr>
            <w:tcW w:w="1134" w:type="dxa"/>
            <w:tcBorders>
              <w:top w:val="nil"/>
              <w:left w:val="nil"/>
              <w:bottom w:val="single" w:color="auto" w:sz="4" w:space="0"/>
              <w:right w:val="single" w:color="auto" w:sz="4" w:space="0"/>
            </w:tcBorders>
            <w:vAlign w:val="center"/>
          </w:tcPr>
          <w:p w14:paraId="2294EE2D">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w:t>
            </w:r>
          </w:p>
        </w:tc>
      </w:tr>
      <w:tr w14:paraId="075CB10E">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79AC00E3">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仓储业</w:t>
            </w:r>
          </w:p>
        </w:tc>
        <w:tc>
          <w:tcPr>
            <w:tcW w:w="1984" w:type="dxa"/>
            <w:tcBorders>
              <w:top w:val="nil"/>
              <w:left w:val="nil"/>
              <w:bottom w:val="single" w:color="auto" w:sz="4" w:space="0"/>
              <w:right w:val="single" w:color="auto" w:sz="4" w:space="0"/>
            </w:tcBorders>
            <w:vAlign w:val="center"/>
          </w:tcPr>
          <w:p w14:paraId="10485168">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14:paraId="4B79E727">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42" w:type="dxa"/>
            <w:tcBorders>
              <w:top w:val="nil"/>
              <w:left w:val="nil"/>
              <w:bottom w:val="single" w:color="auto" w:sz="4" w:space="0"/>
              <w:right w:val="single" w:color="auto" w:sz="4" w:space="0"/>
            </w:tcBorders>
            <w:vAlign w:val="center"/>
          </w:tcPr>
          <w:p w14:paraId="64A4CF44">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100≤X＜200</w:t>
            </w:r>
          </w:p>
        </w:tc>
        <w:tc>
          <w:tcPr>
            <w:tcW w:w="1701" w:type="dxa"/>
            <w:tcBorders>
              <w:top w:val="nil"/>
              <w:left w:val="nil"/>
              <w:bottom w:val="single" w:color="auto" w:sz="4" w:space="0"/>
              <w:right w:val="single" w:color="auto" w:sz="4" w:space="0"/>
            </w:tcBorders>
            <w:vAlign w:val="center"/>
          </w:tcPr>
          <w:p w14:paraId="0243825F">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20≤X＜100</w:t>
            </w:r>
          </w:p>
        </w:tc>
        <w:tc>
          <w:tcPr>
            <w:tcW w:w="1134" w:type="dxa"/>
            <w:tcBorders>
              <w:top w:val="nil"/>
              <w:left w:val="nil"/>
              <w:bottom w:val="single" w:color="auto" w:sz="4" w:space="0"/>
              <w:right w:val="single" w:color="auto" w:sz="4" w:space="0"/>
            </w:tcBorders>
            <w:vAlign w:val="center"/>
          </w:tcPr>
          <w:p w14:paraId="2D039E29">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7A5AC057">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596C2425">
            <w:pPr>
              <w:widowControl/>
              <w:jc w:val="left"/>
              <w:rPr>
                <w:rFonts w:ascii="宋体" w:hAnsi="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vAlign w:val="center"/>
          </w:tcPr>
          <w:p w14:paraId="7688167B">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14:paraId="59CE17FB">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14:paraId="027BDCEF">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1000≤Y＜30000</w:t>
            </w:r>
          </w:p>
        </w:tc>
        <w:tc>
          <w:tcPr>
            <w:tcW w:w="1701" w:type="dxa"/>
            <w:tcBorders>
              <w:top w:val="nil"/>
              <w:left w:val="nil"/>
              <w:bottom w:val="single" w:color="auto" w:sz="4" w:space="0"/>
              <w:right w:val="single" w:color="auto" w:sz="4" w:space="0"/>
            </w:tcBorders>
            <w:vAlign w:val="center"/>
          </w:tcPr>
          <w:p w14:paraId="6889478C">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1134" w:type="dxa"/>
            <w:tcBorders>
              <w:top w:val="nil"/>
              <w:left w:val="nil"/>
              <w:bottom w:val="single" w:color="auto" w:sz="4" w:space="0"/>
              <w:right w:val="single" w:color="auto" w:sz="4" w:space="0"/>
            </w:tcBorders>
            <w:vAlign w:val="center"/>
          </w:tcPr>
          <w:p w14:paraId="0939CADE">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3C1AEC24">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04FF2DD3">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邮政业</w:t>
            </w:r>
          </w:p>
        </w:tc>
        <w:tc>
          <w:tcPr>
            <w:tcW w:w="1984" w:type="dxa"/>
            <w:tcBorders>
              <w:top w:val="nil"/>
              <w:left w:val="nil"/>
              <w:bottom w:val="single" w:color="auto" w:sz="4" w:space="0"/>
              <w:right w:val="single" w:color="auto" w:sz="4" w:space="0"/>
            </w:tcBorders>
            <w:vAlign w:val="center"/>
          </w:tcPr>
          <w:p w14:paraId="605AEDBF">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14:paraId="3F7FEECF">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42" w:type="dxa"/>
            <w:tcBorders>
              <w:top w:val="nil"/>
              <w:left w:val="nil"/>
              <w:bottom w:val="single" w:color="auto" w:sz="4" w:space="0"/>
              <w:right w:val="single" w:color="auto" w:sz="4" w:space="0"/>
            </w:tcBorders>
            <w:vAlign w:val="center"/>
          </w:tcPr>
          <w:p w14:paraId="03E65F14">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701" w:type="dxa"/>
            <w:tcBorders>
              <w:top w:val="nil"/>
              <w:left w:val="nil"/>
              <w:bottom w:val="single" w:color="auto" w:sz="4" w:space="0"/>
              <w:right w:val="single" w:color="auto" w:sz="4" w:space="0"/>
            </w:tcBorders>
            <w:vAlign w:val="center"/>
          </w:tcPr>
          <w:p w14:paraId="0CA939D1">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1134" w:type="dxa"/>
            <w:tcBorders>
              <w:top w:val="nil"/>
              <w:left w:val="nil"/>
              <w:bottom w:val="single" w:color="auto" w:sz="4" w:space="0"/>
              <w:right w:val="single" w:color="auto" w:sz="4" w:space="0"/>
            </w:tcBorders>
            <w:vAlign w:val="center"/>
          </w:tcPr>
          <w:p w14:paraId="1EE2224B">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5D1EE6AE">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2FF2C404">
            <w:pPr>
              <w:widowControl/>
              <w:jc w:val="left"/>
              <w:rPr>
                <w:rFonts w:ascii="宋体" w:hAnsi="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vAlign w:val="center"/>
          </w:tcPr>
          <w:p w14:paraId="7AAEFA4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14:paraId="1D10D6DE">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14:paraId="2BD3C52D">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2000≤Y＜30000</w:t>
            </w:r>
          </w:p>
        </w:tc>
        <w:tc>
          <w:tcPr>
            <w:tcW w:w="1701" w:type="dxa"/>
            <w:tcBorders>
              <w:top w:val="nil"/>
              <w:left w:val="nil"/>
              <w:bottom w:val="single" w:color="auto" w:sz="4" w:space="0"/>
              <w:right w:val="single" w:color="auto" w:sz="4" w:space="0"/>
            </w:tcBorders>
            <w:vAlign w:val="center"/>
          </w:tcPr>
          <w:p w14:paraId="140D74F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1134" w:type="dxa"/>
            <w:tcBorders>
              <w:top w:val="nil"/>
              <w:left w:val="nil"/>
              <w:bottom w:val="single" w:color="auto" w:sz="4" w:space="0"/>
              <w:right w:val="single" w:color="auto" w:sz="4" w:space="0"/>
            </w:tcBorders>
            <w:vAlign w:val="center"/>
          </w:tcPr>
          <w:p w14:paraId="40C16FC0">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6AFD5A56">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56747F1D">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住宿业</w:t>
            </w:r>
          </w:p>
        </w:tc>
        <w:tc>
          <w:tcPr>
            <w:tcW w:w="1984" w:type="dxa"/>
            <w:tcBorders>
              <w:top w:val="nil"/>
              <w:left w:val="nil"/>
              <w:bottom w:val="single" w:color="auto" w:sz="4" w:space="0"/>
              <w:right w:val="single" w:color="auto" w:sz="4" w:space="0"/>
            </w:tcBorders>
            <w:vAlign w:val="center"/>
          </w:tcPr>
          <w:p w14:paraId="787D0C8A">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14:paraId="6ED30418">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42" w:type="dxa"/>
            <w:tcBorders>
              <w:top w:val="nil"/>
              <w:left w:val="nil"/>
              <w:bottom w:val="single" w:color="auto" w:sz="4" w:space="0"/>
              <w:right w:val="single" w:color="auto" w:sz="4" w:space="0"/>
            </w:tcBorders>
            <w:vAlign w:val="center"/>
          </w:tcPr>
          <w:p w14:paraId="457BEAD3">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701" w:type="dxa"/>
            <w:tcBorders>
              <w:top w:val="nil"/>
              <w:left w:val="nil"/>
              <w:bottom w:val="single" w:color="auto" w:sz="4" w:space="0"/>
              <w:right w:val="single" w:color="auto" w:sz="4" w:space="0"/>
            </w:tcBorders>
            <w:vAlign w:val="center"/>
          </w:tcPr>
          <w:p w14:paraId="2A1A4858">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134" w:type="dxa"/>
            <w:tcBorders>
              <w:top w:val="nil"/>
              <w:left w:val="nil"/>
              <w:bottom w:val="single" w:color="auto" w:sz="4" w:space="0"/>
              <w:right w:val="single" w:color="auto" w:sz="4" w:space="0"/>
            </w:tcBorders>
            <w:vAlign w:val="center"/>
          </w:tcPr>
          <w:p w14:paraId="2A4DC271">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49D2C3BF">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47BFCA19">
            <w:pPr>
              <w:widowControl/>
              <w:jc w:val="left"/>
              <w:rPr>
                <w:rFonts w:ascii="宋体" w:hAnsi="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vAlign w:val="center"/>
          </w:tcPr>
          <w:p w14:paraId="219E2AC6">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14:paraId="7DDA0AEB">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14:paraId="01A99E39">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701" w:type="dxa"/>
            <w:tcBorders>
              <w:top w:val="nil"/>
              <w:left w:val="nil"/>
              <w:bottom w:val="single" w:color="auto" w:sz="4" w:space="0"/>
              <w:right w:val="single" w:color="auto" w:sz="4" w:space="0"/>
            </w:tcBorders>
            <w:vAlign w:val="center"/>
          </w:tcPr>
          <w:p w14:paraId="6033E3C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1134" w:type="dxa"/>
            <w:tcBorders>
              <w:top w:val="nil"/>
              <w:left w:val="nil"/>
              <w:bottom w:val="single" w:color="auto" w:sz="4" w:space="0"/>
              <w:right w:val="single" w:color="auto" w:sz="4" w:space="0"/>
            </w:tcBorders>
            <w:vAlign w:val="center"/>
          </w:tcPr>
          <w:p w14:paraId="673311F6">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45A12A13">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0ED38983">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餐饮业</w:t>
            </w:r>
          </w:p>
        </w:tc>
        <w:tc>
          <w:tcPr>
            <w:tcW w:w="1984" w:type="dxa"/>
            <w:tcBorders>
              <w:top w:val="nil"/>
              <w:left w:val="nil"/>
              <w:bottom w:val="single" w:color="auto" w:sz="4" w:space="0"/>
              <w:right w:val="single" w:color="auto" w:sz="4" w:space="0"/>
            </w:tcBorders>
            <w:vAlign w:val="center"/>
          </w:tcPr>
          <w:p w14:paraId="51985589">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14:paraId="4D423A5C">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42" w:type="dxa"/>
            <w:tcBorders>
              <w:top w:val="nil"/>
              <w:left w:val="nil"/>
              <w:bottom w:val="single" w:color="auto" w:sz="4" w:space="0"/>
              <w:right w:val="single" w:color="auto" w:sz="4" w:space="0"/>
            </w:tcBorders>
            <w:vAlign w:val="center"/>
          </w:tcPr>
          <w:p w14:paraId="50153043">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701" w:type="dxa"/>
            <w:tcBorders>
              <w:top w:val="nil"/>
              <w:left w:val="nil"/>
              <w:bottom w:val="single" w:color="auto" w:sz="4" w:space="0"/>
              <w:right w:val="single" w:color="auto" w:sz="4" w:space="0"/>
            </w:tcBorders>
            <w:vAlign w:val="center"/>
          </w:tcPr>
          <w:p w14:paraId="244B33DB">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134" w:type="dxa"/>
            <w:tcBorders>
              <w:top w:val="nil"/>
              <w:left w:val="nil"/>
              <w:bottom w:val="single" w:color="auto" w:sz="4" w:space="0"/>
              <w:right w:val="single" w:color="auto" w:sz="4" w:space="0"/>
            </w:tcBorders>
            <w:vAlign w:val="center"/>
          </w:tcPr>
          <w:p w14:paraId="116D60C9">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2CE1C92D">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21CFB23E">
            <w:pPr>
              <w:widowControl/>
              <w:jc w:val="left"/>
              <w:rPr>
                <w:rFonts w:ascii="宋体" w:hAnsi="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vAlign w:val="center"/>
          </w:tcPr>
          <w:p w14:paraId="1162964A">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14:paraId="3D52D013">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14:paraId="652768F5">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701" w:type="dxa"/>
            <w:tcBorders>
              <w:top w:val="nil"/>
              <w:left w:val="nil"/>
              <w:bottom w:val="single" w:color="auto" w:sz="4" w:space="0"/>
              <w:right w:val="single" w:color="auto" w:sz="4" w:space="0"/>
            </w:tcBorders>
            <w:vAlign w:val="center"/>
          </w:tcPr>
          <w:p w14:paraId="101EAD98">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1134" w:type="dxa"/>
            <w:tcBorders>
              <w:top w:val="nil"/>
              <w:left w:val="nil"/>
              <w:bottom w:val="single" w:color="auto" w:sz="4" w:space="0"/>
              <w:right w:val="single" w:color="auto" w:sz="4" w:space="0"/>
            </w:tcBorders>
            <w:vAlign w:val="center"/>
          </w:tcPr>
          <w:p w14:paraId="5FD5FFE0">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1EB91569">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66DA4F7E">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信息传输业</w:t>
            </w:r>
          </w:p>
        </w:tc>
        <w:tc>
          <w:tcPr>
            <w:tcW w:w="1984" w:type="dxa"/>
            <w:tcBorders>
              <w:top w:val="nil"/>
              <w:left w:val="nil"/>
              <w:bottom w:val="single" w:color="auto" w:sz="4" w:space="0"/>
              <w:right w:val="single" w:color="auto" w:sz="4" w:space="0"/>
            </w:tcBorders>
            <w:vAlign w:val="center"/>
          </w:tcPr>
          <w:p w14:paraId="6402CEE3">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14:paraId="5EF5ED1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42" w:type="dxa"/>
            <w:tcBorders>
              <w:top w:val="nil"/>
              <w:left w:val="nil"/>
              <w:bottom w:val="single" w:color="auto" w:sz="4" w:space="0"/>
              <w:right w:val="single" w:color="auto" w:sz="4" w:space="0"/>
            </w:tcBorders>
            <w:vAlign w:val="center"/>
          </w:tcPr>
          <w:p w14:paraId="0C8A056B">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100≤X＜2000</w:t>
            </w:r>
          </w:p>
        </w:tc>
        <w:tc>
          <w:tcPr>
            <w:tcW w:w="1701" w:type="dxa"/>
            <w:tcBorders>
              <w:top w:val="nil"/>
              <w:left w:val="nil"/>
              <w:bottom w:val="single" w:color="auto" w:sz="4" w:space="0"/>
              <w:right w:val="single" w:color="auto" w:sz="4" w:space="0"/>
            </w:tcBorders>
            <w:vAlign w:val="center"/>
          </w:tcPr>
          <w:p w14:paraId="52D6DF6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134" w:type="dxa"/>
            <w:tcBorders>
              <w:top w:val="nil"/>
              <w:left w:val="nil"/>
              <w:bottom w:val="single" w:color="auto" w:sz="4" w:space="0"/>
              <w:right w:val="single" w:color="auto" w:sz="4" w:space="0"/>
            </w:tcBorders>
            <w:vAlign w:val="center"/>
          </w:tcPr>
          <w:p w14:paraId="06F5BAD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1D0A6912">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3AFFA9DA">
            <w:pPr>
              <w:widowControl/>
              <w:jc w:val="left"/>
              <w:rPr>
                <w:rFonts w:ascii="宋体" w:hAnsi="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vAlign w:val="center"/>
          </w:tcPr>
          <w:p w14:paraId="5E57C396">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14:paraId="27AF718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14:paraId="5595E161">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1000≤Y＜100000</w:t>
            </w:r>
          </w:p>
        </w:tc>
        <w:tc>
          <w:tcPr>
            <w:tcW w:w="1701" w:type="dxa"/>
            <w:tcBorders>
              <w:top w:val="nil"/>
              <w:left w:val="nil"/>
              <w:bottom w:val="single" w:color="auto" w:sz="4" w:space="0"/>
              <w:right w:val="single" w:color="auto" w:sz="4" w:space="0"/>
            </w:tcBorders>
            <w:vAlign w:val="center"/>
          </w:tcPr>
          <w:p w14:paraId="6B4EA37D">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1134" w:type="dxa"/>
            <w:tcBorders>
              <w:top w:val="nil"/>
              <w:left w:val="nil"/>
              <w:bottom w:val="single" w:color="auto" w:sz="4" w:space="0"/>
              <w:right w:val="single" w:color="auto" w:sz="4" w:space="0"/>
            </w:tcBorders>
            <w:vAlign w:val="center"/>
          </w:tcPr>
          <w:p w14:paraId="2B8599B4">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538E0D8D">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52DB699E">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软件和信息技术服务业</w:t>
            </w:r>
          </w:p>
        </w:tc>
        <w:tc>
          <w:tcPr>
            <w:tcW w:w="1984" w:type="dxa"/>
            <w:tcBorders>
              <w:top w:val="nil"/>
              <w:left w:val="nil"/>
              <w:bottom w:val="single" w:color="auto" w:sz="4" w:space="0"/>
              <w:right w:val="single" w:color="auto" w:sz="4" w:space="0"/>
            </w:tcBorders>
            <w:vAlign w:val="center"/>
          </w:tcPr>
          <w:p w14:paraId="544B3731">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14:paraId="0D483F51">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42" w:type="dxa"/>
            <w:tcBorders>
              <w:top w:val="nil"/>
              <w:left w:val="nil"/>
              <w:bottom w:val="single" w:color="auto" w:sz="4" w:space="0"/>
              <w:right w:val="single" w:color="auto" w:sz="4" w:space="0"/>
            </w:tcBorders>
            <w:vAlign w:val="center"/>
          </w:tcPr>
          <w:p w14:paraId="2BFC33FD">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701" w:type="dxa"/>
            <w:tcBorders>
              <w:top w:val="nil"/>
              <w:left w:val="nil"/>
              <w:bottom w:val="single" w:color="auto" w:sz="4" w:space="0"/>
              <w:right w:val="single" w:color="auto" w:sz="4" w:space="0"/>
            </w:tcBorders>
            <w:vAlign w:val="center"/>
          </w:tcPr>
          <w:p w14:paraId="7F904637">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134" w:type="dxa"/>
            <w:tcBorders>
              <w:top w:val="nil"/>
              <w:left w:val="nil"/>
              <w:bottom w:val="single" w:color="auto" w:sz="4" w:space="0"/>
              <w:right w:val="single" w:color="auto" w:sz="4" w:space="0"/>
            </w:tcBorders>
            <w:vAlign w:val="center"/>
          </w:tcPr>
          <w:p w14:paraId="22F8BF9F">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6AC04AED">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0BB5AEE2">
            <w:pPr>
              <w:widowControl/>
              <w:jc w:val="left"/>
              <w:rPr>
                <w:rFonts w:ascii="宋体" w:hAnsi="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vAlign w:val="center"/>
          </w:tcPr>
          <w:p w14:paraId="363D8B2F">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14:paraId="6A910491">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14:paraId="3D32B0D1">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1000≤Y＜10000</w:t>
            </w:r>
          </w:p>
        </w:tc>
        <w:tc>
          <w:tcPr>
            <w:tcW w:w="1701" w:type="dxa"/>
            <w:tcBorders>
              <w:top w:val="nil"/>
              <w:left w:val="nil"/>
              <w:bottom w:val="single" w:color="auto" w:sz="4" w:space="0"/>
              <w:right w:val="single" w:color="auto" w:sz="4" w:space="0"/>
            </w:tcBorders>
            <w:vAlign w:val="center"/>
          </w:tcPr>
          <w:p w14:paraId="7F25095A">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50≤Y＜1000</w:t>
            </w:r>
          </w:p>
        </w:tc>
        <w:tc>
          <w:tcPr>
            <w:tcW w:w="1134" w:type="dxa"/>
            <w:tcBorders>
              <w:top w:val="nil"/>
              <w:left w:val="nil"/>
              <w:bottom w:val="single" w:color="auto" w:sz="4" w:space="0"/>
              <w:right w:val="single" w:color="auto" w:sz="4" w:space="0"/>
            </w:tcBorders>
            <w:vAlign w:val="center"/>
          </w:tcPr>
          <w:p w14:paraId="49C5B7BE">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337F4EDA">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473927FE">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房地产开发经营</w:t>
            </w:r>
          </w:p>
        </w:tc>
        <w:tc>
          <w:tcPr>
            <w:tcW w:w="1984" w:type="dxa"/>
            <w:tcBorders>
              <w:top w:val="nil"/>
              <w:left w:val="nil"/>
              <w:bottom w:val="single" w:color="auto" w:sz="4" w:space="0"/>
              <w:right w:val="single" w:color="auto" w:sz="4" w:space="0"/>
            </w:tcBorders>
            <w:vAlign w:val="center"/>
          </w:tcPr>
          <w:p w14:paraId="6A6911C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14:paraId="4AC6AACF">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14:paraId="3E5C6AF9">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1000≤Y＜200000</w:t>
            </w:r>
          </w:p>
        </w:tc>
        <w:tc>
          <w:tcPr>
            <w:tcW w:w="1701" w:type="dxa"/>
            <w:tcBorders>
              <w:top w:val="nil"/>
              <w:left w:val="nil"/>
              <w:bottom w:val="single" w:color="auto" w:sz="4" w:space="0"/>
              <w:right w:val="single" w:color="auto" w:sz="4" w:space="0"/>
            </w:tcBorders>
            <w:vAlign w:val="center"/>
          </w:tcPr>
          <w:p w14:paraId="01AE0CD5">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100≤X＜1000</w:t>
            </w:r>
          </w:p>
        </w:tc>
        <w:tc>
          <w:tcPr>
            <w:tcW w:w="1134" w:type="dxa"/>
            <w:tcBorders>
              <w:top w:val="nil"/>
              <w:left w:val="nil"/>
              <w:bottom w:val="single" w:color="auto" w:sz="4" w:space="0"/>
              <w:right w:val="single" w:color="auto" w:sz="4" w:space="0"/>
            </w:tcBorders>
            <w:vAlign w:val="center"/>
          </w:tcPr>
          <w:p w14:paraId="4624C646">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w:t>
            </w:r>
          </w:p>
        </w:tc>
      </w:tr>
      <w:tr w14:paraId="4AD4A0DF">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2E8AEBC9">
            <w:pPr>
              <w:widowControl/>
              <w:jc w:val="left"/>
              <w:rPr>
                <w:rFonts w:ascii="宋体" w:hAnsi="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vAlign w:val="center"/>
          </w:tcPr>
          <w:p w14:paraId="3817A5F1">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851" w:type="dxa"/>
            <w:tcBorders>
              <w:top w:val="nil"/>
              <w:left w:val="nil"/>
              <w:bottom w:val="single" w:color="auto" w:sz="4" w:space="0"/>
              <w:right w:val="single" w:color="auto" w:sz="4" w:space="0"/>
            </w:tcBorders>
            <w:vAlign w:val="center"/>
          </w:tcPr>
          <w:p w14:paraId="0F8980AF">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14:paraId="270C7463">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5000≤Z＜10000</w:t>
            </w:r>
          </w:p>
        </w:tc>
        <w:tc>
          <w:tcPr>
            <w:tcW w:w="1701" w:type="dxa"/>
            <w:tcBorders>
              <w:top w:val="nil"/>
              <w:left w:val="nil"/>
              <w:bottom w:val="single" w:color="auto" w:sz="4" w:space="0"/>
              <w:right w:val="single" w:color="auto" w:sz="4" w:space="0"/>
            </w:tcBorders>
            <w:vAlign w:val="center"/>
          </w:tcPr>
          <w:p w14:paraId="30C71187">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2000≤Y＜5000</w:t>
            </w:r>
          </w:p>
        </w:tc>
        <w:tc>
          <w:tcPr>
            <w:tcW w:w="1134" w:type="dxa"/>
            <w:tcBorders>
              <w:top w:val="nil"/>
              <w:left w:val="nil"/>
              <w:bottom w:val="single" w:color="auto" w:sz="4" w:space="0"/>
              <w:right w:val="single" w:color="auto" w:sz="4" w:space="0"/>
            </w:tcBorders>
            <w:vAlign w:val="center"/>
          </w:tcPr>
          <w:p w14:paraId="7F3AB675">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Y＜2000</w:t>
            </w:r>
          </w:p>
        </w:tc>
      </w:tr>
      <w:tr w14:paraId="520D0819">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1A92C2BB">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物业管理</w:t>
            </w:r>
          </w:p>
        </w:tc>
        <w:tc>
          <w:tcPr>
            <w:tcW w:w="1984" w:type="dxa"/>
            <w:tcBorders>
              <w:top w:val="nil"/>
              <w:left w:val="nil"/>
              <w:bottom w:val="single" w:color="auto" w:sz="4" w:space="0"/>
              <w:right w:val="single" w:color="auto" w:sz="4" w:space="0"/>
            </w:tcBorders>
            <w:vAlign w:val="center"/>
          </w:tcPr>
          <w:p w14:paraId="2C3759DC">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14:paraId="08BFBD79">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42" w:type="dxa"/>
            <w:tcBorders>
              <w:top w:val="nil"/>
              <w:left w:val="nil"/>
              <w:bottom w:val="single" w:color="auto" w:sz="4" w:space="0"/>
              <w:right w:val="single" w:color="auto" w:sz="4" w:space="0"/>
            </w:tcBorders>
            <w:vAlign w:val="center"/>
          </w:tcPr>
          <w:p w14:paraId="6646FBA1">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701" w:type="dxa"/>
            <w:tcBorders>
              <w:top w:val="nil"/>
              <w:left w:val="nil"/>
              <w:bottom w:val="single" w:color="auto" w:sz="4" w:space="0"/>
              <w:right w:val="single" w:color="auto" w:sz="4" w:space="0"/>
            </w:tcBorders>
            <w:vAlign w:val="center"/>
          </w:tcPr>
          <w:p w14:paraId="61BCBED3">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134" w:type="dxa"/>
            <w:tcBorders>
              <w:top w:val="nil"/>
              <w:left w:val="nil"/>
              <w:bottom w:val="single" w:color="auto" w:sz="4" w:space="0"/>
              <w:right w:val="single" w:color="auto" w:sz="4" w:space="0"/>
            </w:tcBorders>
            <w:vAlign w:val="center"/>
          </w:tcPr>
          <w:p w14:paraId="0B4EB618">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w:t>
            </w:r>
          </w:p>
        </w:tc>
      </w:tr>
      <w:tr w14:paraId="4BA382D6">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0D38B8DB">
            <w:pPr>
              <w:widowControl/>
              <w:jc w:val="left"/>
              <w:rPr>
                <w:rFonts w:ascii="宋体" w:hAnsi="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vAlign w:val="center"/>
          </w:tcPr>
          <w:p w14:paraId="072D7100">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14:paraId="3161AFCB">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14:paraId="6BB38CA5">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1701" w:type="dxa"/>
            <w:tcBorders>
              <w:top w:val="nil"/>
              <w:left w:val="nil"/>
              <w:bottom w:val="single" w:color="auto" w:sz="4" w:space="0"/>
              <w:right w:val="single" w:color="auto" w:sz="4" w:space="0"/>
            </w:tcBorders>
            <w:vAlign w:val="center"/>
          </w:tcPr>
          <w:p w14:paraId="04B4F045">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500≤Y＜1000</w:t>
            </w:r>
          </w:p>
        </w:tc>
        <w:tc>
          <w:tcPr>
            <w:tcW w:w="1134" w:type="dxa"/>
            <w:tcBorders>
              <w:top w:val="nil"/>
              <w:left w:val="nil"/>
              <w:bottom w:val="single" w:color="auto" w:sz="4" w:space="0"/>
              <w:right w:val="single" w:color="auto" w:sz="4" w:space="0"/>
            </w:tcBorders>
            <w:vAlign w:val="center"/>
          </w:tcPr>
          <w:p w14:paraId="7E0ADB0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Y＜500</w:t>
            </w:r>
          </w:p>
        </w:tc>
      </w:tr>
      <w:tr w14:paraId="73577F50">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788D680C">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租赁和商务服务业</w:t>
            </w:r>
          </w:p>
        </w:tc>
        <w:tc>
          <w:tcPr>
            <w:tcW w:w="1984" w:type="dxa"/>
            <w:tcBorders>
              <w:top w:val="nil"/>
              <w:left w:val="nil"/>
              <w:bottom w:val="single" w:color="auto" w:sz="4" w:space="0"/>
              <w:right w:val="single" w:color="auto" w:sz="4" w:space="0"/>
            </w:tcBorders>
            <w:vAlign w:val="center"/>
          </w:tcPr>
          <w:p w14:paraId="09AFAD0D">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14:paraId="07674813">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42" w:type="dxa"/>
            <w:tcBorders>
              <w:top w:val="nil"/>
              <w:left w:val="nil"/>
              <w:bottom w:val="single" w:color="auto" w:sz="4" w:space="0"/>
              <w:right w:val="single" w:color="auto" w:sz="4" w:space="0"/>
            </w:tcBorders>
            <w:vAlign w:val="center"/>
          </w:tcPr>
          <w:p w14:paraId="52C1FC54">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701" w:type="dxa"/>
            <w:tcBorders>
              <w:top w:val="nil"/>
              <w:left w:val="nil"/>
              <w:bottom w:val="single" w:color="auto" w:sz="4" w:space="0"/>
              <w:right w:val="single" w:color="auto" w:sz="4" w:space="0"/>
            </w:tcBorders>
            <w:vAlign w:val="center"/>
          </w:tcPr>
          <w:p w14:paraId="3A5C0716">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134" w:type="dxa"/>
            <w:tcBorders>
              <w:top w:val="nil"/>
              <w:left w:val="nil"/>
              <w:bottom w:val="single" w:color="auto" w:sz="4" w:space="0"/>
              <w:right w:val="single" w:color="auto" w:sz="4" w:space="0"/>
            </w:tcBorders>
            <w:vAlign w:val="center"/>
          </w:tcPr>
          <w:p w14:paraId="767A404C">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437B91A5">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3D684DDB">
            <w:pPr>
              <w:widowControl/>
              <w:jc w:val="left"/>
              <w:rPr>
                <w:rFonts w:ascii="宋体" w:hAnsi="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vAlign w:val="center"/>
          </w:tcPr>
          <w:p w14:paraId="58EA40E4">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851" w:type="dxa"/>
            <w:tcBorders>
              <w:top w:val="nil"/>
              <w:left w:val="nil"/>
              <w:bottom w:val="single" w:color="auto" w:sz="4" w:space="0"/>
              <w:right w:val="single" w:color="auto" w:sz="4" w:space="0"/>
            </w:tcBorders>
            <w:vAlign w:val="center"/>
          </w:tcPr>
          <w:p w14:paraId="54DE9BB8">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14:paraId="585047C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8000≤Z＜120000</w:t>
            </w:r>
          </w:p>
        </w:tc>
        <w:tc>
          <w:tcPr>
            <w:tcW w:w="1701" w:type="dxa"/>
            <w:tcBorders>
              <w:top w:val="nil"/>
              <w:left w:val="nil"/>
              <w:bottom w:val="single" w:color="auto" w:sz="4" w:space="0"/>
              <w:right w:val="single" w:color="auto" w:sz="4" w:space="0"/>
            </w:tcBorders>
            <w:vAlign w:val="center"/>
          </w:tcPr>
          <w:p w14:paraId="272A5181">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100≤Z＜8000</w:t>
            </w:r>
          </w:p>
        </w:tc>
        <w:tc>
          <w:tcPr>
            <w:tcW w:w="1134" w:type="dxa"/>
            <w:tcBorders>
              <w:top w:val="nil"/>
              <w:left w:val="nil"/>
              <w:bottom w:val="single" w:color="auto" w:sz="4" w:space="0"/>
              <w:right w:val="single" w:color="auto" w:sz="4" w:space="0"/>
            </w:tcBorders>
            <w:vAlign w:val="center"/>
          </w:tcPr>
          <w:p w14:paraId="52640F9D">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7FFB48E4">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vAlign w:val="bottom"/>
          </w:tcPr>
          <w:p w14:paraId="0F63F423">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其他未列明行业</w:t>
            </w:r>
          </w:p>
        </w:tc>
        <w:tc>
          <w:tcPr>
            <w:tcW w:w="1984" w:type="dxa"/>
            <w:tcBorders>
              <w:top w:val="nil"/>
              <w:left w:val="nil"/>
              <w:bottom w:val="single" w:color="auto" w:sz="4" w:space="0"/>
              <w:right w:val="single" w:color="auto" w:sz="4" w:space="0"/>
            </w:tcBorders>
            <w:vAlign w:val="center"/>
          </w:tcPr>
          <w:p w14:paraId="02799C75">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14:paraId="5B751413">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42" w:type="dxa"/>
            <w:tcBorders>
              <w:top w:val="nil"/>
              <w:left w:val="nil"/>
              <w:bottom w:val="single" w:color="auto" w:sz="4" w:space="0"/>
              <w:right w:val="single" w:color="auto" w:sz="4" w:space="0"/>
            </w:tcBorders>
            <w:vAlign w:val="center"/>
          </w:tcPr>
          <w:p w14:paraId="5A000880">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701" w:type="dxa"/>
            <w:tcBorders>
              <w:top w:val="nil"/>
              <w:left w:val="nil"/>
              <w:bottom w:val="single" w:color="auto" w:sz="4" w:space="0"/>
              <w:right w:val="single" w:color="auto" w:sz="4" w:space="0"/>
            </w:tcBorders>
            <w:vAlign w:val="center"/>
          </w:tcPr>
          <w:p w14:paraId="1CD41CB4">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134" w:type="dxa"/>
            <w:tcBorders>
              <w:top w:val="nil"/>
              <w:left w:val="nil"/>
              <w:bottom w:val="single" w:color="auto" w:sz="4" w:space="0"/>
              <w:right w:val="single" w:color="auto" w:sz="4" w:space="0"/>
            </w:tcBorders>
            <w:vAlign w:val="center"/>
          </w:tcPr>
          <w:p w14:paraId="5994134A">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bl>
    <w:p w14:paraId="3C6615A0">
      <w:pPr>
        <w:spacing w:line="560" w:lineRule="exact"/>
        <w:ind w:firstLine="525" w:firstLineChars="250"/>
        <w:rPr>
          <w:rFonts w:ascii="宋体" w:hAnsi="宋体" w:cs="宋体"/>
          <w:color w:val="auto"/>
          <w:szCs w:val="21"/>
          <w:highlight w:val="none"/>
        </w:rPr>
      </w:pPr>
      <w:r>
        <w:rPr>
          <w:rFonts w:hint="eastAsia" w:ascii="宋体" w:hAnsi="宋体" w:cs="宋体"/>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1CC77A7F">
      <w:pPr>
        <w:pStyle w:val="20"/>
        <w:jc w:val="center"/>
        <w:outlineLvl w:val="0"/>
        <w:rPr>
          <w:rFonts w:hAnsi="宋体" w:cs="宋体"/>
          <w:color w:val="auto"/>
          <w:highlight w:val="none"/>
        </w:rPr>
        <w:sectPr>
          <w:pgSz w:w="11906" w:h="16838"/>
          <w:pgMar w:top="1134" w:right="1134" w:bottom="1134" w:left="1134" w:header="720" w:footer="720" w:gutter="0"/>
          <w:cols w:space="720" w:num="1"/>
          <w:docGrid w:type="lines" w:linePitch="331" w:charSpace="0"/>
        </w:sectPr>
      </w:pPr>
    </w:p>
    <w:p w14:paraId="07B5E56A">
      <w:pPr>
        <w:pStyle w:val="3"/>
        <w:spacing w:line="240" w:lineRule="auto"/>
        <w:jc w:val="center"/>
        <w:rPr>
          <w:rFonts w:ascii="宋体" w:hAnsi="宋体" w:cs="宋体"/>
          <w:color w:val="auto"/>
          <w:highlight w:val="none"/>
        </w:rPr>
      </w:pPr>
      <w:bookmarkStart w:id="37" w:name="_Toc9415"/>
      <w:r>
        <w:rPr>
          <w:rFonts w:hint="eastAsia" w:ascii="宋体" w:hAnsi="宋体" w:cs="宋体"/>
          <w:bCs w:val="0"/>
          <w:color w:val="auto"/>
          <w:sz w:val="32"/>
          <w:szCs w:val="32"/>
          <w:highlight w:val="none"/>
        </w:rPr>
        <w:t>第三章 供应商须知</w:t>
      </w:r>
      <w:bookmarkEnd w:id="37"/>
    </w:p>
    <w:p w14:paraId="4491DA0B">
      <w:pPr>
        <w:pStyle w:val="4"/>
        <w:spacing w:line="240" w:lineRule="auto"/>
        <w:jc w:val="center"/>
        <w:rPr>
          <w:rFonts w:ascii="宋体" w:hAnsi="宋体" w:cs="宋体"/>
          <w:b w:val="0"/>
          <w:color w:val="auto"/>
          <w:highlight w:val="none"/>
        </w:rPr>
      </w:pPr>
      <w:bookmarkStart w:id="38" w:name="_Toc7998"/>
      <w:r>
        <w:rPr>
          <w:rFonts w:hint="eastAsia" w:ascii="宋体" w:hAnsi="宋体" w:cs="宋体"/>
          <w:b w:val="0"/>
          <w:color w:val="auto"/>
          <w:highlight w:val="none"/>
        </w:rPr>
        <w:t>第一节 供应商须知前附表</w:t>
      </w:r>
      <w:bookmarkEnd w:id="38"/>
    </w:p>
    <w:tbl>
      <w:tblPr>
        <w:tblStyle w:val="31"/>
        <w:tblW w:w="1036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5"/>
        <w:gridCol w:w="2786"/>
        <w:gridCol w:w="6853"/>
      </w:tblGrid>
      <w:tr w14:paraId="4ED0A7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725" w:type="dxa"/>
          </w:tcPr>
          <w:p w14:paraId="573E0330">
            <w:pPr>
              <w:spacing w:line="360" w:lineRule="exact"/>
              <w:jc w:val="center"/>
              <w:rPr>
                <w:rFonts w:ascii="宋体" w:hAnsi="宋体" w:cs="宋体"/>
                <w:b/>
                <w:color w:val="auto"/>
                <w:szCs w:val="21"/>
                <w:highlight w:val="none"/>
              </w:rPr>
            </w:pPr>
            <w:r>
              <w:rPr>
                <w:rFonts w:hint="eastAsia" w:ascii="宋体" w:hAnsi="宋体" w:cs="宋体"/>
                <w:b/>
                <w:color w:val="auto"/>
                <w:szCs w:val="21"/>
                <w:highlight w:val="none"/>
              </w:rPr>
              <w:t>条款号</w:t>
            </w:r>
          </w:p>
        </w:tc>
        <w:tc>
          <w:tcPr>
            <w:tcW w:w="2786" w:type="dxa"/>
            <w:vAlign w:val="center"/>
          </w:tcPr>
          <w:p w14:paraId="0CB5504F">
            <w:pPr>
              <w:spacing w:line="360" w:lineRule="exact"/>
              <w:jc w:val="center"/>
              <w:rPr>
                <w:rFonts w:ascii="宋体" w:hAnsi="宋体" w:cs="宋体"/>
                <w:b/>
                <w:color w:val="auto"/>
                <w:szCs w:val="21"/>
                <w:highlight w:val="none"/>
              </w:rPr>
            </w:pPr>
            <w:r>
              <w:rPr>
                <w:rFonts w:hint="eastAsia" w:ascii="宋体" w:hAnsi="宋体" w:cs="宋体"/>
                <w:b/>
                <w:color w:val="auto"/>
                <w:szCs w:val="21"/>
                <w:highlight w:val="none"/>
              </w:rPr>
              <w:t>条款内容</w:t>
            </w:r>
          </w:p>
        </w:tc>
        <w:tc>
          <w:tcPr>
            <w:tcW w:w="6853" w:type="dxa"/>
          </w:tcPr>
          <w:p w14:paraId="38EB6E47">
            <w:pPr>
              <w:spacing w:line="360" w:lineRule="exact"/>
              <w:jc w:val="center"/>
              <w:rPr>
                <w:rFonts w:ascii="宋体" w:hAnsi="宋体" w:cs="宋体"/>
                <w:b/>
                <w:color w:val="auto"/>
                <w:szCs w:val="21"/>
                <w:highlight w:val="none"/>
              </w:rPr>
            </w:pPr>
            <w:r>
              <w:rPr>
                <w:rFonts w:hint="eastAsia" w:ascii="宋体" w:hAnsi="宋体" w:cs="宋体"/>
                <w:b/>
                <w:color w:val="auto"/>
                <w:szCs w:val="21"/>
                <w:highlight w:val="none"/>
              </w:rPr>
              <w:t>具体要求</w:t>
            </w:r>
          </w:p>
        </w:tc>
      </w:tr>
      <w:tr w14:paraId="61303E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725" w:type="dxa"/>
          </w:tcPr>
          <w:p w14:paraId="199C5965">
            <w:pPr>
              <w:spacing w:line="360" w:lineRule="exact"/>
              <w:rPr>
                <w:rFonts w:ascii="宋体" w:hAnsi="宋体" w:cs="宋体"/>
                <w:color w:val="auto"/>
                <w:szCs w:val="21"/>
                <w:highlight w:val="none"/>
              </w:rPr>
            </w:pPr>
            <w:r>
              <w:rPr>
                <w:rFonts w:hint="eastAsia" w:ascii="宋体" w:hAnsi="宋体" w:cs="宋体"/>
                <w:color w:val="auto"/>
                <w:szCs w:val="21"/>
                <w:highlight w:val="none"/>
              </w:rPr>
              <w:t>3.1</w:t>
            </w:r>
          </w:p>
        </w:tc>
        <w:tc>
          <w:tcPr>
            <w:tcW w:w="2786" w:type="dxa"/>
            <w:vAlign w:val="center"/>
          </w:tcPr>
          <w:p w14:paraId="29ED4184">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供应商资格条件</w:t>
            </w:r>
          </w:p>
        </w:tc>
        <w:tc>
          <w:tcPr>
            <w:tcW w:w="6853" w:type="dxa"/>
          </w:tcPr>
          <w:p w14:paraId="0395E549">
            <w:pPr>
              <w:spacing w:line="360" w:lineRule="exact"/>
              <w:rPr>
                <w:rFonts w:ascii="宋体" w:hAnsi="宋体" w:cs="宋体"/>
                <w:b/>
                <w:color w:val="auto"/>
                <w:szCs w:val="21"/>
                <w:highlight w:val="none"/>
              </w:rPr>
            </w:pPr>
            <w:r>
              <w:rPr>
                <w:rFonts w:hint="eastAsia" w:ascii="宋体" w:hAnsi="宋体" w:cs="宋体"/>
                <w:color w:val="auto"/>
                <w:szCs w:val="21"/>
                <w:highlight w:val="none"/>
              </w:rPr>
              <w:t>供应商资格条件要求详见公告。</w:t>
            </w:r>
          </w:p>
        </w:tc>
      </w:tr>
      <w:tr w14:paraId="1D2A44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Align w:val="center"/>
          </w:tcPr>
          <w:p w14:paraId="74BAB671">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5.1</w:t>
            </w:r>
          </w:p>
        </w:tc>
        <w:tc>
          <w:tcPr>
            <w:tcW w:w="2786" w:type="dxa"/>
            <w:vAlign w:val="center"/>
          </w:tcPr>
          <w:p w14:paraId="1C21F2A7">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是否接受联合体竞标</w:t>
            </w:r>
          </w:p>
        </w:tc>
        <w:tc>
          <w:tcPr>
            <w:tcW w:w="6853" w:type="dxa"/>
            <w:vAlign w:val="center"/>
          </w:tcPr>
          <w:p w14:paraId="514336C2">
            <w:pPr>
              <w:spacing w:line="360" w:lineRule="exact"/>
              <w:rPr>
                <w:rFonts w:ascii="宋体" w:hAnsi="宋体" w:cs="宋体"/>
                <w:color w:val="auto"/>
                <w:szCs w:val="21"/>
                <w:highlight w:val="none"/>
              </w:rPr>
            </w:pPr>
            <w:r>
              <w:rPr>
                <w:rFonts w:hint="eastAsia" w:ascii="宋体" w:hAnsi="宋体" w:cs="宋体"/>
                <w:color w:val="auto"/>
                <w:szCs w:val="21"/>
                <w:highlight w:val="none"/>
              </w:rPr>
              <w:t>☑否。</w:t>
            </w:r>
          </w:p>
        </w:tc>
      </w:tr>
      <w:tr w14:paraId="4F012F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Align w:val="center"/>
          </w:tcPr>
          <w:p w14:paraId="0E3DCB20">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5.2</w:t>
            </w:r>
          </w:p>
        </w:tc>
        <w:tc>
          <w:tcPr>
            <w:tcW w:w="2786" w:type="dxa"/>
            <w:vAlign w:val="center"/>
          </w:tcPr>
          <w:p w14:paraId="11FE5104">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联合体竞标要求</w:t>
            </w:r>
          </w:p>
        </w:tc>
        <w:tc>
          <w:tcPr>
            <w:tcW w:w="6853" w:type="dxa"/>
            <w:vAlign w:val="center"/>
          </w:tcPr>
          <w:p w14:paraId="5340AE86">
            <w:pPr>
              <w:spacing w:line="360" w:lineRule="exact"/>
              <w:rPr>
                <w:rFonts w:ascii="宋体" w:hAnsi="宋体" w:cs="宋体"/>
                <w:color w:val="auto"/>
                <w:szCs w:val="21"/>
                <w:highlight w:val="none"/>
              </w:rPr>
            </w:pPr>
            <w:r>
              <w:rPr>
                <w:rFonts w:hint="eastAsia" w:ascii="宋体" w:hAnsi="宋体" w:cs="宋体"/>
                <w:color w:val="auto"/>
                <w:szCs w:val="21"/>
                <w:highlight w:val="none"/>
              </w:rPr>
              <w:t>无</w:t>
            </w:r>
          </w:p>
        </w:tc>
      </w:tr>
      <w:tr w14:paraId="007038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Align w:val="center"/>
          </w:tcPr>
          <w:p w14:paraId="07E03077">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6.1</w:t>
            </w:r>
          </w:p>
        </w:tc>
        <w:tc>
          <w:tcPr>
            <w:tcW w:w="2786" w:type="dxa"/>
            <w:vAlign w:val="center"/>
          </w:tcPr>
          <w:p w14:paraId="1A680976">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是否允许分包</w:t>
            </w:r>
          </w:p>
        </w:tc>
        <w:tc>
          <w:tcPr>
            <w:tcW w:w="6853" w:type="dxa"/>
            <w:vAlign w:val="center"/>
          </w:tcPr>
          <w:p w14:paraId="27CFCF53">
            <w:pPr>
              <w:pStyle w:val="14"/>
              <w:spacing w:line="320" w:lineRule="exact"/>
              <w:rPr>
                <w:rFonts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不允许分包</w:t>
            </w:r>
          </w:p>
          <w:p w14:paraId="2A4F8A7D">
            <w:pPr>
              <w:pStyle w:val="14"/>
              <w:spacing w:line="320" w:lineRule="exact"/>
              <w:rPr>
                <w:rFonts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允许分包</w:t>
            </w:r>
          </w:p>
          <w:p w14:paraId="239E8A41">
            <w:pPr>
              <w:pStyle w:val="14"/>
              <w:spacing w:line="320" w:lineRule="exact"/>
              <w:rPr>
                <w:rFonts w:ascii="宋体" w:hAnsi="宋体"/>
                <w:color w:val="auto"/>
                <w:szCs w:val="21"/>
                <w:highlight w:val="none"/>
                <w:u w:val="single"/>
              </w:rPr>
            </w:pPr>
            <w:r>
              <w:rPr>
                <w:rFonts w:hint="eastAsia" w:ascii="宋体" w:hAnsi="宋体"/>
                <w:color w:val="auto"/>
                <w:szCs w:val="21"/>
                <w:highlight w:val="none"/>
              </w:rPr>
              <w:t>分包内容：</w:t>
            </w:r>
            <w:r>
              <w:rPr>
                <w:rFonts w:ascii="宋体" w:hAnsi="宋体"/>
                <w:color w:val="auto"/>
                <w:szCs w:val="21"/>
                <w:highlight w:val="none"/>
                <w:u w:val="single"/>
              </w:rPr>
              <w:t xml:space="preserve">        /       </w:t>
            </w:r>
            <w:r>
              <w:rPr>
                <w:rFonts w:hint="eastAsia" w:ascii="宋体" w:hAnsi="宋体"/>
                <w:color w:val="auto"/>
                <w:szCs w:val="21"/>
                <w:highlight w:val="none"/>
                <w:u w:val="single"/>
              </w:rPr>
              <w:t>。</w:t>
            </w:r>
          </w:p>
          <w:p w14:paraId="3DEAA0C6">
            <w:pPr>
              <w:pStyle w:val="14"/>
              <w:spacing w:line="360" w:lineRule="exact"/>
              <w:rPr>
                <w:rFonts w:ascii="宋体" w:hAnsi="宋体" w:cs="宋体"/>
                <w:color w:val="auto"/>
                <w:szCs w:val="21"/>
                <w:highlight w:val="none"/>
              </w:rPr>
            </w:pPr>
            <w:r>
              <w:rPr>
                <w:rFonts w:hint="eastAsia" w:ascii="宋体" w:hAnsi="宋体"/>
                <w:color w:val="auto"/>
                <w:szCs w:val="21"/>
                <w:highlight w:val="none"/>
              </w:rPr>
              <w:t>分包金额或者比例：</w:t>
            </w:r>
            <w:r>
              <w:rPr>
                <w:rFonts w:hint="eastAsia" w:ascii="宋体" w:hAnsi="宋体"/>
                <w:color w:val="auto"/>
                <w:szCs w:val="21"/>
                <w:highlight w:val="none"/>
                <w:u w:val="single"/>
              </w:rPr>
              <w:t xml:space="preserve">       /       。</w:t>
            </w:r>
          </w:p>
        </w:tc>
      </w:tr>
      <w:tr w14:paraId="07F047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Align w:val="center"/>
          </w:tcPr>
          <w:p w14:paraId="265AA410">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12.1.1</w:t>
            </w:r>
          </w:p>
        </w:tc>
        <w:tc>
          <w:tcPr>
            <w:tcW w:w="2786" w:type="dxa"/>
            <w:vAlign w:val="center"/>
          </w:tcPr>
          <w:p w14:paraId="45CDFC88">
            <w:pPr>
              <w:snapToGrid w:val="0"/>
              <w:spacing w:line="360" w:lineRule="exact"/>
              <w:jc w:val="center"/>
              <w:rPr>
                <w:rFonts w:ascii="宋体" w:hAnsi="宋体" w:cs="宋体"/>
                <w:color w:val="auto"/>
                <w:szCs w:val="21"/>
                <w:highlight w:val="none"/>
              </w:rPr>
            </w:pPr>
            <w:r>
              <w:rPr>
                <w:rFonts w:hint="eastAsia" w:ascii="宋体" w:hAnsi="宋体" w:cs="宋体"/>
                <w:b/>
                <w:color w:val="auto"/>
                <w:szCs w:val="21"/>
                <w:highlight w:val="none"/>
              </w:rPr>
              <w:t>资格证明文件组成</w:t>
            </w:r>
          </w:p>
        </w:tc>
        <w:tc>
          <w:tcPr>
            <w:tcW w:w="6853" w:type="dxa"/>
            <w:vAlign w:val="center"/>
          </w:tcPr>
          <w:p w14:paraId="5D0A3BF9">
            <w:pPr>
              <w:pStyle w:val="14"/>
              <w:spacing w:line="360" w:lineRule="exact"/>
              <w:rPr>
                <w:rFonts w:ascii="宋体" w:hAnsi="宋体" w:cs="宋体"/>
                <w:color w:val="auto"/>
                <w:szCs w:val="21"/>
                <w:highlight w:val="none"/>
              </w:rPr>
            </w:pPr>
            <w:r>
              <w:rPr>
                <w:rFonts w:hint="eastAsia" w:ascii="宋体" w:hAnsi="宋体" w:cs="宋体"/>
                <w:color w:val="auto"/>
                <w:szCs w:val="21"/>
                <w:highlight w:val="none"/>
              </w:rPr>
              <w:t>1.供应商为法人或者其他组织的提供其营业执照等证明文件（如营业执照或者事业单位法人证书或者执业许可证等），供应商为自然人的提供其身份证复印件；（</w:t>
            </w:r>
            <w:r>
              <w:rPr>
                <w:rFonts w:hint="eastAsia" w:ascii="宋体" w:hAnsi="宋体" w:cs="宋体"/>
                <w:b/>
                <w:color w:val="auto"/>
                <w:szCs w:val="21"/>
                <w:highlight w:val="none"/>
              </w:rPr>
              <w:t>必须提供，否则磋商文件按无效响应处理</w:t>
            </w:r>
            <w:r>
              <w:rPr>
                <w:rFonts w:hint="eastAsia" w:ascii="宋体" w:hAnsi="宋体" w:cs="宋体"/>
                <w:color w:val="auto"/>
                <w:szCs w:val="21"/>
                <w:highlight w:val="none"/>
              </w:rPr>
              <w:t>）</w:t>
            </w:r>
          </w:p>
          <w:p w14:paraId="56E65DA5">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2.供应商依法缴纳税收的相关材料[</w:t>
            </w:r>
            <w:r>
              <w:rPr>
                <w:rFonts w:hint="eastAsia" w:ascii="宋体" w:hAnsi="宋体" w:cs="宋体"/>
                <w:color w:val="auto"/>
                <w:szCs w:val="21"/>
                <w:highlight w:val="none"/>
                <w:u w:val="single"/>
              </w:rPr>
              <w:t xml:space="preserve"> 2024 </w:t>
            </w:r>
            <w:r>
              <w:rPr>
                <w:rFonts w:hint="eastAsia" w:ascii="宋体" w:hAnsi="宋体" w:cs="宋体"/>
                <w:color w:val="auto"/>
                <w:szCs w:val="21"/>
                <w:highlight w:val="none"/>
              </w:rPr>
              <w:t>年</w:t>
            </w:r>
            <w:r>
              <w:rPr>
                <w:rFonts w:hint="eastAsia" w:ascii="宋体" w:hAnsi="宋体" w:cs="宋体"/>
                <w:color w:val="auto"/>
                <w:szCs w:val="21"/>
                <w:highlight w:val="none"/>
                <w:u w:val="single"/>
              </w:rPr>
              <w:t>04</w:t>
            </w:r>
            <w:r>
              <w:rPr>
                <w:rFonts w:hint="eastAsia" w:ascii="宋体" w:hAnsi="宋体" w:cs="宋体"/>
                <w:color w:val="auto"/>
                <w:szCs w:val="21"/>
                <w:highlight w:val="none"/>
              </w:rPr>
              <w:t>月至</w:t>
            </w:r>
            <w:r>
              <w:rPr>
                <w:rFonts w:hint="eastAsia" w:ascii="宋体" w:hAnsi="宋体" w:cs="宋体"/>
                <w:color w:val="auto"/>
                <w:szCs w:val="21"/>
                <w:highlight w:val="none"/>
                <w:u w:val="single"/>
              </w:rPr>
              <w:t xml:space="preserve"> 2024 </w:t>
            </w:r>
            <w:r>
              <w:rPr>
                <w:rFonts w:hint="eastAsia" w:ascii="宋体" w:hAnsi="宋体" w:cs="宋体"/>
                <w:color w:val="auto"/>
                <w:szCs w:val="21"/>
                <w:highlight w:val="none"/>
              </w:rPr>
              <w:t>年</w:t>
            </w:r>
            <w:r>
              <w:rPr>
                <w:rFonts w:hint="eastAsia" w:ascii="宋体" w:hAnsi="宋体" w:cs="宋体"/>
                <w:color w:val="auto"/>
                <w:szCs w:val="21"/>
                <w:highlight w:val="none"/>
                <w:u w:val="single"/>
              </w:rPr>
              <w:t>10月内连续3个月</w:t>
            </w:r>
            <w:r>
              <w:rPr>
                <w:rFonts w:hint="eastAsia" w:ascii="宋体" w:hAnsi="宋体" w:cs="宋体"/>
                <w:color w:val="auto"/>
                <w:szCs w:val="21"/>
                <w:highlight w:val="none"/>
              </w:rPr>
              <w:t>的依法缴纳税收的凭据复印件；依法免税的供应商，必须提供相应文件证明其依法免税。从取得营业执照时间起到响应文件提交截止时间为止不足要求月数的，只需提供从取得营业执照起的依法缴纳税收相应证明文件]；</w:t>
            </w:r>
            <w:r>
              <w:rPr>
                <w:rFonts w:hint="eastAsia" w:ascii="宋体" w:hAnsi="宋体"/>
                <w:color w:val="auto"/>
                <w:szCs w:val="21"/>
                <w:highlight w:val="none"/>
              </w:rPr>
              <w:t>（</w:t>
            </w:r>
            <w:r>
              <w:rPr>
                <w:rFonts w:hint="eastAsia" w:ascii="宋体" w:hAnsi="宋体"/>
                <w:b/>
                <w:bCs/>
                <w:color w:val="auto"/>
                <w:szCs w:val="21"/>
                <w:highlight w:val="none"/>
              </w:rPr>
              <w:t>必须提供，否则响应文件按无效响应处理</w:t>
            </w:r>
            <w:r>
              <w:rPr>
                <w:rFonts w:hint="eastAsia" w:ascii="宋体" w:hAnsi="宋体"/>
                <w:color w:val="auto"/>
                <w:szCs w:val="21"/>
                <w:highlight w:val="none"/>
              </w:rPr>
              <w:t>）</w:t>
            </w:r>
          </w:p>
          <w:p w14:paraId="2EC464C6">
            <w:pPr>
              <w:snapToGrid w:val="0"/>
              <w:spacing w:line="380" w:lineRule="exact"/>
              <w:jc w:val="left"/>
              <w:rPr>
                <w:rFonts w:ascii="宋体" w:hAnsi="宋体"/>
                <w:color w:val="auto"/>
                <w:szCs w:val="21"/>
                <w:highlight w:val="none"/>
              </w:rPr>
            </w:pPr>
            <w:r>
              <w:rPr>
                <w:rFonts w:hint="eastAsia" w:ascii="宋体" w:hAnsi="宋体" w:cs="宋体"/>
                <w:color w:val="auto"/>
                <w:szCs w:val="21"/>
                <w:highlight w:val="none"/>
              </w:rPr>
              <w:t>3.供应商依法缴纳社会保障资金的相关材料[</w:t>
            </w:r>
            <w:r>
              <w:rPr>
                <w:rFonts w:hint="eastAsia" w:ascii="宋体" w:hAnsi="宋体" w:cs="宋体"/>
                <w:color w:val="auto"/>
                <w:szCs w:val="21"/>
                <w:highlight w:val="none"/>
                <w:u w:val="single"/>
              </w:rPr>
              <w:t xml:space="preserve">2024 </w:t>
            </w:r>
            <w:r>
              <w:rPr>
                <w:rFonts w:hint="eastAsia" w:ascii="宋体" w:hAnsi="宋体" w:cs="宋体"/>
                <w:color w:val="auto"/>
                <w:szCs w:val="21"/>
                <w:highlight w:val="none"/>
              </w:rPr>
              <w:t>年</w:t>
            </w:r>
            <w:r>
              <w:rPr>
                <w:rFonts w:hint="eastAsia" w:ascii="宋体" w:hAnsi="宋体" w:cs="宋体"/>
                <w:color w:val="auto"/>
                <w:szCs w:val="21"/>
                <w:highlight w:val="none"/>
                <w:u w:val="single"/>
              </w:rPr>
              <w:t>04</w:t>
            </w:r>
            <w:r>
              <w:rPr>
                <w:rFonts w:hint="eastAsia" w:ascii="宋体" w:hAnsi="宋体" w:cs="宋体"/>
                <w:color w:val="auto"/>
                <w:szCs w:val="21"/>
                <w:highlight w:val="none"/>
              </w:rPr>
              <w:t>月至</w:t>
            </w:r>
            <w:r>
              <w:rPr>
                <w:rFonts w:hint="eastAsia" w:ascii="宋体" w:hAnsi="宋体" w:cs="宋体"/>
                <w:color w:val="auto"/>
                <w:szCs w:val="21"/>
                <w:highlight w:val="none"/>
                <w:u w:val="single"/>
              </w:rPr>
              <w:t xml:space="preserve"> 2024 </w:t>
            </w:r>
            <w:r>
              <w:rPr>
                <w:rFonts w:hint="eastAsia" w:ascii="宋体" w:hAnsi="宋体" w:cs="宋体"/>
                <w:color w:val="auto"/>
                <w:szCs w:val="21"/>
                <w:highlight w:val="none"/>
              </w:rPr>
              <w:t>年</w:t>
            </w:r>
            <w:r>
              <w:rPr>
                <w:rFonts w:hint="eastAsia" w:ascii="宋体" w:hAnsi="宋体" w:cs="宋体"/>
                <w:color w:val="auto"/>
                <w:szCs w:val="21"/>
                <w:highlight w:val="none"/>
                <w:u w:val="single"/>
              </w:rPr>
              <w:t>10月内连续3个月</w:t>
            </w:r>
            <w:r>
              <w:rPr>
                <w:rFonts w:hint="eastAsia" w:ascii="宋体" w:hAnsi="宋体" w:cs="宋体"/>
                <w:color w:val="auto"/>
                <w:szCs w:val="21"/>
                <w:highlight w:val="none"/>
              </w:rPr>
              <w:t>的依法缴纳社会保障资金的缴费凭证（专用收据或者社会保险缴纳清单）复印件；依法不需要缴纳社会保障资金的供应商，必须提供相应文件证明不需要缴纳社会保障资金。从取得营业执照时间起到响应文件提交截止时间为止不足要求月数的只需提供从取得营业执照起的依法缴纳社会保障资金的相应证明文件]；</w:t>
            </w:r>
            <w:r>
              <w:rPr>
                <w:rFonts w:hint="eastAsia" w:ascii="宋体" w:hAnsi="宋体"/>
                <w:color w:val="auto"/>
                <w:szCs w:val="21"/>
                <w:highlight w:val="none"/>
              </w:rPr>
              <w:t>（</w:t>
            </w:r>
            <w:r>
              <w:rPr>
                <w:rFonts w:hint="eastAsia" w:ascii="宋体" w:hAnsi="宋体"/>
                <w:b/>
                <w:bCs/>
                <w:color w:val="auto"/>
                <w:szCs w:val="21"/>
                <w:highlight w:val="none"/>
              </w:rPr>
              <w:t>必须提供，否则响应文件按无效响应处理</w:t>
            </w:r>
            <w:r>
              <w:rPr>
                <w:rFonts w:hint="eastAsia" w:ascii="宋体" w:hAnsi="宋体"/>
                <w:color w:val="auto"/>
                <w:szCs w:val="21"/>
                <w:highlight w:val="none"/>
              </w:rPr>
              <w:t>）</w:t>
            </w:r>
          </w:p>
          <w:p w14:paraId="459BD08C">
            <w:pPr>
              <w:snapToGrid w:val="0"/>
              <w:spacing w:line="360" w:lineRule="exact"/>
              <w:jc w:val="left"/>
              <w:rPr>
                <w:rFonts w:ascii="宋体" w:hAnsi="宋体"/>
                <w:color w:val="auto"/>
                <w:szCs w:val="21"/>
                <w:highlight w:val="none"/>
              </w:rPr>
            </w:pPr>
            <w:r>
              <w:rPr>
                <w:rFonts w:hint="eastAsia" w:ascii="宋体" w:hAnsi="宋体" w:cs="宋体"/>
                <w:color w:val="auto"/>
                <w:szCs w:val="21"/>
                <w:highlight w:val="none"/>
              </w:rPr>
              <w:t>4.供应商财务状况报告：</w:t>
            </w:r>
            <w:r>
              <w:rPr>
                <w:rFonts w:hint="eastAsia" w:ascii="宋体" w:hAnsi="宋体"/>
                <w:color w:val="auto"/>
                <w:szCs w:val="21"/>
                <w:highlight w:val="none"/>
              </w:rPr>
              <w:t>[</w:t>
            </w:r>
            <w:r>
              <w:rPr>
                <w:rFonts w:hint="eastAsia" w:ascii="宋体" w:hAnsi="宋体"/>
                <w:color w:val="auto"/>
                <w:szCs w:val="21"/>
                <w:highlight w:val="none"/>
                <w:u w:val="single"/>
              </w:rPr>
              <w:t>2023年</w:t>
            </w:r>
            <w:r>
              <w:rPr>
                <w:rFonts w:hint="eastAsia" w:ascii="宋体" w:hAnsi="宋体"/>
                <w:color w:val="auto"/>
                <w:szCs w:val="21"/>
                <w:highlight w:val="none"/>
              </w:rPr>
              <w:t>]财务状况报告复印件；供应商成立</w:t>
            </w:r>
            <w:r>
              <w:rPr>
                <w:rFonts w:ascii="宋体" w:hAnsi="宋体"/>
                <w:color w:val="auto"/>
                <w:szCs w:val="21"/>
                <w:highlight w:val="none"/>
              </w:rPr>
              <w:t>不满一年</w:t>
            </w:r>
            <w:r>
              <w:rPr>
                <w:rFonts w:hint="eastAsia" w:ascii="宋体" w:hAnsi="宋体"/>
                <w:color w:val="auto"/>
                <w:szCs w:val="21"/>
                <w:highlight w:val="none"/>
              </w:rPr>
              <w:t>的</w:t>
            </w:r>
            <w:r>
              <w:rPr>
                <w:rFonts w:ascii="宋体" w:hAnsi="宋体"/>
                <w:color w:val="auto"/>
                <w:szCs w:val="21"/>
                <w:highlight w:val="none"/>
              </w:rPr>
              <w:t>应</w:t>
            </w:r>
            <w:r>
              <w:rPr>
                <w:rFonts w:hint="eastAsia" w:ascii="宋体" w:hAnsi="宋体"/>
                <w:color w:val="auto"/>
                <w:szCs w:val="21"/>
                <w:highlight w:val="none"/>
              </w:rPr>
              <w:t>按</w:t>
            </w:r>
            <w:r>
              <w:rPr>
                <w:rFonts w:ascii="宋体" w:hAnsi="宋体"/>
                <w:color w:val="auto"/>
                <w:szCs w:val="21"/>
                <w:highlight w:val="none"/>
              </w:rPr>
              <w:t>提供</w:t>
            </w:r>
            <w:r>
              <w:rPr>
                <w:rFonts w:hint="eastAsia" w:ascii="宋体" w:hAnsi="宋体"/>
                <w:color w:val="auto"/>
                <w:szCs w:val="21"/>
                <w:highlight w:val="none"/>
              </w:rPr>
              <w:t>上一个月的</w:t>
            </w:r>
            <w:r>
              <w:rPr>
                <w:rFonts w:ascii="宋体" w:hAnsi="宋体"/>
                <w:color w:val="auto"/>
                <w:szCs w:val="21"/>
                <w:highlight w:val="none"/>
              </w:rPr>
              <w:t>财务</w:t>
            </w:r>
            <w:r>
              <w:rPr>
                <w:rFonts w:hint="eastAsia" w:ascii="宋体" w:hAnsi="宋体"/>
                <w:color w:val="auto"/>
                <w:szCs w:val="21"/>
                <w:highlight w:val="none"/>
              </w:rPr>
              <w:t>状况</w:t>
            </w:r>
            <w:r>
              <w:rPr>
                <w:rFonts w:ascii="宋体" w:hAnsi="宋体"/>
                <w:color w:val="auto"/>
                <w:szCs w:val="21"/>
                <w:highlight w:val="none"/>
              </w:rPr>
              <w:t>报告复印件</w:t>
            </w:r>
            <w:r>
              <w:rPr>
                <w:rFonts w:hint="eastAsia" w:ascii="宋体" w:hAnsi="宋体"/>
                <w:color w:val="auto"/>
                <w:szCs w:val="21"/>
                <w:highlight w:val="none"/>
              </w:rPr>
              <w:t>。</w:t>
            </w:r>
            <w:r>
              <w:rPr>
                <w:rFonts w:hint="eastAsia"/>
                <w:color w:val="auto"/>
                <w:szCs w:val="21"/>
                <w:highlight w:val="none"/>
              </w:rPr>
              <w:t>年度财务报表复印件或者银行出具的资信证明；供应商属于</w:t>
            </w:r>
            <w:r>
              <w:rPr>
                <w:rFonts w:hint="eastAsia"/>
                <w:color w:val="auto"/>
                <w:highlight w:val="none"/>
              </w:rPr>
              <w:t>成立</w:t>
            </w:r>
            <w:r>
              <w:rPr>
                <w:color w:val="auto"/>
                <w:highlight w:val="none"/>
              </w:rPr>
              <w:t>时间</w:t>
            </w:r>
            <w:r>
              <w:rPr>
                <w:rFonts w:hint="eastAsia"/>
                <w:color w:val="auto"/>
                <w:kern w:val="0"/>
                <w:highlight w:val="none"/>
              </w:rPr>
              <w:t>在规定年度之后</w:t>
            </w:r>
            <w:r>
              <w:rPr>
                <w:color w:val="auto"/>
                <w:highlight w:val="none"/>
              </w:rPr>
              <w:t>的</w:t>
            </w:r>
            <w:r>
              <w:rPr>
                <w:rFonts w:hint="eastAsia"/>
                <w:color w:val="auto"/>
                <w:szCs w:val="21"/>
                <w:highlight w:val="none"/>
              </w:rPr>
              <w:t>法人或其他组织</w:t>
            </w:r>
            <w:r>
              <w:rPr>
                <w:color w:val="auto"/>
                <w:highlight w:val="none"/>
              </w:rPr>
              <w:t>，需提供成立</w:t>
            </w:r>
            <w:r>
              <w:rPr>
                <w:rFonts w:hint="eastAsia"/>
                <w:color w:val="auto"/>
                <w:highlight w:val="none"/>
              </w:rPr>
              <w:t>之日起至响应文件提交截止时间前</w:t>
            </w:r>
            <w:r>
              <w:rPr>
                <w:color w:val="auto"/>
                <w:highlight w:val="none"/>
              </w:rPr>
              <w:t>的月报表</w:t>
            </w:r>
            <w:r>
              <w:rPr>
                <w:rFonts w:hint="eastAsia"/>
                <w:color w:val="auto"/>
                <w:szCs w:val="21"/>
                <w:highlight w:val="none"/>
              </w:rPr>
              <w:t>或银行出具的资信证明；资信证明应在有效期内，未注明有效期的，银行出具时间至响应文件提交截止时间不超过一年</w:t>
            </w:r>
            <w:r>
              <w:rPr>
                <w:rFonts w:hint="eastAsia" w:ascii="宋体" w:hAnsi="宋体" w:cs="宋体"/>
                <w:color w:val="auto"/>
                <w:szCs w:val="21"/>
                <w:highlight w:val="none"/>
              </w:rPr>
              <w:t>；</w:t>
            </w:r>
            <w:r>
              <w:rPr>
                <w:rFonts w:hint="eastAsia" w:ascii="宋体" w:hAnsi="宋体"/>
                <w:color w:val="auto"/>
                <w:szCs w:val="21"/>
                <w:highlight w:val="none"/>
              </w:rPr>
              <w:t>（</w:t>
            </w:r>
            <w:r>
              <w:rPr>
                <w:rFonts w:hint="eastAsia" w:ascii="宋体" w:hAnsi="宋体"/>
                <w:b/>
                <w:bCs/>
                <w:color w:val="auto"/>
                <w:szCs w:val="21"/>
                <w:highlight w:val="none"/>
              </w:rPr>
              <w:t>必须提供，否则响应文件按无效响应处理</w:t>
            </w:r>
            <w:r>
              <w:rPr>
                <w:rFonts w:hint="eastAsia" w:ascii="宋体" w:hAnsi="宋体"/>
                <w:color w:val="auto"/>
                <w:szCs w:val="21"/>
                <w:highlight w:val="none"/>
              </w:rPr>
              <w:t>）</w:t>
            </w:r>
          </w:p>
          <w:p w14:paraId="147AC8EC">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5.供应商直接控股、管理关系信息表（格式后附）；（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7B99E4F2">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6.资格声明函（格式后附）；（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144C1953">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7.保证金缴纳证明文件复印件；（</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1112985B">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8.除磋商文件规定必须提供以外，供应商认为需要提供的其他证明材料；</w:t>
            </w:r>
          </w:p>
          <w:p w14:paraId="4EA258B0">
            <w:pPr>
              <w:snapToGrid w:val="0"/>
              <w:spacing w:line="360" w:lineRule="exact"/>
              <w:jc w:val="left"/>
              <w:rPr>
                <w:rFonts w:ascii="宋体" w:hAnsi="宋体" w:cs="宋体"/>
                <w:b/>
                <w:color w:val="auto"/>
                <w:szCs w:val="21"/>
                <w:highlight w:val="none"/>
              </w:rPr>
            </w:pPr>
            <w:r>
              <w:rPr>
                <w:rFonts w:hint="eastAsia" w:ascii="宋体" w:hAnsi="宋体" w:cs="宋体"/>
                <w:b/>
                <w:color w:val="auto"/>
                <w:szCs w:val="21"/>
                <w:highlight w:val="none"/>
              </w:rPr>
              <w:t>注：</w:t>
            </w:r>
          </w:p>
          <w:p w14:paraId="40A574D3">
            <w:pPr>
              <w:snapToGrid w:val="0"/>
              <w:spacing w:line="360" w:lineRule="exact"/>
              <w:ind w:firstLine="422" w:firstLineChars="200"/>
              <w:jc w:val="left"/>
              <w:rPr>
                <w:rFonts w:ascii="宋体" w:hAnsi="宋体" w:cs="宋体"/>
                <w:b/>
                <w:color w:val="auto"/>
                <w:szCs w:val="21"/>
                <w:highlight w:val="none"/>
              </w:rPr>
            </w:pPr>
            <w:r>
              <w:rPr>
                <w:rFonts w:hint="eastAsia" w:ascii="宋体" w:hAnsi="宋体" w:cs="宋体"/>
                <w:b/>
                <w:bCs/>
                <w:color w:val="auto"/>
                <w:szCs w:val="21"/>
                <w:highlight w:val="none"/>
              </w:rPr>
              <w:t>1.上述材料必须在规定盖章处加盖供应商公章，否则</w:t>
            </w:r>
            <w:r>
              <w:rPr>
                <w:rFonts w:hint="eastAsia" w:ascii="宋体" w:hAnsi="宋体" w:cs="宋体"/>
                <w:b/>
                <w:color w:val="auto"/>
                <w:szCs w:val="21"/>
                <w:highlight w:val="none"/>
              </w:rPr>
              <w:t>作无效响应处理</w:t>
            </w:r>
            <w:r>
              <w:rPr>
                <w:rFonts w:hint="eastAsia" w:ascii="宋体" w:hAnsi="宋体" w:cs="宋体"/>
                <w:b/>
                <w:bCs/>
                <w:color w:val="auto"/>
                <w:szCs w:val="21"/>
                <w:highlight w:val="none"/>
              </w:rPr>
              <w:t>。</w:t>
            </w:r>
          </w:p>
        </w:tc>
      </w:tr>
      <w:tr w14:paraId="1CE5FF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restart"/>
            <w:vAlign w:val="center"/>
          </w:tcPr>
          <w:p w14:paraId="36221633">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12.1.2</w:t>
            </w:r>
          </w:p>
        </w:tc>
        <w:tc>
          <w:tcPr>
            <w:tcW w:w="2786" w:type="dxa"/>
            <w:vAlign w:val="center"/>
          </w:tcPr>
          <w:p w14:paraId="38382A3A">
            <w:pPr>
              <w:spacing w:line="360" w:lineRule="exact"/>
              <w:jc w:val="center"/>
              <w:rPr>
                <w:rFonts w:ascii="宋体" w:hAnsi="宋体" w:cs="宋体"/>
                <w:b/>
                <w:bCs/>
                <w:color w:val="auto"/>
                <w:szCs w:val="21"/>
                <w:highlight w:val="none"/>
              </w:rPr>
            </w:pPr>
            <w:r>
              <w:rPr>
                <w:rFonts w:hint="eastAsia" w:ascii="宋体" w:hAnsi="宋体" w:cs="宋体"/>
                <w:b/>
                <w:bCs/>
                <w:color w:val="auto"/>
                <w:szCs w:val="21"/>
                <w:highlight w:val="none"/>
              </w:rPr>
              <w:t>商务文件组成</w:t>
            </w:r>
          </w:p>
        </w:tc>
        <w:tc>
          <w:tcPr>
            <w:tcW w:w="6853" w:type="dxa"/>
            <w:vAlign w:val="center"/>
          </w:tcPr>
          <w:p w14:paraId="3014EB01">
            <w:pPr>
              <w:spacing w:line="360" w:lineRule="exact"/>
              <w:rPr>
                <w:rFonts w:ascii="宋体" w:hAnsi="宋体" w:cs="宋体"/>
                <w:color w:val="auto"/>
                <w:szCs w:val="21"/>
                <w:highlight w:val="none"/>
              </w:rPr>
            </w:pPr>
            <w:r>
              <w:rPr>
                <w:rFonts w:hint="eastAsia" w:ascii="宋体" w:hAnsi="宋体" w:cs="宋体"/>
                <w:color w:val="auto"/>
                <w:szCs w:val="21"/>
                <w:highlight w:val="none"/>
              </w:rPr>
              <w:t>1.无串通竞标行为的承诺函（格式后附）；（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E260138">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2.法定代表人身份证明书及法定代表人有效身份证正反面复印件（格式后附）；（</w:t>
            </w:r>
            <w:r>
              <w:rPr>
                <w:rFonts w:hint="eastAsia" w:ascii="宋体" w:hAnsi="宋体" w:cs="宋体"/>
                <w:b/>
                <w:bCs/>
                <w:color w:val="auto"/>
                <w:szCs w:val="21"/>
                <w:highlight w:val="none"/>
              </w:rPr>
              <w:t>除自然人竞标外</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73D95D74">
            <w:pPr>
              <w:spacing w:line="360" w:lineRule="exact"/>
              <w:rPr>
                <w:rFonts w:ascii="宋体" w:hAnsi="宋体" w:cs="宋体"/>
                <w:b/>
                <w:color w:val="auto"/>
                <w:szCs w:val="21"/>
                <w:highlight w:val="none"/>
              </w:rPr>
            </w:pPr>
            <w:r>
              <w:rPr>
                <w:rFonts w:hint="eastAsia" w:ascii="宋体" w:hAnsi="宋体" w:cs="宋体"/>
                <w:color w:val="auto"/>
                <w:szCs w:val="21"/>
                <w:highlight w:val="none"/>
              </w:rPr>
              <w:t>3.法定代表人授权委托书及委托代理人有效身份证正反面复印件（格式后附）；（</w:t>
            </w:r>
            <w:r>
              <w:rPr>
                <w:rFonts w:hint="eastAsia" w:ascii="宋体" w:hAnsi="宋体" w:cs="宋体"/>
                <w:b/>
                <w:color w:val="auto"/>
                <w:szCs w:val="21"/>
                <w:highlight w:val="none"/>
              </w:rPr>
              <w:t>委托时必须提供，否则响应文件按无效响应处理</w:t>
            </w:r>
            <w:r>
              <w:rPr>
                <w:rFonts w:hint="eastAsia" w:ascii="宋体" w:hAnsi="宋体" w:cs="宋体"/>
                <w:color w:val="auto"/>
                <w:szCs w:val="21"/>
                <w:highlight w:val="none"/>
              </w:rPr>
              <w:t>）</w:t>
            </w:r>
          </w:p>
          <w:p w14:paraId="05052673">
            <w:pPr>
              <w:spacing w:line="360" w:lineRule="exact"/>
              <w:rPr>
                <w:rFonts w:ascii="宋体" w:hAnsi="宋体" w:cs="宋体"/>
                <w:color w:val="auto"/>
                <w:szCs w:val="21"/>
                <w:highlight w:val="none"/>
              </w:rPr>
            </w:pPr>
            <w:r>
              <w:rPr>
                <w:rFonts w:hint="eastAsia" w:ascii="宋体" w:hAnsi="宋体" w:cs="宋体"/>
                <w:color w:val="auto"/>
                <w:szCs w:val="21"/>
                <w:highlight w:val="none"/>
              </w:rPr>
              <w:t>4.商务条款偏离表（格式后附）；（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1D8803E1">
            <w:pPr>
              <w:spacing w:line="360" w:lineRule="exact"/>
              <w:rPr>
                <w:rFonts w:ascii="宋体" w:hAnsi="宋体" w:cs="宋体"/>
                <w:color w:val="auto"/>
                <w:szCs w:val="21"/>
                <w:highlight w:val="none"/>
              </w:rPr>
            </w:pPr>
            <w:r>
              <w:rPr>
                <w:rFonts w:hint="eastAsia" w:ascii="宋体" w:hAnsi="宋体" w:cs="宋体"/>
                <w:color w:val="auto"/>
                <w:szCs w:val="21"/>
                <w:highlight w:val="none"/>
              </w:rPr>
              <w:t>5.竞标人情况介绍（格式自拟）；</w:t>
            </w:r>
          </w:p>
          <w:p w14:paraId="33D50DC4">
            <w:pPr>
              <w:spacing w:line="360" w:lineRule="exact"/>
              <w:rPr>
                <w:rFonts w:ascii="宋体" w:hAnsi="宋体" w:cs="宋体"/>
                <w:b/>
                <w:color w:val="auto"/>
                <w:szCs w:val="21"/>
                <w:highlight w:val="none"/>
              </w:rPr>
            </w:pPr>
            <w:r>
              <w:rPr>
                <w:rFonts w:hint="eastAsia" w:ascii="宋体" w:hAnsi="宋体" w:cs="宋体"/>
                <w:color w:val="auto"/>
                <w:szCs w:val="21"/>
                <w:highlight w:val="none"/>
              </w:rPr>
              <w:t>6.联合体协议书（格式后附）；</w:t>
            </w:r>
            <w:r>
              <w:rPr>
                <w:rFonts w:hint="eastAsia" w:ascii="宋体" w:hAnsi="宋体" w:cs="宋体"/>
                <w:b/>
                <w:color w:val="auto"/>
                <w:szCs w:val="21"/>
                <w:highlight w:val="none"/>
              </w:rPr>
              <w:t>（联合体竞标时必须提供，否则作无效响应处理）</w:t>
            </w:r>
          </w:p>
          <w:p w14:paraId="6772176B">
            <w:pPr>
              <w:spacing w:line="360" w:lineRule="exact"/>
              <w:rPr>
                <w:rFonts w:ascii="宋体" w:hAnsi="宋体" w:cs="宋体"/>
                <w:color w:val="auto"/>
                <w:szCs w:val="21"/>
                <w:highlight w:val="none"/>
              </w:rPr>
            </w:pPr>
            <w:r>
              <w:rPr>
                <w:rFonts w:hint="eastAsia" w:ascii="宋体" w:hAnsi="宋体" w:cs="宋体"/>
                <w:color w:val="auto"/>
                <w:szCs w:val="21"/>
                <w:highlight w:val="none"/>
              </w:rPr>
              <w:t>7.供应商认为需要提供的其他有关资料。</w:t>
            </w:r>
          </w:p>
          <w:p w14:paraId="52085875">
            <w:pPr>
              <w:snapToGrid w:val="0"/>
              <w:spacing w:line="360" w:lineRule="exact"/>
              <w:jc w:val="left"/>
              <w:rPr>
                <w:rFonts w:ascii="宋体" w:hAnsi="宋体" w:cs="宋体"/>
                <w:b/>
                <w:color w:val="auto"/>
                <w:szCs w:val="21"/>
                <w:highlight w:val="none"/>
              </w:rPr>
            </w:pPr>
            <w:r>
              <w:rPr>
                <w:rFonts w:hint="eastAsia" w:ascii="宋体" w:hAnsi="宋体" w:cs="宋体"/>
                <w:b/>
                <w:color w:val="auto"/>
                <w:szCs w:val="21"/>
                <w:highlight w:val="none"/>
              </w:rPr>
              <w:t xml:space="preserve">注： </w:t>
            </w:r>
          </w:p>
          <w:p w14:paraId="5C399321">
            <w:pPr>
              <w:snapToGrid w:val="0"/>
              <w:spacing w:line="360" w:lineRule="exact"/>
              <w:ind w:firstLine="413" w:firstLineChars="196"/>
              <w:jc w:val="left"/>
              <w:rPr>
                <w:rFonts w:ascii="宋体" w:hAnsi="宋体" w:cs="宋体"/>
                <w:b/>
                <w:color w:val="auto"/>
                <w:szCs w:val="21"/>
                <w:highlight w:val="none"/>
              </w:rPr>
            </w:pPr>
            <w:r>
              <w:rPr>
                <w:rFonts w:hint="eastAsia" w:ascii="宋体" w:hAnsi="宋体" w:cs="宋体"/>
                <w:b/>
                <w:color w:val="auto"/>
                <w:szCs w:val="21"/>
                <w:highlight w:val="none"/>
              </w:rPr>
              <w:t>1.法定代表人授权委托书必须由法定代表人及委托代理人签字，并加盖供应商电子公章，否则响应文件按无效响应处理。</w:t>
            </w:r>
          </w:p>
          <w:p w14:paraId="1704DB7C">
            <w:pPr>
              <w:spacing w:line="360" w:lineRule="exact"/>
              <w:ind w:firstLine="413" w:firstLineChars="196"/>
              <w:rPr>
                <w:rFonts w:ascii="宋体" w:hAnsi="宋体" w:cs="宋体"/>
                <w:b/>
                <w:color w:val="auto"/>
                <w:szCs w:val="21"/>
                <w:highlight w:val="none"/>
              </w:rPr>
            </w:pPr>
            <w:r>
              <w:rPr>
                <w:rFonts w:hint="eastAsia" w:ascii="宋体" w:hAnsi="宋体" w:cs="宋体"/>
                <w:b/>
                <w:bCs/>
                <w:color w:val="auto"/>
                <w:szCs w:val="21"/>
                <w:highlight w:val="none"/>
              </w:rPr>
              <w:t>2.上述材料必须在规定盖章处加盖供应商公章，否则</w:t>
            </w:r>
            <w:r>
              <w:rPr>
                <w:rFonts w:hint="eastAsia" w:ascii="宋体" w:hAnsi="宋体" w:cs="宋体"/>
                <w:b/>
                <w:color w:val="auto"/>
                <w:szCs w:val="21"/>
                <w:highlight w:val="none"/>
              </w:rPr>
              <w:t>作无效响应处理</w:t>
            </w:r>
            <w:r>
              <w:rPr>
                <w:rFonts w:hint="eastAsia" w:ascii="宋体" w:hAnsi="宋体" w:cs="宋体"/>
                <w:b/>
                <w:bCs/>
                <w:color w:val="auto"/>
                <w:szCs w:val="21"/>
                <w:highlight w:val="none"/>
              </w:rPr>
              <w:t>。</w:t>
            </w:r>
          </w:p>
        </w:tc>
      </w:tr>
      <w:tr w14:paraId="6D7F92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continue"/>
            <w:vAlign w:val="center"/>
          </w:tcPr>
          <w:p w14:paraId="0E40D56B">
            <w:pPr>
              <w:spacing w:line="360" w:lineRule="exact"/>
              <w:jc w:val="center"/>
              <w:rPr>
                <w:rFonts w:ascii="宋体" w:hAnsi="宋体" w:cs="宋体"/>
                <w:color w:val="auto"/>
                <w:szCs w:val="21"/>
                <w:highlight w:val="none"/>
              </w:rPr>
            </w:pPr>
          </w:p>
        </w:tc>
        <w:tc>
          <w:tcPr>
            <w:tcW w:w="2786" w:type="dxa"/>
            <w:vAlign w:val="center"/>
          </w:tcPr>
          <w:p w14:paraId="594B7A87">
            <w:pPr>
              <w:spacing w:line="360" w:lineRule="exact"/>
              <w:jc w:val="center"/>
              <w:rPr>
                <w:rFonts w:ascii="宋体" w:hAnsi="宋体" w:cs="宋体"/>
                <w:b/>
                <w:bCs/>
                <w:color w:val="auto"/>
                <w:szCs w:val="21"/>
                <w:highlight w:val="none"/>
              </w:rPr>
            </w:pPr>
            <w:r>
              <w:rPr>
                <w:rFonts w:hint="eastAsia" w:ascii="宋体" w:hAnsi="宋体" w:cs="宋体"/>
                <w:b/>
                <w:bCs/>
                <w:color w:val="auto"/>
                <w:szCs w:val="21"/>
                <w:highlight w:val="none"/>
              </w:rPr>
              <w:t>技术文件组成</w:t>
            </w:r>
          </w:p>
        </w:tc>
        <w:tc>
          <w:tcPr>
            <w:tcW w:w="6853" w:type="dxa"/>
            <w:vAlign w:val="center"/>
          </w:tcPr>
          <w:p w14:paraId="5C52840E">
            <w:pPr>
              <w:spacing w:line="360" w:lineRule="exact"/>
              <w:rPr>
                <w:rFonts w:ascii="宋体" w:hAnsi="宋体" w:cs="宋体"/>
                <w:color w:val="auto"/>
                <w:szCs w:val="21"/>
                <w:highlight w:val="none"/>
              </w:rPr>
            </w:pPr>
            <w:r>
              <w:rPr>
                <w:rFonts w:hint="eastAsia" w:ascii="宋体" w:hAnsi="宋体" w:cs="宋体"/>
                <w:color w:val="auto"/>
                <w:szCs w:val="21"/>
                <w:highlight w:val="none"/>
              </w:rPr>
              <w:t>1.需求偏离表（格式后附）；（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7B6FCB90">
            <w:pPr>
              <w:spacing w:line="360" w:lineRule="exact"/>
              <w:rPr>
                <w:rFonts w:ascii="宋体" w:hAnsi="宋体" w:cs="宋体"/>
                <w:color w:val="auto"/>
                <w:szCs w:val="21"/>
                <w:highlight w:val="none"/>
              </w:rPr>
            </w:pPr>
            <w:r>
              <w:rPr>
                <w:rFonts w:hint="eastAsia" w:ascii="宋体" w:hAnsi="宋体" w:cs="宋体"/>
                <w:color w:val="auto"/>
                <w:szCs w:val="21"/>
                <w:highlight w:val="none"/>
              </w:rPr>
              <w:t>2.项目实施方案及项目实施人员一览表，项目实施方案包括但不限于采购需求中要求供应商竞标时应提供具体的服务方案、应急措施方案以及人员培训方案等内容；（</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5420BE88">
            <w:pPr>
              <w:spacing w:line="360" w:lineRule="exact"/>
              <w:rPr>
                <w:rFonts w:ascii="宋体" w:hAnsi="宋体" w:cs="宋体"/>
                <w:color w:val="auto"/>
                <w:szCs w:val="21"/>
                <w:highlight w:val="none"/>
              </w:rPr>
            </w:pPr>
            <w:r>
              <w:rPr>
                <w:rFonts w:hint="eastAsia" w:ascii="宋体" w:hAnsi="宋体" w:cs="宋体"/>
                <w:color w:val="auto"/>
                <w:szCs w:val="21"/>
                <w:highlight w:val="none"/>
              </w:rPr>
              <w:t>3.技术服务方案，按照评分办法具体要求分章节描述响应项目的采购需求；（</w:t>
            </w:r>
            <w:r>
              <w:rPr>
                <w:rFonts w:hint="eastAsia" w:ascii="宋体" w:hAnsi="宋体" w:cs="宋体"/>
                <w:b/>
                <w:bCs/>
                <w:color w:val="auto"/>
                <w:szCs w:val="21"/>
                <w:highlight w:val="none"/>
              </w:rPr>
              <w:t>必须提供，否则响应文件按无效响应处理</w:t>
            </w:r>
            <w:r>
              <w:rPr>
                <w:rFonts w:hint="eastAsia" w:ascii="宋体" w:hAnsi="宋体" w:cs="宋体"/>
                <w:color w:val="auto"/>
                <w:szCs w:val="21"/>
                <w:highlight w:val="none"/>
              </w:rPr>
              <w:t>）</w:t>
            </w:r>
          </w:p>
          <w:p w14:paraId="73C68C21">
            <w:pPr>
              <w:spacing w:line="360" w:lineRule="exact"/>
              <w:rPr>
                <w:rFonts w:ascii="宋体" w:hAnsi="宋体" w:cs="宋体"/>
                <w:color w:val="auto"/>
                <w:szCs w:val="21"/>
                <w:highlight w:val="none"/>
              </w:rPr>
            </w:pPr>
            <w:r>
              <w:rPr>
                <w:rFonts w:hint="eastAsia" w:ascii="宋体" w:hAnsi="宋体" w:cs="宋体"/>
                <w:color w:val="auto"/>
                <w:szCs w:val="21"/>
                <w:highlight w:val="none"/>
              </w:rPr>
              <w:t>4.售后服务承诺；（</w:t>
            </w:r>
            <w:r>
              <w:rPr>
                <w:rFonts w:hint="eastAsia" w:ascii="宋体" w:hAnsi="宋体" w:cs="宋体"/>
                <w:b/>
                <w:bCs/>
                <w:color w:val="auto"/>
                <w:szCs w:val="21"/>
                <w:highlight w:val="none"/>
              </w:rPr>
              <w:t>必须提供</w:t>
            </w:r>
            <w:r>
              <w:rPr>
                <w:rFonts w:hint="eastAsia" w:ascii="宋体" w:hAnsi="宋体" w:cs="宋体"/>
                <w:b/>
                <w:color w:val="auto"/>
                <w:szCs w:val="21"/>
                <w:highlight w:val="none"/>
              </w:rPr>
              <w:t>，否则响应文件按无效响应处理</w:t>
            </w:r>
            <w:r>
              <w:rPr>
                <w:rFonts w:hint="eastAsia" w:ascii="宋体" w:hAnsi="宋体" w:cs="宋体"/>
                <w:color w:val="auto"/>
                <w:szCs w:val="21"/>
                <w:highlight w:val="none"/>
              </w:rPr>
              <w:t>）</w:t>
            </w:r>
          </w:p>
          <w:p w14:paraId="4C727306">
            <w:pPr>
              <w:spacing w:line="360" w:lineRule="exact"/>
              <w:rPr>
                <w:rFonts w:ascii="宋体" w:hAnsi="宋体" w:cs="宋体"/>
                <w:color w:val="auto"/>
                <w:szCs w:val="21"/>
                <w:highlight w:val="none"/>
              </w:rPr>
            </w:pPr>
            <w:r>
              <w:rPr>
                <w:rFonts w:hint="eastAsia" w:ascii="宋体" w:hAnsi="宋体" w:cs="宋体"/>
                <w:color w:val="auto"/>
                <w:szCs w:val="21"/>
                <w:highlight w:val="none"/>
              </w:rPr>
              <w:t>5.供应商认为需要提供的其他有关资料。</w:t>
            </w:r>
          </w:p>
          <w:p w14:paraId="5294CA4A">
            <w:pPr>
              <w:spacing w:line="360" w:lineRule="exact"/>
              <w:rPr>
                <w:rFonts w:ascii="宋体" w:hAnsi="宋体" w:cs="宋体"/>
                <w:b/>
                <w:color w:val="auto"/>
                <w:szCs w:val="21"/>
                <w:highlight w:val="none"/>
              </w:rPr>
            </w:pPr>
            <w:r>
              <w:rPr>
                <w:rFonts w:hint="eastAsia" w:ascii="宋体" w:hAnsi="宋体" w:cs="宋体"/>
                <w:b/>
                <w:color w:val="auto"/>
                <w:szCs w:val="21"/>
                <w:highlight w:val="none"/>
              </w:rPr>
              <w:t>注：1.</w:t>
            </w:r>
            <w:r>
              <w:rPr>
                <w:rFonts w:hint="eastAsia" w:ascii="宋体" w:hAnsi="宋体" w:cs="宋体"/>
                <w:b/>
                <w:bCs/>
                <w:color w:val="auto"/>
                <w:szCs w:val="21"/>
                <w:highlight w:val="none"/>
              </w:rPr>
              <w:t>上述材料必须在规定盖章处加盖供应商公章，否则</w:t>
            </w:r>
            <w:r>
              <w:rPr>
                <w:rFonts w:hint="eastAsia" w:ascii="宋体" w:hAnsi="宋体" w:cs="宋体"/>
                <w:b/>
                <w:color w:val="auto"/>
                <w:szCs w:val="21"/>
                <w:highlight w:val="none"/>
              </w:rPr>
              <w:t>作无效响应处理</w:t>
            </w:r>
            <w:r>
              <w:rPr>
                <w:rFonts w:hint="eastAsia" w:ascii="宋体" w:hAnsi="宋体" w:cs="宋体"/>
                <w:b/>
                <w:bCs/>
                <w:color w:val="auto"/>
                <w:szCs w:val="21"/>
                <w:highlight w:val="none"/>
              </w:rPr>
              <w:t>。</w:t>
            </w:r>
          </w:p>
          <w:p w14:paraId="3A528370">
            <w:pPr>
              <w:spacing w:line="360" w:lineRule="exact"/>
              <w:rPr>
                <w:rFonts w:ascii="宋体" w:hAnsi="宋体" w:cs="宋体"/>
                <w:color w:val="auto"/>
                <w:szCs w:val="21"/>
                <w:highlight w:val="none"/>
              </w:rPr>
            </w:pPr>
            <w:r>
              <w:rPr>
                <w:rFonts w:hint="eastAsia" w:ascii="宋体" w:hAnsi="宋体" w:cs="宋体"/>
                <w:b/>
                <w:color w:val="auto"/>
                <w:szCs w:val="21"/>
                <w:highlight w:val="none"/>
              </w:rPr>
              <w:t>2.以上材料未附格式的，由供应商自行拟定。</w:t>
            </w:r>
          </w:p>
        </w:tc>
      </w:tr>
      <w:tr w14:paraId="1A0241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Align w:val="center"/>
          </w:tcPr>
          <w:p w14:paraId="056AC8D0">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12.1.3</w:t>
            </w:r>
          </w:p>
        </w:tc>
        <w:tc>
          <w:tcPr>
            <w:tcW w:w="2786" w:type="dxa"/>
            <w:vAlign w:val="center"/>
          </w:tcPr>
          <w:p w14:paraId="45854A99">
            <w:pPr>
              <w:spacing w:line="360" w:lineRule="exact"/>
              <w:jc w:val="center"/>
              <w:rPr>
                <w:rFonts w:ascii="宋体" w:hAnsi="宋体" w:cs="宋体"/>
                <w:color w:val="auto"/>
                <w:szCs w:val="21"/>
                <w:highlight w:val="none"/>
              </w:rPr>
            </w:pPr>
            <w:r>
              <w:rPr>
                <w:rFonts w:hint="eastAsia" w:ascii="宋体" w:hAnsi="宋体" w:cs="宋体"/>
                <w:b/>
                <w:bCs/>
                <w:color w:val="auto"/>
                <w:szCs w:val="21"/>
                <w:highlight w:val="none"/>
              </w:rPr>
              <w:t>报价文件组成</w:t>
            </w:r>
          </w:p>
        </w:tc>
        <w:tc>
          <w:tcPr>
            <w:tcW w:w="6853" w:type="dxa"/>
            <w:vAlign w:val="center"/>
          </w:tcPr>
          <w:p w14:paraId="63119401">
            <w:pPr>
              <w:tabs>
                <w:tab w:val="left" w:pos="459"/>
              </w:tabs>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1.响应函（格式后附）；</w:t>
            </w:r>
            <w:r>
              <w:rPr>
                <w:rFonts w:hint="eastAsia" w:ascii="宋体" w:hAnsi="宋体" w:cs="宋体"/>
                <w:b/>
                <w:color w:val="auto"/>
                <w:szCs w:val="21"/>
                <w:highlight w:val="none"/>
              </w:rPr>
              <w:t>（必须提供，否则作无效响应处理）</w:t>
            </w:r>
          </w:p>
          <w:p w14:paraId="78271056">
            <w:pPr>
              <w:spacing w:line="360" w:lineRule="exact"/>
              <w:rPr>
                <w:rFonts w:ascii="宋体" w:hAnsi="宋体" w:cs="宋体"/>
                <w:color w:val="auto"/>
                <w:szCs w:val="21"/>
                <w:highlight w:val="none"/>
              </w:rPr>
            </w:pPr>
            <w:r>
              <w:rPr>
                <w:rFonts w:hint="eastAsia" w:ascii="宋体" w:hAnsi="宋体" w:cs="宋体"/>
                <w:color w:val="auto"/>
                <w:szCs w:val="21"/>
                <w:highlight w:val="none"/>
              </w:rPr>
              <w:t>2.响应报价表（格式后附）；（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7C176A8">
            <w:pPr>
              <w:snapToGrid w:val="0"/>
              <w:spacing w:line="360" w:lineRule="exact"/>
              <w:jc w:val="left"/>
              <w:rPr>
                <w:rFonts w:ascii="宋体" w:hAnsi="宋体" w:cs="宋体"/>
                <w:b/>
                <w:bCs/>
                <w:color w:val="auto"/>
                <w:szCs w:val="21"/>
                <w:highlight w:val="none"/>
              </w:rPr>
            </w:pPr>
            <w:r>
              <w:rPr>
                <w:rFonts w:hint="eastAsia" w:ascii="宋体" w:hAnsi="宋体" w:cs="宋体"/>
                <w:color w:val="auto"/>
                <w:szCs w:val="21"/>
                <w:highlight w:val="none"/>
              </w:rPr>
              <w:t>3.中小企业声明函（格式后附）。</w:t>
            </w:r>
          </w:p>
          <w:p w14:paraId="25FB1261">
            <w:pPr>
              <w:spacing w:line="360" w:lineRule="exact"/>
              <w:rPr>
                <w:rFonts w:ascii="宋体" w:hAnsi="宋体" w:cs="宋体"/>
                <w:b/>
                <w:bCs/>
                <w:color w:val="auto"/>
                <w:szCs w:val="21"/>
                <w:highlight w:val="none"/>
              </w:rPr>
            </w:pPr>
            <w:r>
              <w:rPr>
                <w:rFonts w:hint="eastAsia" w:ascii="宋体" w:hAnsi="宋体" w:cs="宋体"/>
                <w:b/>
                <w:bCs/>
                <w:color w:val="auto"/>
                <w:szCs w:val="21"/>
                <w:highlight w:val="none"/>
              </w:rPr>
              <w:t>注：1.上述材料必须在规定盖章处加盖供应商公章，否则</w:t>
            </w:r>
            <w:r>
              <w:rPr>
                <w:rFonts w:hint="eastAsia" w:ascii="宋体" w:hAnsi="宋体" w:cs="宋体"/>
                <w:b/>
                <w:color w:val="auto"/>
                <w:szCs w:val="21"/>
                <w:highlight w:val="none"/>
              </w:rPr>
              <w:t>作无效响应处理</w:t>
            </w:r>
            <w:r>
              <w:rPr>
                <w:rFonts w:hint="eastAsia" w:ascii="宋体" w:hAnsi="宋体" w:cs="宋体"/>
                <w:b/>
                <w:bCs/>
                <w:color w:val="auto"/>
                <w:szCs w:val="21"/>
                <w:highlight w:val="none"/>
              </w:rPr>
              <w:t>。</w:t>
            </w:r>
          </w:p>
        </w:tc>
      </w:tr>
      <w:tr w14:paraId="48D982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Align w:val="center"/>
          </w:tcPr>
          <w:p w14:paraId="15A5221A">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12.2</w:t>
            </w:r>
          </w:p>
        </w:tc>
        <w:tc>
          <w:tcPr>
            <w:tcW w:w="2786" w:type="dxa"/>
            <w:vAlign w:val="center"/>
          </w:tcPr>
          <w:p w14:paraId="203D561E">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响应文件电子版要求</w:t>
            </w:r>
          </w:p>
        </w:tc>
        <w:tc>
          <w:tcPr>
            <w:tcW w:w="6853" w:type="dxa"/>
            <w:vAlign w:val="center"/>
          </w:tcPr>
          <w:p w14:paraId="61663BBD">
            <w:pPr>
              <w:tabs>
                <w:tab w:val="left" w:pos="459"/>
              </w:tabs>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1.响应文件电子版要求：不可涂改，否则响应文件按无效响应处理。</w:t>
            </w:r>
          </w:p>
          <w:p w14:paraId="7958B1AF">
            <w:pPr>
              <w:tabs>
                <w:tab w:val="left" w:pos="459"/>
              </w:tabs>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2.响应文件电子版密封方式：电子响应文件通过平台有效CA加密后在广西政府采购云平台投送。（操作方式见公告附件“电子响应文件制作与投送教程”）</w:t>
            </w:r>
          </w:p>
          <w:p w14:paraId="60FBDFED">
            <w:pPr>
              <w:spacing w:line="360" w:lineRule="exact"/>
              <w:rPr>
                <w:rFonts w:ascii="宋体" w:hAnsi="宋体" w:cs="宋体"/>
                <w:b/>
                <w:bCs/>
                <w:color w:val="auto"/>
                <w:szCs w:val="21"/>
                <w:highlight w:val="none"/>
              </w:rPr>
            </w:pPr>
            <w:r>
              <w:rPr>
                <w:rFonts w:hint="eastAsia" w:ascii="宋体" w:hAnsi="宋体" w:cs="宋体"/>
                <w:b/>
                <w:bCs/>
                <w:color w:val="auto"/>
                <w:szCs w:val="21"/>
                <w:highlight w:val="none"/>
              </w:rPr>
              <w:t>3.特别说明：因项目存档需要，须按以下要求提供纸质竞标响应文件：（1）成交供应商在成交通知书发出后5天内须提交5套纸质版竞标响应文件（含报价文件、资格证明文件、商务技术文件，合并装订成一本用各自的封面隔开。按要求加盖公章）右上角注明“正/副本”给采购代理机构，壹正叁副。</w:t>
            </w:r>
          </w:p>
          <w:p w14:paraId="4BCAD4AF">
            <w:pPr>
              <w:pStyle w:val="16"/>
              <w:spacing w:line="360" w:lineRule="exact"/>
              <w:rPr>
                <w:color w:val="auto"/>
                <w:highlight w:val="none"/>
              </w:rPr>
            </w:pPr>
            <w:r>
              <w:rPr>
                <w:rFonts w:hint="eastAsia" w:hAnsi="宋体" w:cs="宋体"/>
                <w:b/>
                <w:bCs/>
                <w:color w:val="auto"/>
                <w:highlight w:val="none"/>
              </w:rPr>
              <w:t>提交的纸质版响应文件文本必须与其上传的电子响应文件内容一致，不允许有篡改。如项目验收时因所提供的纸质响应文件与评审的响应文件不一致造成纠纷时，所有责任由成交供应商承担。</w:t>
            </w:r>
          </w:p>
        </w:tc>
      </w:tr>
      <w:tr w14:paraId="288420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Align w:val="center"/>
          </w:tcPr>
          <w:p w14:paraId="3CB5B819">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15.2</w:t>
            </w:r>
          </w:p>
        </w:tc>
        <w:tc>
          <w:tcPr>
            <w:tcW w:w="2786" w:type="dxa"/>
            <w:vAlign w:val="center"/>
          </w:tcPr>
          <w:p w14:paraId="3A744BA8">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响应报价要求</w:t>
            </w:r>
          </w:p>
        </w:tc>
        <w:tc>
          <w:tcPr>
            <w:tcW w:w="6853" w:type="dxa"/>
            <w:vAlign w:val="center"/>
          </w:tcPr>
          <w:p w14:paraId="4087D1B4">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响应报价必须包含满足本次竞标全部采购需求所应提供的服务，以及伴随的货物和工程（如有）的价格；包含竞标服务的成本、运输（含保险）、安装（如有）、调试、检验、技术服务、培训、税费等所有费用。</w:t>
            </w:r>
            <w:r>
              <w:rPr>
                <w:rFonts w:hint="eastAsia" w:ascii="宋体" w:hAnsi="宋体" w:cs="宋体"/>
                <w:b/>
                <w:color w:val="auto"/>
                <w:szCs w:val="21"/>
                <w:highlight w:val="none"/>
              </w:rPr>
              <w:t>（采购需求另有约定的，从其约定。）</w:t>
            </w:r>
          </w:p>
        </w:tc>
      </w:tr>
      <w:tr w14:paraId="010131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Align w:val="center"/>
          </w:tcPr>
          <w:p w14:paraId="37C49930">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16.2</w:t>
            </w:r>
          </w:p>
        </w:tc>
        <w:tc>
          <w:tcPr>
            <w:tcW w:w="2786" w:type="dxa"/>
            <w:vAlign w:val="center"/>
          </w:tcPr>
          <w:p w14:paraId="795D976E">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竞标有效期</w:t>
            </w:r>
          </w:p>
        </w:tc>
        <w:tc>
          <w:tcPr>
            <w:tcW w:w="6853" w:type="dxa"/>
            <w:vAlign w:val="center"/>
          </w:tcPr>
          <w:p w14:paraId="5CB98F4E">
            <w:pPr>
              <w:pStyle w:val="12"/>
              <w:widowControl w:val="0"/>
              <w:tabs>
                <w:tab w:val="clear" w:pos="454"/>
              </w:tabs>
              <w:snapToGrid w:val="0"/>
              <w:spacing w:afterLines="0" w:line="360" w:lineRule="exact"/>
              <w:ind w:left="283" w:hanging="283" w:hangingChars="135"/>
              <w:rPr>
                <w:rFonts w:ascii="宋体" w:hAnsi="宋体" w:cs="宋体"/>
                <w:color w:val="auto"/>
                <w:kern w:val="2"/>
                <w:sz w:val="21"/>
                <w:szCs w:val="21"/>
                <w:highlight w:val="none"/>
              </w:rPr>
            </w:pPr>
            <w:r>
              <w:rPr>
                <w:rFonts w:hint="eastAsia" w:ascii="宋体" w:hAnsi="宋体" w:cs="宋体"/>
                <w:color w:val="auto"/>
                <w:kern w:val="2"/>
                <w:sz w:val="21"/>
                <w:szCs w:val="21"/>
                <w:highlight w:val="none"/>
              </w:rPr>
              <w:t>自首次响应文件提交截止之日起</w:t>
            </w:r>
            <w:r>
              <w:rPr>
                <w:rFonts w:hint="eastAsia" w:ascii="宋体" w:hAnsi="宋体" w:cs="宋体"/>
                <w:color w:val="auto"/>
                <w:kern w:val="2"/>
                <w:sz w:val="21"/>
                <w:szCs w:val="21"/>
                <w:highlight w:val="none"/>
                <w:u w:val="single"/>
              </w:rPr>
              <w:t xml:space="preserve"> 60 </w:t>
            </w:r>
            <w:r>
              <w:rPr>
                <w:rFonts w:hint="eastAsia" w:ascii="宋体" w:hAnsi="宋体" w:cs="宋体"/>
                <w:color w:val="auto"/>
                <w:kern w:val="2"/>
                <w:sz w:val="21"/>
                <w:szCs w:val="21"/>
                <w:highlight w:val="none"/>
              </w:rPr>
              <w:t>日。</w:t>
            </w:r>
          </w:p>
        </w:tc>
      </w:tr>
      <w:tr w14:paraId="015F48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Align w:val="center"/>
          </w:tcPr>
          <w:p w14:paraId="0D52FCF3">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17.1</w:t>
            </w:r>
          </w:p>
        </w:tc>
        <w:tc>
          <w:tcPr>
            <w:tcW w:w="2786" w:type="dxa"/>
            <w:vAlign w:val="center"/>
          </w:tcPr>
          <w:p w14:paraId="478A3F46">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磋商保证金</w:t>
            </w:r>
          </w:p>
        </w:tc>
        <w:tc>
          <w:tcPr>
            <w:tcW w:w="6853" w:type="dxa"/>
            <w:vAlign w:val="center"/>
          </w:tcPr>
          <w:p w14:paraId="32AA2EAC">
            <w:pPr>
              <w:spacing w:line="400" w:lineRule="exact"/>
              <w:rPr>
                <w:rFonts w:ascii="宋体" w:hAnsi="宋体"/>
                <w:color w:val="auto"/>
                <w:szCs w:val="21"/>
                <w:highlight w:val="none"/>
              </w:rPr>
            </w:pPr>
            <w:r>
              <w:rPr>
                <w:rFonts w:hint="eastAsia" w:ascii="宋体" w:hAnsi="宋体"/>
                <w:b/>
                <w:color w:val="auto"/>
                <w:szCs w:val="21"/>
                <w:highlight w:val="none"/>
              </w:rPr>
              <w:t>1、保证金（人民币）：人民币壹万捌仟元整（¥18000.00元）</w:t>
            </w:r>
            <w:r>
              <w:rPr>
                <w:rFonts w:hint="eastAsia" w:ascii="宋体" w:hAnsi="宋体"/>
                <w:b/>
                <w:bCs/>
                <w:color w:val="auto"/>
                <w:szCs w:val="21"/>
                <w:highlight w:val="none"/>
              </w:rPr>
              <w:t>。</w:t>
            </w:r>
          </w:p>
          <w:p w14:paraId="7D7C9BFA">
            <w:pPr>
              <w:spacing w:line="300" w:lineRule="exact"/>
              <w:jc w:val="left"/>
              <w:rPr>
                <w:rFonts w:ascii="宋体" w:hAnsi="宋体"/>
                <w:color w:val="auto"/>
                <w:szCs w:val="21"/>
                <w:highlight w:val="none"/>
              </w:rPr>
            </w:pPr>
            <w:r>
              <w:rPr>
                <w:rFonts w:hint="eastAsia" w:ascii="宋体" w:hAnsi="宋体"/>
                <w:color w:val="auto"/>
                <w:szCs w:val="21"/>
                <w:highlight w:val="none"/>
              </w:rPr>
              <w:t xml:space="preserve">   保证金的提交方式：银行保函、银行转账、工程担保或保证保险等方式提交。禁止采用现钞交纳方式。【备注：严禁要求供应商只能以现金方式提交保证金的行为】</w:t>
            </w:r>
          </w:p>
          <w:p w14:paraId="0FE4C44C">
            <w:pPr>
              <w:spacing w:line="300" w:lineRule="exact"/>
              <w:jc w:val="left"/>
              <w:rPr>
                <w:rFonts w:ascii="宋体" w:hAnsi="宋体"/>
                <w:color w:val="auto"/>
                <w:szCs w:val="21"/>
                <w:highlight w:val="none"/>
              </w:rPr>
            </w:pPr>
            <w:r>
              <w:rPr>
                <w:rFonts w:hint="eastAsia" w:ascii="宋体" w:hAnsi="宋体"/>
                <w:color w:val="auto"/>
                <w:szCs w:val="21"/>
                <w:highlight w:val="none"/>
              </w:rPr>
              <w:t>供应商应于竞标截止时间前将竞标保证金从竞标人基本帐户以电汇、转账形式交到交到以下账户，须注明项目名称或编号，并携带转账底单原件到开标会场。</w:t>
            </w:r>
          </w:p>
          <w:p w14:paraId="3DBDEAC3">
            <w:pPr>
              <w:spacing w:line="300" w:lineRule="exact"/>
              <w:jc w:val="left"/>
              <w:rPr>
                <w:rFonts w:ascii="宋体" w:hAnsi="宋体"/>
                <w:color w:val="auto"/>
                <w:szCs w:val="21"/>
                <w:highlight w:val="none"/>
              </w:rPr>
            </w:pPr>
            <w:r>
              <w:rPr>
                <w:rFonts w:hint="eastAsia" w:ascii="宋体" w:hAnsi="宋体"/>
                <w:color w:val="auto"/>
                <w:szCs w:val="21"/>
                <w:highlight w:val="none"/>
              </w:rPr>
              <w:t xml:space="preserve">    采用银行转账、电汇方式的，必须从供应商的基本账户转账或电汇到以下指定的磋商保证金专用账户【备注：在竞标截止时间前于开标现场查验竞标保证金提交收据（如有）、银行转账（电汇）底单原件，复印件加盖竞标人单位公章装入响应文件】，否则做否决竞标处理。</w:t>
            </w:r>
          </w:p>
          <w:p w14:paraId="2186D4FC">
            <w:pPr>
              <w:spacing w:line="300" w:lineRule="exact"/>
              <w:jc w:val="left"/>
              <w:rPr>
                <w:rFonts w:ascii="宋体" w:hAnsi="宋体"/>
                <w:color w:val="auto"/>
                <w:szCs w:val="21"/>
                <w:highlight w:val="none"/>
              </w:rPr>
            </w:pPr>
            <w:r>
              <w:rPr>
                <w:rFonts w:hint="eastAsia" w:ascii="宋体" w:hAnsi="宋体"/>
                <w:color w:val="auto"/>
                <w:szCs w:val="21"/>
                <w:highlight w:val="none"/>
              </w:rPr>
              <w:t xml:space="preserve">     开户名：海之特工程管理有限公司广西第四分公司</w:t>
            </w:r>
          </w:p>
          <w:p w14:paraId="578BA8CF">
            <w:pPr>
              <w:spacing w:line="300" w:lineRule="exact"/>
              <w:jc w:val="left"/>
              <w:rPr>
                <w:rFonts w:ascii="宋体" w:hAnsi="宋体"/>
                <w:color w:val="auto"/>
                <w:szCs w:val="21"/>
                <w:highlight w:val="none"/>
              </w:rPr>
            </w:pPr>
            <w:r>
              <w:rPr>
                <w:rFonts w:hint="eastAsia" w:ascii="宋体" w:hAnsi="宋体"/>
                <w:color w:val="auto"/>
                <w:szCs w:val="21"/>
                <w:highlight w:val="none"/>
              </w:rPr>
              <w:t xml:space="preserve">     开户银行：中国农业银行南宁万象支行</w:t>
            </w:r>
          </w:p>
          <w:p w14:paraId="02F7F4BE">
            <w:pPr>
              <w:spacing w:line="300" w:lineRule="exact"/>
              <w:jc w:val="left"/>
              <w:rPr>
                <w:rFonts w:ascii="宋体" w:hAnsi="宋体"/>
                <w:color w:val="auto"/>
                <w:szCs w:val="21"/>
                <w:highlight w:val="none"/>
              </w:rPr>
            </w:pPr>
            <w:r>
              <w:rPr>
                <w:rFonts w:hint="eastAsia" w:ascii="宋体" w:hAnsi="宋体"/>
                <w:color w:val="auto"/>
                <w:szCs w:val="21"/>
                <w:highlight w:val="none"/>
              </w:rPr>
              <w:t xml:space="preserve">     账号：2001 7301 0400 1876 7</w:t>
            </w:r>
          </w:p>
          <w:p w14:paraId="49008008">
            <w:pPr>
              <w:spacing w:line="400" w:lineRule="exact"/>
              <w:rPr>
                <w:rFonts w:ascii="宋体" w:hAnsi="宋体"/>
                <w:b/>
                <w:color w:val="auto"/>
                <w:szCs w:val="21"/>
                <w:highlight w:val="none"/>
              </w:rPr>
            </w:pPr>
            <w:r>
              <w:rPr>
                <w:rFonts w:hint="eastAsia" w:ascii="宋体" w:hAnsi="宋体"/>
                <w:color w:val="auto"/>
                <w:szCs w:val="21"/>
                <w:highlight w:val="none"/>
              </w:rPr>
              <w:t xml:space="preserve">    本项目不接受现金形式或从个人账户转出的磋商保证金，若竞标截止时间前指定帐户上未收到供应商的磋商保证金，其竞标无效。办理磋商保证金手续时，请务必在银行转账单或电汇单的用途栏或空白栏上注明项目名称（简称即可）或项目编号。</w:t>
            </w:r>
          </w:p>
        </w:tc>
      </w:tr>
      <w:tr w14:paraId="510D1A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725" w:type="dxa"/>
            <w:vMerge w:val="restart"/>
            <w:vAlign w:val="center"/>
          </w:tcPr>
          <w:p w14:paraId="48048A50">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20.1</w:t>
            </w:r>
          </w:p>
        </w:tc>
        <w:tc>
          <w:tcPr>
            <w:tcW w:w="2786" w:type="dxa"/>
            <w:vAlign w:val="center"/>
          </w:tcPr>
          <w:p w14:paraId="5922924E">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首次响应文件提交起止时间</w:t>
            </w:r>
          </w:p>
        </w:tc>
        <w:tc>
          <w:tcPr>
            <w:tcW w:w="6853" w:type="dxa"/>
            <w:vAlign w:val="center"/>
          </w:tcPr>
          <w:p w14:paraId="16795D1F">
            <w:pPr>
              <w:snapToGrid w:val="0"/>
              <w:spacing w:line="360" w:lineRule="exact"/>
              <w:jc w:val="left"/>
              <w:rPr>
                <w:rFonts w:ascii="宋体" w:hAnsi="宋体" w:cs="宋体"/>
                <w:color w:val="auto"/>
                <w:szCs w:val="21"/>
                <w:highlight w:val="none"/>
                <w:u w:val="single"/>
              </w:rPr>
            </w:pPr>
            <w:r>
              <w:rPr>
                <w:rFonts w:hint="eastAsia" w:ascii="宋体" w:hAnsi="宋体" w:cs="宋体"/>
                <w:color w:val="auto"/>
                <w:szCs w:val="21"/>
                <w:highlight w:val="none"/>
              </w:rPr>
              <w:t>详见磋商公告。</w:t>
            </w:r>
          </w:p>
        </w:tc>
      </w:tr>
      <w:tr w14:paraId="6DC81F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725" w:type="dxa"/>
            <w:vMerge w:val="continue"/>
            <w:vAlign w:val="center"/>
          </w:tcPr>
          <w:p w14:paraId="2869FA85">
            <w:pPr>
              <w:spacing w:line="360" w:lineRule="exact"/>
              <w:jc w:val="center"/>
              <w:rPr>
                <w:rFonts w:ascii="宋体" w:hAnsi="宋体" w:cs="宋体"/>
                <w:color w:val="auto"/>
                <w:szCs w:val="21"/>
                <w:highlight w:val="none"/>
              </w:rPr>
            </w:pPr>
          </w:p>
        </w:tc>
        <w:tc>
          <w:tcPr>
            <w:tcW w:w="2786" w:type="dxa"/>
            <w:vAlign w:val="center"/>
          </w:tcPr>
          <w:p w14:paraId="5C864CA5">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首次响应文件提交地点</w:t>
            </w:r>
          </w:p>
        </w:tc>
        <w:tc>
          <w:tcPr>
            <w:tcW w:w="6853" w:type="dxa"/>
            <w:vAlign w:val="center"/>
          </w:tcPr>
          <w:p w14:paraId="531D4718">
            <w:pPr>
              <w:snapToGrid w:val="0"/>
              <w:spacing w:line="360" w:lineRule="exact"/>
              <w:jc w:val="left"/>
              <w:rPr>
                <w:rFonts w:ascii="宋体" w:hAnsi="宋体" w:cs="宋体"/>
                <w:color w:val="auto"/>
                <w:szCs w:val="21"/>
                <w:highlight w:val="none"/>
                <w:u w:val="single"/>
              </w:rPr>
            </w:pPr>
            <w:r>
              <w:rPr>
                <w:rFonts w:hint="eastAsia" w:ascii="宋体" w:hAnsi="宋体" w:cs="宋体"/>
                <w:color w:val="auto"/>
                <w:szCs w:val="21"/>
                <w:highlight w:val="none"/>
              </w:rPr>
              <w:t>详见磋商公告。</w:t>
            </w:r>
          </w:p>
        </w:tc>
      </w:tr>
      <w:tr w14:paraId="36ABF6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725" w:type="dxa"/>
            <w:vAlign w:val="center"/>
          </w:tcPr>
          <w:p w14:paraId="2EB2D1C3">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20.6</w:t>
            </w:r>
          </w:p>
        </w:tc>
        <w:tc>
          <w:tcPr>
            <w:tcW w:w="2786" w:type="dxa"/>
            <w:vAlign w:val="center"/>
          </w:tcPr>
          <w:p w14:paraId="4A467E1A">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备份响应文件</w:t>
            </w:r>
          </w:p>
        </w:tc>
        <w:tc>
          <w:tcPr>
            <w:tcW w:w="6853" w:type="dxa"/>
            <w:vAlign w:val="center"/>
          </w:tcPr>
          <w:p w14:paraId="5FC6163A">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本项目不接受备份响应文件。</w:t>
            </w:r>
          </w:p>
        </w:tc>
      </w:tr>
      <w:tr w14:paraId="3A686A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725" w:type="dxa"/>
            <w:vAlign w:val="center"/>
          </w:tcPr>
          <w:p w14:paraId="045BE6E5">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21</w:t>
            </w:r>
          </w:p>
        </w:tc>
        <w:tc>
          <w:tcPr>
            <w:tcW w:w="2786" w:type="dxa"/>
            <w:vAlign w:val="center"/>
          </w:tcPr>
          <w:p w14:paraId="597C5FBF">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首次响应文件的退回</w:t>
            </w:r>
          </w:p>
        </w:tc>
        <w:tc>
          <w:tcPr>
            <w:tcW w:w="6853" w:type="dxa"/>
            <w:vAlign w:val="center"/>
          </w:tcPr>
          <w:p w14:paraId="02777FF3">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详见磋商公告。</w:t>
            </w:r>
          </w:p>
        </w:tc>
      </w:tr>
      <w:tr w14:paraId="277C12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725" w:type="dxa"/>
            <w:vMerge w:val="restart"/>
            <w:vAlign w:val="center"/>
          </w:tcPr>
          <w:p w14:paraId="5E6DA4DE">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26.2</w:t>
            </w:r>
          </w:p>
        </w:tc>
        <w:tc>
          <w:tcPr>
            <w:tcW w:w="2786" w:type="dxa"/>
            <w:vAlign w:val="center"/>
          </w:tcPr>
          <w:p w14:paraId="58E1B722">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负偏离要求</w:t>
            </w:r>
          </w:p>
        </w:tc>
        <w:tc>
          <w:tcPr>
            <w:tcW w:w="6853" w:type="dxa"/>
            <w:vAlign w:val="center"/>
          </w:tcPr>
          <w:p w14:paraId="1112F0BB">
            <w:pPr>
              <w:snapToGrid w:val="0"/>
              <w:spacing w:line="360" w:lineRule="exact"/>
              <w:rPr>
                <w:rFonts w:ascii="宋体" w:hAnsi="宋体" w:cs="宋体"/>
                <w:b/>
                <w:bCs/>
                <w:color w:val="auto"/>
                <w:szCs w:val="21"/>
                <w:highlight w:val="none"/>
              </w:rPr>
            </w:pPr>
            <w:r>
              <w:rPr>
                <w:rFonts w:hint="eastAsia" w:ascii="宋体" w:hAnsi="宋体" w:cs="宋体"/>
                <w:b/>
                <w:bCs/>
                <w:color w:val="auto"/>
                <w:szCs w:val="21"/>
                <w:highlight w:val="none"/>
              </w:rPr>
              <w:t>商务条款评审中允许负偏离的条款数为</w:t>
            </w:r>
            <w:r>
              <w:rPr>
                <w:rFonts w:hint="eastAsia" w:ascii="宋体" w:hAnsi="宋体" w:cs="宋体"/>
                <w:b/>
                <w:bCs/>
                <w:color w:val="auto"/>
                <w:szCs w:val="21"/>
                <w:highlight w:val="none"/>
                <w:u w:val="single"/>
              </w:rPr>
              <w:t xml:space="preserve"> 0 </w:t>
            </w:r>
            <w:r>
              <w:rPr>
                <w:rFonts w:hint="eastAsia" w:ascii="宋体" w:hAnsi="宋体" w:cs="宋体"/>
                <w:b/>
                <w:bCs/>
                <w:color w:val="auto"/>
                <w:szCs w:val="21"/>
                <w:highlight w:val="none"/>
              </w:rPr>
              <w:t>项。</w:t>
            </w:r>
          </w:p>
          <w:p w14:paraId="712DB402">
            <w:pPr>
              <w:pStyle w:val="2"/>
              <w:rPr>
                <w:color w:val="auto"/>
                <w:highlight w:val="none"/>
              </w:rPr>
            </w:pPr>
            <w:r>
              <w:rPr>
                <w:rFonts w:hint="eastAsia" w:ascii="宋体" w:hAnsi="宋体" w:cs="宋体"/>
                <w:b/>
                <w:bCs/>
                <w:color w:val="auto"/>
                <w:kern w:val="2"/>
                <w:sz w:val="21"/>
                <w:szCs w:val="21"/>
                <w:highlight w:val="none"/>
              </w:rPr>
              <w:t xml:space="preserve">服务技术要求评审中允许负偏离的条款数为 </w:t>
            </w:r>
            <w:r>
              <w:rPr>
                <w:rFonts w:hint="eastAsia" w:ascii="宋体" w:hAnsi="宋体" w:cs="宋体"/>
                <w:b/>
                <w:bCs/>
                <w:color w:val="auto"/>
                <w:kern w:val="2"/>
                <w:sz w:val="21"/>
                <w:szCs w:val="21"/>
                <w:highlight w:val="none"/>
                <w:u w:val="single"/>
              </w:rPr>
              <w:t xml:space="preserve">0 </w:t>
            </w:r>
            <w:r>
              <w:rPr>
                <w:rFonts w:hint="eastAsia" w:ascii="宋体" w:hAnsi="宋体" w:cs="宋体"/>
                <w:b/>
                <w:bCs/>
                <w:color w:val="auto"/>
                <w:kern w:val="2"/>
                <w:sz w:val="21"/>
                <w:szCs w:val="21"/>
                <w:highlight w:val="none"/>
              </w:rPr>
              <w:t>项。</w:t>
            </w:r>
          </w:p>
        </w:tc>
      </w:tr>
      <w:tr w14:paraId="6B80E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continue"/>
            <w:vAlign w:val="center"/>
          </w:tcPr>
          <w:p w14:paraId="57170C01">
            <w:pPr>
              <w:spacing w:line="360" w:lineRule="exact"/>
              <w:jc w:val="center"/>
              <w:rPr>
                <w:rFonts w:ascii="宋体" w:hAnsi="宋体" w:cs="宋体"/>
                <w:color w:val="auto"/>
                <w:szCs w:val="21"/>
                <w:highlight w:val="none"/>
              </w:rPr>
            </w:pPr>
          </w:p>
        </w:tc>
        <w:tc>
          <w:tcPr>
            <w:tcW w:w="2786" w:type="dxa"/>
            <w:vAlign w:val="center"/>
          </w:tcPr>
          <w:p w14:paraId="60D3F632">
            <w:pPr>
              <w:snapToGrid w:val="0"/>
              <w:spacing w:line="360" w:lineRule="exact"/>
              <w:jc w:val="center"/>
              <w:rPr>
                <w:rFonts w:ascii="宋体" w:hAnsi="宋体" w:cs="宋体"/>
                <w:color w:val="auto"/>
                <w:szCs w:val="21"/>
                <w:highlight w:val="none"/>
              </w:rPr>
            </w:pPr>
            <w:r>
              <w:rPr>
                <w:rFonts w:hint="eastAsia" w:ascii="宋体" w:hAnsi="宋体" w:cs="宋体"/>
                <w:color w:val="auto"/>
                <w:szCs w:val="21"/>
                <w:highlight w:val="none"/>
              </w:rPr>
              <w:t>磋商的顺序</w:t>
            </w:r>
          </w:p>
        </w:tc>
        <w:tc>
          <w:tcPr>
            <w:tcW w:w="6853" w:type="dxa"/>
            <w:vAlign w:val="center"/>
          </w:tcPr>
          <w:p w14:paraId="03B05FEF">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磋商的顺序：按系统的编号顺序。</w:t>
            </w:r>
          </w:p>
          <w:p w14:paraId="0370FBF6">
            <w:pPr>
              <w:snapToGrid w:val="0"/>
              <w:spacing w:line="360" w:lineRule="auto"/>
              <w:rPr>
                <w:rFonts w:ascii="宋体" w:hAnsi="宋体" w:cs="宋体"/>
                <w:b/>
                <w:color w:val="auto"/>
                <w:szCs w:val="21"/>
                <w:highlight w:val="none"/>
              </w:rPr>
            </w:pPr>
            <w:r>
              <w:rPr>
                <w:rFonts w:hint="eastAsia" w:ascii="宋体" w:hAnsi="宋体" w:cs="宋体"/>
                <w:b/>
                <w:color w:val="auto"/>
                <w:szCs w:val="21"/>
                <w:highlight w:val="none"/>
              </w:rPr>
              <w:t>符合</w:t>
            </w:r>
            <w:r>
              <w:rPr>
                <w:rFonts w:hint="eastAsia" w:ascii="宋体" w:hAnsi="宋体" w:cs="宋体"/>
                <w:color w:val="auto"/>
                <w:szCs w:val="21"/>
                <w:highlight w:val="none"/>
              </w:rPr>
              <w:t>磋商</w:t>
            </w:r>
            <w:r>
              <w:rPr>
                <w:rFonts w:hint="eastAsia" w:ascii="宋体" w:hAnsi="宋体" w:cs="宋体"/>
                <w:b/>
                <w:color w:val="auto"/>
                <w:szCs w:val="21"/>
                <w:highlight w:val="none"/>
              </w:rPr>
              <w:t>资格的供应商必须在接到</w:t>
            </w:r>
            <w:r>
              <w:rPr>
                <w:rFonts w:hint="eastAsia" w:ascii="宋体" w:hAnsi="宋体" w:cs="宋体"/>
                <w:color w:val="auto"/>
                <w:szCs w:val="21"/>
                <w:highlight w:val="none"/>
              </w:rPr>
              <w:t>磋商</w:t>
            </w:r>
            <w:r>
              <w:rPr>
                <w:rFonts w:hint="eastAsia" w:ascii="宋体" w:hAnsi="宋体" w:cs="宋体"/>
                <w:b/>
                <w:color w:val="auto"/>
                <w:szCs w:val="21"/>
                <w:highlight w:val="none"/>
              </w:rPr>
              <w:t>通知后规定时间内参加</w:t>
            </w:r>
            <w:r>
              <w:rPr>
                <w:rFonts w:hint="eastAsia" w:ascii="宋体" w:hAnsi="宋体" w:cs="宋体"/>
                <w:color w:val="auto"/>
                <w:szCs w:val="21"/>
                <w:highlight w:val="none"/>
              </w:rPr>
              <w:t>磋商</w:t>
            </w:r>
            <w:r>
              <w:rPr>
                <w:rFonts w:hint="eastAsia" w:ascii="宋体" w:hAnsi="宋体" w:cs="宋体"/>
                <w:b/>
                <w:color w:val="auto"/>
                <w:szCs w:val="21"/>
                <w:highlight w:val="none"/>
              </w:rPr>
              <w:t>，未在规定时间内参加</w:t>
            </w:r>
            <w:r>
              <w:rPr>
                <w:rFonts w:hint="eastAsia" w:ascii="宋体" w:hAnsi="宋体" w:cs="宋体"/>
                <w:color w:val="auto"/>
                <w:szCs w:val="21"/>
                <w:highlight w:val="none"/>
              </w:rPr>
              <w:t>磋商</w:t>
            </w:r>
            <w:r>
              <w:rPr>
                <w:rFonts w:hint="eastAsia" w:ascii="宋体" w:hAnsi="宋体" w:cs="宋体"/>
                <w:b/>
                <w:color w:val="auto"/>
                <w:szCs w:val="21"/>
                <w:highlight w:val="none"/>
              </w:rPr>
              <w:t>的视同放弃参加</w:t>
            </w:r>
            <w:r>
              <w:rPr>
                <w:rFonts w:hint="eastAsia" w:ascii="宋体" w:hAnsi="宋体" w:cs="宋体"/>
                <w:color w:val="auto"/>
                <w:szCs w:val="21"/>
                <w:highlight w:val="none"/>
              </w:rPr>
              <w:t>磋商</w:t>
            </w:r>
            <w:r>
              <w:rPr>
                <w:rFonts w:hint="eastAsia" w:ascii="宋体" w:hAnsi="宋体" w:cs="宋体"/>
                <w:b/>
                <w:color w:val="auto"/>
                <w:szCs w:val="21"/>
                <w:highlight w:val="none"/>
              </w:rPr>
              <w:t>权利，其响应文件按无效响应处理。</w:t>
            </w:r>
          </w:p>
        </w:tc>
      </w:tr>
      <w:tr w14:paraId="27559D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Align w:val="center"/>
          </w:tcPr>
          <w:p w14:paraId="00B1BC0E">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28</w:t>
            </w:r>
          </w:p>
        </w:tc>
        <w:tc>
          <w:tcPr>
            <w:tcW w:w="2786" w:type="dxa"/>
            <w:vAlign w:val="center"/>
          </w:tcPr>
          <w:p w14:paraId="38E83CCD">
            <w:pPr>
              <w:spacing w:line="400" w:lineRule="exact"/>
              <w:jc w:val="center"/>
              <w:rPr>
                <w:rFonts w:ascii="宋体" w:hAnsi="宋体"/>
                <w:color w:val="auto"/>
                <w:szCs w:val="21"/>
                <w:highlight w:val="none"/>
              </w:rPr>
            </w:pPr>
            <w:r>
              <w:rPr>
                <w:rFonts w:hint="eastAsia" w:ascii="宋体" w:hAnsi="宋体"/>
                <w:color w:val="auto"/>
                <w:szCs w:val="21"/>
                <w:highlight w:val="none"/>
              </w:rPr>
              <w:t>履约保证金</w:t>
            </w:r>
          </w:p>
        </w:tc>
        <w:tc>
          <w:tcPr>
            <w:tcW w:w="6853" w:type="dxa"/>
            <w:vAlign w:val="center"/>
          </w:tcPr>
          <w:p w14:paraId="67AF6C3D">
            <w:pPr>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☑本项目收取履约保证金，具体规定如下：履约保证金金额：按成交金额的</w:t>
            </w:r>
            <w:r>
              <w:rPr>
                <w:rFonts w:hint="eastAsia" w:asciiTheme="minorEastAsia" w:hAnsiTheme="minorEastAsia" w:eastAsiaTheme="minorEastAsia" w:cstheme="minorEastAsia"/>
                <w:color w:val="auto"/>
                <w:szCs w:val="21"/>
                <w:highlight w:val="none"/>
                <w:u w:val="single"/>
              </w:rPr>
              <w:t>5%</w:t>
            </w:r>
            <w:r>
              <w:rPr>
                <w:rFonts w:hint="eastAsia" w:asciiTheme="minorEastAsia" w:hAnsiTheme="minorEastAsia" w:eastAsiaTheme="minorEastAsia" w:cstheme="minorEastAsia"/>
                <w:color w:val="auto"/>
                <w:szCs w:val="21"/>
                <w:highlight w:val="none"/>
              </w:rPr>
              <w:t>（注：履约保证金不超过政府采购合同金额的5%，对中小企业收取的履约保证金数额不得超过政府采购合同金额的2%）。履约保证金递交方式：银行转账、支票、汇票、本票或者金融、担保机构出具的保函等非现金方式（参照磋商保证金）。履约保证金退付方式、时间及条件：成交供应商在签订实施合同之前，需要把履约保证金足额交到采购人指定账户。未提交履约保证金的，不予签订合同。项目服务期满后，由双方根据服务质量及履约情况结算扣除款项，将由采购人一次性无息返还结余的履约保证金给成交供应商，具体返还方式见“付款方式”。</w:t>
            </w:r>
          </w:p>
          <w:p w14:paraId="6BBF9923">
            <w:pPr>
              <w:spacing w:line="400" w:lineRule="exact"/>
              <w:ind w:firstLine="422" w:firstLineChars="200"/>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履约保证金指定账户：</w:t>
            </w:r>
          </w:p>
          <w:p w14:paraId="006867C9">
            <w:pPr>
              <w:spacing w:line="400" w:lineRule="exact"/>
              <w:ind w:firstLine="422" w:firstLineChars="200"/>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开户名称：广西壮族自治区人民检察院</w:t>
            </w:r>
          </w:p>
          <w:p w14:paraId="77CA6661">
            <w:pPr>
              <w:spacing w:line="400" w:lineRule="exact"/>
              <w:ind w:firstLine="422" w:firstLineChars="200"/>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开户银行：农行南宁市古城支行凤翔分理处</w:t>
            </w:r>
          </w:p>
          <w:p w14:paraId="0EDE0B8F">
            <w:pPr>
              <w:spacing w:line="400" w:lineRule="exact"/>
              <w:ind w:firstLine="422" w:firstLineChars="200"/>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银行账号：20009201040000296</w:t>
            </w:r>
          </w:p>
          <w:p w14:paraId="35AA5B20">
            <w:pPr>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备注：1、根据桂财规〔2022〕8号，采购人在采购文件中要求提交履约保证金的，履约保证金数额不得超过政府采购合同金额的5%；政府采购要加大对中小企业发展的扶持力度，对中小企业收取的履约保证金数额不得超过政府采购合同金额的2%。中标（成交）供应商的磋商（响应）保证金可转为履约保证金。</w:t>
            </w:r>
          </w:p>
          <w:p w14:paraId="150B9BEF">
            <w:pPr>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履约保证金不足额缴纳的（包含保函额度不足的），或者不按规定提交方式提交的，或者保函有效期低于合同履行期限（即合同中规定的当事人履行自己的义务，如交付标的物、价款或者报酬，履行劳务、完成工作的时间界限）的，不予签订合同。</w:t>
            </w:r>
          </w:p>
          <w:p w14:paraId="42A6A608">
            <w:pPr>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3、采用金融、担保机构出具的保函的，必须为无条件保函，否则不予签订合同。</w:t>
            </w:r>
          </w:p>
          <w:p w14:paraId="358A8061">
            <w:pPr>
              <w:spacing w:line="400" w:lineRule="exact"/>
              <w:ind w:firstLine="420" w:firstLineChars="200"/>
              <w:rPr>
                <w:rFonts w:ascii="宋体" w:hAnsi="宋体"/>
                <w:color w:val="auto"/>
                <w:highlight w:val="none"/>
              </w:rPr>
            </w:pPr>
            <w:r>
              <w:rPr>
                <w:rFonts w:hint="eastAsia" w:asciiTheme="minorEastAsia" w:hAnsiTheme="minorEastAsia" w:eastAsiaTheme="minorEastAsia" w:cstheme="minorEastAsia"/>
                <w:color w:val="auto"/>
                <w:szCs w:val="21"/>
                <w:highlight w:val="none"/>
              </w:rPr>
              <w:t>4、供应商为联合体的，由联合体其中一方按规定提交的履约保证金，视为有效履约保证金</w:t>
            </w:r>
            <w:r>
              <w:rPr>
                <w:rFonts w:hint="eastAsia" w:ascii="宋体" w:hAnsi="宋体"/>
                <w:color w:val="auto"/>
                <w:highlight w:val="none"/>
              </w:rPr>
              <w:t>。</w:t>
            </w:r>
          </w:p>
        </w:tc>
      </w:tr>
      <w:tr w14:paraId="76CDFD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Align w:val="center"/>
          </w:tcPr>
          <w:p w14:paraId="304C61AC">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29.5</w:t>
            </w:r>
          </w:p>
        </w:tc>
        <w:tc>
          <w:tcPr>
            <w:tcW w:w="2786" w:type="dxa"/>
            <w:vAlign w:val="center"/>
          </w:tcPr>
          <w:p w14:paraId="114E80A5">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签订合同携带的材料</w:t>
            </w:r>
          </w:p>
        </w:tc>
        <w:tc>
          <w:tcPr>
            <w:tcW w:w="6853" w:type="dxa"/>
            <w:vAlign w:val="center"/>
          </w:tcPr>
          <w:p w14:paraId="25F0E236">
            <w:pPr>
              <w:autoSpaceDE w:val="0"/>
              <w:autoSpaceDN w:val="0"/>
              <w:snapToGrid w:val="0"/>
              <w:spacing w:line="400" w:lineRule="exact"/>
              <w:textAlignment w:val="bottom"/>
              <w:rPr>
                <w:rFonts w:ascii="宋体" w:hAnsi="宋体"/>
                <w:color w:val="auto"/>
                <w:szCs w:val="21"/>
                <w:highlight w:val="none"/>
              </w:rPr>
            </w:pPr>
            <w:r>
              <w:rPr>
                <w:rFonts w:hint="eastAsia" w:ascii="宋体" w:hAnsi="宋体"/>
                <w:color w:val="auto"/>
                <w:szCs w:val="21"/>
                <w:highlight w:val="none"/>
              </w:rPr>
              <w:t>签订合同携带的证明材料：</w:t>
            </w:r>
          </w:p>
          <w:p w14:paraId="065E5187">
            <w:pPr>
              <w:autoSpaceDE w:val="0"/>
              <w:autoSpaceDN w:val="0"/>
              <w:snapToGrid w:val="0"/>
              <w:spacing w:line="400" w:lineRule="exact"/>
              <w:textAlignment w:val="bottom"/>
              <w:rPr>
                <w:rFonts w:ascii="宋体" w:hAnsi="宋体"/>
                <w:color w:val="auto"/>
                <w:szCs w:val="21"/>
                <w:highlight w:val="none"/>
              </w:rPr>
            </w:pPr>
            <w:r>
              <w:rPr>
                <w:rFonts w:hint="eastAsia" w:ascii="宋体" w:hAnsi="宋体"/>
                <w:color w:val="auto"/>
                <w:szCs w:val="21"/>
                <w:highlight w:val="none"/>
              </w:rPr>
              <w:t>1、委托代理人负责签订合同的，须携带授权委托书及委托代理人身份证原件等其他资格证件。</w:t>
            </w:r>
          </w:p>
          <w:p w14:paraId="50E6D8F9">
            <w:pPr>
              <w:snapToGrid w:val="0"/>
              <w:spacing w:line="360" w:lineRule="exact"/>
              <w:rPr>
                <w:rFonts w:ascii="宋体" w:hAnsi="宋体" w:cs="宋体"/>
                <w:color w:val="auto"/>
                <w:szCs w:val="21"/>
                <w:highlight w:val="none"/>
              </w:rPr>
            </w:pPr>
            <w:r>
              <w:rPr>
                <w:rFonts w:hint="eastAsia" w:ascii="宋体" w:hAnsi="宋体"/>
                <w:color w:val="auto"/>
                <w:szCs w:val="21"/>
                <w:highlight w:val="none"/>
              </w:rPr>
              <w:t>2、法定代表人负责签订合同的，须携带法定代表人</w:t>
            </w:r>
            <w:r>
              <w:rPr>
                <w:rFonts w:ascii="宋体" w:hAnsi="宋体"/>
                <w:color w:val="auto"/>
                <w:szCs w:val="21"/>
                <w:highlight w:val="none"/>
              </w:rPr>
              <w:t>身份证明原件</w:t>
            </w:r>
            <w:r>
              <w:rPr>
                <w:rFonts w:hint="eastAsia" w:ascii="宋体" w:hAnsi="宋体"/>
                <w:color w:val="auto"/>
                <w:szCs w:val="21"/>
                <w:highlight w:val="none"/>
              </w:rPr>
              <w:t>及</w:t>
            </w:r>
            <w:r>
              <w:rPr>
                <w:rFonts w:ascii="宋体" w:hAnsi="宋体"/>
                <w:color w:val="auto"/>
                <w:szCs w:val="21"/>
                <w:highlight w:val="none"/>
              </w:rPr>
              <w:t>身份证原件</w:t>
            </w:r>
            <w:r>
              <w:rPr>
                <w:rFonts w:hint="eastAsia" w:ascii="宋体" w:hAnsi="宋体"/>
                <w:color w:val="auto"/>
                <w:szCs w:val="21"/>
                <w:highlight w:val="none"/>
              </w:rPr>
              <w:t>等其他证明材料。</w:t>
            </w:r>
          </w:p>
        </w:tc>
      </w:tr>
      <w:tr w14:paraId="2056AB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restart"/>
            <w:vAlign w:val="center"/>
          </w:tcPr>
          <w:p w14:paraId="2E0D72E5">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31.2</w:t>
            </w:r>
          </w:p>
        </w:tc>
        <w:tc>
          <w:tcPr>
            <w:tcW w:w="2786" w:type="dxa"/>
            <w:vAlign w:val="center"/>
          </w:tcPr>
          <w:p w14:paraId="3450A87A">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接收质疑函方式</w:t>
            </w:r>
          </w:p>
        </w:tc>
        <w:tc>
          <w:tcPr>
            <w:tcW w:w="6853" w:type="dxa"/>
            <w:vAlign w:val="center"/>
          </w:tcPr>
          <w:p w14:paraId="7C62D7C2">
            <w:pPr>
              <w:snapToGrid w:val="0"/>
              <w:spacing w:line="360" w:lineRule="exact"/>
              <w:rPr>
                <w:rFonts w:ascii="宋体" w:hAnsi="宋体" w:cs="宋体"/>
                <w:color w:val="auto"/>
                <w:szCs w:val="21"/>
                <w:highlight w:val="none"/>
              </w:rPr>
            </w:pPr>
            <w:r>
              <w:rPr>
                <w:rFonts w:hint="eastAsia" w:ascii="宋体" w:hAnsi="宋体" w:cs="宋体"/>
                <w:color w:val="auto"/>
                <w:szCs w:val="21"/>
                <w:highlight w:val="none"/>
              </w:rPr>
              <w:t>以书面形式（须按照采购文件要求格式）</w:t>
            </w:r>
          </w:p>
          <w:p w14:paraId="0C7E6266">
            <w:pPr>
              <w:pStyle w:val="16"/>
              <w:spacing w:line="320" w:lineRule="atLeast"/>
              <w:rPr>
                <w:rFonts w:ascii="宋体" w:hAnsi="宋体" w:cs="宋体"/>
                <w:color w:val="auto"/>
                <w:szCs w:val="21"/>
                <w:highlight w:val="none"/>
              </w:rPr>
            </w:pPr>
            <w:r>
              <w:rPr>
                <w:rFonts w:hint="eastAsia"/>
                <w:color w:val="auto"/>
                <w:highlight w:val="none"/>
              </w:rPr>
              <w:t>质疑材料接收要求：质疑供应商须按照采购文件“第七章 质疑、投诉材料格式”要求，提供相应完整材料内容才受理。材料缺项或未按照质疑材料格式提供的，不予受理，为此造成的后果由供应商自行承担。</w:t>
            </w:r>
          </w:p>
        </w:tc>
      </w:tr>
      <w:tr w14:paraId="6B1098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continue"/>
            <w:vAlign w:val="center"/>
          </w:tcPr>
          <w:p w14:paraId="5AD9DB4A">
            <w:pPr>
              <w:spacing w:line="360" w:lineRule="exact"/>
              <w:jc w:val="center"/>
              <w:rPr>
                <w:rFonts w:ascii="宋体" w:hAnsi="宋体" w:cs="宋体"/>
                <w:color w:val="auto"/>
                <w:szCs w:val="21"/>
                <w:highlight w:val="none"/>
              </w:rPr>
            </w:pPr>
          </w:p>
        </w:tc>
        <w:tc>
          <w:tcPr>
            <w:tcW w:w="2786" w:type="dxa"/>
            <w:vAlign w:val="center"/>
          </w:tcPr>
          <w:p w14:paraId="70B9AB97">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质疑联系部门及联系方式</w:t>
            </w:r>
          </w:p>
        </w:tc>
        <w:tc>
          <w:tcPr>
            <w:tcW w:w="6853" w:type="dxa"/>
            <w:vAlign w:val="center"/>
          </w:tcPr>
          <w:p w14:paraId="1988A445">
            <w:pPr>
              <w:snapToGrid w:val="0"/>
              <w:spacing w:line="380" w:lineRule="exact"/>
              <w:rPr>
                <w:rFonts w:ascii="宋体" w:hAnsi="宋体"/>
                <w:color w:val="auto"/>
                <w:szCs w:val="21"/>
                <w:highlight w:val="none"/>
              </w:rPr>
            </w:pPr>
            <w:r>
              <w:rPr>
                <w:rFonts w:hint="eastAsia" w:ascii="宋体" w:hAnsi="宋体"/>
                <w:color w:val="auto"/>
                <w:szCs w:val="21"/>
                <w:highlight w:val="none"/>
              </w:rPr>
              <w:t>质疑：供应商认为采购文件、采购过程、中标或者成交结果使自己的权益受到损害的，可以在知道或者应知其权益受到损害之日起7个工作日内，以书面形式</w:t>
            </w:r>
            <w:r>
              <w:rPr>
                <w:rFonts w:hint="eastAsia" w:ascii="宋体" w:hAnsi="宋体" w:cs="宋体"/>
                <w:color w:val="auto"/>
                <w:szCs w:val="21"/>
                <w:highlight w:val="none"/>
              </w:rPr>
              <w:t>（须按照采购文件要求格式）</w:t>
            </w:r>
            <w:r>
              <w:rPr>
                <w:rFonts w:hint="eastAsia" w:ascii="宋体" w:hAnsi="宋体"/>
                <w:color w:val="auto"/>
                <w:szCs w:val="21"/>
                <w:highlight w:val="none"/>
              </w:rPr>
              <w:t>向采购人、采购代理机构提出质疑。供应商针对同一采购程序环节的质疑应在法定质疑期内一次性提出。</w:t>
            </w:r>
          </w:p>
          <w:p w14:paraId="1AF5DDEB">
            <w:pPr>
              <w:snapToGrid w:val="0"/>
              <w:spacing w:line="380" w:lineRule="exact"/>
              <w:rPr>
                <w:rFonts w:ascii="宋体" w:hAnsi="宋体"/>
                <w:color w:val="auto"/>
                <w:szCs w:val="21"/>
                <w:highlight w:val="none"/>
              </w:rPr>
            </w:pPr>
            <w:r>
              <w:rPr>
                <w:rFonts w:hint="eastAsia" w:ascii="宋体" w:hAnsi="宋体"/>
                <w:color w:val="auto"/>
                <w:szCs w:val="21"/>
                <w:highlight w:val="none"/>
              </w:rPr>
              <w:t>接收质疑函方式：以书面形式（原件）</w:t>
            </w:r>
            <w:r>
              <w:rPr>
                <w:rFonts w:hint="eastAsia" w:ascii="宋体" w:hAnsi="宋体" w:cs="宋体"/>
                <w:color w:val="auto"/>
                <w:szCs w:val="21"/>
                <w:highlight w:val="none"/>
              </w:rPr>
              <w:t>（须按照采购文件要求格式）</w:t>
            </w:r>
            <w:r>
              <w:rPr>
                <w:rFonts w:hint="eastAsia" w:ascii="宋体" w:hAnsi="宋体"/>
                <w:color w:val="auto"/>
                <w:szCs w:val="21"/>
                <w:highlight w:val="none"/>
              </w:rPr>
              <w:t>提交</w:t>
            </w:r>
          </w:p>
          <w:p w14:paraId="7CB840C5">
            <w:pPr>
              <w:snapToGrid w:val="0"/>
              <w:spacing w:line="380" w:lineRule="exact"/>
              <w:rPr>
                <w:rFonts w:ascii="宋体" w:hAnsi="宋体"/>
                <w:color w:val="auto"/>
                <w:szCs w:val="21"/>
                <w:highlight w:val="none"/>
              </w:rPr>
            </w:pPr>
            <w:r>
              <w:rPr>
                <w:rFonts w:hint="eastAsia" w:ascii="宋体" w:hAnsi="宋体"/>
                <w:color w:val="auto"/>
                <w:szCs w:val="21"/>
                <w:highlight w:val="none"/>
              </w:rPr>
              <w:t>质疑联系部门及联系方式：</w:t>
            </w:r>
          </w:p>
          <w:p w14:paraId="4919121C">
            <w:pPr>
              <w:snapToGrid w:val="0"/>
              <w:spacing w:line="360" w:lineRule="exact"/>
              <w:rPr>
                <w:rFonts w:ascii="宋体" w:hAnsi="宋体"/>
                <w:color w:val="auto"/>
                <w:szCs w:val="21"/>
                <w:highlight w:val="none"/>
              </w:rPr>
            </w:pPr>
            <w:r>
              <w:rPr>
                <w:rFonts w:hint="eastAsia" w:ascii="宋体" w:hAnsi="宋体"/>
                <w:color w:val="auto"/>
                <w:szCs w:val="21"/>
                <w:highlight w:val="none"/>
              </w:rPr>
              <w:t>（1）海之特工程管理有限公司</w:t>
            </w:r>
          </w:p>
          <w:p w14:paraId="4E19A35D">
            <w:pPr>
              <w:snapToGrid w:val="0"/>
              <w:spacing w:line="360" w:lineRule="exact"/>
              <w:rPr>
                <w:rFonts w:ascii="宋体" w:hAnsi="宋体"/>
                <w:color w:val="auto"/>
                <w:szCs w:val="21"/>
                <w:highlight w:val="none"/>
              </w:rPr>
            </w:pPr>
            <w:r>
              <w:rPr>
                <w:rFonts w:hint="eastAsia" w:ascii="宋体" w:hAnsi="宋体"/>
                <w:color w:val="auto"/>
                <w:szCs w:val="21"/>
                <w:highlight w:val="none"/>
              </w:rPr>
              <w:t>联系电话：0771-2264686</w:t>
            </w:r>
          </w:p>
          <w:p w14:paraId="1A775CBB">
            <w:pPr>
              <w:snapToGrid w:val="0"/>
              <w:spacing w:line="360" w:lineRule="exact"/>
              <w:rPr>
                <w:rFonts w:ascii="宋体" w:hAnsi="宋体"/>
                <w:color w:val="auto"/>
                <w:szCs w:val="21"/>
                <w:highlight w:val="none"/>
              </w:rPr>
            </w:pPr>
            <w:r>
              <w:rPr>
                <w:rFonts w:hint="eastAsia" w:ascii="宋体" w:hAnsi="宋体"/>
                <w:color w:val="auto"/>
                <w:szCs w:val="21"/>
                <w:highlight w:val="none"/>
              </w:rPr>
              <w:t>通讯地址：广西南宁市汇春路4号金湖大厦5楼509室</w:t>
            </w:r>
          </w:p>
          <w:p w14:paraId="62C8A0AD">
            <w:pPr>
              <w:snapToGrid w:val="0"/>
              <w:spacing w:line="360" w:lineRule="exact"/>
              <w:rPr>
                <w:rFonts w:ascii="宋体" w:hAnsi="宋体"/>
                <w:color w:val="auto"/>
                <w:szCs w:val="21"/>
                <w:highlight w:val="none"/>
              </w:rPr>
            </w:pPr>
            <w:r>
              <w:rPr>
                <w:rFonts w:hint="eastAsia" w:ascii="宋体" w:hAnsi="宋体"/>
                <w:color w:val="auto"/>
                <w:szCs w:val="21"/>
                <w:highlight w:val="none"/>
              </w:rPr>
              <w:t>（2）广西壮族自治区检察院；</w:t>
            </w:r>
          </w:p>
          <w:p w14:paraId="1625399E">
            <w:pPr>
              <w:snapToGrid w:val="0"/>
              <w:spacing w:line="360" w:lineRule="exact"/>
              <w:rPr>
                <w:rFonts w:ascii="宋体" w:hAnsi="宋体"/>
                <w:color w:val="auto"/>
                <w:szCs w:val="21"/>
                <w:highlight w:val="none"/>
              </w:rPr>
            </w:pPr>
            <w:r>
              <w:rPr>
                <w:rFonts w:hint="eastAsia" w:ascii="宋体" w:hAnsi="宋体"/>
                <w:color w:val="auto"/>
                <w:szCs w:val="21"/>
                <w:highlight w:val="none"/>
              </w:rPr>
              <w:t>联系电话：0771-5506183</w:t>
            </w:r>
          </w:p>
          <w:p w14:paraId="3AE6DEDE">
            <w:pPr>
              <w:snapToGrid w:val="0"/>
              <w:spacing w:line="360" w:lineRule="exact"/>
              <w:rPr>
                <w:rFonts w:ascii="宋体" w:hAnsi="宋体" w:cs="宋体"/>
                <w:color w:val="auto"/>
                <w:szCs w:val="21"/>
                <w:highlight w:val="none"/>
              </w:rPr>
            </w:pPr>
            <w:r>
              <w:rPr>
                <w:rFonts w:hint="eastAsia" w:ascii="宋体" w:hAnsi="宋体"/>
                <w:color w:val="auto"/>
                <w:szCs w:val="21"/>
                <w:highlight w:val="none"/>
              </w:rPr>
              <w:t>通讯地址：广西壮族自治区南宁市青秀区凤翔路3号</w:t>
            </w:r>
          </w:p>
        </w:tc>
      </w:tr>
      <w:tr w14:paraId="37C48F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continue"/>
            <w:vAlign w:val="center"/>
          </w:tcPr>
          <w:p w14:paraId="1BA2CFE9">
            <w:pPr>
              <w:spacing w:line="360" w:lineRule="exact"/>
              <w:jc w:val="center"/>
              <w:rPr>
                <w:rFonts w:ascii="宋体" w:hAnsi="宋体" w:cs="宋体"/>
                <w:color w:val="auto"/>
                <w:szCs w:val="21"/>
                <w:highlight w:val="none"/>
              </w:rPr>
            </w:pPr>
          </w:p>
        </w:tc>
        <w:tc>
          <w:tcPr>
            <w:tcW w:w="2786" w:type="dxa"/>
            <w:vAlign w:val="center"/>
          </w:tcPr>
          <w:p w14:paraId="05DD8DA8">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现场提交质疑办理业务时间</w:t>
            </w:r>
          </w:p>
        </w:tc>
        <w:tc>
          <w:tcPr>
            <w:tcW w:w="6853" w:type="dxa"/>
            <w:vAlign w:val="center"/>
          </w:tcPr>
          <w:p w14:paraId="1BC28B0F">
            <w:pPr>
              <w:snapToGrid w:val="0"/>
              <w:spacing w:line="360" w:lineRule="exact"/>
              <w:rPr>
                <w:rFonts w:ascii="宋体" w:hAnsi="宋体" w:cs="宋体"/>
                <w:color w:val="auto"/>
                <w:szCs w:val="21"/>
                <w:highlight w:val="none"/>
              </w:rPr>
            </w:pPr>
            <w:r>
              <w:rPr>
                <w:rFonts w:hint="eastAsia" w:ascii="宋体" w:hAnsi="宋体" w:cs="宋体"/>
                <w:color w:val="auto"/>
                <w:szCs w:val="21"/>
                <w:highlight w:val="none"/>
              </w:rPr>
              <w:t>质疑期内每个工作日</w:t>
            </w:r>
            <w:r>
              <w:rPr>
                <w:rFonts w:hint="eastAsia" w:ascii="宋体" w:hAnsi="宋体" w:cs="宋体"/>
                <w:color w:val="auto"/>
                <w:szCs w:val="21"/>
                <w:highlight w:val="none"/>
                <w:u w:val="single"/>
              </w:rPr>
              <w:t>8时00分到12时00分，15时00分到18时00分</w:t>
            </w:r>
          </w:p>
        </w:tc>
      </w:tr>
      <w:tr w14:paraId="12A312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Align w:val="center"/>
          </w:tcPr>
          <w:p w14:paraId="0C331747">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31.6</w:t>
            </w:r>
          </w:p>
        </w:tc>
        <w:tc>
          <w:tcPr>
            <w:tcW w:w="2786" w:type="dxa"/>
            <w:vAlign w:val="center"/>
          </w:tcPr>
          <w:p w14:paraId="7D55BB88">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受理投诉方式</w:t>
            </w:r>
          </w:p>
        </w:tc>
        <w:tc>
          <w:tcPr>
            <w:tcW w:w="6853" w:type="dxa"/>
            <w:vAlign w:val="center"/>
          </w:tcPr>
          <w:p w14:paraId="7B2CDFB8">
            <w:pPr>
              <w:spacing w:line="360" w:lineRule="exact"/>
              <w:jc w:val="left"/>
              <w:rPr>
                <w:rFonts w:ascii="宋体" w:hAnsi="宋体" w:cs="宋体"/>
                <w:color w:val="auto"/>
                <w:szCs w:val="21"/>
                <w:highlight w:val="none"/>
              </w:rPr>
            </w:pPr>
            <w:r>
              <w:rPr>
                <w:rFonts w:hint="eastAsia" w:ascii="宋体" w:hAnsi="宋体" w:cs="宋体"/>
                <w:color w:val="auto"/>
                <w:szCs w:val="21"/>
                <w:highlight w:val="none"/>
              </w:rPr>
              <w:t>1、受理方式：纸质方式受理，投诉书正、副本（经过质疑的事项才可投诉）。</w:t>
            </w:r>
          </w:p>
          <w:p w14:paraId="6867C700">
            <w:pPr>
              <w:spacing w:line="360" w:lineRule="exact"/>
              <w:rPr>
                <w:rFonts w:ascii="宋体" w:hAnsi="宋体" w:cs="宋体"/>
                <w:color w:val="auto"/>
                <w:szCs w:val="21"/>
                <w:highlight w:val="none"/>
              </w:rPr>
            </w:pPr>
            <w:r>
              <w:rPr>
                <w:rFonts w:hint="eastAsia" w:ascii="宋体" w:hAnsi="宋体" w:cs="宋体"/>
                <w:color w:val="auto"/>
                <w:szCs w:val="21"/>
                <w:highlight w:val="none"/>
              </w:rPr>
              <w:t>2、邮寄地址：南宁市桃源路69号；</w:t>
            </w:r>
          </w:p>
          <w:p w14:paraId="6FC108AD">
            <w:pPr>
              <w:spacing w:line="360" w:lineRule="exact"/>
              <w:rPr>
                <w:rFonts w:ascii="宋体" w:hAnsi="宋体" w:cs="宋体"/>
                <w:color w:val="auto"/>
                <w:szCs w:val="21"/>
                <w:highlight w:val="none"/>
              </w:rPr>
            </w:pPr>
            <w:r>
              <w:rPr>
                <w:rFonts w:hint="eastAsia" w:ascii="宋体" w:hAnsi="宋体" w:cs="宋体"/>
                <w:color w:val="auto"/>
                <w:szCs w:val="21"/>
                <w:highlight w:val="none"/>
              </w:rPr>
              <w:t>名称：广西壮族自治区财政厅政府采购监督管理处；</w:t>
            </w:r>
          </w:p>
          <w:p w14:paraId="37F89368">
            <w:pPr>
              <w:spacing w:line="360" w:lineRule="exact"/>
              <w:rPr>
                <w:rFonts w:ascii="宋体" w:hAnsi="宋体" w:cs="宋体"/>
                <w:color w:val="auto"/>
                <w:szCs w:val="21"/>
                <w:highlight w:val="none"/>
              </w:rPr>
            </w:pPr>
            <w:r>
              <w:rPr>
                <w:rFonts w:hint="eastAsia" w:ascii="宋体" w:hAnsi="宋体" w:cs="宋体"/>
                <w:color w:val="auto"/>
                <w:szCs w:val="21"/>
                <w:highlight w:val="none"/>
              </w:rPr>
              <w:t>联系电话：0771-5331810</w:t>
            </w:r>
          </w:p>
        </w:tc>
      </w:tr>
      <w:tr w14:paraId="2C6688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Align w:val="center"/>
          </w:tcPr>
          <w:p w14:paraId="6BDE95FA">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33</w:t>
            </w:r>
          </w:p>
        </w:tc>
        <w:tc>
          <w:tcPr>
            <w:tcW w:w="2786" w:type="dxa"/>
            <w:vAlign w:val="center"/>
          </w:tcPr>
          <w:p w14:paraId="42CC61F7">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采购代理费</w:t>
            </w:r>
          </w:p>
        </w:tc>
        <w:tc>
          <w:tcPr>
            <w:tcW w:w="6853" w:type="dxa"/>
            <w:vAlign w:val="center"/>
          </w:tcPr>
          <w:p w14:paraId="16B5E5CA">
            <w:pPr>
              <w:pStyle w:val="20"/>
              <w:snapToGrid w:val="0"/>
              <w:spacing w:line="360" w:lineRule="exact"/>
              <w:rPr>
                <w:rFonts w:hAnsi="宋体" w:cs="宋体"/>
                <w:color w:val="auto"/>
                <w:sz w:val="21"/>
                <w:highlight w:val="none"/>
              </w:rPr>
            </w:pPr>
            <w:r>
              <w:rPr>
                <w:rFonts w:hint="eastAsia" w:hAnsi="宋体" w:cs="宋体"/>
                <w:color w:val="auto"/>
                <w:sz w:val="21"/>
                <w:highlight w:val="none"/>
              </w:rPr>
              <w:t>1. 是否收取采购代理费：是</w:t>
            </w:r>
          </w:p>
          <w:p w14:paraId="3435A1DE">
            <w:pPr>
              <w:pStyle w:val="20"/>
              <w:snapToGrid w:val="0"/>
              <w:spacing w:line="360" w:lineRule="exact"/>
              <w:rPr>
                <w:rFonts w:hAnsi="宋体" w:cs="宋体"/>
                <w:color w:val="auto"/>
                <w:sz w:val="21"/>
                <w:highlight w:val="none"/>
              </w:rPr>
            </w:pPr>
            <w:r>
              <w:rPr>
                <w:rFonts w:hint="eastAsia" w:hAnsi="宋体" w:cs="宋体"/>
                <w:color w:val="auto"/>
                <w:sz w:val="21"/>
                <w:highlight w:val="none"/>
              </w:rPr>
              <w:t>2.采购代理费支付方式：本项目代理服务费由</w:t>
            </w:r>
            <w:r>
              <w:rPr>
                <w:rFonts w:hint="eastAsia" w:hAnsi="宋体" w:cs="宋体"/>
                <w:color w:val="auto"/>
                <w:sz w:val="21"/>
                <w:highlight w:val="none"/>
                <w:u w:val="single"/>
              </w:rPr>
              <w:t>成交供应商</w:t>
            </w:r>
            <w:r>
              <w:rPr>
                <w:rFonts w:hint="eastAsia" w:hAnsi="宋体" w:cs="宋体"/>
                <w:color w:val="auto"/>
                <w:sz w:val="21"/>
                <w:highlight w:val="none"/>
              </w:rPr>
              <w:t>领取成交通知书前，一次性向采购代理机构支付。</w:t>
            </w:r>
          </w:p>
          <w:p w14:paraId="4E391813">
            <w:pPr>
              <w:pStyle w:val="20"/>
              <w:snapToGrid w:val="0"/>
              <w:spacing w:line="360" w:lineRule="exact"/>
              <w:rPr>
                <w:rFonts w:hAnsi="宋体" w:cs="宋体"/>
                <w:color w:val="auto"/>
                <w:sz w:val="21"/>
                <w:highlight w:val="none"/>
              </w:rPr>
            </w:pPr>
            <w:r>
              <w:rPr>
                <w:rFonts w:hint="eastAsia" w:hAnsi="宋体" w:cs="宋体"/>
                <w:color w:val="auto"/>
                <w:sz w:val="21"/>
                <w:highlight w:val="none"/>
              </w:rPr>
              <w:t>3.采购代理费收取标准：以分标（</w:t>
            </w:r>
            <w:r>
              <w:rPr>
                <w:rFonts w:hint="eastAsia" w:ascii="MS Mincho" w:hAnsi="MS Mincho" w:eastAsia="MS Mincho" w:cs="MS Mincho"/>
                <w:color w:val="auto"/>
                <w:sz w:val="21"/>
                <w:highlight w:val="none"/>
              </w:rPr>
              <w:t>☑</w:t>
            </w:r>
            <w:r>
              <w:rPr>
                <w:rFonts w:hint="eastAsia" w:hAnsi="宋体" w:cs="宋体"/>
                <w:color w:val="auto"/>
                <w:sz w:val="21"/>
                <w:highlight w:val="none"/>
              </w:rPr>
              <w:t>成交金额/□采购预算/□暂定成交金额/□其他）为计费额，按服务类采用差额定率累进法计算出收费基准价格，采购代理收费以（</w:t>
            </w:r>
            <w:r>
              <w:rPr>
                <w:rFonts w:hint="eastAsia" w:hAnsi="宋体" w:cs="宋体"/>
                <w:color w:val="auto"/>
                <w:sz w:val="21"/>
                <w:highlight w:val="none"/>
              </w:rPr>
              <w:sym w:font="Wingdings 2" w:char="0052"/>
            </w:r>
            <w:r>
              <w:rPr>
                <w:rFonts w:hint="eastAsia" w:hAnsi="宋体" w:cs="宋体"/>
                <w:color w:val="auto"/>
                <w:sz w:val="21"/>
                <w:highlight w:val="none"/>
              </w:rPr>
              <w:t>收费基准价格）收取。</w:t>
            </w:r>
          </w:p>
        </w:tc>
      </w:tr>
      <w:tr w14:paraId="4B8DA9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Align w:val="center"/>
          </w:tcPr>
          <w:p w14:paraId="5650ADF5">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34.1</w:t>
            </w:r>
          </w:p>
        </w:tc>
        <w:tc>
          <w:tcPr>
            <w:tcW w:w="2786" w:type="dxa"/>
            <w:vAlign w:val="center"/>
          </w:tcPr>
          <w:p w14:paraId="0BA8DBEF">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解释</w:t>
            </w:r>
          </w:p>
        </w:tc>
        <w:tc>
          <w:tcPr>
            <w:tcW w:w="6853" w:type="dxa"/>
            <w:vAlign w:val="center"/>
          </w:tcPr>
          <w:p w14:paraId="154F5837">
            <w:pPr>
              <w:spacing w:line="360" w:lineRule="exact"/>
              <w:rPr>
                <w:rFonts w:ascii="宋体" w:hAnsi="宋体" w:cs="宋体"/>
                <w:color w:val="auto"/>
                <w:highlight w:val="none"/>
              </w:rPr>
            </w:pPr>
            <w:r>
              <w:rPr>
                <w:rFonts w:hint="eastAsia" w:ascii="宋体" w:hAnsi="宋体" w:cs="宋体"/>
                <w:b/>
                <w:bCs/>
                <w:color w:val="auto"/>
                <w:highlight w:val="none"/>
              </w:rPr>
              <w:t>解释权：</w:t>
            </w:r>
            <w:r>
              <w:rPr>
                <w:rFonts w:hint="eastAsia" w:ascii="宋体" w:hAnsi="宋体" w:cs="宋体"/>
                <w:color w:val="auto"/>
                <w:highlight w:val="none"/>
              </w:rPr>
              <w:t>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ascii="宋体" w:hAnsi="宋体" w:cs="宋体"/>
                <w:b/>
                <w:bCs/>
                <w:color w:val="auto"/>
                <w:highlight w:val="none"/>
              </w:rPr>
              <w:t>由采购人或者采购代理机构负责解释。</w:t>
            </w:r>
          </w:p>
          <w:p w14:paraId="08723E46">
            <w:pPr>
              <w:spacing w:line="360" w:lineRule="exact"/>
              <w:rPr>
                <w:rFonts w:ascii="宋体" w:hAnsi="宋体" w:cs="宋体"/>
                <w:b/>
                <w:bCs/>
                <w:color w:val="auto"/>
                <w:highlight w:val="none"/>
              </w:rPr>
            </w:pPr>
            <w:r>
              <w:rPr>
                <w:rFonts w:hint="eastAsia" w:ascii="宋体" w:hAnsi="宋体" w:cs="宋体"/>
                <w:b/>
                <w:bCs/>
                <w:color w:val="auto"/>
                <w:highlight w:val="none"/>
              </w:rPr>
              <w:t>法律责任：</w:t>
            </w:r>
          </w:p>
          <w:p w14:paraId="474DB03A">
            <w:pPr>
              <w:spacing w:line="360" w:lineRule="exact"/>
              <w:rPr>
                <w:rFonts w:ascii="宋体" w:hAnsi="宋体" w:cs="宋体"/>
                <w:color w:val="auto"/>
                <w:highlight w:val="none"/>
              </w:rPr>
            </w:pPr>
            <w:r>
              <w:rPr>
                <w:rFonts w:hint="eastAsia" w:ascii="宋体" w:hAnsi="宋体" w:cs="宋体"/>
                <w:color w:val="auto"/>
                <w:highlight w:val="none"/>
              </w:rPr>
              <w:t>1.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p w14:paraId="15541DDA">
            <w:pPr>
              <w:spacing w:line="360" w:lineRule="exact"/>
              <w:rPr>
                <w:color w:val="auto"/>
                <w:highlight w:val="none"/>
              </w:rPr>
            </w:pPr>
            <w:r>
              <w:rPr>
                <w:rFonts w:hint="eastAsia" w:ascii="宋体" w:hAnsi="宋体" w:cs="宋体"/>
                <w:color w:val="auto"/>
                <w:highlight w:val="none"/>
              </w:rPr>
              <w:t>2.本项目采购代理机构应严格按照广西政府采购云平台项目采购全流程电子化电子开评标规程执行项目采购活动，代理机构在“项目管理”-“采购文件管理”内开评标规则设置作为本采购文件的组成部分，一经开标不可更改，因代理机构开评标规则设置错误导致采购活动无法开展下去的情况，由代理机构负责解释并承担其后果。</w:t>
            </w:r>
          </w:p>
        </w:tc>
      </w:tr>
      <w:tr w14:paraId="039140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Align w:val="center"/>
          </w:tcPr>
          <w:p w14:paraId="284CBA2A">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34.2</w:t>
            </w:r>
          </w:p>
        </w:tc>
        <w:tc>
          <w:tcPr>
            <w:tcW w:w="2786" w:type="dxa"/>
            <w:vAlign w:val="center"/>
          </w:tcPr>
          <w:p w14:paraId="7C2A5C50">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其他</w:t>
            </w:r>
          </w:p>
        </w:tc>
        <w:tc>
          <w:tcPr>
            <w:tcW w:w="6853" w:type="dxa"/>
            <w:vAlign w:val="center"/>
          </w:tcPr>
          <w:p w14:paraId="76B4D963">
            <w:pPr>
              <w:spacing w:line="360" w:lineRule="exact"/>
              <w:rPr>
                <w:rFonts w:ascii="宋体" w:hAnsi="宋体" w:cs="宋体"/>
                <w:color w:val="auto"/>
                <w:highlight w:val="none"/>
              </w:rPr>
            </w:pPr>
            <w:r>
              <w:rPr>
                <w:rFonts w:hint="eastAsia" w:ascii="宋体" w:hAnsi="宋体" w:cs="宋体"/>
                <w:color w:val="auto"/>
                <w:highlight w:val="none"/>
              </w:rPr>
              <w:t>1.本磋商文件中描述供应商的“公章”是指根据我国对公章的管理规定，用供应商法定主体行为名称制作的印章（含电子印章），除本磋商文件有特殊规定外，供应商的财务章、部门章、分公司章、工会章、合同章、竞标专用章、业务专用章及银行的转账章、现金收讫章、现金付讫章等其他形式印章均不能代替公章。</w:t>
            </w:r>
          </w:p>
          <w:p w14:paraId="5EA6CDAB">
            <w:pPr>
              <w:spacing w:line="360" w:lineRule="exact"/>
              <w:rPr>
                <w:rFonts w:ascii="宋体" w:hAnsi="宋体" w:cs="宋体"/>
                <w:color w:val="auto"/>
                <w:highlight w:val="none"/>
              </w:rPr>
            </w:pPr>
            <w:r>
              <w:rPr>
                <w:rFonts w:hint="eastAsia" w:ascii="宋体" w:hAnsi="宋体" w:cs="宋体"/>
                <w:color w:val="auto"/>
                <w:highlight w:val="none"/>
              </w:rPr>
              <w:t>2.供应商为其他组织或者自然人时，本磋商文件规定的法定代表人指负责人或者自然人。本磋商文件所称负责人是指参加竞标的其他组织营业执照或者执业许可证等证照上的负责人，本磋商文件所称自然人指参与竞标的自然人本人，且应具备独立承担民事责任能力，自然人应当为年满18岁以上成年人（十六周岁以上的未成年人，以自己的劳动收入为主要生活来源的，视为完全民事行为能力人）。</w:t>
            </w:r>
          </w:p>
          <w:p w14:paraId="5B6180C9">
            <w:pPr>
              <w:spacing w:line="360" w:lineRule="exact"/>
              <w:rPr>
                <w:rFonts w:ascii="宋体" w:hAnsi="宋体" w:cs="宋体"/>
                <w:color w:val="auto"/>
                <w:highlight w:val="none"/>
              </w:rPr>
            </w:pPr>
            <w:r>
              <w:rPr>
                <w:rFonts w:hint="eastAsia" w:ascii="宋体" w:hAnsi="宋体" w:cs="宋体"/>
                <w:color w:val="auto"/>
                <w:highlight w:val="none"/>
              </w:rPr>
              <w:t>3.本磋商文件中描述供应商的“签字”是指供应商的法定代表人或者委托代理人在文件规定签署处签名（含电子签名）的行为，私章、印鉴等其他形式均不能代替签字。</w:t>
            </w:r>
          </w:p>
          <w:p w14:paraId="48DD2FCA">
            <w:pPr>
              <w:spacing w:line="360" w:lineRule="exact"/>
              <w:rPr>
                <w:rFonts w:ascii="宋体" w:hAnsi="宋体" w:cs="宋体"/>
                <w:color w:val="auto"/>
                <w:highlight w:val="none"/>
              </w:rPr>
            </w:pPr>
            <w:r>
              <w:rPr>
                <w:rFonts w:hint="eastAsia" w:ascii="宋体" w:hAnsi="宋体" w:cs="宋体"/>
                <w:color w:val="auto"/>
                <w:highlight w:val="none"/>
              </w:rPr>
              <w:t>4.自然人竞标的，磋商文件规定盖章的地方自然人可以加盖手指指印。</w:t>
            </w:r>
          </w:p>
          <w:p w14:paraId="337234A5">
            <w:pPr>
              <w:spacing w:line="360" w:lineRule="exact"/>
              <w:rPr>
                <w:rFonts w:ascii="宋体" w:hAnsi="宋体" w:cs="宋体"/>
                <w:color w:val="auto"/>
                <w:highlight w:val="none"/>
              </w:rPr>
            </w:pPr>
            <w:r>
              <w:rPr>
                <w:rFonts w:hint="eastAsia" w:ascii="宋体" w:hAnsi="宋体" w:cs="宋体"/>
                <w:color w:val="auto"/>
                <w:highlight w:val="none"/>
              </w:rPr>
              <w:t>5.本竞争性磋商文件所涉及的法定代表人或其授权代表签字或盖章的内容，如果磋商供应商没有法定代表人电子签章，涉及到法定代表人或其授权代表签字或盖章的内容，磋商供应商可以线下签字或盖章后扫描上传。</w:t>
            </w:r>
          </w:p>
          <w:p w14:paraId="66029B5B">
            <w:pPr>
              <w:spacing w:line="360" w:lineRule="exact"/>
              <w:rPr>
                <w:rFonts w:hAnsi="宋体" w:cs="宋体"/>
                <w:color w:val="auto"/>
                <w:kern w:val="0"/>
                <w:szCs w:val="21"/>
                <w:highlight w:val="none"/>
              </w:rPr>
            </w:pPr>
            <w:r>
              <w:rPr>
                <w:rFonts w:hint="eastAsia" w:ascii="宋体" w:hAnsi="宋体" w:cs="宋体"/>
                <w:color w:val="auto"/>
                <w:highlight w:val="none"/>
              </w:rPr>
              <w:t>6.本磋商文件所称的“以上”“以下”“以内”“届满”，包括本数；所称的“不满”“超过”“以外”，不包括本数。</w:t>
            </w:r>
          </w:p>
        </w:tc>
      </w:tr>
    </w:tbl>
    <w:p w14:paraId="3120221B">
      <w:pPr>
        <w:pStyle w:val="4"/>
        <w:spacing w:line="420" w:lineRule="exact"/>
        <w:jc w:val="center"/>
        <w:rPr>
          <w:rFonts w:ascii="宋体" w:hAnsi="宋体" w:cs="宋体"/>
          <w:b w:val="0"/>
          <w:color w:val="auto"/>
          <w:highlight w:val="none"/>
        </w:rPr>
      </w:pPr>
      <w:r>
        <w:rPr>
          <w:rFonts w:hint="eastAsia" w:ascii="宋体" w:hAnsi="宋体" w:cs="宋体"/>
          <w:b w:val="0"/>
          <w:color w:val="auto"/>
          <w:highlight w:val="none"/>
        </w:rPr>
        <w:br w:type="page"/>
      </w:r>
      <w:bookmarkStart w:id="39" w:name="_Toc28646"/>
      <w:r>
        <w:rPr>
          <w:rFonts w:hint="eastAsia" w:ascii="宋体" w:hAnsi="宋体" w:cs="宋体"/>
          <w:b w:val="0"/>
          <w:color w:val="auto"/>
          <w:highlight w:val="none"/>
        </w:rPr>
        <w:t>第二节 供应商须知正文</w:t>
      </w:r>
      <w:bookmarkEnd w:id="39"/>
    </w:p>
    <w:p w14:paraId="4AFE6739">
      <w:pPr>
        <w:pStyle w:val="5"/>
        <w:spacing w:before="0" w:after="0" w:line="360" w:lineRule="auto"/>
        <w:ind w:firstLine="640" w:firstLineChars="200"/>
        <w:jc w:val="center"/>
        <w:rPr>
          <w:rFonts w:ascii="宋体" w:hAnsi="宋体" w:cs="宋体"/>
          <w:b w:val="0"/>
          <w:color w:val="auto"/>
          <w:highlight w:val="none"/>
        </w:rPr>
      </w:pPr>
      <w:bookmarkStart w:id="40" w:name="_Toc2738"/>
      <w:r>
        <w:rPr>
          <w:rFonts w:hint="eastAsia" w:ascii="宋体" w:hAnsi="宋体" w:cs="宋体"/>
          <w:b w:val="0"/>
          <w:color w:val="auto"/>
          <w:highlight w:val="none"/>
        </w:rPr>
        <w:t>一、总则</w:t>
      </w:r>
      <w:bookmarkEnd w:id="40"/>
    </w:p>
    <w:p w14:paraId="111F9C60">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1.适用范围</w:t>
      </w:r>
    </w:p>
    <w:p w14:paraId="0E1647D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适用法律：本项目采购人、采购代理机构、供应商、磋商小组的相关行为均受《中华人民共和国政府采购法》《中华人民共和国政府采购法实施条例》《政府采购竞争性磋商采购方式管理暂行办法》及本项目本级和上级财政部门政府采购有关规定的约束和保护。</w:t>
      </w:r>
    </w:p>
    <w:p w14:paraId="0F23CC0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w:t>
      </w:r>
      <w:r>
        <w:rPr>
          <w:rFonts w:hint="eastAsia" w:ascii="宋体" w:hAnsi="宋体" w:cs="宋体"/>
          <w:color w:val="auto"/>
          <w:spacing w:val="-6"/>
          <w:szCs w:val="21"/>
          <w:highlight w:val="none"/>
        </w:rPr>
        <w:t>本竞争性磋商文件（以下简称磋商文件）适用于本项目的所有采购程序和环节（法律、法规另有规定的，从其规定）。</w:t>
      </w:r>
    </w:p>
    <w:p w14:paraId="5664279C">
      <w:pPr>
        <w:spacing w:line="360" w:lineRule="auto"/>
        <w:ind w:firstLine="482" w:firstLineChars="200"/>
        <w:rPr>
          <w:rFonts w:ascii="宋体" w:hAnsi="宋体" w:cs="宋体"/>
          <w:color w:val="auto"/>
          <w:szCs w:val="21"/>
          <w:highlight w:val="none"/>
        </w:rPr>
      </w:pPr>
      <w:r>
        <w:rPr>
          <w:rFonts w:hint="eastAsia" w:ascii="宋体" w:hAnsi="宋体" w:cs="宋体"/>
          <w:b/>
          <w:bCs/>
          <w:color w:val="auto"/>
          <w:sz w:val="24"/>
          <w:highlight w:val="none"/>
        </w:rPr>
        <w:t>2.定义</w:t>
      </w:r>
    </w:p>
    <w:p w14:paraId="52E0E2A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2.1“采购人”是指依法进行采购的国家机关、事业单位、团体组织。</w:t>
      </w:r>
    </w:p>
    <w:p w14:paraId="2FF02C10">
      <w:pPr>
        <w:spacing w:line="360" w:lineRule="auto"/>
        <w:ind w:firstLine="420" w:firstLineChars="200"/>
        <w:rPr>
          <w:rFonts w:ascii="宋体" w:hAnsi="宋体" w:cs="宋体"/>
          <w:b/>
          <w:color w:val="auto"/>
          <w:szCs w:val="21"/>
          <w:highlight w:val="none"/>
        </w:rPr>
      </w:pPr>
      <w:r>
        <w:rPr>
          <w:rFonts w:hint="eastAsia" w:ascii="宋体" w:hAnsi="宋体" w:cs="宋体"/>
          <w:color w:val="auto"/>
          <w:szCs w:val="21"/>
          <w:highlight w:val="none"/>
        </w:rPr>
        <w:t>2.2“采购代理机构”是指政府采购集中采购机构和集中采购机构以外的采购代理机构。</w:t>
      </w:r>
    </w:p>
    <w:p w14:paraId="5A51704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2.3“供应商”是指向采购人提供服务、工程或者货物的法人、其他组织或者自然人。</w:t>
      </w:r>
    </w:p>
    <w:p w14:paraId="3D9D529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2.4“货物”是指各种形态和种类的物品，包括原材料、燃料、设备、产品等。</w:t>
      </w:r>
    </w:p>
    <w:p w14:paraId="7E85E26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2.5“竞标”是指按照本项目竞争性磋商公告或者邀请函规定的方式供应商获取磋商文件、提交响应文件并希望获得标的的行为。</w:t>
      </w:r>
    </w:p>
    <w:p w14:paraId="38C17BB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2.6“售后服务” 是指包含但不限于供应商须承担的备品备件、包装、运输、装卸、保险、货到就位以及安装、调试、培训、保修和其他类似的义务。</w:t>
      </w:r>
    </w:p>
    <w:p w14:paraId="6AF086C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2.7“书面形式”是指合同书、信件和数据电文（包括电报、电传、传真、电子数据交换和电子邮件）等可以有形地表现所载内容的形式。</w:t>
      </w:r>
    </w:p>
    <w:p w14:paraId="670A1DA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2.8“响应文件”</w:t>
      </w:r>
      <w:r>
        <w:rPr>
          <w:rFonts w:hint="eastAsia" w:ascii="宋体" w:hAnsi="宋体" w:cs="宋体"/>
          <w:color w:val="auto"/>
          <w:spacing w:val="-6"/>
          <w:szCs w:val="21"/>
          <w:highlight w:val="none"/>
        </w:rPr>
        <w:t>是指：供应商根据本文件要求，编制包含报价、技术和服务等所有内容的文件。</w:t>
      </w:r>
    </w:p>
    <w:p w14:paraId="5D37B3D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2.9“实质性要求”是指采购需求中带“▲”的条款或者不能负偏离的条款或者已经指明不满足按响应文件作无效处理的条款。</w:t>
      </w:r>
    </w:p>
    <w:p w14:paraId="660447B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2.10“正偏离”，是指响应文件对磋商文件“采购需求”中有关条款作出优于条款要求并有利于采购人的响应情形；</w:t>
      </w:r>
    </w:p>
    <w:p w14:paraId="29942A2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2.11“负偏离”，是指响应文件对磋商文件“采购需求”中有关条款作出的响应不满足条款要求，导致采购人要求不能得到满足的情形。</w:t>
      </w:r>
    </w:p>
    <w:p w14:paraId="5851581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2.12“允许负偏离的条款”是指采购需求中的不属于“实质性要求”的条款。</w:t>
      </w:r>
    </w:p>
    <w:p w14:paraId="693E835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2.13“首次报价”是指供应商提交的首次响应文件中的竞标报价。</w:t>
      </w:r>
    </w:p>
    <w:p w14:paraId="0174354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2.14“评审报价”是指供应商提交的最后报价并经修正（如有）和政策功能价格扣除（如有）后的价格。</w:t>
      </w:r>
    </w:p>
    <w:p w14:paraId="7E056A5A">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3.供应商的资格条件</w:t>
      </w:r>
    </w:p>
    <w:p w14:paraId="3C0DC12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供应商的资格条件详见“供应商须知前附表”。</w:t>
      </w:r>
    </w:p>
    <w:p w14:paraId="6B7CD6F2">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4.磋商费用</w:t>
      </w:r>
    </w:p>
    <w:p w14:paraId="1752E24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供应商应承担参与本次采购活动有关的所有费用，包括但不限于、勘查现场、编制和提交响应文件、参加磋商与应答、签订合同等，不论竞标结果如何，均应自行承担。</w:t>
      </w:r>
    </w:p>
    <w:p w14:paraId="74591523">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5.联合体竞标</w:t>
      </w:r>
    </w:p>
    <w:p w14:paraId="683BF38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5.1本项目是否接受联合体竞标，详见“供应商须知前附表”。</w:t>
      </w:r>
    </w:p>
    <w:p w14:paraId="4BBED98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5.2</w:t>
      </w:r>
      <w:r>
        <w:rPr>
          <w:rFonts w:hint="eastAsia" w:ascii="宋体" w:hAnsi="宋体" w:cs="宋体"/>
          <w:color w:val="auto"/>
          <w:highlight w:val="none"/>
        </w:rPr>
        <w:t>如接受联合体竞标，</w:t>
      </w:r>
      <w:r>
        <w:rPr>
          <w:rFonts w:hint="eastAsia" w:ascii="宋体" w:hAnsi="宋体" w:cs="宋体"/>
          <w:color w:val="auto"/>
          <w:szCs w:val="21"/>
          <w:highlight w:val="none"/>
        </w:rPr>
        <w:t>联合体竞标要求详见“供应商须知前附表”。</w:t>
      </w:r>
    </w:p>
    <w:p w14:paraId="00C9778C">
      <w:pPr>
        <w:spacing w:line="360" w:lineRule="auto"/>
        <w:ind w:firstLine="420" w:firstLineChars="200"/>
        <w:rPr>
          <w:rFonts w:ascii="宋体" w:hAnsi="宋体" w:cs="宋体"/>
          <w:bCs/>
          <w:color w:val="auto"/>
          <w:szCs w:val="21"/>
          <w:highlight w:val="none"/>
        </w:rPr>
      </w:pPr>
      <w:r>
        <w:rPr>
          <w:rFonts w:hint="eastAsia" w:ascii="宋体" w:hAnsi="宋体" w:cs="宋体"/>
          <w:color w:val="auto"/>
          <w:szCs w:val="21"/>
          <w:highlight w:val="none"/>
        </w:rPr>
        <w:t>5.3根据《政府采购促进中小企业发展管理办法》（财库[2020]46号）第九条及《广西壮族自治区财政厅关于进一步发挥政府采购政策功能促进企业发展的通知》（桂财采〔2022〕30号）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r>
        <w:rPr>
          <w:rFonts w:hint="eastAsia" w:ascii="宋体" w:hAnsi="宋体" w:cs="宋体"/>
          <w:bCs/>
          <w:color w:val="auto"/>
          <w:szCs w:val="21"/>
          <w:highlight w:val="none"/>
        </w:rPr>
        <w:t>。</w:t>
      </w:r>
    </w:p>
    <w:p w14:paraId="6E5E5A5B">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6.转包与分包</w:t>
      </w:r>
    </w:p>
    <w:p w14:paraId="038FA6A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6.1本项目是否允许分包详见“供应商须知前附表”，本项目不允许违法分包。</w:t>
      </w:r>
    </w:p>
    <w:p w14:paraId="10652BE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6.2</w:t>
      </w:r>
      <w:bookmarkStart w:id="41" w:name="_Toc254970532"/>
      <w:bookmarkStart w:id="42" w:name="_Toc254970673"/>
      <w:r>
        <w:rPr>
          <w:rFonts w:hint="eastAsia" w:ascii="宋体" w:hAnsi="宋体" w:cs="宋体"/>
          <w:color w:val="auto"/>
          <w:szCs w:val="21"/>
          <w:highlight w:val="none"/>
        </w:rPr>
        <w:t>根据《政府采购促进中小企业发展管理办法》（财库[2020]46号）第九条及《广西壮族自治区财政厅关于进一步发挥政府采购政策功能促进企业发展的通知》（桂财采〔2022〕30号）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14:paraId="4CAAD2F2">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7.特别说明</w:t>
      </w:r>
      <w:bookmarkEnd w:id="41"/>
      <w:bookmarkEnd w:id="42"/>
    </w:p>
    <w:p w14:paraId="3F7C0453">
      <w:pPr>
        <w:spacing w:line="360" w:lineRule="auto"/>
        <w:ind w:firstLine="420" w:firstLineChars="200"/>
        <w:rPr>
          <w:rFonts w:ascii="宋体" w:hAnsi="宋体" w:cs="宋体"/>
          <w:color w:val="auto"/>
          <w:szCs w:val="21"/>
          <w:highlight w:val="none"/>
        </w:rPr>
      </w:pPr>
      <w:bookmarkStart w:id="43" w:name="_8.1提供相同品牌产品且通过资格审查、符合性审查的不同投标人参加同一合"/>
      <w:bookmarkEnd w:id="43"/>
      <w:r>
        <w:rPr>
          <w:rFonts w:hint="eastAsia" w:ascii="宋体" w:hAnsi="宋体" w:cs="宋体"/>
          <w:color w:val="auto"/>
          <w:szCs w:val="21"/>
          <w:highlight w:val="none"/>
        </w:rPr>
        <w:t>7.1如果本磋商文件要求提供供应商或制造商的资格、信誉、荣誉、业绩与企业认证等材料的，资格、信誉、荣誉、业绩与企业认证等必须为供应商或者制造商所拥有或自身获得。</w:t>
      </w:r>
    </w:p>
    <w:p w14:paraId="4E7516D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7.2供应商应仔细阅读磋商文件的所有内容，按照磋商文件的要求提交响应文件，并对所提供的全部资料的真实性承担法律责任。</w:t>
      </w:r>
    </w:p>
    <w:p w14:paraId="15AAA52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7.3供应商在竞标活动中提供任何虚假材料,其响应文件作无效处理，并报监管部门查处；签订合同后发现的,成交供应商须依照《中华人民共和国消费者权益保护法》规定赔偿采购人，且民事赔偿并不免除违法供应商的行政与刑事责任。</w:t>
      </w:r>
    </w:p>
    <w:p w14:paraId="72056A4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7.4在政府采购活动中，采购人员及相关人员与供应商有下列利害关系之一的，应当回避：</w:t>
      </w:r>
    </w:p>
    <w:p w14:paraId="570B1D1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（1）参加采购活动前3年内与供应商存在劳动关系；</w:t>
      </w:r>
    </w:p>
    <w:p w14:paraId="49A134A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（2）参加采购活动前3年内担任供应商的董事、监事；</w:t>
      </w:r>
    </w:p>
    <w:p w14:paraId="4598F88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（3）参加采购活动前3年内是供应商的控股股东或者实际控制人；</w:t>
      </w:r>
    </w:p>
    <w:p w14:paraId="4FCDA92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（4）与供应商的法定代表人或者负责人有夫妻、直系血亲、三代以内旁系血亲或者近姻亲关系；</w:t>
      </w:r>
    </w:p>
    <w:p w14:paraId="10F52F1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（5）与供应商有其他可能影响政府采购活动公平、公正进行的关系。</w:t>
      </w:r>
    </w:p>
    <w:p w14:paraId="7621DAB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2C4541B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7.5有下列情形之一的视为供应商相互串通竞标，响应文件将被视为无效：</w:t>
      </w:r>
    </w:p>
    <w:p w14:paraId="08B30B0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（1）不同供应商的响应文件由同一单位或者个人编制；或者不同供应商报名的IP地址一致的；或者编制响应文件硬件设备CPU编号、硬盘编号、网卡地址一致的情况；</w:t>
      </w:r>
    </w:p>
    <w:p w14:paraId="1A75CB0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（2）不同供应商委托同一单位或者个人办理竞标事宜；</w:t>
      </w:r>
    </w:p>
    <w:p w14:paraId="324D68F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（3）不同的供应商的响应文件载明的项目管理员为同一个人；</w:t>
      </w:r>
    </w:p>
    <w:p w14:paraId="0EE4C68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（4）不同供应商的响应文件异常一致或者报价呈规律性差异；</w:t>
      </w:r>
    </w:p>
    <w:p w14:paraId="1C8B6C5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（5）不同供应商的响应文件相互混装；</w:t>
      </w:r>
    </w:p>
    <w:p w14:paraId="4DEB371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（6）不同供应商的竞标保证金从同一单位或者个人账户转出。</w:t>
      </w:r>
    </w:p>
    <w:p w14:paraId="3D22FC1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7.6供应商有下列情形之一的，属于恶意串通行为</w:t>
      </w:r>
      <w:bookmarkStart w:id="44" w:name="_Hlk54682620"/>
      <w:r>
        <w:rPr>
          <w:rFonts w:hint="eastAsia" w:ascii="宋体" w:hAnsi="宋体" w:cs="宋体"/>
          <w:color w:val="auto"/>
          <w:szCs w:val="21"/>
          <w:highlight w:val="none"/>
        </w:rPr>
        <w:t>，将报同级监督管理部门</w:t>
      </w:r>
      <w:bookmarkEnd w:id="44"/>
      <w:r>
        <w:rPr>
          <w:rFonts w:hint="eastAsia" w:ascii="宋体" w:hAnsi="宋体" w:cs="宋体"/>
          <w:color w:val="auto"/>
          <w:szCs w:val="21"/>
          <w:highlight w:val="none"/>
        </w:rPr>
        <w:t>：</w:t>
      </w:r>
    </w:p>
    <w:p w14:paraId="16AEE4E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（1）供应商直接或者间接从采购人或者采购代理机构处获得其他供应商的相关信息并修改其响应文件；</w:t>
      </w:r>
    </w:p>
    <w:p w14:paraId="1DFD167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（2）供应商按照采购人或者采购代理机构的授意撤换、修改响应文件；</w:t>
      </w:r>
    </w:p>
    <w:p w14:paraId="2644C52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（3）供应商之间协商报价、技术方案等响应文件或者响应文件的实质性内容；</w:t>
      </w:r>
    </w:p>
    <w:p w14:paraId="4DAF4CE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（4）属于同一集团、协会、商会等组织成员的供应商按照该组织要求协同参加政府采购活动；</w:t>
      </w:r>
    </w:p>
    <w:p w14:paraId="772AB72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10B94F5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（6）供应商之间商定部分供应商放弃参加政府采购活动或者放弃成交；</w:t>
      </w:r>
    </w:p>
    <w:p w14:paraId="47E9B806">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（7）供应商与采购人或者采购代理机构之间、供应商相互之间，为谋求特定供应商成交或者排斥其他供应商的其他串通行为。</w:t>
      </w:r>
      <w:bookmarkStart w:id="45" w:name="_Toc254970675"/>
      <w:bookmarkStart w:id="46" w:name="_Toc254970534"/>
    </w:p>
    <w:p w14:paraId="16A0EA87">
      <w:pPr>
        <w:pStyle w:val="5"/>
        <w:spacing w:before="0" w:after="0" w:line="360" w:lineRule="auto"/>
        <w:ind w:firstLine="640" w:firstLineChars="200"/>
        <w:rPr>
          <w:rFonts w:ascii="宋体" w:hAnsi="宋体" w:cs="宋体"/>
          <w:b w:val="0"/>
          <w:bCs w:val="0"/>
          <w:color w:val="auto"/>
          <w:highlight w:val="none"/>
        </w:rPr>
      </w:pPr>
      <w:bookmarkStart w:id="47" w:name="_Toc27954"/>
      <w:r>
        <w:rPr>
          <w:rFonts w:hint="eastAsia" w:ascii="宋体" w:hAnsi="宋体" w:cs="宋体"/>
          <w:b w:val="0"/>
          <w:bCs w:val="0"/>
          <w:color w:val="auto"/>
          <w:highlight w:val="none"/>
        </w:rPr>
        <w:t>二、磋商文件</w:t>
      </w:r>
      <w:bookmarkEnd w:id="45"/>
      <w:bookmarkEnd w:id="46"/>
      <w:bookmarkEnd w:id="47"/>
    </w:p>
    <w:p w14:paraId="0FFB99E4">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8.磋商文件的构成</w:t>
      </w:r>
    </w:p>
    <w:p w14:paraId="29CCCDC2">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第一章 竞争性磋商公告；</w:t>
      </w:r>
    </w:p>
    <w:p w14:paraId="715E6AEA">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第二章 采购需求；</w:t>
      </w:r>
    </w:p>
    <w:p w14:paraId="3290C3F7">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第三章 供应商须知；</w:t>
      </w:r>
    </w:p>
    <w:p w14:paraId="061EC03C">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第四章 评审程序、评审方法和成交标准；</w:t>
      </w:r>
    </w:p>
    <w:p w14:paraId="0113D064">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第五章 响应文件格式；</w:t>
      </w:r>
    </w:p>
    <w:p w14:paraId="29797239">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第六章 合同文本；</w:t>
      </w:r>
    </w:p>
    <w:p w14:paraId="38E5FBEB">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第七章 质疑、投诉材料格式。</w:t>
      </w:r>
    </w:p>
    <w:p w14:paraId="090146F7">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9.供应商的询问</w:t>
      </w:r>
    </w:p>
    <w:p w14:paraId="5E75595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供应商应认真阅读磋商文件的采购需求，如供应商对磋商文件有疑问的，如要求采购人作出澄清或者修改的，供应商尽应在提交首次响应文件截止之日前，以纸质书面形式向采购人、采购代理机构提出。</w:t>
      </w:r>
    </w:p>
    <w:p w14:paraId="7D7AB7F7">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10.磋商文件的澄清和修改</w:t>
      </w:r>
    </w:p>
    <w:p w14:paraId="3B33D96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10.1已获取磋商文件的潜在供应商，若有问题需要澄清，应于应标截止时间前，以书面形式向采购代理机构提出，采购代理机构与采购人研究后，对认为有必要回答的问题，将以书面解答形式通知所有磋商文件收受人。</w:t>
      </w:r>
    </w:p>
    <w:p w14:paraId="0D407873">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7706B72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5日前，以书面形式（目前为网上公告和系统短信等形式）通知所有获取磋商文件的供应商，不足5日的，应当顺延提交首次响应文件截止之日。</w:t>
      </w:r>
    </w:p>
    <w:p w14:paraId="6BAE3CC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10.4</w:t>
      </w:r>
      <w:r>
        <w:rPr>
          <w:rFonts w:hint="eastAsia" w:ascii="宋体" w:hAnsi="宋体" w:cs="宋体"/>
          <w:color w:val="auto"/>
          <w:szCs w:val="21"/>
          <w:highlight w:val="none"/>
          <w:shd w:val="clear" w:color="auto" w:fill="FFFFFF"/>
        </w:rPr>
        <w:t>采购信息更正公告的内容应当包括采购人和采购代理机构名称、地址、联系方式，原公告的采购项目名称及首次公告日期，更正事项、内容及日期，采购项目联系人和电话。</w:t>
      </w:r>
    </w:p>
    <w:p w14:paraId="6504387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10.5  采购人和采购代理机构可以视采购具体情况，变更提交首次响应文件截止时间和竞谈时间，将变更时间将在“竞标人须知前附表”规定的政府采购信息发布媒体上发布更正公告。</w:t>
      </w:r>
    </w:p>
    <w:p w14:paraId="38D50DA7">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w:t>
      </w:r>
      <w:r>
        <w:rPr>
          <w:rFonts w:hint="eastAsia" w:ascii="宋体" w:hAnsi="宋体" w:cs="宋体"/>
          <w:b/>
          <w:color w:val="auto"/>
          <w:kern w:val="0"/>
          <w:szCs w:val="21"/>
          <w:highlight w:val="none"/>
        </w:rPr>
        <w:t>响应文件未按磋商文件的澄清、修改的内容编制，又不符合实质性要求的，其响应文件作无效处理。</w:t>
      </w:r>
    </w:p>
    <w:p w14:paraId="4DB3F440">
      <w:pPr>
        <w:pStyle w:val="5"/>
        <w:spacing w:before="0" w:after="0" w:line="360" w:lineRule="auto"/>
        <w:ind w:firstLine="640" w:firstLineChars="200"/>
        <w:rPr>
          <w:rFonts w:ascii="宋体" w:hAnsi="宋体" w:cs="宋体"/>
          <w:b w:val="0"/>
          <w:bCs w:val="0"/>
          <w:color w:val="auto"/>
          <w:highlight w:val="none"/>
        </w:rPr>
      </w:pPr>
      <w:bookmarkStart w:id="48" w:name="_Toc24953"/>
      <w:r>
        <w:rPr>
          <w:rFonts w:hint="eastAsia" w:ascii="宋体" w:hAnsi="宋体" w:cs="宋体"/>
          <w:b w:val="0"/>
          <w:bCs w:val="0"/>
          <w:color w:val="auto"/>
          <w:highlight w:val="none"/>
        </w:rPr>
        <w:t>三、响应文件的编制</w:t>
      </w:r>
      <w:bookmarkEnd w:id="48"/>
    </w:p>
    <w:p w14:paraId="48E06742">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11.响应文件的编制原则</w:t>
      </w:r>
    </w:p>
    <w:p w14:paraId="35CDD90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供应商必须按照磋商文件的要求编制响应文件，并对其提交的响应文件的真实性、合法性承担法律责任。响应文件必须对磋商文件作出实质性响应。</w:t>
      </w:r>
    </w:p>
    <w:p w14:paraId="0D85D475">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12.响应文件的组成</w:t>
      </w:r>
    </w:p>
    <w:p w14:paraId="657BED7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12.1响应文件由资格证明文件、报价文件、商务和技术文件三部分组成。</w:t>
      </w:r>
    </w:p>
    <w:p w14:paraId="01BCFEAE">
      <w:pPr>
        <w:spacing w:line="360" w:lineRule="auto"/>
        <w:ind w:left="420" w:leftChars="200" w:firstLine="420" w:firstLineChars="200"/>
        <w:rPr>
          <w:rFonts w:ascii="宋体" w:hAnsi="宋体" w:cs="宋体"/>
          <w:color w:val="auto"/>
          <w:szCs w:val="21"/>
          <w:highlight w:val="none"/>
        </w:rPr>
      </w:pPr>
      <w:r>
        <w:rPr>
          <w:rFonts w:hint="eastAsia" w:ascii="宋体" w:hAnsi="宋体" w:cs="宋体"/>
          <w:color w:val="auto"/>
          <w:szCs w:val="21"/>
          <w:highlight w:val="none"/>
        </w:rPr>
        <w:t>12.1.1资格证明文件：详见须知前附表</w:t>
      </w:r>
    </w:p>
    <w:p w14:paraId="55DD701B">
      <w:pPr>
        <w:spacing w:line="360" w:lineRule="auto"/>
        <w:ind w:left="420" w:leftChars="200" w:firstLine="420" w:firstLineChars="200"/>
        <w:rPr>
          <w:rFonts w:ascii="宋体" w:hAnsi="宋体" w:cs="宋体"/>
          <w:color w:val="auto"/>
          <w:szCs w:val="21"/>
          <w:highlight w:val="none"/>
        </w:rPr>
      </w:pPr>
      <w:r>
        <w:rPr>
          <w:rFonts w:hint="eastAsia" w:ascii="宋体" w:hAnsi="宋体" w:cs="宋体"/>
          <w:color w:val="auto"/>
          <w:szCs w:val="21"/>
          <w:highlight w:val="none"/>
        </w:rPr>
        <w:t>12.1.2商务技术文件：详见须知前附表</w:t>
      </w:r>
    </w:p>
    <w:p w14:paraId="5F0E98B7">
      <w:pPr>
        <w:spacing w:line="360" w:lineRule="auto"/>
        <w:ind w:left="420" w:leftChars="200" w:firstLine="420" w:firstLineChars="200"/>
        <w:rPr>
          <w:rFonts w:ascii="宋体" w:hAnsi="宋体" w:cs="宋体"/>
          <w:color w:val="auto"/>
          <w:szCs w:val="21"/>
          <w:highlight w:val="none"/>
        </w:rPr>
      </w:pPr>
      <w:r>
        <w:rPr>
          <w:rFonts w:hint="eastAsia" w:ascii="宋体" w:hAnsi="宋体" w:cs="宋体"/>
          <w:color w:val="auto"/>
          <w:szCs w:val="21"/>
          <w:highlight w:val="none"/>
        </w:rPr>
        <w:t>12.1.3报价文件：详见须知前附表</w:t>
      </w:r>
    </w:p>
    <w:p w14:paraId="0CD7A559">
      <w:pPr>
        <w:spacing w:line="360" w:lineRule="auto"/>
        <w:ind w:left="420" w:leftChars="200" w:firstLine="420" w:firstLineChars="200"/>
        <w:rPr>
          <w:rFonts w:ascii="宋体" w:hAnsi="宋体" w:cs="宋体"/>
          <w:color w:val="auto"/>
          <w:szCs w:val="21"/>
          <w:highlight w:val="none"/>
        </w:rPr>
      </w:pPr>
      <w:r>
        <w:rPr>
          <w:rFonts w:hint="eastAsia" w:ascii="宋体" w:hAnsi="宋体" w:cs="宋体"/>
          <w:color w:val="auto"/>
          <w:szCs w:val="21"/>
          <w:highlight w:val="none"/>
        </w:rPr>
        <w:t>12.2响应文件电子版：详见须知前附表</w:t>
      </w:r>
    </w:p>
    <w:p w14:paraId="3B563383">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13.计量单位</w:t>
      </w:r>
    </w:p>
    <w:p w14:paraId="1D15564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磋商文件已有明确规定的，使用磋商文件规定的计量单位；磋商文件没有规定的，应采用中华人民共和国法定计量单位，货币种类为人民币，否则视同未响应。</w:t>
      </w:r>
    </w:p>
    <w:p w14:paraId="57FA3B13">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14.竞标的风险</w:t>
      </w:r>
    </w:p>
    <w:p w14:paraId="101A950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供应商没有按照磋商文件要求提供全部资料，或者供应商没有对磋商文件在各方面作出实质性响应可能导致其响应无效，是供应商应当考虑的风险。</w:t>
      </w:r>
    </w:p>
    <w:p w14:paraId="6F1D160F">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15.响应报价要求和构成</w:t>
      </w:r>
    </w:p>
    <w:p w14:paraId="5B340BB4">
      <w:pPr>
        <w:tabs>
          <w:tab w:val="left" w:pos="2492"/>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15.1响应报价应按“第五章 响应文件格式”中“响应报价表”格式填写。</w:t>
      </w:r>
    </w:p>
    <w:p w14:paraId="40BD8E95">
      <w:pPr>
        <w:tabs>
          <w:tab w:val="left" w:pos="2492"/>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15.2响应报价的价格构成见“供应商须知前附表”。</w:t>
      </w:r>
    </w:p>
    <w:p w14:paraId="45DFC85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15.3响应报价要求</w:t>
      </w:r>
    </w:p>
    <w:p w14:paraId="3D8C48D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15.3.1供应商的响应报价应符合以下要求，否则响应文件按无效响应处理：</w:t>
      </w:r>
    </w:p>
    <w:p w14:paraId="3C8D4BD4">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（1）供应商必须就“采购需求”中所竞标的每个分标的全部内容分别作完整唯一总价报价，不得存在漏项报价；</w:t>
      </w:r>
    </w:p>
    <w:p w14:paraId="687CE0C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（2）供应商必须就所竞标的分标的单项内容作唯一报价。</w:t>
      </w:r>
    </w:p>
    <w:p w14:paraId="5DBD3CA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15.3.2响应报价（包含首次报价、最后报价）超过所竞标分标规定的采购预算金额或者最高限价的，其响应文件将作无效处理。</w:t>
      </w:r>
    </w:p>
    <w:p w14:paraId="310C8B1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15.3.3</w:t>
      </w:r>
      <w:bookmarkStart w:id="49" w:name="_Hlk42592874"/>
      <w:r>
        <w:rPr>
          <w:rFonts w:hint="eastAsia" w:ascii="宋体" w:hAnsi="宋体" w:cs="宋体"/>
          <w:color w:val="auto"/>
          <w:szCs w:val="21"/>
          <w:highlight w:val="none"/>
        </w:rPr>
        <w:t>响应报价（包含首次报价、最后报价）超过分项采购预算金额或者最高限价的，其响应文件将作无效处理。</w:t>
      </w:r>
    </w:p>
    <w:bookmarkEnd w:id="49"/>
    <w:p w14:paraId="101C896B">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16.竞标有效期</w:t>
      </w:r>
    </w:p>
    <w:p w14:paraId="4CE4023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001E298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16.2 竞标有效期应由供应商按“供应商须知前附表”规定的期限作出响应。</w:t>
      </w:r>
    </w:p>
    <w:p w14:paraId="20D6EF9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16.3供应商的响应文件在竞标有效期内均保持有效。</w:t>
      </w:r>
    </w:p>
    <w:p w14:paraId="6C2792CF">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17.磋商保证金</w:t>
      </w:r>
    </w:p>
    <w:p w14:paraId="30D51A2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详见“供应商须知前附表”。</w:t>
      </w:r>
    </w:p>
    <w:p w14:paraId="175ECCDA">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18.响应文件编制的要求</w:t>
      </w:r>
    </w:p>
    <w:p w14:paraId="3A1103F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cs="宋体"/>
          <w:color w:val="auto"/>
          <w:highlight w:val="none"/>
        </w:rPr>
        <w:t>由此引发的</w:t>
      </w:r>
      <w:r>
        <w:rPr>
          <w:rFonts w:hint="eastAsia" w:ascii="宋体" w:hAnsi="宋体" w:cs="宋体"/>
          <w:color w:val="auto"/>
          <w:szCs w:val="21"/>
          <w:highlight w:val="none"/>
        </w:rPr>
        <w:t>后果由供应商承担。</w:t>
      </w:r>
    </w:p>
    <w:p w14:paraId="26F4DE3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18.2响应文件应按资格证明、报价分别编制，商务技术文件合并编制，本磋商只接收电子版响应文件，要求见本章“12.2响应文件电子版要求”。</w:t>
      </w:r>
    </w:p>
    <w:p w14:paraId="14034CE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w:t>
      </w:r>
      <w:bookmarkStart w:id="50" w:name="_Hlk65832699"/>
      <w:r>
        <w:rPr>
          <w:rFonts w:hint="eastAsia" w:ascii="宋体" w:hAnsi="宋体" w:cs="宋体"/>
          <w:color w:val="auto"/>
          <w:szCs w:val="21"/>
          <w:highlight w:val="none"/>
        </w:rPr>
        <w:t>3响应文件须由供应商在</w:t>
      </w:r>
      <w:r>
        <w:rPr>
          <w:rFonts w:hint="eastAsia" w:ascii="宋体" w:hAnsi="宋体" w:cs="宋体"/>
          <w:color w:val="auto"/>
          <w:kern w:val="0"/>
          <w:szCs w:val="21"/>
          <w:highlight w:val="none"/>
          <w:lang w:val="zh-CN"/>
        </w:rPr>
        <w:t>“</w:t>
      </w:r>
      <w:r>
        <w:rPr>
          <w:rFonts w:hint="eastAsia" w:ascii="宋体" w:hAnsi="宋体" w:cs="宋体"/>
          <w:color w:val="auto"/>
          <w:szCs w:val="21"/>
          <w:highlight w:val="none"/>
        </w:rPr>
        <w:t>第五章 响应文件格式</w:t>
      </w:r>
      <w:r>
        <w:rPr>
          <w:rFonts w:hint="eastAsia" w:ascii="宋体" w:hAnsi="宋体" w:cs="宋体"/>
          <w:color w:val="auto"/>
          <w:kern w:val="0"/>
          <w:szCs w:val="21"/>
          <w:highlight w:val="none"/>
          <w:lang w:val="zh-CN"/>
        </w:rPr>
        <w:t>”</w:t>
      </w:r>
      <w:r>
        <w:rPr>
          <w:rFonts w:hint="eastAsia" w:ascii="宋体" w:hAnsi="宋体" w:cs="宋体"/>
          <w:color w:val="auto"/>
          <w:szCs w:val="21"/>
          <w:highlight w:val="none"/>
        </w:rPr>
        <w:t>规定位置进行签署、盖章</w:t>
      </w:r>
      <w:bookmarkEnd w:id="50"/>
      <w:r>
        <w:rPr>
          <w:rFonts w:hint="eastAsia" w:ascii="宋体" w:hAnsi="宋体" w:cs="宋体"/>
          <w:color w:val="auto"/>
          <w:szCs w:val="21"/>
          <w:highlight w:val="none"/>
        </w:rPr>
        <w:t>，否则其响应文件按无效响应处理。骑缝盖公章不视为在规定位置盖章。</w:t>
      </w:r>
    </w:p>
    <w:p w14:paraId="55285BE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18.4响应文件中标注的供应商名称应与营业执照（事业单位法人证书、执业许可证、自然人身份证）及电子公章一致，否则其响应文件按无效响应处理。</w:t>
      </w:r>
    </w:p>
    <w:p w14:paraId="1A388FC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18.5响应文件应避免涂改、行间插字或者删除，否则其响应文件按无效响应处理。</w:t>
      </w:r>
    </w:p>
    <w:p w14:paraId="029DA1A2">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19.响应文件的密封和标记</w:t>
      </w:r>
    </w:p>
    <w:p w14:paraId="196C45ED">
      <w:pPr>
        <w:spacing w:line="360" w:lineRule="auto"/>
        <w:ind w:firstLine="420" w:firstLineChars="200"/>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19.1供应商进行电子交易应安装客户端软件—“</w:t>
      </w:r>
      <w:r>
        <w:rPr>
          <w:rFonts w:hint="eastAsia" w:ascii="宋体" w:hAnsi="宋体" w:cs="宋体"/>
          <w:color w:val="auto"/>
          <w:highlight w:val="none"/>
        </w:rPr>
        <w:t>广西政府采购云</w:t>
      </w:r>
      <w:r>
        <w:rPr>
          <w:rFonts w:hint="eastAsia" w:ascii="宋体" w:hAnsi="宋体" w:cs="宋体"/>
          <w:color w:val="auto"/>
          <w:kern w:val="0"/>
          <w:szCs w:val="21"/>
          <w:highlight w:val="none"/>
          <w:lang w:val="zh-CN"/>
        </w:rPr>
        <w:t>电子交易客户端”，并按照磋商文件和电子交易平台的要求编制并加密响应文件。供应商未按规定加密的响应文件，电子交易平台将拒收并提示。</w:t>
      </w:r>
    </w:p>
    <w:p w14:paraId="3C12C9EE">
      <w:pPr>
        <w:spacing w:line="360" w:lineRule="auto"/>
        <w:ind w:firstLine="420" w:firstLineChars="200"/>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19.2使用“广西政府采购云电子交易客户端”需要提前申领CA数字证书，申领流程见该项目采购公告附件。</w:t>
      </w:r>
    </w:p>
    <w:p w14:paraId="2CCE36CD">
      <w:pPr>
        <w:pStyle w:val="20"/>
        <w:spacing w:line="360" w:lineRule="auto"/>
        <w:ind w:firstLine="420" w:firstLineChars="200"/>
        <w:rPr>
          <w:rFonts w:hAnsi="宋体" w:cs="宋体"/>
          <w:color w:val="auto"/>
          <w:sz w:val="21"/>
          <w:highlight w:val="none"/>
          <w:lang w:val="zh-CN"/>
        </w:rPr>
      </w:pPr>
      <w:r>
        <w:rPr>
          <w:rFonts w:hint="eastAsia" w:hAnsi="宋体" w:cs="宋体"/>
          <w:color w:val="auto"/>
          <w:sz w:val="21"/>
          <w:highlight w:val="none"/>
          <w:lang w:val="zh-CN"/>
        </w:rPr>
        <w:t>19.3为确保网上操作合法、有效和安全，供应商应当在响应文件提交截止时间前完成在“政府采购云平台”的身份认证，确保在电子交易过程中能够对相关数据电文进行加密和使用电子签名。</w:t>
      </w:r>
    </w:p>
    <w:p w14:paraId="30B7FBB4">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20.响应文件的提交</w:t>
      </w:r>
    </w:p>
    <w:p w14:paraId="021FB4D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20.1供应商必须在“供应商须知前附表”规定的时间和地点提交响应文件。</w:t>
      </w:r>
    </w:p>
    <w:p w14:paraId="40B9F3E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20.2 在响应文件提交截止时间以后，不能补充、修改响应文件。</w:t>
      </w:r>
    </w:p>
    <w:p w14:paraId="6619493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20.3 在提交“最后报价”后，供应商不能退出磋商。</w:t>
      </w:r>
    </w:p>
    <w:p w14:paraId="0BF9D62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14:paraId="1ED4EFD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20.5 采购机构不可视情况延长提交响应文件的截止时间。</w:t>
      </w:r>
    </w:p>
    <w:p w14:paraId="3A12A2D3">
      <w:pPr>
        <w:spacing w:line="360" w:lineRule="auto"/>
        <w:ind w:firstLine="420" w:firstLineChars="200"/>
        <w:rPr>
          <w:rFonts w:ascii="宋体" w:hAnsi="宋体" w:cs="宋体"/>
          <w:color w:val="auto"/>
          <w:sz w:val="24"/>
          <w:highlight w:val="none"/>
        </w:rPr>
      </w:pPr>
      <w:r>
        <w:rPr>
          <w:rFonts w:hint="eastAsia" w:ascii="宋体" w:hAnsi="宋体" w:cs="宋体"/>
          <w:color w:val="auto"/>
          <w:szCs w:val="21"/>
          <w:highlight w:val="none"/>
        </w:rPr>
        <w:t>20.6备份响应文件。</w:t>
      </w:r>
      <w:r>
        <w:rPr>
          <w:rFonts w:hint="eastAsia" w:ascii="宋体" w:hAnsi="宋体" w:cs="宋体"/>
          <w:bCs/>
          <w:color w:val="auto"/>
          <w:szCs w:val="21"/>
          <w:highlight w:val="none"/>
        </w:rPr>
        <w:t>详见在“供应商须知前附表”。</w:t>
      </w:r>
    </w:p>
    <w:p w14:paraId="4BEE86BE">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21.首次响应文件的补充、修改与撤回</w:t>
      </w:r>
    </w:p>
    <w:p w14:paraId="022FAFF7">
      <w:pPr>
        <w:pStyle w:val="95"/>
        <w:spacing w:before="0"/>
        <w:ind w:firstLine="420"/>
        <w:rPr>
          <w:rFonts w:ascii="宋体" w:hAnsi="宋体" w:cs="宋体"/>
          <w:color w:val="auto"/>
          <w:sz w:val="21"/>
          <w:szCs w:val="21"/>
          <w:highlight w:val="none"/>
        </w:rPr>
      </w:pPr>
      <w:r>
        <w:rPr>
          <w:rFonts w:hint="eastAsia" w:ascii="宋体" w:hAnsi="宋体" w:cs="宋体"/>
          <w:color w:val="auto"/>
          <w:sz w:val="21"/>
          <w:szCs w:val="21"/>
          <w:highlight w:val="none"/>
        </w:rPr>
        <w:t>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文件提交截止时间后提交的响应文件，电子交易平台将拒收。</w:t>
      </w:r>
    </w:p>
    <w:p w14:paraId="36197084">
      <w:pPr>
        <w:spacing w:line="360" w:lineRule="auto"/>
        <w:ind w:firstLine="482" w:firstLineChars="200"/>
        <w:rPr>
          <w:rFonts w:ascii="宋体" w:hAnsi="宋体" w:cs="宋体"/>
          <w:b/>
          <w:bCs/>
          <w:color w:val="auto"/>
          <w:sz w:val="24"/>
          <w:highlight w:val="none"/>
        </w:rPr>
      </w:pPr>
      <w:bookmarkStart w:id="51" w:name="_Hlk45702405"/>
      <w:r>
        <w:rPr>
          <w:rFonts w:hint="eastAsia" w:ascii="宋体" w:hAnsi="宋体" w:cs="宋体"/>
          <w:b/>
          <w:bCs/>
          <w:color w:val="auto"/>
          <w:sz w:val="24"/>
          <w:highlight w:val="none"/>
        </w:rPr>
        <w:t>22. 首次响应文件的退回</w:t>
      </w:r>
    </w:p>
    <w:p w14:paraId="2982862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详见“供应商须知前附表”。</w:t>
      </w:r>
    </w:p>
    <w:p w14:paraId="693BFECC">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23. 截止时间后的撤回</w:t>
      </w:r>
    </w:p>
    <w:p w14:paraId="020D7C4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本项目不收取磋商保证金，供应商在首次响应文件提交截止时间后可向采购人、采购代理机构书面申请撤回响应文件。</w:t>
      </w:r>
      <w:bookmarkEnd w:id="51"/>
    </w:p>
    <w:p w14:paraId="283E447D">
      <w:pPr>
        <w:pStyle w:val="5"/>
        <w:spacing w:before="0" w:after="0" w:line="360" w:lineRule="auto"/>
        <w:ind w:firstLine="640" w:firstLineChars="200"/>
        <w:rPr>
          <w:rFonts w:ascii="宋体" w:hAnsi="宋体" w:cs="宋体"/>
          <w:b w:val="0"/>
          <w:bCs w:val="0"/>
          <w:color w:val="auto"/>
          <w:highlight w:val="none"/>
        </w:rPr>
      </w:pPr>
      <w:bookmarkStart w:id="52" w:name="_Toc21498"/>
      <w:r>
        <w:rPr>
          <w:rFonts w:hint="eastAsia" w:ascii="宋体" w:hAnsi="宋体" w:cs="宋体"/>
          <w:b w:val="0"/>
          <w:bCs w:val="0"/>
          <w:color w:val="auto"/>
          <w:highlight w:val="none"/>
        </w:rPr>
        <w:t>四、评审及磋商</w:t>
      </w:r>
      <w:bookmarkEnd w:id="52"/>
    </w:p>
    <w:p w14:paraId="6EBCB529">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24.磋商小组成立</w:t>
      </w:r>
    </w:p>
    <w:p w14:paraId="3BF5EAA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服务或者货物采购项目，或者达到公开招标规模标准的政府采购工程，经批准采用竞争性磋商方式采购的，磋商小组由5人以上单数组成。</w:t>
      </w:r>
    </w:p>
    <w:p w14:paraId="10C736F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竞争性磋商采购项目，评审专家中应当包含1名法律专家。</w:t>
      </w:r>
    </w:p>
    <w:p w14:paraId="5AB7E5AE">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25.首次响应文件的开启</w:t>
      </w:r>
    </w:p>
    <w:p w14:paraId="3DC05F4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25.1首次响应文件由磋商小组或者采购代理机构在“供应商须知前附表”规定的时间开启。</w:t>
      </w:r>
    </w:p>
    <w:p w14:paraId="7FC0AF51">
      <w:pPr>
        <w:pStyle w:val="20"/>
        <w:spacing w:line="360" w:lineRule="auto"/>
        <w:ind w:firstLine="420" w:firstLineChars="200"/>
        <w:rPr>
          <w:rFonts w:hAnsi="宋体" w:cs="宋体"/>
          <w:color w:val="auto"/>
          <w:kern w:val="2"/>
          <w:sz w:val="21"/>
          <w:highlight w:val="none"/>
        </w:rPr>
      </w:pPr>
      <w:r>
        <w:rPr>
          <w:rFonts w:hint="eastAsia" w:hAnsi="宋体" w:cs="宋体"/>
          <w:color w:val="auto"/>
          <w:kern w:val="2"/>
          <w:sz w:val="21"/>
          <w:highlight w:val="none"/>
        </w:rPr>
        <w:t>25.2 响应文件解密</w:t>
      </w:r>
    </w:p>
    <w:p w14:paraId="6E803D7F">
      <w:pPr>
        <w:pStyle w:val="20"/>
        <w:snapToGrid w:val="0"/>
        <w:spacing w:line="440" w:lineRule="exact"/>
        <w:ind w:firstLine="420" w:firstLineChars="200"/>
        <w:rPr>
          <w:rFonts w:hAnsi="宋体" w:cs="宋体"/>
          <w:color w:val="auto"/>
          <w:kern w:val="2"/>
          <w:sz w:val="21"/>
          <w:highlight w:val="none"/>
        </w:rPr>
      </w:pPr>
      <w:r>
        <w:rPr>
          <w:rFonts w:hint="eastAsia" w:hAnsi="宋体" w:cs="宋体"/>
          <w:color w:val="auto"/>
          <w:kern w:val="2"/>
          <w:sz w:val="21"/>
          <w:highlight w:val="none"/>
        </w:rPr>
        <w:t>采购代理机构将在“供应商须知前附表”规定的时间通过电子交易平台组织响应文件开启，采购机构依托电子交易平台发起开始解密指令，供应商的法定代表人或其委托代理人须携带加密时所用的CA锁按平台提示和采购文件的规定登录到“广西政府采购云”平台电子开标大厅签到并在发起解密指令之时起30分钟内完成对电子响应文件在线解密。发起解密指令之时起5分钟内供应商还未进行解密的，代理机构要通知供应商，供应商没预留联系方式或预留联系方式无效，导致代理机构无法联系到供应商进行解密的，视为响应文件无效。（解密异常情况处理：详见本章26.3 电子交易活动的中止。）</w:t>
      </w:r>
    </w:p>
    <w:p w14:paraId="7B04BA94">
      <w:pPr>
        <w:pStyle w:val="20"/>
        <w:spacing w:line="360" w:lineRule="auto"/>
        <w:ind w:firstLine="420" w:firstLineChars="200"/>
        <w:rPr>
          <w:rFonts w:hAnsi="宋体" w:cs="宋体"/>
          <w:color w:val="auto"/>
          <w:kern w:val="2"/>
          <w:sz w:val="21"/>
          <w:highlight w:val="none"/>
        </w:rPr>
      </w:pPr>
      <w:r>
        <w:rPr>
          <w:rFonts w:hint="eastAsia" w:hAnsi="宋体" w:cs="宋体"/>
          <w:color w:val="auto"/>
          <w:kern w:val="2"/>
          <w:sz w:val="21"/>
          <w:highlight w:val="none"/>
        </w:rPr>
        <w:t>如供应商成功解密响应文件，但未在“广西政府采购云”电子开标大厅参加磋商的，视同认可磋商过程和结果，由此产生的后果由供应商自行负责。参与磋商的供应商不足3家的，不得磋商。</w:t>
      </w:r>
    </w:p>
    <w:p w14:paraId="3B858388">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26.评审程序、评审方法和成交标准</w:t>
      </w:r>
    </w:p>
    <w:p w14:paraId="2480F27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26.1磋商小组按照“第四章 评审程序、评审方法和成交标准”规定的方法、评审因素、标准和程序对响应文件进行评审。</w:t>
      </w:r>
    </w:p>
    <w:p w14:paraId="68D9778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26.2 采购需求负偏离要求及磋商顺序详见 “供应商须知前附表”。</w:t>
      </w:r>
    </w:p>
    <w:p w14:paraId="40698F3D">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26.3电子交易活动的中止。采购过程中出现以下情形，导致电子交易平台无法正常运行，或者无法保证电子交易的公平、公正和安全时，采购机构可中止电子交易活动：</w:t>
      </w:r>
    </w:p>
    <w:p w14:paraId="156A985F">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 xml:space="preserve">（1）电子交易平台发生故障而无法登录访问的； </w:t>
      </w:r>
    </w:p>
    <w:p w14:paraId="6A4CA37B">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（2）电子交易平台应用或数据库出现错误，不能进行正常操作的；</w:t>
      </w:r>
    </w:p>
    <w:p w14:paraId="12A6D7CC">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（3）电子交易平台发现严重安全漏洞，有潜在泄密危险的；</w:t>
      </w:r>
    </w:p>
    <w:p w14:paraId="39D6C307">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 xml:space="preserve">（4）病毒发作导致不能进行正常操作的； </w:t>
      </w:r>
    </w:p>
    <w:p w14:paraId="3DEB30BC">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（4）其他无法保证电子交易的公平、公正和安全的情况。</w:t>
      </w:r>
    </w:p>
    <w:p w14:paraId="7B7893F7">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26.4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65E39304">
      <w:pPr>
        <w:pStyle w:val="5"/>
        <w:spacing w:before="0" w:after="0" w:line="360" w:lineRule="auto"/>
        <w:ind w:firstLine="640" w:firstLineChars="200"/>
        <w:rPr>
          <w:rFonts w:ascii="宋体" w:hAnsi="宋体" w:cs="宋体"/>
          <w:b w:val="0"/>
          <w:bCs w:val="0"/>
          <w:color w:val="auto"/>
          <w:highlight w:val="none"/>
        </w:rPr>
      </w:pPr>
      <w:bookmarkStart w:id="53" w:name="_Toc26217"/>
      <w:r>
        <w:rPr>
          <w:rFonts w:hint="eastAsia" w:ascii="宋体" w:hAnsi="宋体" w:cs="宋体"/>
          <w:b w:val="0"/>
          <w:bCs w:val="0"/>
          <w:color w:val="auto"/>
          <w:highlight w:val="none"/>
        </w:rPr>
        <w:t>五、成交及合同</w:t>
      </w:r>
      <w:bookmarkEnd w:id="53"/>
    </w:p>
    <w:p w14:paraId="1491E0D0">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27.确定成交供应商及结果公告</w:t>
      </w:r>
    </w:p>
    <w:p w14:paraId="564C544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27.1确定成交供应商。</w:t>
      </w:r>
      <w:r>
        <w:rPr>
          <w:rFonts w:hint="eastAsia" w:ascii="宋体" w:hAnsi="宋体" w:cs="宋体"/>
          <w:color w:val="auto"/>
          <w:kern w:val="0"/>
          <w:szCs w:val="21"/>
          <w:highlight w:val="none"/>
        </w:rPr>
        <w:t>本项目择优选择1家供应商作为成交人，采购人应当确定磋商小组推荐排名第一的供应商为成交供应商。</w:t>
      </w:r>
    </w:p>
    <w:p w14:paraId="017E80B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27.2成交通知及成交结果公告。</w:t>
      </w:r>
      <w:r>
        <w:rPr>
          <w:rFonts w:hint="eastAsia" w:ascii="宋体" w:hAnsi="宋体" w:cs="宋体"/>
          <w:color w:val="auto"/>
          <w:kern w:val="0"/>
          <w:szCs w:val="21"/>
          <w:highlight w:val="none"/>
        </w:rPr>
        <w:t>成交</w:t>
      </w:r>
      <w:r>
        <w:rPr>
          <w:rFonts w:hint="eastAsia" w:ascii="宋体" w:hAnsi="宋体" w:cs="宋体"/>
          <w:color w:val="auto"/>
          <w:szCs w:val="21"/>
          <w:highlight w:val="none"/>
        </w:rPr>
        <w:t>供应商确定后2个工作日内，在省级以上财政部门指定的媒体上公告成交结果（成交通知及成交结果公告应使用广西壮族自治区模板进行公告，公告内容除包含《政府采购公告和公示信息格式规范（2020年版）》要求内容外，还应包含采购人专门面向中小企业预留份额情况及成交供应商评审价格、优惠率等内容），同时向成交供应商发出成交通知书，成交通知书规定签订合同的时间不得超过25日。</w:t>
      </w:r>
    </w:p>
    <w:p w14:paraId="3801071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27.3采购人或者采购代理机构发出成交通知书前，应当对成交供应商信用进行查询核实，对列入失信被执行人、重大税收违法案件当事人名单、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磋商文件一并保存。</w:t>
      </w:r>
      <w:bookmarkStart w:id="54" w:name="_Hlk66782294"/>
      <w:r>
        <w:rPr>
          <w:rFonts w:hint="eastAsia" w:ascii="宋体" w:hAnsi="宋体" w:cs="宋体"/>
          <w:color w:val="auto"/>
          <w:szCs w:val="21"/>
          <w:highlight w:val="none"/>
        </w:rPr>
        <w:t>成交供应商享受《政府采购促进中小企业发展管理办法》（财库〔2020〕46号）及《广西壮族自治区财政厅关于进一步发挥政府采购政策功能促进企业发展的通知》（桂财采〔2022〕30号）规定的中小企业扶持政策的，采购人、采购代理机构应当随成交结果公开成交供应商的《中小企业声明函》。</w:t>
      </w:r>
      <w:bookmarkEnd w:id="54"/>
    </w:p>
    <w:p w14:paraId="7E1C6CF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27.4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37415C97">
      <w:pPr>
        <w:spacing w:line="360" w:lineRule="auto"/>
        <w:ind w:firstLine="420" w:firstLineChars="200"/>
        <w:rPr>
          <w:rFonts w:ascii="宋体" w:hAnsi="宋体" w:cs="宋体"/>
          <w:color w:val="auto"/>
          <w:szCs w:val="21"/>
          <w:highlight w:val="none"/>
        </w:rPr>
      </w:pPr>
      <w:r>
        <w:rPr>
          <w:rFonts w:hint="eastAsia" w:ascii="宋体" w:hAnsi="宋体" w:cs="宋体"/>
          <w:bCs/>
          <w:color w:val="auto"/>
          <w:szCs w:val="21"/>
          <w:highlight w:val="none"/>
        </w:rPr>
        <w:t>27.5</w:t>
      </w:r>
      <w:r>
        <w:rPr>
          <w:rFonts w:hint="eastAsia" w:ascii="宋体" w:hAnsi="宋体" w:cs="Courier New"/>
          <w:color w:val="auto"/>
          <w:szCs w:val="21"/>
          <w:highlight w:val="none"/>
        </w:rPr>
        <w:t>成交供应商拒绝签订政府采购合同（包括但不限于放弃成交、因不可抗力不能履行合同而放弃签订合同），采购人可以按照评审报告推荐的成交候选人名单排序，确定下一候选人为成交供应商，也可以重新开展政府采购活动。</w:t>
      </w:r>
      <w:r>
        <w:rPr>
          <w:rFonts w:ascii="宋体" w:hAnsi="宋体" w:cs="Courier New"/>
          <w:color w:val="auto"/>
          <w:szCs w:val="21"/>
          <w:highlight w:val="none"/>
        </w:rPr>
        <w:t>拒绝签订政府采购合同的成交供应商不得参加对该项目重新开展的采购活动。</w:t>
      </w:r>
    </w:p>
    <w:p w14:paraId="5CD1F980">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28.履约保证金</w:t>
      </w:r>
    </w:p>
    <w:p w14:paraId="50DEFDBE">
      <w:pPr>
        <w:spacing w:line="360" w:lineRule="auto"/>
        <w:ind w:firstLine="420" w:firstLineChars="200"/>
        <w:rPr>
          <w:rFonts w:ascii="宋体" w:hAnsi="宋体" w:cs="宋体"/>
          <w:b/>
          <w:bCs/>
          <w:color w:val="auto"/>
          <w:sz w:val="24"/>
          <w:highlight w:val="none"/>
        </w:rPr>
      </w:pPr>
      <w:r>
        <w:rPr>
          <w:rFonts w:hint="eastAsia" w:ascii="宋体" w:hAnsi="宋体" w:cs="宋体"/>
          <w:color w:val="auto"/>
          <w:szCs w:val="21"/>
          <w:highlight w:val="none"/>
        </w:rPr>
        <w:t>详见 “供应商须知前附表”</w:t>
      </w:r>
    </w:p>
    <w:p w14:paraId="7D078775">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29.签订合同</w:t>
      </w:r>
    </w:p>
    <w:p w14:paraId="2B41E116">
      <w:pPr>
        <w:spacing w:line="360" w:lineRule="auto"/>
        <w:ind w:firstLine="424" w:firstLineChars="202"/>
        <w:rPr>
          <w:rFonts w:ascii="宋体" w:hAnsi="宋体" w:cs="宋体"/>
          <w:color w:val="auto"/>
          <w:szCs w:val="21"/>
          <w:highlight w:val="none"/>
        </w:rPr>
      </w:pPr>
      <w:r>
        <w:rPr>
          <w:rFonts w:ascii="宋体" w:hAnsi="宋体" w:cs="宋体"/>
          <w:color w:val="auto"/>
          <w:szCs w:val="21"/>
          <w:highlight w:val="none"/>
        </w:rPr>
        <w:t>29</w:t>
      </w:r>
      <w:r>
        <w:rPr>
          <w:rFonts w:hint="eastAsia" w:ascii="宋体" w:hAnsi="宋体" w:cs="宋体"/>
          <w:color w:val="auto"/>
          <w:szCs w:val="21"/>
          <w:highlight w:val="none"/>
        </w:rPr>
        <w:t>.1成交供应商在收到成交通知书</w:t>
      </w:r>
      <w:r>
        <w:rPr>
          <w:rFonts w:hint="eastAsia" w:ascii="宋体" w:hAnsi="宋体"/>
          <w:color w:val="auto"/>
          <w:szCs w:val="21"/>
          <w:highlight w:val="none"/>
        </w:rPr>
        <w:t>（书面或电子）</w:t>
      </w:r>
      <w:r>
        <w:rPr>
          <w:rFonts w:hint="eastAsia" w:ascii="宋体" w:hAnsi="宋体" w:cs="宋体"/>
          <w:color w:val="auto"/>
          <w:szCs w:val="21"/>
          <w:highlight w:val="none"/>
        </w:rPr>
        <w:t>后，按“供应商须知前附表”规定向采购人出示相关证明材料，经采购人核验合格后方可签订合同</w:t>
      </w:r>
      <w:r>
        <w:rPr>
          <w:rFonts w:hint="eastAsia" w:ascii="宋体" w:hAnsi="宋体"/>
          <w:color w:val="auto"/>
          <w:szCs w:val="21"/>
          <w:highlight w:val="none"/>
        </w:rPr>
        <w:t>（书面或电子）</w:t>
      </w:r>
      <w:r>
        <w:rPr>
          <w:rFonts w:hint="eastAsia" w:ascii="宋体" w:hAnsi="宋体" w:cs="宋体"/>
          <w:color w:val="auto"/>
          <w:szCs w:val="21"/>
          <w:highlight w:val="none"/>
        </w:rPr>
        <w:t>。</w:t>
      </w:r>
      <w:r>
        <w:rPr>
          <w:rFonts w:hint="eastAsia" w:ascii="宋体" w:hAnsi="宋体"/>
          <w:color w:val="auto"/>
          <w:szCs w:val="21"/>
          <w:highlight w:val="none"/>
        </w:rPr>
        <w:t>如成交供应商为联合体的，</w:t>
      </w:r>
      <w:r>
        <w:rPr>
          <w:rFonts w:ascii="宋体" w:hAnsi="宋体"/>
          <w:color w:val="auto"/>
          <w:szCs w:val="21"/>
          <w:highlight w:val="none"/>
        </w:rPr>
        <w:t>联合体各方应当共同与采购人签订采购合同，就采购合同约定的事项对采购人承担连带责任。</w:t>
      </w:r>
    </w:p>
    <w:p w14:paraId="5F9F3C00">
      <w:pPr>
        <w:spacing w:line="360" w:lineRule="auto"/>
        <w:ind w:firstLine="424" w:firstLineChars="202"/>
        <w:rPr>
          <w:rFonts w:ascii="宋体" w:hAnsi="宋体" w:cs="宋体"/>
          <w:color w:val="auto"/>
          <w:szCs w:val="21"/>
          <w:highlight w:val="none"/>
        </w:rPr>
      </w:pPr>
      <w:r>
        <w:rPr>
          <w:rFonts w:ascii="宋体" w:hAnsi="宋体" w:cs="宋体"/>
          <w:color w:val="auto"/>
          <w:szCs w:val="21"/>
          <w:highlight w:val="none"/>
        </w:rPr>
        <w:t>29</w:t>
      </w:r>
      <w:r>
        <w:rPr>
          <w:rFonts w:hint="eastAsia" w:ascii="宋体" w:hAnsi="宋体" w:cs="宋体"/>
          <w:color w:val="auto"/>
          <w:szCs w:val="21"/>
          <w:highlight w:val="none"/>
        </w:rPr>
        <w:t>.2 签订合同时间：按成交通知书的规定与采购人签订政府采购合同</w:t>
      </w:r>
      <w:r>
        <w:rPr>
          <w:rFonts w:hint="eastAsia" w:ascii="宋体" w:hAnsi="宋体"/>
          <w:color w:val="auto"/>
          <w:szCs w:val="21"/>
          <w:highlight w:val="none"/>
        </w:rPr>
        <w:t>（最长不能超过25日）</w:t>
      </w:r>
      <w:r>
        <w:rPr>
          <w:rFonts w:hint="eastAsia" w:ascii="宋体" w:hAnsi="宋体" w:cs="宋体"/>
          <w:color w:val="auto"/>
          <w:szCs w:val="21"/>
          <w:highlight w:val="none"/>
        </w:rPr>
        <w:t>。</w:t>
      </w:r>
    </w:p>
    <w:p w14:paraId="735414B7">
      <w:pPr>
        <w:spacing w:line="360" w:lineRule="auto"/>
        <w:ind w:firstLine="424" w:firstLineChars="202"/>
        <w:rPr>
          <w:rFonts w:ascii="宋体" w:hAnsi="宋体" w:cs="宋体"/>
          <w:color w:val="auto"/>
          <w:szCs w:val="21"/>
          <w:highlight w:val="none"/>
        </w:rPr>
      </w:pPr>
      <w:r>
        <w:rPr>
          <w:rFonts w:ascii="宋体" w:hAnsi="宋体" w:cs="宋体"/>
          <w:color w:val="auto"/>
          <w:szCs w:val="21"/>
          <w:highlight w:val="none"/>
        </w:rPr>
        <w:t>29</w:t>
      </w:r>
      <w:r>
        <w:rPr>
          <w:rFonts w:hint="eastAsia" w:ascii="宋体" w:hAnsi="宋体" w:cs="宋体"/>
          <w:color w:val="auto"/>
          <w:szCs w:val="21"/>
          <w:highlight w:val="none"/>
        </w:rPr>
        <w:t>.3</w:t>
      </w:r>
      <w:r>
        <w:rPr>
          <w:rFonts w:hint="eastAsia" w:ascii="宋体" w:hAnsi="宋体"/>
          <w:color w:val="auto"/>
          <w:szCs w:val="21"/>
          <w:highlight w:val="none"/>
        </w:rPr>
        <w:t>成交供应商拒绝与采购人签订合同的，按照本须知正文第</w:t>
      </w:r>
      <w:r>
        <w:rPr>
          <w:rFonts w:ascii="宋体" w:hAnsi="宋体"/>
          <w:color w:val="auto"/>
          <w:szCs w:val="21"/>
          <w:highlight w:val="none"/>
        </w:rPr>
        <w:t>27.</w:t>
      </w:r>
      <w:r>
        <w:rPr>
          <w:rFonts w:hint="eastAsia" w:ascii="宋体" w:hAnsi="宋体"/>
          <w:color w:val="auto"/>
          <w:szCs w:val="21"/>
          <w:highlight w:val="none"/>
        </w:rPr>
        <w:t>5</w:t>
      </w:r>
      <w:r>
        <w:rPr>
          <w:rFonts w:ascii="宋体" w:hAnsi="宋体"/>
          <w:color w:val="auto"/>
          <w:szCs w:val="21"/>
          <w:highlight w:val="none"/>
        </w:rPr>
        <w:t>条的规定</w:t>
      </w:r>
      <w:r>
        <w:rPr>
          <w:rFonts w:hint="eastAsia" w:ascii="宋体" w:hAnsi="宋体"/>
          <w:color w:val="auto"/>
          <w:szCs w:val="21"/>
          <w:highlight w:val="none"/>
        </w:rPr>
        <w:t>执行</w:t>
      </w:r>
      <w:r>
        <w:rPr>
          <w:rFonts w:hint="eastAsia" w:ascii="宋体" w:hAnsi="宋体" w:cs="宋体"/>
          <w:color w:val="auto"/>
          <w:szCs w:val="21"/>
          <w:highlight w:val="none"/>
        </w:rPr>
        <w:t>。</w:t>
      </w:r>
    </w:p>
    <w:p w14:paraId="128401A7">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30.政府采购合同公告</w:t>
      </w:r>
    </w:p>
    <w:p w14:paraId="3826D8F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4D326051">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31. 询问、质疑和投诉</w:t>
      </w:r>
    </w:p>
    <w:p w14:paraId="66D66186">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31.1供应商对政府采购活动事项有疑问的，可以向采购人、采购代理机构提出询问，采购人或者采购代理机构应当在3个工作日内对供应商依法提出的询问作出答复。</w:t>
      </w:r>
    </w:p>
    <w:p w14:paraId="0690AE40">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31.2供应商认为磋商文件、采购过程或者成交结果使自己的合法权益受到损害的，应当在知道或者应知其权益受到损害之日起7个工作日内，以书面形式</w:t>
      </w:r>
      <w:r>
        <w:rPr>
          <w:rFonts w:hint="eastAsia" w:ascii="宋体" w:hAnsi="宋体" w:cs="宋体"/>
          <w:color w:val="auto"/>
          <w:szCs w:val="21"/>
          <w:highlight w:val="none"/>
        </w:rPr>
        <w:t>（须按照采购文件要求格式）</w:t>
      </w:r>
      <w:r>
        <w:rPr>
          <w:rFonts w:hint="eastAsia" w:ascii="宋体" w:hAnsi="宋体" w:cs="宋体"/>
          <w:color w:val="auto"/>
          <w:highlight w:val="none"/>
        </w:rPr>
        <w:t>向采购人、采购代理机构提出质疑，</w:t>
      </w:r>
      <w:r>
        <w:rPr>
          <w:rFonts w:hint="eastAsia" w:ascii="宋体" w:hAnsi="宋体" w:cs="宋体"/>
          <w:color w:val="auto"/>
          <w:highlight w:val="none"/>
          <w:shd w:val="clear" w:color="auto" w:fill="FFFFFF"/>
        </w:rPr>
        <w:t>接收质疑函的方式、联系部门、联系电话和通讯地址等信息详见</w:t>
      </w:r>
      <w:r>
        <w:rPr>
          <w:rFonts w:hint="eastAsia" w:ascii="宋体" w:hAnsi="宋体" w:cs="宋体"/>
          <w:color w:val="auto"/>
          <w:szCs w:val="21"/>
          <w:highlight w:val="none"/>
        </w:rPr>
        <w:t>“供应商须知前附表”</w:t>
      </w:r>
      <w:r>
        <w:rPr>
          <w:rFonts w:hint="eastAsia" w:ascii="宋体" w:hAnsi="宋体" w:cs="宋体"/>
          <w:color w:val="auto"/>
          <w:highlight w:val="none"/>
        </w:rPr>
        <w:t>。具体质疑起算时间如下：</w:t>
      </w:r>
    </w:p>
    <w:p w14:paraId="3BB1AE7B">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（1）对可以质疑的磋商文件提出质疑的，为收到磋商文件之日或者竞争性磋商公告期限届满之日；</w:t>
      </w:r>
    </w:p>
    <w:p w14:paraId="55455D2A">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（2）对采购过程提出质疑的，为各采购程序环节结束之日；</w:t>
      </w:r>
    </w:p>
    <w:p w14:paraId="6A842030">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（3）对成交结果提出质疑的，为成交结果公告期限届满之日。</w:t>
      </w:r>
    </w:p>
    <w:p w14:paraId="71463983">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2A70E338">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31.4 供应商提出质疑应当提交质疑函和必要的证明材料，针对同一采购程序环节的质疑必须在法定质疑期内一次性提出。（</w:t>
      </w:r>
      <w:r>
        <w:rPr>
          <w:rFonts w:hint="eastAsia" w:ascii="宋体" w:hAnsi="宋体" w:cs="宋体"/>
          <w:bCs/>
          <w:color w:val="auto"/>
          <w:highlight w:val="none"/>
        </w:rPr>
        <w:t>质疑函格式附后）</w:t>
      </w:r>
    </w:p>
    <w:p w14:paraId="6290E291">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供应商为自然人的，应当由本人签字；供应商为法人或者其他组织的，应当由法定代表人、主要负责人，或者其委托代理人签字或者盖章，并加盖公章。</w:t>
      </w:r>
    </w:p>
    <w:p w14:paraId="0309A29C">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31.5采购人、采购代理机构认为供应商质疑不成立，或者成立但未对成交结果构成影响的，继续开展采购活动；认为供应商质疑成立且影响或者可能影响成交结果的，按照下列情况处理：</w:t>
      </w:r>
    </w:p>
    <w:p w14:paraId="64DD499A">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672A9116">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1C372B75">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质疑答复导致成交结果改变的，采购人或者采购代理机构应当将有关情况书面报告本级财政部门。</w:t>
      </w:r>
    </w:p>
    <w:p w14:paraId="4511F398">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1DC1EE27">
      <w:pPr>
        <w:pStyle w:val="5"/>
        <w:spacing w:before="0" w:after="0" w:line="360" w:lineRule="auto"/>
        <w:ind w:firstLine="643" w:firstLineChars="200"/>
        <w:rPr>
          <w:rFonts w:ascii="宋体" w:hAnsi="宋体" w:cs="宋体"/>
          <w:b w:val="0"/>
          <w:color w:val="auto"/>
          <w:highlight w:val="none"/>
        </w:rPr>
      </w:pPr>
      <w:bookmarkStart w:id="55" w:name="_Toc10618"/>
      <w:r>
        <w:rPr>
          <w:rFonts w:hint="eastAsia" w:ascii="宋体" w:hAnsi="宋体" w:cs="宋体"/>
          <w:color w:val="auto"/>
          <w:highlight w:val="none"/>
        </w:rPr>
        <w:t>六</w:t>
      </w:r>
      <w:r>
        <w:rPr>
          <w:rFonts w:hint="eastAsia" w:ascii="宋体" w:hAnsi="宋体" w:cs="宋体"/>
          <w:b w:val="0"/>
          <w:color w:val="auto"/>
          <w:highlight w:val="none"/>
        </w:rPr>
        <w:t>、验收</w:t>
      </w:r>
      <w:bookmarkEnd w:id="55"/>
    </w:p>
    <w:p w14:paraId="357302CD">
      <w:pPr>
        <w:tabs>
          <w:tab w:val="left" w:pos="0"/>
        </w:tabs>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32.验收</w:t>
      </w:r>
    </w:p>
    <w:p w14:paraId="3D204339">
      <w:pPr>
        <w:tabs>
          <w:tab w:val="left" w:pos="0"/>
        </w:tabs>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0CA653DD">
      <w:pPr>
        <w:tabs>
          <w:tab w:val="left" w:pos="0"/>
        </w:tabs>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32.2采购人可以邀请参加本项目的其他供应商或者第三方机构参与验收。参与验收的供应商或者第三方机构的意见作为验收书的参考资料一并存档。</w:t>
      </w:r>
    </w:p>
    <w:p w14:paraId="5EACA0E8">
      <w:pPr>
        <w:tabs>
          <w:tab w:val="left" w:pos="0"/>
        </w:tabs>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32.3严格按照采购合同开展履约验收。采购人成立验收小组，按照采购合同的约定对供应商履约情况进行验收。验收时，按照采购合同的约定对每一项技术、货物、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3D1277EE">
      <w:pPr>
        <w:tabs>
          <w:tab w:val="left" w:pos="0"/>
        </w:tabs>
        <w:spacing w:line="360" w:lineRule="auto"/>
        <w:ind w:firstLine="420" w:firstLineChars="200"/>
        <w:rPr>
          <w:rFonts w:ascii="宋体" w:hAnsi="宋体" w:cs="宋体"/>
          <w:color w:val="auto"/>
          <w:szCs w:val="21"/>
          <w:highlight w:val="none"/>
        </w:rPr>
      </w:pPr>
      <w:r>
        <w:rPr>
          <w:rFonts w:hint="eastAsia" w:ascii="宋体" w:hAnsi="宋体" w:cs="宋体"/>
          <w:color w:val="auto"/>
          <w:kern w:val="0"/>
          <w:szCs w:val="21"/>
          <w:highlight w:val="none"/>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627C8775">
      <w:pPr>
        <w:pStyle w:val="5"/>
        <w:spacing w:before="0" w:after="0" w:line="360" w:lineRule="auto"/>
        <w:ind w:firstLine="640" w:firstLineChars="200"/>
        <w:rPr>
          <w:rFonts w:ascii="宋体" w:hAnsi="宋体" w:cs="宋体"/>
          <w:b w:val="0"/>
          <w:bCs w:val="0"/>
          <w:color w:val="auto"/>
          <w:highlight w:val="none"/>
        </w:rPr>
      </w:pPr>
      <w:bookmarkStart w:id="56" w:name="_Toc2202"/>
      <w:r>
        <w:rPr>
          <w:rFonts w:hint="eastAsia" w:ascii="宋体" w:hAnsi="宋体" w:cs="宋体"/>
          <w:b w:val="0"/>
          <w:bCs w:val="0"/>
          <w:color w:val="auto"/>
          <w:highlight w:val="none"/>
        </w:rPr>
        <w:t>七、其他事项</w:t>
      </w:r>
      <w:bookmarkEnd w:id="56"/>
    </w:p>
    <w:p w14:paraId="799B9E57">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33.代理服务费</w:t>
      </w:r>
    </w:p>
    <w:p w14:paraId="7B78FA47">
      <w:pPr>
        <w:tabs>
          <w:tab w:val="left" w:pos="283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代理服务收费标准及缴费账户详见“供应商须知前附表”，供应商为联合体的，可以由联合体中的一方或者多方共同交纳代理服务费。</w:t>
      </w:r>
    </w:p>
    <w:p w14:paraId="6A343DE6">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34.需要补充的其他内容</w:t>
      </w:r>
    </w:p>
    <w:p w14:paraId="2C3DA446">
      <w:pPr>
        <w:pStyle w:val="20"/>
        <w:spacing w:line="360" w:lineRule="auto"/>
        <w:ind w:firstLine="420" w:firstLineChars="200"/>
        <w:contextualSpacing/>
        <w:rPr>
          <w:rFonts w:hAnsi="宋体" w:cs="宋体"/>
          <w:color w:val="auto"/>
          <w:kern w:val="2"/>
          <w:sz w:val="21"/>
          <w:highlight w:val="none"/>
        </w:rPr>
      </w:pPr>
      <w:r>
        <w:rPr>
          <w:rFonts w:hint="eastAsia" w:hAnsi="宋体" w:cs="宋体"/>
          <w:color w:val="auto"/>
          <w:kern w:val="2"/>
          <w:sz w:val="21"/>
          <w:highlight w:val="none"/>
        </w:rPr>
        <w:t>34.1本磋商文件解释规则详见“供应商须知前附表”。</w:t>
      </w:r>
    </w:p>
    <w:p w14:paraId="54CCD62E">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34.2 其他事项详见“供应商须知前附表”。</w:t>
      </w:r>
    </w:p>
    <w:p w14:paraId="7D7E61E7">
      <w:pPr>
        <w:pStyle w:val="20"/>
        <w:spacing w:line="360" w:lineRule="auto"/>
        <w:ind w:firstLine="420" w:firstLineChars="200"/>
        <w:contextualSpacing/>
        <w:rPr>
          <w:rFonts w:hAnsi="宋体" w:cs="宋体"/>
          <w:color w:val="auto"/>
          <w:kern w:val="2"/>
          <w:sz w:val="21"/>
          <w:highlight w:val="none"/>
        </w:rPr>
      </w:pPr>
      <w:r>
        <w:rPr>
          <w:rFonts w:hint="eastAsia" w:hAnsi="宋体" w:cs="宋体"/>
          <w:color w:val="auto"/>
          <w:kern w:val="2"/>
          <w:sz w:val="21"/>
          <w:highlight w:val="none"/>
        </w:rPr>
        <w:t>34.3</w:t>
      </w:r>
      <w:bookmarkStart w:id="57" w:name="_Hlk65857140"/>
      <w:r>
        <w:rPr>
          <w:rFonts w:hint="eastAsia" w:hAnsi="宋体" w:cs="宋体"/>
          <w:color w:val="auto"/>
          <w:kern w:val="2"/>
          <w:sz w:val="21"/>
          <w:highlight w:val="none"/>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服务、工程或者货物符合下列情形的，享受本文件规定的中小企业扶持政策：</w:t>
      </w:r>
    </w:p>
    <w:p w14:paraId="0AB742A0">
      <w:pPr>
        <w:pStyle w:val="20"/>
        <w:spacing w:line="360" w:lineRule="auto"/>
        <w:ind w:firstLine="420" w:firstLineChars="200"/>
        <w:contextualSpacing/>
        <w:rPr>
          <w:rFonts w:hAnsi="宋体" w:cs="宋体"/>
          <w:color w:val="auto"/>
          <w:kern w:val="2"/>
          <w:sz w:val="21"/>
          <w:highlight w:val="none"/>
        </w:rPr>
      </w:pPr>
      <w:r>
        <w:rPr>
          <w:rFonts w:hint="eastAsia" w:hAnsi="宋体" w:cs="宋体"/>
          <w:color w:val="auto"/>
          <w:kern w:val="2"/>
          <w:sz w:val="21"/>
          <w:highlight w:val="none"/>
        </w:rPr>
        <w:t>（1）在货物采购项目中，货物由中小企业制造，即货物由中小企业生产且使用该中小企业商号或者注册商标，不对其中涉及的工程承建商和服务的承接商作出要求；</w:t>
      </w:r>
    </w:p>
    <w:p w14:paraId="56290B15">
      <w:pPr>
        <w:pStyle w:val="20"/>
        <w:spacing w:line="360" w:lineRule="auto"/>
        <w:ind w:firstLine="420" w:firstLineChars="200"/>
        <w:contextualSpacing/>
        <w:rPr>
          <w:rFonts w:hAnsi="宋体" w:cs="宋体"/>
          <w:color w:val="auto"/>
          <w:kern w:val="2"/>
          <w:sz w:val="21"/>
          <w:highlight w:val="none"/>
        </w:rPr>
      </w:pPr>
      <w:r>
        <w:rPr>
          <w:rFonts w:hint="eastAsia" w:hAnsi="宋体" w:cs="宋体"/>
          <w:color w:val="auto"/>
          <w:kern w:val="2"/>
          <w:sz w:val="21"/>
          <w:highlight w:val="none"/>
        </w:rPr>
        <w:t>（2）在工程采购项目中，工程由中小企业承建，即工程施工单位为中小企业，不对其中涉及的货物的制造商和货物的承接商作出要求；</w:t>
      </w:r>
    </w:p>
    <w:p w14:paraId="79B60F01">
      <w:pPr>
        <w:pStyle w:val="20"/>
        <w:spacing w:line="360" w:lineRule="auto"/>
        <w:ind w:firstLine="420" w:firstLineChars="200"/>
        <w:contextualSpacing/>
        <w:rPr>
          <w:rFonts w:hAnsi="宋体" w:cs="宋体"/>
          <w:color w:val="auto"/>
          <w:kern w:val="2"/>
          <w:sz w:val="21"/>
          <w:highlight w:val="none"/>
        </w:rPr>
      </w:pPr>
      <w:r>
        <w:rPr>
          <w:rFonts w:hint="eastAsia" w:hAnsi="宋体" w:cs="宋体"/>
          <w:color w:val="auto"/>
          <w:kern w:val="2"/>
          <w:sz w:val="21"/>
          <w:highlight w:val="none"/>
        </w:rPr>
        <w:t>（3）在服务采购项目中，服务由中小企业承接，即提供服务的人员为中小企业依照《中华人民共和国劳动合同法》订立劳动合同的从业人员，不对其中涉及的货物的制造商和工程承建商作出要求。</w:t>
      </w:r>
    </w:p>
    <w:p w14:paraId="33702350">
      <w:pPr>
        <w:pStyle w:val="20"/>
        <w:spacing w:line="360" w:lineRule="auto"/>
        <w:ind w:firstLine="420" w:firstLineChars="200"/>
        <w:contextualSpacing/>
        <w:rPr>
          <w:rFonts w:hAnsi="宋体" w:cs="宋体"/>
          <w:color w:val="auto"/>
          <w:kern w:val="2"/>
          <w:sz w:val="21"/>
          <w:highlight w:val="none"/>
        </w:rPr>
      </w:pPr>
      <w:r>
        <w:rPr>
          <w:rFonts w:hint="eastAsia" w:hAnsi="宋体" w:cs="宋体"/>
          <w:color w:val="auto"/>
          <w:kern w:val="2"/>
          <w:sz w:val="21"/>
          <w:highlight w:val="none"/>
        </w:rPr>
        <w:t>在货物采购项目中，供应商提供的货物既有中小企业制造货物，也有大型企业制造货物的，不享受本文件规定的中小企业扶持政策。以联合体形式参加政府采购活动，联合体各方均为中小企业的，联合体视同中小企业。其中，联合体各方均为小微企业的，联合体视同小微企业。</w:t>
      </w:r>
    </w:p>
    <w:p w14:paraId="23F6AB1A">
      <w:pPr>
        <w:pStyle w:val="20"/>
        <w:spacing w:line="360" w:lineRule="auto"/>
        <w:ind w:firstLine="420" w:firstLineChars="200"/>
        <w:textAlignment w:val="center"/>
        <w:rPr>
          <w:rFonts w:hAnsi="宋体" w:cs="宋体"/>
          <w:color w:val="auto"/>
          <w:kern w:val="2"/>
          <w:sz w:val="21"/>
          <w:highlight w:val="none"/>
        </w:rPr>
      </w:pPr>
      <w:r>
        <w:rPr>
          <w:rFonts w:hint="eastAsia" w:hAnsi="宋体" w:cs="宋体"/>
          <w:color w:val="auto"/>
          <w:kern w:val="2"/>
          <w:sz w:val="21"/>
          <w:highlight w:val="none"/>
        </w:rPr>
        <w:t>依据本文件规定享受扶持政策获得政府采购合同的，小微企业不得将合同分包给大中型企业，中型企业不得将合同分包给大型企业。</w:t>
      </w:r>
      <w:bookmarkEnd w:id="57"/>
    </w:p>
    <w:p w14:paraId="0009E925">
      <w:pPr>
        <w:pStyle w:val="20"/>
        <w:spacing w:line="360" w:lineRule="auto"/>
        <w:ind w:firstLine="420" w:firstLineChars="200"/>
        <w:textAlignment w:val="center"/>
        <w:rPr>
          <w:rFonts w:hAnsi="宋体" w:cs="宋体"/>
          <w:color w:val="auto"/>
          <w:kern w:val="2"/>
          <w:sz w:val="21"/>
          <w:highlight w:val="none"/>
        </w:rPr>
      </w:pPr>
      <w:r>
        <w:rPr>
          <w:rFonts w:hint="eastAsia" w:hAnsi="宋体" w:cs="宋体"/>
          <w:color w:val="auto"/>
          <w:kern w:val="2"/>
          <w:sz w:val="21"/>
          <w:highlight w:val="none"/>
        </w:rPr>
        <w:t>35. 政采贷相关说明</w:t>
      </w:r>
    </w:p>
    <w:p w14:paraId="43DDAFAB">
      <w:pPr>
        <w:pStyle w:val="20"/>
        <w:spacing w:line="360" w:lineRule="auto"/>
        <w:ind w:firstLine="420" w:firstLineChars="200"/>
        <w:textAlignment w:val="center"/>
        <w:rPr>
          <w:rFonts w:hAnsi="宋体" w:cs="宋体"/>
          <w:color w:val="auto"/>
          <w:kern w:val="2"/>
          <w:sz w:val="21"/>
          <w:highlight w:val="none"/>
        </w:rPr>
      </w:pPr>
      <w:r>
        <w:rPr>
          <w:rFonts w:hint="eastAsia" w:hAnsi="宋体" w:cs="宋体"/>
          <w:color w:val="auto"/>
          <w:kern w:val="2"/>
          <w:sz w:val="21"/>
          <w:highlight w:val="none"/>
        </w:rPr>
        <w:t>为优化政府采购营商环境，缓解供应商资金难题，南宁市政府采购试行政府采购信用融资</w:t>
      </w:r>
    </w:p>
    <w:p w14:paraId="369500EA">
      <w:pPr>
        <w:pStyle w:val="20"/>
        <w:spacing w:line="360" w:lineRule="auto"/>
        <w:textAlignment w:val="center"/>
        <w:rPr>
          <w:rFonts w:hAnsi="宋体" w:cs="宋体"/>
          <w:color w:val="auto"/>
          <w:kern w:val="2"/>
          <w:sz w:val="21"/>
          <w:highlight w:val="none"/>
        </w:rPr>
      </w:pPr>
      <w:r>
        <w:rPr>
          <w:rFonts w:hint="eastAsia" w:hAnsi="宋体" w:cs="宋体"/>
          <w:color w:val="auto"/>
          <w:kern w:val="2"/>
          <w:sz w:val="21"/>
          <w:highlight w:val="none"/>
        </w:rPr>
        <w:t>制度，中标供应商如有融资需求，可凭政府采购合同通过以下方式申请政府采购信用融资贷款：</w:t>
      </w:r>
    </w:p>
    <w:p w14:paraId="7FD2A89B">
      <w:pPr>
        <w:pStyle w:val="20"/>
        <w:spacing w:line="360" w:lineRule="auto"/>
        <w:ind w:firstLine="420" w:firstLineChars="200"/>
        <w:textAlignment w:val="center"/>
        <w:rPr>
          <w:rFonts w:hAnsi="宋体" w:cs="宋体"/>
          <w:color w:val="auto"/>
          <w:kern w:val="2"/>
          <w:sz w:val="21"/>
          <w:highlight w:val="none"/>
        </w:rPr>
      </w:pPr>
      <w:r>
        <w:rPr>
          <w:rFonts w:hint="eastAsia" w:hAnsi="宋体" w:cs="宋体"/>
          <w:color w:val="auto"/>
          <w:kern w:val="2"/>
          <w:sz w:val="21"/>
          <w:highlight w:val="none"/>
        </w:rPr>
        <w:t>线上渠道：登录中征营应收账款融资服务平台（网址：</w:t>
      </w:r>
      <w:r>
        <w:rPr>
          <w:color w:val="auto"/>
          <w:highlight w:val="none"/>
        </w:rPr>
        <w:fldChar w:fldCharType="begin"/>
      </w:r>
      <w:r>
        <w:rPr>
          <w:color w:val="auto"/>
          <w:highlight w:val="none"/>
        </w:rPr>
        <w:instrText xml:space="preserve"> HYPERLINK "https://www.crcrfsp.com" </w:instrText>
      </w:r>
      <w:r>
        <w:rPr>
          <w:color w:val="auto"/>
          <w:highlight w:val="none"/>
        </w:rPr>
        <w:fldChar w:fldCharType="separate"/>
      </w:r>
      <w:r>
        <w:rPr>
          <w:rFonts w:hint="eastAsia" w:hAnsi="宋体" w:cs="宋体"/>
          <w:color w:val="auto"/>
          <w:kern w:val="2"/>
          <w:sz w:val="21"/>
          <w:highlight w:val="none"/>
        </w:rPr>
        <w:t>https://www.crcrfsp.com</w:t>
      </w:r>
      <w:r>
        <w:rPr>
          <w:rFonts w:hint="eastAsia" w:hAnsi="宋体" w:cs="宋体"/>
          <w:color w:val="auto"/>
          <w:kern w:val="2"/>
          <w:sz w:val="21"/>
          <w:highlight w:val="none"/>
        </w:rPr>
        <w:fldChar w:fldCharType="end"/>
      </w:r>
      <w:r>
        <w:rPr>
          <w:rFonts w:hint="eastAsia" w:hAnsi="宋体" w:cs="宋体"/>
          <w:color w:val="auto"/>
          <w:kern w:val="2"/>
          <w:sz w:val="21"/>
          <w:highlight w:val="none"/>
        </w:rPr>
        <w:t>，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内容。</w:t>
      </w:r>
    </w:p>
    <w:p w14:paraId="14ADE9E0">
      <w:pPr>
        <w:rPr>
          <w:color w:val="auto"/>
          <w:highlight w:val="none"/>
        </w:rPr>
      </w:pPr>
    </w:p>
    <w:p w14:paraId="46C31B60">
      <w:pPr>
        <w:rPr>
          <w:rFonts w:ascii="宋体" w:hAnsi="宋体" w:cs="宋体"/>
          <w:color w:val="auto"/>
          <w:highlight w:val="none"/>
        </w:rPr>
      </w:pPr>
    </w:p>
    <w:p w14:paraId="3AF53757">
      <w:pPr>
        <w:pStyle w:val="97"/>
        <w:rPr>
          <w:rFonts w:ascii="宋体" w:hAnsi="宋体" w:cs="宋体"/>
          <w:color w:val="auto"/>
          <w:highlight w:val="none"/>
        </w:rPr>
      </w:pPr>
    </w:p>
    <w:p w14:paraId="6A333000">
      <w:pPr>
        <w:pStyle w:val="16"/>
        <w:rPr>
          <w:rFonts w:ascii="宋体" w:hAnsi="宋体" w:cs="宋体"/>
          <w:color w:val="auto"/>
          <w:highlight w:val="none"/>
        </w:rPr>
      </w:pPr>
    </w:p>
    <w:p w14:paraId="3430D112">
      <w:pPr>
        <w:rPr>
          <w:rFonts w:ascii="宋体" w:hAnsi="宋体" w:cs="宋体"/>
          <w:color w:val="auto"/>
          <w:highlight w:val="none"/>
        </w:rPr>
      </w:pPr>
    </w:p>
    <w:p w14:paraId="40C2FFC2">
      <w:pPr>
        <w:pStyle w:val="97"/>
        <w:rPr>
          <w:rFonts w:ascii="宋体" w:hAnsi="宋体" w:cs="宋体"/>
          <w:color w:val="auto"/>
          <w:highlight w:val="none"/>
        </w:rPr>
      </w:pPr>
    </w:p>
    <w:p w14:paraId="3C6D36CB">
      <w:pPr>
        <w:pStyle w:val="16"/>
        <w:rPr>
          <w:rFonts w:ascii="宋体" w:hAnsi="宋体" w:cs="宋体"/>
          <w:color w:val="auto"/>
          <w:highlight w:val="none"/>
        </w:rPr>
      </w:pPr>
    </w:p>
    <w:p w14:paraId="458C4CBA">
      <w:pPr>
        <w:rPr>
          <w:rFonts w:ascii="宋体" w:hAnsi="宋体" w:cs="宋体"/>
          <w:color w:val="auto"/>
          <w:highlight w:val="none"/>
        </w:rPr>
      </w:pPr>
    </w:p>
    <w:p w14:paraId="57DA5A46">
      <w:pPr>
        <w:pStyle w:val="97"/>
        <w:rPr>
          <w:color w:val="auto"/>
          <w:highlight w:val="none"/>
        </w:rPr>
      </w:pPr>
    </w:p>
    <w:p w14:paraId="5506806D">
      <w:pPr>
        <w:rPr>
          <w:rFonts w:ascii="宋体" w:hAnsi="宋体" w:cs="宋体"/>
          <w:color w:val="auto"/>
          <w:highlight w:val="none"/>
        </w:rPr>
      </w:pPr>
    </w:p>
    <w:p w14:paraId="7457CD12">
      <w:pPr>
        <w:rPr>
          <w:rFonts w:ascii="宋体" w:hAnsi="宋体" w:cs="宋体"/>
          <w:color w:val="auto"/>
          <w:highlight w:val="none"/>
        </w:rPr>
      </w:pPr>
    </w:p>
    <w:p w14:paraId="632FEEF1">
      <w:pPr>
        <w:rPr>
          <w:rFonts w:ascii="宋体" w:hAnsi="宋体" w:cs="宋体"/>
          <w:color w:val="auto"/>
          <w:highlight w:val="none"/>
        </w:rPr>
      </w:pPr>
    </w:p>
    <w:p w14:paraId="212E9270">
      <w:pPr>
        <w:rPr>
          <w:rFonts w:ascii="宋体" w:hAnsi="宋体" w:cs="宋体"/>
          <w:color w:val="auto"/>
          <w:highlight w:val="none"/>
        </w:rPr>
      </w:pPr>
    </w:p>
    <w:p w14:paraId="0038D780">
      <w:pPr>
        <w:pStyle w:val="97"/>
        <w:rPr>
          <w:color w:val="auto"/>
          <w:highlight w:val="none"/>
        </w:rPr>
      </w:pPr>
    </w:p>
    <w:p w14:paraId="26C7BEC5">
      <w:pPr>
        <w:rPr>
          <w:rFonts w:ascii="宋体" w:hAnsi="宋体" w:cs="宋体"/>
          <w:color w:val="auto"/>
          <w:highlight w:val="none"/>
        </w:rPr>
      </w:pPr>
      <w:r>
        <w:rPr>
          <w:rFonts w:hint="eastAsia" w:ascii="宋体" w:hAnsi="宋体" w:cs="宋体"/>
          <w:color w:val="auto"/>
          <w:highlight w:val="none"/>
        </w:rPr>
        <w:br w:type="page"/>
      </w:r>
    </w:p>
    <w:p w14:paraId="04ABA6FA">
      <w:pPr>
        <w:pStyle w:val="3"/>
        <w:ind w:firstLine="442" w:firstLineChars="100"/>
        <w:rPr>
          <w:rFonts w:ascii="宋体" w:hAnsi="宋体" w:cs="宋体"/>
          <w:color w:val="auto"/>
          <w:highlight w:val="none"/>
        </w:rPr>
      </w:pPr>
      <w:bookmarkStart w:id="58" w:name="_Toc27633"/>
      <w:r>
        <w:rPr>
          <w:rFonts w:hint="eastAsia" w:ascii="宋体" w:hAnsi="宋体" w:cs="宋体"/>
          <w:color w:val="auto"/>
          <w:highlight w:val="none"/>
        </w:rPr>
        <w:t>第四章  评审程序、评审方法和成交标准</w:t>
      </w:r>
      <w:bookmarkEnd w:id="58"/>
    </w:p>
    <w:p w14:paraId="744B5A9C">
      <w:pPr>
        <w:pStyle w:val="4"/>
        <w:spacing w:before="0" w:after="0" w:line="360" w:lineRule="auto"/>
        <w:ind w:firstLine="640" w:firstLineChars="200"/>
        <w:jc w:val="center"/>
        <w:rPr>
          <w:rFonts w:ascii="宋体" w:hAnsi="宋体" w:cs="宋体"/>
          <w:b w:val="0"/>
          <w:color w:val="auto"/>
          <w:highlight w:val="none"/>
        </w:rPr>
      </w:pPr>
      <w:bookmarkStart w:id="59" w:name="_Toc4789"/>
      <w:r>
        <w:rPr>
          <w:rFonts w:hint="eastAsia" w:ascii="宋体" w:hAnsi="宋体" w:cs="宋体"/>
          <w:b w:val="0"/>
          <w:color w:val="auto"/>
          <w:highlight w:val="none"/>
        </w:rPr>
        <w:t>第一节 评审程序和评审方法</w:t>
      </w:r>
      <w:bookmarkEnd w:id="59"/>
    </w:p>
    <w:p w14:paraId="7FBE0A0A">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1.确认响应文件</w:t>
      </w:r>
    </w:p>
    <w:p w14:paraId="6246470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由磋商小组确认磋商文件。</w:t>
      </w:r>
    </w:p>
    <w:p w14:paraId="058D1618">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2.资格审查</w:t>
      </w:r>
    </w:p>
    <w:p w14:paraId="41A7AE10">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2.1响应文件开启后，磋商小组依法对供应商的资格证明文件进行审查。</w:t>
      </w:r>
    </w:p>
    <w:p w14:paraId="11413407">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注：采购人代表或者采购代理机构在资格审查结束前，对供应商进行信用查询。</w:t>
      </w:r>
    </w:p>
    <w:p w14:paraId="451288C7">
      <w:pP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（1）查询渠道：“广西政府采购云”平台“信用中国”网站(</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Style w:val="41"/>
          <w:rFonts w:hint="eastAsia" w:ascii="宋体" w:hAnsi="宋体" w:cs="宋体"/>
          <w:color w:val="auto"/>
          <w:szCs w:val="21"/>
          <w:highlight w:val="none"/>
        </w:rPr>
        <w:t>www.creditchina.gov.cn</w:t>
      </w:r>
      <w:r>
        <w:rPr>
          <w:rStyle w:val="41"/>
          <w:rFonts w:hint="eastAsia" w:ascii="宋体" w:hAnsi="宋体" w:cs="宋体"/>
          <w:color w:val="auto"/>
          <w:szCs w:val="21"/>
          <w:highlight w:val="none"/>
        </w:rPr>
        <w:fldChar w:fldCharType="end"/>
      </w:r>
      <w:r>
        <w:rPr>
          <w:rFonts w:hint="eastAsia" w:ascii="宋体" w:hAnsi="宋体" w:cs="宋体"/>
          <w:color w:val="auto"/>
          <w:szCs w:val="21"/>
          <w:highlight w:val="none"/>
        </w:rPr>
        <w:t>)、中国政府采购网(</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Style w:val="41"/>
          <w:rFonts w:hint="eastAsia" w:ascii="宋体" w:hAnsi="宋体" w:cs="宋体"/>
          <w:color w:val="auto"/>
          <w:szCs w:val="21"/>
          <w:highlight w:val="none"/>
        </w:rPr>
        <w:t>www.ccgp.gov.cn</w:t>
      </w:r>
      <w:r>
        <w:rPr>
          <w:rStyle w:val="41"/>
          <w:rFonts w:hint="eastAsia" w:ascii="宋体" w:hAnsi="宋体" w:cs="宋体"/>
          <w:color w:val="auto"/>
          <w:szCs w:val="21"/>
          <w:highlight w:val="none"/>
        </w:rPr>
        <w:fldChar w:fldCharType="end"/>
      </w:r>
      <w:r>
        <w:rPr>
          <w:rFonts w:hint="eastAsia" w:ascii="宋体" w:hAnsi="宋体" w:cs="宋体"/>
          <w:color w:val="auto"/>
          <w:szCs w:val="21"/>
          <w:highlight w:val="none"/>
        </w:rPr>
        <w:t>)链接入口。</w:t>
      </w:r>
    </w:p>
    <w:p w14:paraId="4271EC1C">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（2）信用查询截止时点：资格审查结束前。</w:t>
      </w:r>
    </w:p>
    <w:p w14:paraId="3887A844">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查询记录和证据留存方式：在查询网站中直接打印查询记录，截图另存为电子文档作为评审资料保存。</w:t>
      </w:r>
    </w:p>
    <w:p w14:paraId="1741737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（3）信用信息使用规则：对在“信用中国”网站(www.creditchina.gov.cn)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68BAB8E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2.2资格审查标准为本磋商采购文件中载明对供应商资格要求的条件。资格审查采用合格制，凡符合磋商采购文件规定的供应商资格要求的响应文件均通过资格审查。</w:t>
      </w:r>
    </w:p>
    <w:p w14:paraId="0A920A0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2.3供应商有下列情形之一的，资格审查不通过，其响应文件按无效响应处理：</w:t>
      </w:r>
    </w:p>
    <w:p w14:paraId="676F3CC2">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（1）不具备磋商采购文件中规定的资格要求的；</w:t>
      </w:r>
    </w:p>
    <w:p w14:paraId="1C63E7C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（2）响应文件未提供任一项“供应商须知前附表”资格证明文件规定的“必须提供”的文件资料的；</w:t>
      </w:r>
    </w:p>
    <w:p w14:paraId="68F95CE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（3）响应文件提供的资格证明文件出现任一项不符合“供应商须知前附表”资格证明文件规定的“必须提供”的文件资料要求或者无效的。</w:t>
      </w:r>
    </w:p>
    <w:p w14:paraId="031E5F69">
      <w:pPr>
        <w:spacing w:line="360" w:lineRule="auto"/>
        <w:ind w:firstLine="420" w:firstLineChars="200"/>
        <w:rPr>
          <w:rFonts w:ascii="宋体" w:hAnsi="宋体" w:cs="宋体"/>
          <w:color w:val="auto"/>
          <w:szCs w:val="21"/>
          <w:highlight w:val="none"/>
        </w:rPr>
      </w:pPr>
      <w:bookmarkStart w:id="60" w:name="_Hlk68601553"/>
      <w:r>
        <w:rPr>
          <w:rFonts w:hint="eastAsia" w:ascii="宋体" w:hAnsi="宋体" w:cs="宋体"/>
          <w:color w:val="auto"/>
          <w:szCs w:val="21"/>
          <w:highlight w:val="none"/>
        </w:rPr>
        <w:t>（4）同一合同项下的不同供应商，单位负责人为同一人或者存在直接控股、管理关系的；为本项目提供过整体设计、规范编制或者项目管理、监理、检测等服务的。</w:t>
      </w:r>
      <w:bookmarkEnd w:id="60"/>
    </w:p>
    <w:p w14:paraId="0983E4A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2.4通过资格审查的合格供应商不足3家的，不得进入符合性审查环节，采购人或者采购代理机构应当重新开展采购活动。</w:t>
      </w:r>
    </w:p>
    <w:p w14:paraId="4210D14D">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3.符合性审查</w:t>
      </w:r>
    </w:p>
    <w:p w14:paraId="5477D421">
      <w:pPr>
        <w:spacing w:line="360" w:lineRule="auto"/>
        <w:ind w:firstLine="420" w:firstLineChars="200"/>
        <w:rPr>
          <w:rFonts w:ascii="宋体" w:hAnsi="宋体" w:cs="宋体"/>
          <w:color w:val="auto"/>
          <w:szCs w:val="21"/>
          <w:highlight w:val="none"/>
        </w:rPr>
      </w:pPr>
      <w:bookmarkStart w:id="61" w:name="_Hlk42528882"/>
      <w:r>
        <w:rPr>
          <w:rFonts w:hint="eastAsia" w:ascii="宋体" w:hAnsi="宋体" w:cs="宋体"/>
          <w:color w:val="auto"/>
          <w:szCs w:val="21"/>
          <w:highlight w:val="none"/>
        </w:rPr>
        <w:t>3.1由磋商小组对通过资格审查的合格供应商的响应文件的响应报价、商务、技术等实质性要求进行符合性审查，以确定其是否满足磋商文件的实质性要求。</w:t>
      </w:r>
    </w:p>
    <w:bookmarkEnd w:id="61"/>
    <w:p w14:paraId="29ECEB3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A23F067">
      <w:pPr>
        <w:spacing w:line="360" w:lineRule="auto"/>
        <w:ind w:firstLine="420" w:firstLineChars="200"/>
        <w:rPr>
          <w:rFonts w:ascii="宋体" w:hAnsi="宋体" w:cs="宋体"/>
          <w:color w:val="auto"/>
          <w:spacing w:val="-6"/>
          <w:szCs w:val="21"/>
          <w:highlight w:val="none"/>
        </w:rPr>
      </w:pPr>
      <w:r>
        <w:rPr>
          <w:rFonts w:hint="eastAsia" w:ascii="宋体" w:hAnsi="宋体" w:cs="宋体"/>
          <w:color w:val="auto"/>
          <w:szCs w:val="21"/>
          <w:highlight w:val="none"/>
        </w:rPr>
        <w:t>3.3磋商小组要求供应商澄清、说明或者更正响应文件应当以电子澄清函形式作出。供应商的澄清、说明或者更正应当已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cs="宋体"/>
          <w:color w:val="auto"/>
          <w:spacing w:val="-6"/>
          <w:szCs w:val="21"/>
          <w:highlight w:val="none"/>
        </w:rPr>
        <w:t>。供应商为自然人的，必须由本人签字并附身份证明。</w:t>
      </w:r>
    </w:p>
    <w:p w14:paraId="32C05F49">
      <w:pPr>
        <w:spacing w:line="360" w:lineRule="auto"/>
        <w:ind w:firstLine="396" w:firstLineChars="200"/>
        <w:rPr>
          <w:rFonts w:ascii="宋体" w:hAnsi="宋体" w:cs="宋体"/>
          <w:color w:val="auto"/>
          <w:szCs w:val="21"/>
          <w:highlight w:val="none"/>
        </w:rPr>
      </w:pPr>
      <w:r>
        <w:rPr>
          <w:rFonts w:hint="eastAsia" w:ascii="宋体" w:hAnsi="宋体" w:cs="宋体"/>
          <w:color w:val="auto"/>
          <w:spacing w:val="-6"/>
          <w:szCs w:val="21"/>
          <w:highlight w:val="none"/>
        </w:rPr>
        <w:t>3.4</w:t>
      </w:r>
      <w:r>
        <w:rPr>
          <w:rFonts w:hint="eastAsia" w:ascii="宋体" w:hAnsi="宋体" w:cs="宋体"/>
          <w:color w:val="auto"/>
          <w:szCs w:val="21"/>
          <w:highlight w:val="none"/>
        </w:rPr>
        <w:t>首次响应文件报价出现前后不一致的，按照下列规定修正：</w:t>
      </w:r>
    </w:p>
    <w:p w14:paraId="3E74C4E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（1）响应文件中报价表内容与响应文件中相应内容不一致的，以报价表为准；</w:t>
      </w:r>
    </w:p>
    <w:p w14:paraId="3E9082F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（2）大写金额和小写金额不一致的，以大写金额为准；</w:t>
      </w:r>
    </w:p>
    <w:p w14:paraId="0E0902E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（3）单价金额小数点或者百分比有明显错位的，以报价表的总价为准，并修改单价；</w:t>
      </w:r>
    </w:p>
    <w:p w14:paraId="2A9C6E6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（4）总价金额与按单价汇总金额不一致的，以单价金额计算结果为准。</w:t>
      </w:r>
    </w:p>
    <w:p w14:paraId="408477E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14:paraId="1013E8E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3.5商务技术、报价评审</w:t>
      </w:r>
    </w:p>
    <w:p w14:paraId="5471C14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在评审时，如发现下列情形之一的，将被视为响应文件无效处理：</w:t>
      </w:r>
    </w:p>
    <w:p w14:paraId="4D6DE71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（1）商务技术评审</w:t>
      </w:r>
    </w:p>
    <w:p w14:paraId="3C03551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1）响应文件未按磋商文件要求签署、盖章；</w:t>
      </w:r>
    </w:p>
    <w:p w14:paraId="2C3192F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2）委托代理人未能出具有效身份证明或者出具的身份证明与授权委托书中的信息不符； </w:t>
      </w:r>
    </w:p>
    <w:p w14:paraId="1B3A501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4E04AEE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4）商务条款中标“▲”的条款发生负偏离的或者允许负偏离的条款数超过“供应商须知前附表”规定项数的或者标明实质性的要求发生负偏离；</w:t>
      </w:r>
    </w:p>
    <w:p w14:paraId="6D0341F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5）未对竞标有效期作出响应或者响应文件承诺的竞标有效期不满足磋商文件要求；</w:t>
      </w:r>
    </w:p>
    <w:p w14:paraId="1C248B0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6）响应文件的实质性内容未使用中文表述、使用计量单位不符合磋商文件要求；</w:t>
      </w:r>
    </w:p>
    <w:p w14:paraId="64376C8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7）响应文件中的文件资料因填写不齐全或者内容虚假或者出现其他情形而导致被磋商小组认定无效；</w:t>
      </w:r>
    </w:p>
    <w:p w14:paraId="7D5A36B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8）响应文件含有采购人不能接受的附加条件；</w:t>
      </w:r>
    </w:p>
    <w:p w14:paraId="2818C57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9）属于“供应商须知正文”第7.5条情形；</w:t>
      </w:r>
    </w:p>
    <w:p w14:paraId="0E7158B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10）技术要求中标“▲”的条款发生负偏离或允许负偏离的条款数超过“供应商须知前附表”规定项数的；</w:t>
      </w:r>
    </w:p>
    <w:p w14:paraId="4DA0B83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11）虚假竞标，或者出现其他情形而导致被磋商小组认定无效；</w:t>
      </w:r>
    </w:p>
    <w:p w14:paraId="18C7254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12）竞标技术方案不明确，磋商文件未允许但响应文件中存在一个或者一个以上备选（替代）竞标方案；</w:t>
      </w:r>
    </w:p>
    <w:p w14:paraId="5CF0356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13）响应文件标注的项目名称或者项目编号与竞争性磋商文件标注的项目名称或者项目编号不一致的；</w:t>
      </w:r>
    </w:p>
    <w:p w14:paraId="3F33520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14）未响应磋商文件实质性要求；</w:t>
      </w:r>
    </w:p>
    <w:p w14:paraId="2AC7FFA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15）法律、法规和磋商文件规定的其他无效情形。</w:t>
      </w:r>
    </w:p>
    <w:p w14:paraId="3BC7B36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（2）报价评审</w:t>
      </w:r>
    </w:p>
    <w:p w14:paraId="3CCCB98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 响应文件未提供“供应商须知前附表”报价文件中规定的“响应报价表”；</w:t>
      </w:r>
    </w:p>
    <w:p w14:paraId="55FE16A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2）未采用人民币报价或者未按照磋商文件标明的币种报价；</w:t>
      </w:r>
    </w:p>
    <w:p w14:paraId="16FC7F0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296BA6C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4）响应报价（包含首次报价、最后报价）超过所竞标分标规定的采购预算金额或者最高限价的（如本项目公布了最高限价）；</w:t>
      </w:r>
      <w:bookmarkStart w:id="62" w:name="_Hlk42596405"/>
      <w:r>
        <w:rPr>
          <w:rFonts w:hint="eastAsia" w:ascii="宋体" w:hAnsi="宋体" w:cs="宋体"/>
          <w:color w:val="auto"/>
          <w:szCs w:val="21"/>
          <w:highlight w:val="none"/>
        </w:rPr>
        <w:t>响应报价（包含首次报价、最后报价）</w:t>
      </w:r>
      <w:bookmarkEnd w:id="62"/>
      <w:bookmarkStart w:id="63" w:name="_Hlk42596276"/>
      <w:r>
        <w:rPr>
          <w:rFonts w:hint="eastAsia" w:ascii="宋体" w:hAnsi="宋体" w:cs="宋体"/>
          <w:color w:val="auto"/>
          <w:szCs w:val="21"/>
          <w:highlight w:val="none"/>
        </w:rPr>
        <w:t>超过磋商文件分项采购预算金额或者最高限价的</w:t>
      </w:r>
      <w:bookmarkEnd w:id="63"/>
      <w:r>
        <w:rPr>
          <w:rFonts w:hint="eastAsia" w:ascii="宋体" w:hAnsi="宋体" w:cs="宋体"/>
          <w:color w:val="auto"/>
          <w:szCs w:val="21"/>
          <w:highlight w:val="none"/>
        </w:rPr>
        <w:t>（如本项目公布了最高限价）；</w:t>
      </w:r>
    </w:p>
    <w:p w14:paraId="1E8C406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14:paraId="5E0D290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6）响应文件响应的标的数量及单位与竞争性磋商采购文件要求实质性不一致的。</w:t>
      </w:r>
    </w:p>
    <w:p w14:paraId="133021D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53F711A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3.7非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66034539">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4.磋商程序</w:t>
      </w:r>
    </w:p>
    <w:p w14:paraId="7AF3D8E1">
      <w:pPr>
        <w:spacing w:line="360" w:lineRule="auto"/>
        <w:ind w:firstLine="420" w:firstLineChars="200"/>
        <w:rPr>
          <w:rFonts w:ascii="宋体" w:hAnsi="宋体" w:cs="宋体"/>
          <w:b/>
          <w:color w:val="auto"/>
          <w:kern w:val="0"/>
          <w:szCs w:val="21"/>
          <w:highlight w:val="none"/>
        </w:rPr>
      </w:pPr>
      <w:r>
        <w:rPr>
          <w:rFonts w:hint="eastAsia" w:ascii="宋体" w:hAnsi="宋体" w:cs="宋体"/>
          <w:color w:val="auto"/>
          <w:kern w:val="0"/>
          <w:szCs w:val="21"/>
          <w:highlight w:val="none"/>
        </w:rPr>
        <w:t>4.1磋商小组按照“供应商须知前附表”确定的</w:t>
      </w:r>
      <w:r>
        <w:rPr>
          <w:rFonts w:hint="eastAsia" w:ascii="宋体" w:hAnsi="宋体" w:cs="宋体"/>
          <w:color w:val="auto"/>
          <w:szCs w:val="21"/>
          <w:highlight w:val="none"/>
        </w:rPr>
        <w:t>顺序，集中与单一供应商分别进行磋商，并给予所有参加磋商的供应商平等的磋商机会。符合磋商资格的供应商必须在接到磋商通知后规定时间内参加磋商，未在规定时间内参加磋商的视同放弃参加磋商权利，</w:t>
      </w:r>
      <w:r>
        <w:rPr>
          <w:rFonts w:hint="eastAsia" w:ascii="宋体" w:hAnsi="宋体" w:cs="宋体"/>
          <w:b/>
          <w:color w:val="auto"/>
          <w:szCs w:val="21"/>
          <w:highlight w:val="none"/>
        </w:rPr>
        <w:t>其响应文件按无效响应处理。</w:t>
      </w:r>
    </w:p>
    <w:p w14:paraId="0EFE612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1D71906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4.3对磋商文件作出的实质性变动是磋商文件的有效组成部分，由磋商小组及时以电子澄清函形式同时通知所有参加磋商的供应商。</w:t>
      </w:r>
    </w:p>
    <w:p w14:paraId="407E471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36038A1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4.5磋商中，</w:t>
      </w:r>
      <w:r>
        <w:rPr>
          <w:rFonts w:hint="eastAsia" w:ascii="宋体" w:hAnsi="宋体" w:cs="宋体"/>
          <w:color w:val="auto"/>
          <w:spacing w:val="-6"/>
          <w:szCs w:val="21"/>
          <w:highlight w:val="none"/>
        </w:rPr>
        <w:t>磋商的任何一方不得透露与磋商有关的其他供应商的技术资料、价格和其他信息。</w:t>
      </w:r>
    </w:p>
    <w:p w14:paraId="1310C0CA">
      <w:pPr>
        <w:widowControl/>
        <w:tabs>
          <w:tab w:val="left" w:pos="540"/>
        </w:tabs>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4.6磋商小组应对磋商过程和重要磋商内容进行记录，作为评审报告一部分，磋商小组在记录上签字确认。</w:t>
      </w:r>
      <w:r>
        <w:rPr>
          <w:rFonts w:hint="eastAsia" w:ascii="宋体" w:hAnsi="宋体" w:cs="宋体"/>
          <w:b/>
          <w:color w:val="auto"/>
          <w:highlight w:val="none"/>
        </w:rPr>
        <w:t>主要内容包括：</w:t>
      </w:r>
    </w:p>
    <w:p w14:paraId="24D22F35">
      <w:pPr>
        <w:pStyle w:val="95"/>
        <w:spacing w:before="0"/>
        <w:ind w:firstLine="396"/>
        <w:rPr>
          <w:rFonts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（1）按照相关规定进行公示的，公示情况说明；</w:t>
      </w:r>
    </w:p>
    <w:p w14:paraId="20ED6F13">
      <w:pPr>
        <w:pStyle w:val="95"/>
        <w:spacing w:before="0"/>
        <w:ind w:firstLine="396"/>
        <w:rPr>
          <w:rFonts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（2）磋商日期和地点，磋商人员名单；</w:t>
      </w:r>
    </w:p>
    <w:p w14:paraId="5FFE4A72">
      <w:pPr>
        <w:pStyle w:val="95"/>
        <w:spacing w:before="0"/>
        <w:ind w:firstLine="396"/>
        <w:rPr>
          <w:rFonts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（3）合同主要条款及价格商定情况。</w:t>
      </w:r>
    </w:p>
    <w:p w14:paraId="6FB38F17">
      <w:pPr>
        <w:widowControl/>
        <w:tabs>
          <w:tab w:val="left" w:pos="540"/>
        </w:tabs>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4.7磋商过程中重新提交的响应文件，供应商可以在开启前补充、修改。</w:t>
      </w:r>
    </w:p>
    <w:p w14:paraId="2C928E6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4.8对磋商过程提交的响应文件进行有效性、完整性和响应程度审查，通过审查的合格供应商不足3家的，采购人或者采购代理机构应当重新开展采购活动。</w:t>
      </w:r>
    </w:p>
    <w:p w14:paraId="490C71C5">
      <w:pPr>
        <w:spacing w:line="360" w:lineRule="auto"/>
        <w:ind w:firstLine="482" w:firstLineChars="200"/>
        <w:rPr>
          <w:rFonts w:ascii="宋体" w:hAnsi="宋体" w:cs="宋体"/>
          <w:color w:val="auto"/>
          <w:szCs w:val="21"/>
          <w:highlight w:val="none"/>
        </w:rPr>
      </w:pPr>
      <w:r>
        <w:rPr>
          <w:rFonts w:hint="eastAsia" w:ascii="宋体" w:hAnsi="宋体" w:cs="宋体"/>
          <w:b/>
          <w:bCs/>
          <w:color w:val="auto"/>
          <w:sz w:val="24"/>
          <w:highlight w:val="none"/>
        </w:rPr>
        <w:t>5. 最后报价</w:t>
      </w:r>
    </w:p>
    <w:p w14:paraId="2D6950B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5.1磋商采购文件能够详细列明采购标的的技术、服务要求的，磋商结束后，由磋商小组要求所有继续参加磋商的供应商在规定时间内密封提交最后报价</w:t>
      </w:r>
      <w:r>
        <w:rPr>
          <w:rFonts w:hint="eastAsia" w:ascii="宋体" w:hAnsi="宋体"/>
          <w:b/>
          <w:color w:val="auto"/>
          <w:szCs w:val="21"/>
          <w:highlight w:val="none"/>
        </w:rPr>
        <w:t>并附相应的最后报价明细表（报价明细表按第五章要求格式填写），最后报价和相应的最后报价明细表须逐页由其法定代表人或授权代表签字或者加盖公章（或电子公章）且自行编制页码</w:t>
      </w:r>
      <w:r>
        <w:rPr>
          <w:rFonts w:hint="eastAsia" w:ascii="宋体" w:hAnsi="宋体" w:cs="宋体"/>
          <w:color w:val="auto"/>
          <w:szCs w:val="21"/>
          <w:highlight w:val="none"/>
        </w:rPr>
        <w:t>，除本章第5.3条外，提交最后报价的供应商不得少于3家，否则必须重新采购。</w:t>
      </w:r>
    </w:p>
    <w:p w14:paraId="1B321CA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5.2磋商采购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在“广西政府采购云”平台远程不见面开标大厅响应最后报价。</w:t>
      </w:r>
    </w:p>
    <w:p w14:paraId="68E2037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08FDBAD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5.4已经提交响应文件的供应商，在提交最后报价之前，可以根据磋商情况退出磋商，退出磋商的供应商的响应文件按无效响应处理。</w:t>
      </w:r>
    </w:p>
    <w:p w14:paraId="135EF28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5.5供应商未在规定时间内提交最后报价的</w:t>
      </w:r>
      <w:r>
        <w:rPr>
          <w:rFonts w:hint="eastAsia" w:ascii="宋体" w:hAnsi="宋体" w:cs="宋体"/>
          <w:b/>
          <w:color w:val="auto"/>
          <w:szCs w:val="21"/>
          <w:highlight w:val="none"/>
        </w:rPr>
        <w:t>，视同放弃报价权利退出磋商。</w:t>
      </w:r>
    </w:p>
    <w:p w14:paraId="0F0365D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5.6磋商小组收齐某一分标最后报价后或达到规定时间后统一开启，磋商小组对最后报价进行有效性、完整性和响应程度的审查。</w:t>
      </w:r>
    </w:p>
    <w:p w14:paraId="65FA3D5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5.7响应文件首次及最后报价出现前后不一致的，按照本章第3.4条的规定修正。</w:t>
      </w:r>
    </w:p>
    <w:p w14:paraId="20BF635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5.8修正后的最终报价出现下列情形的，按无效响应处理：</w:t>
      </w:r>
    </w:p>
    <w:p w14:paraId="0DD58EA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（1）供应商不确认的（全流程电子化评标采取在线确认）；</w:t>
      </w:r>
    </w:p>
    <w:p w14:paraId="67EBF87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（2）经供应商确认修正后的响应报价（包含首次报价、最后报价）超过所竞标分标规定的采购预算金额或者最高限价的（如本项目公布了最高限价）；</w:t>
      </w:r>
    </w:p>
    <w:p w14:paraId="041BD24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（3）经供应商确认修正后的响应报价（包含首次报价、最后报价）超过分项采购预算金额或者最高限价的（如本项目公布了最高限价）。</w:t>
      </w:r>
    </w:p>
    <w:p w14:paraId="4848D39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5.9经供应商确认修正后的最后报价作为评审及签订合同的依据。</w:t>
      </w:r>
    </w:p>
    <w:p w14:paraId="1C052C8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5.10供应商出现最后报价按无效响应处理或者响应文件按无效处理时</w:t>
      </w:r>
      <w:r>
        <w:rPr>
          <w:rFonts w:hint="eastAsia" w:ascii="宋体" w:hAnsi="宋体" w:cs="宋体"/>
          <w:color w:val="auto"/>
          <w:sz w:val="22"/>
          <w:szCs w:val="22"/>
          <w:highlight w:val="none"/>
        </w:rPr>
        <w:t>，磋商小组应当告知有关供应商</w:t>
      </w:r>
      <w:r>
        <w:rPr>
          <w:rFonts w:hint="eastAsia" w:ascii="宋体" w:hAnsi="宋体" w:cs="宋体"/>
          <w:color w:val="auto"/>
          <w:szCs w:val="21"/>
          <w:highlight w:val="none"/>
        </w:rPr>
        <w:t>。</w:t>
      </w:r>
    </w:p>
    <w:p w14:paraId="1D74A8C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5.11最后报价结束后，磋商小组不得再与供应商进行任何形式的商谈。</w:t>
      </w:r>
    </w:p>
    <w:p w14:paraId="1F7D5298">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6. 评审方法</w:t>
      </w:r>
    </w:p>
    <w:p w14:paraId="7446ABAB">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6.1评审方法：综合评分法。</w:t>
      </w:r>
    </w:p>
    <w:p w14:paraId="4325308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6.2经磋商确定最终采购需求和提交最后报价的供应商后，由磋商小组采用综合评分法对提交最后报价的供应商的响应文件和最后报价进行综合评分。</w:t>
      </w:r>
    </w:p>
    <w:p w14:paraId="450A361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6.3评审时，磋商小组各成员应当独立对每个有效响应的文件进行评价、打分，然后汇总每个供应商每项评分因素的得分。</w:t>
      </w:r>
    </w:p>
    <w:p w14:paraId="44909D2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（1）磋商小组按照磋商文件中规定的评审标准计算各供应商的报价得分。项目评审过程中，不得去掉最后报价中的最高报价和最低报价。</w:t>
      </w:r>
    </w:p>
    <w:p w14:paraId="30C5608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（2）各供应商的得分为磋商小组所有成员的有效评分的算术平均数。</w:t>
      </w:r>
    </w:p>
    <w:p w14:paraId="3F8463C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6.4评审价为供应商的最后报价进行政策性扣除后的价格，评审价只是作为评审时使用。最终成交供应商的成交金额等于最后报价（如有修正，以确认修正后的最后报价为准）。</w:t>
      </w:r>
    </w:p>
    <w:p w14:paraId="1CFCE13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6.5由磋商小组根据综合评分情况，按照评审得分由高到低顺序推荐3名以上成交候选供应商，并编写评审报告。符合本章第5.3条情形的，可以推荐2家成交候选供应商。评审得分相同的，按照最后报价由低到高的顺序推荐。评审得分且最后报价相同的，按照技术指标优劣顺序推荐。</w:t>
      </w:r>
    </w:p>
    <w:p w14:paraId="1743E37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2AE730EB">
      <w:pPr>
        <w:spacing w:line="360" w:lineRule="auto"/>
        <w:ind w:firstLine="643" w:firstLineChars="200"/>
        <w:rPr>
          <w:rFonts w:ascii="宋体" w:hAnsi="宋体"/>
          <w:b/>
          <w:color w:val="auto"/>
          <w:sz w:val="32"/>
          <w:szCs w:val="32"/>
          <w:highlight w:val="none"/>
        </w:rPr>
      </w:pPr>
      <w:r>
        <w:rPr>
          <w:rFonts w:hint="eastAsia" w:ascii="宋体" w:hAnsi="宋体"/>
          <w:b/>
          <w:color w:val="auto"/>
          <w:sz w:val="32"/>
          <w:szCs w:val="32"/>
          <w:highlight w:val="none"/>
        </w:rPr>
        <w:t>7.评审标准</w:t>
      </w:r>
    </w:p>
    <w:p w14:paraId="2FC6F34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7.1评审依据：磋商小组将以磋商响应文件为评审依据，对供应商的报价、技术、商务等方面内容按百分制打分。（计分方法按四舍五入取至百分位）</w:t>
      </w:r>
    </w:p>
    <w:p w14:paraId="507BE45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7.2商务技术评审因素为客观评分项的，应在评分项目或评分标准中予以标注为“客观分”。对供应商的客观评分项目，各评审专家评分应当一致。</w:t>
      </w:r>
    </w:p>
    <w:tbl>
      <w:tblPr>
        <w:tblStyle w:val="31"/>
        <w:tblpPr w:leftFromText="180" w:rightFromText="180" w:vertAnchor="text" w:horzAnchor="page" w:tblpXSpec="center" w:tblpY="605"/>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418"/>
        <w:gridCol w:w="6288"/>
        <w:gridCol w:w="851"/>
      </w:tblGrid>
      <w:tr w14:paraId="6B2DB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0" w:type="dxa"/>
            <w:shd w:val="clear" w:color="auto" w:fill="auto"/>
            <w:vAlign w:val="center"/>
          </w:tcPr>
          <w:p w14:paraId="469D3C0E">
            <w:pPr>
              <w:widowControl/>
              <w:spacing w:line="340" w:lineRule="exact"/>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序号</w:t>
            </w:r>
          </w:p>
        </w:tc>
        <w:tc>
          <w:tcPr>
            <w:tcW w:w="1418" w:type="dxa"/>
            <w:shd w:val="clear" w:color="auto" w:fill="auto"/>
            <w:vAlign w:val="center"/>
          </w:tcPr>
          <w:p w14:paraId="702387D7">
            <w:pPr>
              <w:widowControl/>
              <w:spacing w:line="340" w:lineRule="exact"/>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评审因素</w:t>
            </w:r>
          </w:p>
        </w:tc>
        <w:tc>
          <w:tcPr>
            <w:tcW w:w="6288" w:type="dxa"/>
            <w:shd w:val="clear" w:color="auto" w:fill="auto"/>
            <w:vAlign w:val="center"/>
          </w:tcPr>
          <w:p w14:paraId="7C074F36">
            <w:pPr>
              <w:widowControl/>
              <w:spacing w:line="340" w:lineRule="exact"/>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评审因素具体内容</w:t>
            </w:r>
          </w:p>
        </w:tc>
        <w:tc>
          <w:tcPr>
            <w:tcW w:w="851" w:type="dxa"/>
            <w:shd w:val="clear" w:color="auto" w:fill="auto"/>
            <w:vAlign w:val="center"/>
          </w:tcPr>
          <w:p w14:paraId="7B958AD8">
            <w:pPr>
              <w:widowControl/>
              <w:spacing w:line="340" w:lineRule="exact"/>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分值</w:t>
            </w:r>
          </w:p>
        </w:tc>
      </w:tr>
      <w:tr w14:paraId="59C78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0" w:type="dxa"/>
            <w:shd w:val="clear" w:color="auto" w:fill="auto"/>
            <w:vAlign w:val="center"/>
          </w:tcPr>
          <w:p w14:paraId="2F675D56">
            <w:pPr>
              <w:widowControl/>
              <w:spacing w:line="340" w:lineRule="exact"/>
              <w:jc w:val="center"/>
              <w:rPr>
                <w:rFonts w:ascii="宋体" w:hAnsi="宋体" w:cs="Tahoma"/>
                <w:color w:val="auto"/>
                <w:kern w:val="0"/>
                <w:szCs w:val="21"/>
                <w:highlight w:val="none"/>
              </w:rPr>
            </w:pPr>
            <w:r>
              <w:rPr>
                <w:rFonts w:hint="eastAsia" w:ascii="宋体" w:hAnsi="宋体" w:cs="Tahoma"/>
                <w:color w:val="auto"/>
                <w:kern w:val="0"/>
                <w:szCs w:val="21"/>
                <w:highlight w:val="none"/>
              </w:rPr>
              <w:t>1</w:t>
            </w:r>
          </w:p>
        </w:tc>
        <w:tc>
          <w:tcPr>
            <w:tcW w:w="1418" w:type="dxa"/>
            <w:shd w:val="clear" w:color="auto" w:fill="auto"/>
            <w:vAlign w:val="center"/>
          </w:tcPr>
          <w:p w14:paraId="569FB541">
            <w:pPr>
              <w:widowControl/>
              <w:spacing w:line="340" w:lineRule="exact"/>
              <w:jc w:val="center"/>
              <w:rPr>
                <w:rFonts w:ascii="宋体" w:hAnsi="宋体" w:cs="Tahoma"/>
                <w:color w:val="auto"/>
                <w:kern w:val="0"/>
                <w:szCs w:val="21"/>
                <w:highlight w:val="none"/>
              </w:rPr>
            </w:pPr>
            <w:r>
              <w:rPr>
                <w:rFonts w:hint="eastAsia" w:ascii="宋体" w:hAnsi="宋体" w:cs="Tahoma"/>
                <w:color w:val="auto"/>
                <w:kern w:val="0"/>
                <w:szCs w:val="21"/>
                <w:highlight w:val="none"/>
              </w:rPr>
              <w:t>价格分（10分）</w:t>
            </w:r>
          </w:p>
        </w:tc>
        <w:tc>
          <w:tcPr>
            <w:tcW w:w="6288" w:type="dxa"/>
            <w:shd w:val="clear" w:color="auto" w:fill="auto"/>
          </w:tcPr>
          <w:p w14:paraId="4E2C5E6F">
            <w:pPr>
              <w:snapToGrid w:val="0"/>
              <w:spacing w:line="340" w:lineRule="exact"/>
              <w:ind w:firstLine="443" w:firstLineChars="211"/>
              <w:rPr>
                <w:rFonts w:ascii="宋体" w:hAnsi="宋体" w:cs="宋体"/>
                <w:color w:val="auto"/>
                <w:szCs w:val="21"/>
                <w:highlight w:val="none"/>
              </w:rPr>
            </w:pPr>
            <w:r>
              <w:rPr>
                <w:rFonts w:hint="eastAsia" w:ascii="宋体" w:hAnsi="宋体" w:cs="宋体"/>
                <w:color w:val="auto"/>
                <w:szCs w:val="21"/>
                <w:highlight w:val="none"/>
              </w:rPr>
              <w:t>（1）评审报价为供应商的竞标报价进行政策性扣除后的价格，评审报价只是作为评审时使用。最终成交人的成交金额等于竞标报价。</w:t>
            </w:r>
          </w:p>
          <w:p w14:paraId="4A70E899">
            <w:pPr>
              <w:snapToGrid w:val="0"/>
              <w:spacing w:line="340" w:lineRule="exact"/>
              <w:ind w:firstLine="443" w:firstLineChars="211"/>
              <w:rPr>
                <w:rFonts w:ascii="宋体" w:hAnsi="宋体" w:cs="宋体"/>
                <w:color w:val="auto"/>
                <w:szCs w:val="21"/>
                <w:highlight w:val="none"/>
              </w:rPr>
            </w:pPr>
            <w:r>
              <w:rPr>
                <w:rFonts w:hint="eastAsia" w:ascii="宋体" w:hAnsi="宋体" w:cs="宋体"/>
                <w:color w:val="auto"/>
                <w:szCs w:val="21"/>
                <w:highlight w:val="none"/>
              </w:rPr>
              <w:t>（2）政策性扣除计算方法</w:t>
            </w:r>
          </w:p>
          <w:p w14:paraId="2DDB2C49">
            <w:pPr>
              <w:snapToGrid w:val="0"/>
              <w:spacing w:line="340" w:lineRule="exact"/>
              <w:ind w:firstLine="443" w:firstLineChars="211"/>
              <w:rPr>
                <w:rFonts w:ascii="宋体" w:hAnsi="宋体" w:cs="宋体"/>
                <w:color w:val="auto"/>
                <w:szCs w:val="21"/>
                <w:highlight w:val="none"/>
              </w:rPr>
            </w:pPr>
            <w:r>
              <w:rPr>
                <w:rFonts w:hint="eastAsia" w:ascii="宋体" w:hAnsi="宋体" w:cs="宋体"/>
                <w:color w:val="auto"/>
                <w:szCs w:val="21"/>
                <w:highlight w:val="none"/>
              </w:rPr>
              <w:t>根据《政府采购促进中小企业发展管理办法》（财库〔2020〕46号）及《广西壮族自治区财政厅关于持续优化政府采购营商环境推动高质量发展的通知》（桂财采〔2024〕55号）的规定，供应商在其响应文件中提供《中小企业声明函》，服务由中小微企业承接的，对其竞标报价给予20%的扣除，扣除后的价格为评审报价，即评审报价=竞标报价×（1-20%）。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4%的扣除，用扣除后的价格参加评审，扣除后的价格为评审报价，即评审报价=竞标报价×（1-4%）。除上述情况外，评审报价=竞标报价。</w:t>
            </w:r>
          </w:p>
          <w:p w14:paraId="696C6ADD">
            <w:pPr>
              <w:snapToGrid w:val="0"/>
              <w:spacing w:line="340" w:lineRule="exact"/>
              <w:ind w:firstLine="443" w:firstLineChars="211"/>
              <w:rPr>
                <w:rFonts w:ascii="宋体" w:hAnsi="宋体" w:cs="宋体"/>
                <w:color w:val="auto"/>
                <w:szCs w:val="21"/>
                <w:highlight w:val="none"/>
              </w:rPr>
            </w:pPr>
            <w:r>
              <w:rPr>
                <w:rFonts w:hint="eastAsia" w:ascii="宋体" w:hAnsi="宋体" w:cs="宋体"/>
                <w:color w:val="auto"/>
                <w:szCs w:val="21"/>
                <w:highlight w:val="none"/>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14:paraId="4A8AAF4F">
            <w:pPr>
              <w:snapToGrid w:val="0"/>
              <w:spacing w:line="340" w:lineRule="exact"/>
              <w:ind w:firstLine="443" w:firstLineChars="211"/>
              <w:rPr>
                <w:rFonts w:ascii="宋体" w:hAnsi="宋体" w:cs="宋体"/>
                <w:color w:val="auto"/>
                <w:szCs w:val="21"/>
                <w:highlight w:val="none"/>
              </w:rPr>
            </w:pPr>
            <w:r>
              <w:rPr>
                <w:rFonts w:hint="eastAsia" w:ascii="宋体" w:hAnsi="宋体" w:cs="宋体"/>
                <w:color w:val="auto"/>
                <w:szCs w:val="21"/>
                <w:highlight w:val="none"/>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1742C674">
            <w:pPr>
              <w:snapToGrid w:val="0"/>
              <w:spacing w:line="340" w:lineRule="exact"/>
              <w:ind w:firstLine="443" w:firstLineChars="211"/>
              <w:rPr>
                <w:rFonts w:ascii="宋体" w:hAnsi="宋体" w:cs="宋体"/>
                <w:color w:val="auto"/>
                <w:szCs w:val="21"/>
                <w:highlight w:val="none"/>
              </w:rPr>
            </w:pPr>
            <w:r>
              <w:rPr>
                <w:rFonts w:hint="eastAsia" w:ascii="宋体" w:hAnsi="宋体" w:cs="宋体"/>
                <w:color w:val="auto"/>
                <w:szCs w:val="21"/>
                <w:highlight w:val="none"/>
              </w:rPr>
              <w:t>（5）满足采购文件要求且评审报价最低的评审报价为评审基准价，其价格分为满分。</w:t>
            </w:r>
          </w:p>
          <w:p w14:paraId="4468E918">
            <w:pPr>
              <w:snapToGrid w:val="0"/>
              <w:spacing w:line="340" w:lineRule="exact"/>
              <w:ind w:firstLine="443" w:firstLineChars="211"/>
              <w:rPr>
                <w:rFonts w:ascii="宋体" w:hAnsi="宋体" w:cs="宋体"/>
                <w:color w:val="auto"/>
                <w:szCs w:val="21"/>
                <w:highlight w:val="none"/>
              </w:rPr>
            </w:pPr>
            <w:r>
              <w:rPr>
                <w:rFonts w:hint="eastAsia" w:ascii="宋体" w:hAnsi="宋体" w:cs="宋体"/>
                <w:color w:val="auto"/>
                <w:szCs w:val="21"/>
                <w:highlight w:val="none"/>
              </w:rPr>
              <w:t>（6）价格分计算公式：</w:t>
            </w:r>
          </w:p>
          <w:p w14:paraId="0458DA34">
            <w:pPr>
              <w:snapToGrid w:val="0"/>
              <w:spacing w:line="340" w:lineRule="exact"/>
              <w:ind w:firstLine="445" w:firstLineChars="211"/>
              <w:rPr>
                <w:rFonts w:ascii="宋体" w:hAnsi="宋体" w:cs="宋体"/>
                <w:b/>
                <w:color w:val="auto"/>
                <w:szCs w:val="21"/>
                <w:highlight w:val="none"/>
              </w:rPr>
            </w:pPr>
            <w:r>
              <w:rPr>
                <w:rFonts w:hint="eastAsia" w:ascii="宋体" w:hAnsi="宋体" w:cs="宋体"/>
                <w:b/>
                <w:color w:val="auto"/>
                <w:szCs w:val="21"/>
                <w:highlight w:val="none"/>
              </w:rPr>
              <w:t>价格分=（评审基准价／评审报价）×10分</w:t>
            </w:r>
          </w:p>
          <w:p w14:paraId="2ECD3AB6">
            <w:pPr>
              <w:spacing w:line="340" w:lineRule="exact"/>
              <w:ind w:firstLine="420" w:firstLineChars="200"/>
              <w:rPr>
                <w:rFonts w:ascii="宋体" w:hAnsi="宋体" w:cs="Courier New"/>
                <w:bCs/>
                <w:color w:val="auto"/>
                <w:szCs w:val="21"/>
                <w:highlight w:val="none"/>
              </w:rPr>
            </w:pPr>
            <w:r>
              <w:rPr>
                <w:rFonts w:hint="eastAsia" w:ascii="宋体" w:hAnsi="宋体" w:cs="宋体"/>
                <w:color w:val="auto"/>
                <w:szCs w:val="21"/>
                <w:highlight w:val="none"/>
              </w:rPr>
              <w:t>（7）为了确保采购项目的完成质量和维护公平的竞争及合同的正常履行，根据《政府采购货物和服务招标投标管理办法》（中华人民共和国财政部第87号令）第六十条的规定,磋商小组认为供应商的报价明显低于其他通过符合性审查供应商的报价，有可能影响产品质量或者不能诚信履约的，应当要求其在评审现场合理的时间内提供书面说明，必要时提交相关证明材料；供应商不能证明其报价合理性的，磋商小组应当将其作为无效投标处理。</w:t>
            </w:r>
          </w:p>
        </w:tc>
        <w:tc>
          <w:tcPr>
            <w:tcW w:w="851" w:type="dxa"/>
            <w:shd w:val="clear" w:color="auto" w:fill="auto"/>
            <w:vAlign w:val="center"/>
          </w:tcPr>
          <w:p w14:paraId="5633B046">
            <w:pPr>
              <w:widowControl/>
              <w:spacing w:line="340" w:lineRule="exact"/>
              <w:jc w:val="center"/>
              <w:rPr>
                <w:rFonts w:ascii="宋体" w:hAnsi="宋体" w:cs="Tahoma"/>
                <w:color w:val="auto"/>
                <w:kern w:val="0"/>
                <w:szCs w:val="21"/>
                <w:highlight w:val="none"/>
              </w:rPr>
            </w:pPr>
            <w:r>
              <w:rPr>
                <w:rFonts w:hint="eastAsia" w:ascii="宋体" w:hAnsi="宋体" w:cs="Tahoma"/>
                <w:b/>
                <w:bCs/>
                <w:color w:val="auto"/>
                <w:kern w:val="0"/>
                <w:szCs w:val="21"/>
                <w:highlight w:val="none"/>
              </w:rPr>
              <w:t>10分</w:t>
            </w:r>
          </w:p>
        </w:tc>
      </w:tr>
      <w:tr w14:paraId="4E4DC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720" w:type="dxa"/>
            <w:shd w:val="clear" w:color="auto" w:fill="auto"/>
            <w:vAlign w:val="center"/>
          </w:tcPr>
          <w:p w14:paraId="57EC4B8D">
            <w:pPr>
              <w:widowControl/>
              <w:spacing w:line="340" w:lineRule="exact"/>
              <w:jc w:val="center"/>
              <w:rPr>
                <w:rFonts w:ascii="宋体" w:hAnsi="宋体" w:cs="Tahoma"/>
                <w:b/>
                <w:color w:val="auto"/>
                <w:kern w:val="0"/>
                <w:szCs w:val="21"/>
                <w:highlight w:val="none"/>
              </w:rPr>
            </w:pPr>
            <w:r>
              <w:rPr>
                <w:rFonts w:hint="eastAsia" w:ascii="宋体" w:hAnsi="宋体"/>
                <w:b/>
                <w:color w:val="auto"/>
                <w:kern w:val="0"/>
                <w:szCs w:val="21"/>
                <w:highlight w:val="none"/>
              </w:rPr>
              <w:t>2</w:t>
            </w:r>
          </w:p>
        </w:tc>
        <w:tc>
          <w:tcPr>
            <w:tcW w:w="1418" w:type="dxa"/>
            <w:shd w:val="clear" w:color="auto" w:fill="auto"/>
            <w:vAlign w:val="center"/>
          </w:tcPr>
          <w:p w14:paraId="71D2359C">
            <w:pPr>
              <w:widowControl/>
              <w:spacing w:line="340" w:lineRule="exact"/>
              <w:jc w:val="center"/>
              <w:rPr>
                <w:rFonts w:ascii="宋体" w:hAnsi="宋体" w:cs="Tahoma"/>
                <w:b/>
                <w:color w:val="auto"/>
                <w:kern w:val="0"/>
                <w:szCs w:val="21"/>
                <w:highlight w:val="none"/>
              </w:rPr>
            </w:pPr>
            <w:r>
              <w:rPr>
                <w:rFonts w:hint="eastAsia" w:ascii="宋体" w:hAnsi="宋体"/>
                <w:b/>
                <w:color w:val="auto"/>
                <w:kern w:val="0"/>
                <w:szCs w:val="21"/>
                <w:highlight w:val="none"/>
              </w:rPr>
              <w:t>技术分</w:t>
            </w:r>
          </w:p>
        </w:tc>
        <w:tc>
          <w:tcPr>
            <w:tcW w:w="7139" w:type="dxa"/>
            <w:gridSpan w:val="2"/>
            <w:shd w:val="clear" w:color="auto" w:fill="auto"/>
            <w:vAlign w:val="center"/>
          </w:tcPr>
          <w:p w14:paraId="63991A5A">
            <w:pPr>
              <w:widowControl/>
              <w:spacing w:line="340" w:lineRule="exact"/>
              <w:jc w:val="center"/>
              <w:rPr>
                <w:rFonts w:ascii="宋体" w:hAnsi="宋体" w:cs="Tahoma"/>
                <w:b/>
                <w:color w:val="auto"/>
                <w:kern w:val="0"/>
                <w:szCs w:val="21"/>
                <w:highlight w:val="none"/>
              </w:rPr>
            </w:pPr>
            <w:r>
              <w:rPr>
                <w:rFonts w:hint="eastAsia" w:ascii="宋体" w:hAnsi="宋体" w:cs="Tahoma"/>
                <w:b/>
                <w:color w:val="auto"/>
                <w:kern w:val="0"/>
                <w:szCs w:val="21"/>
                <w:highlight w:val="none"/>
              </w:rPr>
              <w:t>评审因素</w:t>
            </w:r>
          </w:p>
        </w:tc>
      </w:tr>
      <w:tr w14:paraId="2FEC1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720" w:type="dxa"/>
            <w:shd w:val="clear" w:color="auto" w:fill="auto"/>
            <w:vAlign w:val="center"/>
          </w:tcPr>
          <w:p w14:paraId="7B7A9B8A">
            <w:pPr>
              <w:widowControl/>
              <w:spacing w:line="340" w:lineRule="exact"/>
              <w:jc w:val="center"/>
              <w:rPr>
                <w:rFonts w:ascii="宋体" w:hAnsi="宋体"/>
                <w:bCs/>
                <w:color w:val="auto"/>
                <w:kern w:val="0"/>
                <w:szCs w:val="21"/>
                <w:highlight w:val="none"/>
              </w:rPr>
            </w:pPr>
            <w:r>
              <w:rPr>
                <w:rFonts w:hint="eastAsia" w:ascii="宋体" w:hAnsi="宋体"/>
                <w:bCs/>
                <w:color w:val="auto"/>
                <w:kern w:val="0"/>
                <w:szCs w:val="21"/>
                <w:highlight w:val="none"/>
              </w:rPr>
              <w:t>2.1</w:t>
            </w:r>
          </w:p>
        </w:tc>
        <w:tc>
          <w:tcPr>
            <w:tcW w:w="1418" w:type="dxa"/>
            <w:shd w:val="clear" w:color="auto" w:fill="auto"/>
            <w:vAlign w:val="center"/>
          </w:tcPr>
          <w:p w14:paraId="6F01C694">
            <w:pPr>
              <w:widowControl/>
              <w:spacing w:line="360" w:lineRule="exact"/>
              <w:jc w:val="left"/>
              <w:rPr>
                <w:rFonts w:ascii="宋体" w:hAnsi="宋体" w:cs="宋体"/>
                <w:b/>
                <w:bCs/>
                <w:color w:val="auto"/>
                <w:szCs w:val="21"/>
                <w:highlight w:val="none"/>
              </w:rPr>
            </w:pPr>
            <w:r>
              <w:rPr>
                <w:rFonts w:hint="eastAsia" w:ascii="宋体" w:hAnsi="等线 Light"/>
                <w:b/>
                <w:bCs/>
                <w:color w:val="auto"/>
                <w:szCs w:val="28"/>
                <w:highlight w:val="none"/>
              </w:rPr>
              <w:t>技术方案分（20分）</w:t>
            </w:r>
          </w:p>
        </w:tc>
        <w:tc>
          <w:tcPr>
            <w:tcW w:w="6288" w:type="dxa"/>
            <w:shd w:val="clear" w:color="auto" w:fill="auto"/>
            <w:vAlign w:val="center"/>
          </w:tcPr>
          <w:p w14:paraId="5769BD05">
            <w:pPr>
              <w:widowControl/>
              <w:spacing w:line="360" w:lineRule="exact"/>
              <w:ind w:firstLine="420" w:firstLineChars="200"/>
              <w:rPr>
                <w:rFonts w:ascii="宋体" w:hAnsi="宋体" w:cs="宋体"/>
                <w:color w:val="auto"/>
                <w:highlight w:val="none"/>
              </w:rPr>
            </w:pPr>
            <w:r>
              <w:rPr>
                <w:rFonts w:hint="eastAsia" w:ascii="宋体" w:hAnsi="宋体" w:cs="宋体"/>
                <w:color w:val="auto"/>
                <w:highlight w:val="none"/>
              </w:rPr>
              <w:t>因本项目用户分布广，涉及单位众多，由评委在打分前根据供应商的技术方案优劣程度确定各供应商所属档次打分，不提供的不得分。</w:t>
            </w:r>
          </w:p>
          <w:p w14:paraId="0CCA760E">
            <w:pPr>
              <w:widowControl/>
              <w:spacing w:line="360" w:lineRule="exact"/>
              <w:ind w:firstLine="422" w:firstLineChars="200"/>
              <w:rPr>
                <w:rFonts w:ascii="宋体" w:hAnsi="宋体" w:cs="宋体"/>
                <w:color w:val="auto"/>
                <w:highlight w:val="none"/>
              </w:rPr>
            </w:pPr>
            <w:r>
              <w:rPr>
                <w:rFonts w:hint="eastAsia" w:ascii="宋体" w:hAnsi="宋体" w:cs="宋体"/>
                <w:b/>
                <w:bCs/>
                <w:color w:val="auto"/>
                <w:highlight w:val="none"/>
              </w:rPr>
              <w:t>一档（5分）：</w:t>
            </w:r>
            <w:r>
              <w:rPr>
                <w:rFonts w:hint="eastAsia" w:ascii="宋体" w:hAnsi="宋体" w:cs="宋体"/>
                <w:color w:val="auto"/>
                <w:highlight w:val="none"/>
              </w:rPr>
              <w:t>对项目总体认识理解有偏差，对系统需求无说明或以复制采购文件为主，缺少具体针对性阐述。</w:t>
            </w:r>
          </w:p>
          <w:p w14:paraId="6663483F">
            <w:pPr>
              <w:widowControl/>
              <w:spacing w:line="360" w:lineRule="exact"/>
              <w:ind w:firstLine="422" w:firstLineChars="200"/>
              <w:rPr>
                <w:rFonts w:ascii="宋体" w:hAnsi="宋体" w:cs="宋体"/>
                <w:color w:val="auto"/>
                <w:highlight w:val="none"/>
              </w:rPr>
            </w:pPr>
            <w:r>
              <w:rPr>
                <w:rFonts w:hint="eastAsia" w:ascii="宋体" w:hAnsi="宋体" w:cs="宋体"/>
                <w:b/>
                <w:bCs/>
                <w:color w:val="auto"/>
                <w:highlight w:val="none"/>
              </w:rPr>
              <w:t>二档（10分）：</w:t>
            </w:r>
            <w:r>
              <w:rPr>
                <w:rFonts w:hint="eastAsia" w:ascii="宋体" w:hAnsi="宋体" w:cs="宋体"/>
                <w:color w:val="auto"/>
                <w:highlight w:val="none"/>
              </w:rPr>
              <w:t>对项目总体认识理解无偏差，基本理解本项目的建设背景、建设目标、建设内容及要求，技术方案基本满足采购文件要求，有简单的系统描述和系统流程图。</w:t>
            </w:r>
          </w:p>
          <w:p w14:paraId="21C7D67B">
            <w:pPr>
              <w:widowControl/>
              <w:spacing w:line="360" w:lineRule="exact"/>
              <w:ind w:firstLine="422" w:firstLineChars="200"/>
              <w:rPr>
                <w:rFonts w:ascii="宋体" w:hAnsi="宋体" w:cs="宋体"/>
                <w:color w:val="auto"/>
                <w:highlight w:val="none"/>
              </w:rPr>
            </w:pPr>
            <w:r>
              <w:rPr>
                <w:rFonts w:hint="eastAsia" w:ascii="宋体" w:hAnsi="宋体" w:cs="宋体"/>
                <w:b/>
                <w:bCs/>
                <w:color w:val="auto"/>
                <w:highlight w:val="none"/>
              </w:rPr>
              <w:t>三档（15分）：</w:t>
            </w:r>
            <w:r>
              <w:rPr>
                <w:rFonts w:hint="eastAsia" w:ascii="宋体" w:hAnsi="宋体" w:cs="宋体"/>
                <w:color w:val="auto"/>
                <w:highlight w:val="none"/>
              </w:rPr>
              <w:t>在二档基础上对项目总体认识理解更进一层，且较准确理解本项目的建设背景、建设目标、建设内容及要求，结合项目特点对系统现状、业务需求及重点难点进行较详细的分析，技术方案满足采购文件要求，较详细描述建设思路、系统功能等内容和提供较合理的系统流程图。</w:t>
            </w:r>
          </w:p>
          <w:p w14:paraId="14C9CA3B">
            <w:pPr>
              <w:widowControl/>
              <w:spacing w:line="360" w:lineRule="exact"/>
              <w:ind w:firstLine="422" w:firstLineChars="200"/>
              <w:rPr>
                <w:rFonts w:ascii="宋体" w:hAnsi="宋体" w:cs="宋体"/>
                <w:color w:val="auto"/>
                <w:highlight w:val="none"/>
              </w:rPr>
            </w:pPr>
            <w:r>
              <w:rPr>
                <w:rFonts w:hint="eastAsia" w:ascii="宋体" w:hAnsi="宋体" w:cs="宋体"/>
                <w:b/>
                <w:bCs/>
                <w:color w:val="auto"/>
                <w:highlight w:val="none"/>
              </w:rPr>
              <w:t>四档（20分）：</w:t>
            </w:r>
            <w:r>
              <w:rPr>
                <w:rFonts w:hint="eastAsia" w:ascii="宋体" w:hAnsi="宋体" w:cs="宋体"/>
                <w:color w:val="auto"/>
                <w:highlight w:val="none"/>
              </w:rPr>
              <w:t>在三档基础上准确理解本项目的建设背景、建设目标、建设内容及要求，对系统需求思路、系统现状、业务需求及重点难点、系统性能需求进行详细分析；提供合理的系统流程图、业务流程图、数据流程图、安全管控拓扑或示意图等，切合项目需求，详细描述建设思路、主要技术路线、总体建设框架、主要软件的业务内容建设方案、网络及安全架构、安全管理保障内容；提供主要功能点的用例截图证明，功能用例截图与采购需求匹配度高。</w:t>
            </w:r>
          </w:p>
        </w:tc>
        <w:tc>
          <w:tcPr>
            <w:tcW w:w="851" w:type="dxa"/>
            <w:shd w:val="clear" w:color="auto" w:fill="auto"/>
            <w:vAlign w:val="center"/>
          </w:tcPr>
          <w:p w14:paraId="3CE41678">
            <w:pPr>
              <w:spacing w:line="340" w:lineRule="exact"/>
              <w:jc w:val="center"/>
              <w:rPr>
                <w:rFonts w:ascii="宋体" w:hAnsi="宋体" w:cs="Tahoma"/>
                <w:color w:val="auto"/>
                <w:kern w:val="0"/>
                <w:szCs w:val="21"/>
                <w:highlight w:val="none"/>
              </w:rPr>
            </w:pPr>
            <w:r>
              <w:rPr>
                <w:rFonts w:hint="eastAsia" w:ascii="宋体" w:hAnsi="宋体" w:cs="宋体"/>
                <w:b/>
                <w:bCs/>
                <w:color w:val="auto"/>
                <w:kern w:val="0"/>
                <w:szCs w:val="21"/>
                <w:highlight w:val="none"/>
              </w:rPr>
              <w:t>20分</w:t>
            </w:r>
          </w:p>
        </w:tc>
      </w:tr>
      <w:tr w14:paraId="0BE1E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720" w:type="dxa"/>
            <w:shd w:val="clear" w:color="auto" w:fill="auto"/>
            <w:vAlign w:val="center"/>
          </w:tcPr>
          <w:p w14:paraId="50DD550D">
            <w:pPr>
              <w:adjustRightInd w:val="0"/>
              <w:spacing w:line="340" w:lineRule="exact"/>
              <w:ind w:left="-105" w:leftChars="-50" w:right="-105" w:rightChars="-50"/>
              <w:jc w:val="center"/>
              <w:textAlignment w:val="baseline"/>
              <w:rPr>
                <w:rFonts w:ascii="宋体" w:hAnsi="宋体"/>
                <w:bCs/>
                <w:color w:val="auto"/>
                <w:kern w:val="0"/>
                <w:szCs w:val="21"/>
                <w:highlight w:val="none"/>
              </w:rPr>
            </w:pPr>
            <w:r>
              <w:rPr>
                <w:rFonts w:ascii="宋体" w:hAnsi="宋体"/>
                <w:bCs/>
                <w:color w:val="auto"/>
                <w:kern w:val="0"/>
                <w:szCs w:val="21"/>
                <w:highlight w:val="none"/>
              </w:rPr>
              <w:t>2.</w:t>
            </w:r>
            <w:r>
              <w:rPr>
                <w:rFonts w:hint="eastAsia" w:ascii="宋体" w:hAnsi="宋体"/>
                <w:bCs/>
                <w:color w:val="auto"/>
                <w:kern w:val="0"/>
                <w:szCs w:val="21"/>
                <w:highlight w:val="none"/>
              </w:rPr>
              <w:t>2</w:t>
            </w:r>
          </w:p>
        </w:tc>
        <w:tc>
          <w:tcPr>
            <w:tcW w:w="1418" w:type="dxa"/>
            <w:shd w:val="clear" w:color="auto" w:fill="auto"/>
            <w:vAlign w:val="center"/>
          </w:tcPr>
          <w:p w14:paraId="63E1B5C7">
            <w:pPr>
              <w:widowControl/>
              <w:spacing w:line="360" w:lineRule="exact"/>
              <w:jc w:val="center"/>
              <w:rPr>
                <w:rFonts w:ascii="宋体" w:hAnsi="宋体" w:cs="宋体"/>
                <w:b/>
                <w:bCs/>
                <w:color w:val="auto"/>
                <w:szCs w:val="21"/>
                <w:highlight w:val="none"/>
              </w:rPr>
            </w:pPr>
            <w:r>
              <w:rPr>
                <w:rFonts w:hint="eastAsia" w:ascii="宋体" w:hAnsi="宋体" w:cs="宋体"/>
                <w:b/>
                <w:bCs/>
                <w:color w:val="auto"/>
                <w:szCs w:val="21"/>
                <w:highlight w:val="none"/>
              </w:rPr>
              <w:t>检务综合平台设计方案分（12分）</w:t>
            </w:r>
          </w:p>
        </w:tc>
        <w:tc>
          <w:tcPr>
            <w:tcW w:w="6288" w:type="dxa"/>
            <w:shd w:val="clear" w:color="auto" w:fill="auto"/>
            <w:vAlign w:val="center"/>
          </w:tcPr>
          <w:p w14:paraId="7555C72E">
            <w:pPr>
              <w:widowControl/>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供应商根据对本项目检务综合平台信息系统整合的需求理解，提出设计方案，设计内容应具体、合理、可行、全面，不提供的不得分。</w:t>
            </w:r>
          </w:p>
          <w:p w14:paraId="6F3A76E8">
            <w:pPr>
              <w:widowControl/>
              <w:spacing w:line="360" w:lineRule="exact"/>
              <w:ind w:firstLine="422" w:firstLineChars="200"/>
              <w:rPr>
                <w:rFonts w:ascii="宋体" w:hAnsi="宋体" w:cs="宋体"/>
                <w:color w:val="auto"/>
                <w:szCs w:val="21"/>
                <w:highlight w:val="none"/>
              </w:rPr>
            </w:pPr>
            <w:r>
              <w:rPr>
                <w:rFonts w:hint="eastAsia" w:ascii="宋体" w:hAnsi="宋体" w:cs="宋体"/>
                <w:b/>
                <w:bCs/>
                <w:color w:val="auto"/>
                <w:szCs w:val="21"/>
                <w:highlight w:val="none"/>
              </w:rPr>
              <w:t>一档（3分）：</w:t>
            </w:r>
            <w:r>
              <w:rPr>
                <w:rFonts w:hint="eastAsia" w:ascii="宋体" w:hAnsi="宋体" w:cs="宋体"/>
                <w:color w:val="auto"/>
                <w:szCs w:val="21"/>
                <w:highlight w:val="none"/>
              </w:rPr>
              <w:t>建设方案需求分析简单不到位或存在内容缺失甚至照搬采购需求，设计方案内容简单，系统架构内容不切合项目需求，可行性差。</w:t>
            </w:r>
          </w:p>
          <w:p w14:paraId="0D5E8B09">
            <w:pPr>
              <w:widowControl/>
              <w:spacing w:line="360" w:lineRule="exact"/>
              <w:ind w:firstLine="422" w:firstLineChars="200"/>
              <w:rPr>
                <w:rFonts w:ascii="宋体" w:hAnsi="宋体" w:cs="宋体"/>
                <w:color w:val="auto"/>
                <w:szCs w:val="21"/>
                <w:highlight w:val="none"/>
              </w:rPr>
            </w:pPr>
            <w:r>
              <w:rPr>
                <w:rFonts w:hint="eastAsia" w:ascii="宋体" w:hAnsi="宋体" w:cs="宋体"/>
                <w:b/>
                <w:bCs/>
                <w:color w:val="auto"/>
                <w:szCs w:val="21"/>
                <w:highlight w:val="none"/>
              </w:rPr>
              <w:t>二档（6分）：</w:t>
            </w:r>
            <w:r>
              <w:rPr>
                <w:rFonts w:hint="eastAsia" w:ascii="宋体" w:hAnsi="宋体" w:cs="宋体"/>
                <w:color w:val="auto"/>
                <w:szCs w:val="21"/>
                <w:highlight w:val="none"/>
              </w:rPr>
              <w:t>建设方案需求分析较为完整基本满足项目建设要求，能够按照采购需求提出框架较完整的设计方案，系统架构内容基本可行，基本满足检察机关检务综合平台信息系统整合工作需求。</w:t>
            </w:r>
          </w:p>
          <w:p w14:paraId="715DDE9F">
            <w:pPr>
              <w:widowControl/>
              <w:spacing w:line="360" w:lineRule="exact"/>
              <w:ind w:firstLine="422" w:firstLineChars="200"/>
              <w:rPr>
                <w:rFonts w:ascii="宋体" w:hAnsi="宋体" w:cs="宋体"/>
                <w:color w:val="auto"/>
                <w:szCs w:val="21"/>
                <w:highlight w:val="none"/>
              </w:rPr>
            </w:pPr>
            <w:r>
              <w:rPr>
                <w:rFonts w:hint="eastAsia" w:ascii="宋体" w:hAnsi="宋体" w:cs="宋体"/>
                <w:b/>
                <w:bCs/>
                <w:color w:val="auto"/>
                <w:szCs w:val="21"/>
                <w:highlight w:val="none"/>
              </w:rPr>
              <w:t>三档（9分）：</w:t>
            </w:r>
            <w:r>
              <w:rPr>
                <w:rFonts w:hint="eastAsia" w:ascii="宋体" w:hAnsi="宋体" w:cs="宋体"/>
                <w:color w:val="auto"/>
                <w:szCs w:val="21"/>
                <w:highlight w:val="none"/>
              </w:rPr>
              <w:t>在二档基础上建设方案需求分析完整且较深入合理，能够按照采购需求提出框架完整的设计方案，系统架构内容完整合理，可行较好，较好满足检察机关检务综合平台信息系统整合工作需求。</w:t>
            </w:r>
          </w:p>
          <w:p w14:paraId="1C2A13CF">
            <w:pPr>
              <w:widowControl/>
              <w:spacing w:line="360" w:lineRule="exact"/>
              <w:ind w:firstLine="422" w:firstLineChars="200"/>
              <w:rPr>
                <w:rFonts w:ascii="宋体" w:hAnsi="宋体" w:cs="宋体"/>
                <w:color w:val="auto"/>
                <w:szCs w:val="21"/>
                <w:highlight w:val="none"/>
              </w:rPr>
            </w:pPr>
            <w:r>
              <w:rPr>
                <w:rFonts w:hint="eastAsia" w:ascii="宋体" w:hAnsi="宋体" w:cs="宋体"/>
                <w:b/>
                <w:bCs/>
                <w:color w:val="auto"/>
                <w:szCs w:val="21"/>
                <w:highlight w:val="none"/>
              </w:rPr>
              <w:t>四档（12分）：</w:t>
            </w:r>
            <w:r>
              <w:rPr>
                <w:rFonts w:hint="eastAsia" w:ascii="宋体" w:hAnsi="宋体" w:cs="宋体"/>
                <w:color w:val="auto"/>
                <w:szCs w:val="21"/>
                <w:highlight w:val="none"/>
              </w:rPr>
              <w:t>在三档的基础上建设方案需求分析完整且析深入合理，能够切合检察机关检务综合平台信息系统整合建设要求提出框架详细完整的设计方案，系统架构全面科学合理层次清晰，可行性好，关键内容提供软件设计原型界面进行说明，结合先进信息系统整合经验，提出优于项目需求且符合检察工作实际的设计方案。</w:t>
            </w:r>
          </w:p>
        </w:tc>
        <w:tc>
          <w:tcPr>
            <w:tcW w:w="851" w:type="dxa"/>
            <w:shd w:val="clear" w:color="auto" w:fill="auto"/>
            <w:vAlign w:val="center"/>
          </w:tcPr>
          <w:p w14:paraId="6955AE77">
            <w:pPr>
              <w:spacing w:line="340" w:lineRule="exact"/>
              <w:jc w:val="center"/>
              <w:rPr>
                <w:rFonts w:ascii="宋体" w:hAnsi="宋体" w:cs="Tahoma"/>
                <w:color w:val="auto"/>
                <w:kern w:val="0"/>
                <w:szCs w:val="21"/>
                <w:highlight w:val="none"/>
              </w:rPr>
            </w:pPr>
            <w:r>
              <w:rPr>
                <w:rFonts w:hint="eastAsia" w:ascii="宋体" w:hAnsi="宋体" w:cs="宋体"/>
                <w:b/>
                <w:bCs/>
                <w:color w:val="auto"/>
                <w:kern w:val="0"/>
                <w:szCs w:val="21"/>
                <w:highlight w:val="none"/>
              </w:rPr>
              <w:t>12分</w:t>
            </w:r>
          </w:p>
        </w:tc>
      </w:tr>
      <w:tr w14:paraId="27314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720" w:type="dxa"/>
            <w:shd w:val="clear" w:color="auto" w:fill="auto"/>
            <w:vAlign w:val="center"/>
          </w:tcPr>
          <w:p w14:paraId="316ECFA5">
            <w:pPr>
              <w:adjustRightInd w:val="0"/>
              <w:spacing w:line="340" w:lineRule="exact"/>
              <w:ind w:left="-105" w:leftChars="-50" w:right="-105" w:rightChars="-50"/>
              <w:jc w:val="center"/>
              <w:textAlignment w:val="baseline"/>
              <w:rPr>
                <w:rFonts w:ascii="宋体" w:hAnsi="宋体"/>
                <w:bCs/>
                <w:color w:val="auto"/>
                <w:kern w:val="0"/>
                <w:szCs w:val="21"/>
                <w:highlight w:val="none"/>
              </w:rPr>
            </w:pPr>
            <w:r>
              <w:rPr>
                <w:rFonts w:ascii="宋体" w:hAnsi="宋体"/>
                <w:bCs/>
                <w:color w:val="auto"/>
                <w:kern w:val="0"/>
                <w:szCs w:val="21"/>
                <w:highlight w:val="none"/>
              </w:rPr>
              <w:t>2.</w:t>
            </w:r>
            <w:r>
              <w:rPr>
                <w:rFonts w:hint="eastAsia" w:ascii="宋体" w:hAnsi="宋体"/>
                <w:bCs/>
                <w:color w:val="auto"/>
                <w:kern w:val="0"/>
                <w:szCs w:val="21"/>
                <w:highlight w:val="none"/>
              </w:rPr>
              <w:t>3</w:t>
            </w:r>
          </w:p>
        </w:tc>
        <w:tc>
          <w:tcPr>
            <w:tcW w:w="1418" w:type="dxa"/>
            <w:shd w:val="clear" w:color="auto" w:fill="auto"/>
            <w:vAlign w:val="center"/>
          </w:tcPr>
          <w:p w14:paraId="0A92B9D1">
            <w:pPr>
              <w:widowControl/>
              <w:spacing w:line="360" w:lineRule="exact"/>
              <w:rPr>
                <w:rFonts w:ascii="宋体" w:hAnsi="宋体" w:cs="宋体"/>
                <w:b/>
                <w:bCs/>
                <w:color w:val="auto"/>
                <w:szCs w:val="21"/>
                <w:highlight w:val="none"/>
              </w:rPr>
            </w:pPr>
            <w:r>
              <w:rPr>
                <w:rFonts w:hint="eastAsia" w:ascii="宋体" w:hAnsi="宋体" w:cs="宋体"/>
                <w:b/>
                <w:bCs/>
                <w:color w:val="auto"/>
                <w:szCs w:val="21"/>
                <w:highlight w:val="none"/>
              </w:rPr>
              <w:t>实施方案分（16分）</w:t>
            </w:r>
          </w:p>
        </w:tc>
        <w:tc>
          <w:tcPr>
            <w:tcW w:w="6288" w:type="dxa"/>
            <w:shd w:val="clear" w:color="auto" w:fill="auto"/>
            <w:vAlign w:val="center"/>
          </w:tcPr>
          <w:p w14:paraId="195B2F07">
            <w:pPr>
              <w:widowControl/>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为在项目实施期间保持全区检察机关各业务整合前后平稳过渡，确保业务连续不中断，各供应商需要根据用户实际情况提供实施周期进度计划，明确整体进度计划，工期保证措施，特别是新旧办公系统数据迁移过渡阶段保障措施，施工人员安排等项目实施保障方案。实施方案包含有施工方案、实施计划、人员安排、实施进度等内容并能阐述安排的理由，供应商未提供</w:t>
            </w:r>
            <w:r>
              <w:rPr>
                <w:rFonts w:hint="eastAsia" w:ascii="宋体" w:hAnsi="宋体" w:cs="宋体"/>
                <w:color w:val="auto"/>
                <w:szCs w:val="21"/>
                <w:highlight w:val="none"/>
                <w:lang w:val="en-US" w:eastAsia="zh-CN"/>
              </w:rPr>
              <w:t>或达不到一档</w:t>
            </w:r>
            <w:r>
              <w:rPr>
                <w:rFonts w:hint="eastAsia" w:ascii="宋体" w:hAnsi="宋体" w:cs="宋体"/>
                <w:color w:val="auto"/>
                <w:szCs w:val="21"/>
                <w:highlight w:val="none"/>
              </w:rPr>
              <w:t>的本项不得分。</w:t>
            </w:r>
          </w:p>
          <w:p w14:paraId="5679C4B3">
            <w:pPr>
              <w:widowControl/>
              <w:spacing w:line="360" w:lineRule="exact"/>
              <w:ind w:firstLine="422" w:firstLineChars="200"/>
              <w:rPr>
                <w:rFonts w:ascii="宋体" w:hAnsi="宋体" w:cs="宋体"/>
                <w:color w:val="auto"/>
                <w:szCs w:val="21"/>
                <w:highlight w:val="none"/>
              </w:rPr>
            </w:pPr>
            <w:r>
              <w:rPr>
                <w:rFonts w:hint="eastAsia" w:ascii="宋体" w:hAnsi="宋体" w:cs="宋体"/>
                <w:b/>
                <w:bCs/>
                <w:color w:val="auto"/>
                <w:szCs w:val="21"/>
                <w:highlight w:val="none"/>
              </w:rPr>
              <w:t>一档（4分）：</w:t>
            </w:r>
            <w:r>
              <w:rPr>
                <w:rFonts w:hint="eastAsia" w:ascii="宋体" w:hAnsi="宋体" w:cs="宋体"/>
                <w:color w:val="auto"/>
                <w:szCs w:val="21"/>
                <w:highlight w:val="none"/>
              </w:rPr>
              <w:t>实施方案简单，各类措施表述过于笼统或不符合本项目实际，拟投入人员1-3人且所安排的施工人员及实施保障措施难以按实开展，无法保证按交付使用期限的时间交付。</w:t>
            </w:r>
          </w:p>
          <w:p w14:paraId="1DFDBFD9">
            <w:pPr>
              <w:widowControl/>
              <w:spacing w:line="360" w:lineRule="exact"/>
              <w:ind w:firstLine="422" w:firstLineChars="200"/>
              <w:rPr>
                <w:rFonts w:ascii="宋体" w:hAnsi="宋体" w:cs="宋体"/>
                <w:color w:val="auto"/>
                <w:szCs w:val="21"/>
                <w:highlight w:val="none"/>
              </w:rPr>
            </w:pPr>
            <w:r>
              <w:rPr>
                <w:rFonts w:hint="eastAsia" w:ascii="宋体" w:hAnsi="宋体" w:cs="宋体"/>
                <w:b/>
                <w:bCs/>
                <w:color w:val="auto"/>
                <w:szCs w:val="21"/>
                <w:highlight w:val="none"/>
              </w:rPr>
              <w:t>二档（8分）：</w:t>
            </w:r>
            <w:r>
              <w:rPr>
                <w:rFonts w:hint="eastAsia" w:ascii="宋体" w:hAnsi="宋体" w:cs="宋体"/>
                <w:color w:val="auto"/>
                <w:szCs w:val="21"/>
                <w:highlight w:val="none"/>
              </w:rPr>
              <w:t>实施方案较详细较符合项目实际情况，拟投入人员4-6人且有较简单的实施服务机构和人员保障措施，有简单的人员任务分配表，有较简单的安全控制措施及安装质量控制保证方案，有基本可行的施工进度计划和工期保证措施及施工进度图，交付时间较明确，项目整体交付时间优于采购需求所要求时间10天及以上，并能按实施计划保障项目交付。</w:t>
            </w:r>
          </w:p>
          <w:p w14:paraId="6677E75A">
            <w:pPr>
              <w:widowControl/>
              <w:spacing w:line="360" w:lineRule="exact"/>
              <w:ind w:firstLine="422" w:firstLineChars="200"/>
              <w:rPr>
                <w:rFonts w:ascii="宋体" w:hAnsi="宋体" w:cs="宋体"/>
                <w:color w:val="auto"/>
                <w:szCs w:val="21"/>
                <w:highlight w:val="none"/>
              </w:rPr>
            </w:pPr>
            <w:r>
              <w:rPr>
                <w:rFonts w:hint="eastAsia" w:ascii="宋体" w:hAnsi="宋体" w:cs="宋体"/>
                <w:b/>
                <w:bCs/>
                <w:color w:val="auto"/>
                <w:szCs w:val="21"/>
                <w:highlight w:val="none"/>
              </w:rPr>
              <w:t>三挡（12分）：</w:t>
            </w:r>
            <w:r>
              <w:rPr>
                <w:rFonts w:hint="eastAsia" w:ascii="宋体" w:hAnsi="宋体" w:cs="宋体"/>
                <w:color w:val="auto"/>
                <w:szCs w:val="21"/>
                <w:highlight w:val="none"/>
              </w:rPr>
              <w:t>在二档的基础上提出符合项目实际情况详细的实施方案，拟投入人员7-9人且有较明确的实施服务机构和人员保障措施，实施人员团队安排较科学并提供较合理的人员任务分配表，有较完善的安全控制措施及安装质量控制保证方案，有较可行的施工进度计划和工期保证措施及施工进度图，业务过渡期保障措施基本可行，项目整体交付时间优于采购需求所要求的时间15天及以上，能按实施计划保障项目交付及过渡。</w:t>
            </w:r>
          </w:p>
          <w:p w14:paraId="379D5AA7">
            <w:pPr>
              <w:widowControl/>
              <w:spacing w:line="360" w:lineRule="exact"/>
              <w:ind w:firstLine="422" w:firstLineChars="200"/>
              <w:rPr>
                <w:rFonts w:ascii="宋体" w:hAnsi="宋体" w:cs="宋体"/>
                <w:color w:val="auto"/>
                <w:szCs w:val="21"/>
                <w:highlight w:val="none"/>
              </w:rPr>
            </w:pPr>
            <w:r>
              <w:rPr>
                <w:rFonts w:hint="eastAsia" w:ascii="宋体" w:hAnsi="宋体" w:cs="宋体"/>
                <w:b/>
                <w:bCs/>
                <w:color w:val="auto"/>
                <w:szCs w:val="21"/>
                <w:highlight w:val="none"/>
              </w:rPr>
              <w:t>四挡（16分）：</w:t>
            </w:r>
            <w:r>
              <w:rPr>
                <w:rFonts w:hint="eastAsia" w:ascii="宋体" w:hAnsi="宋体" w:cs="宋体"/>
                <w:color w:val="auto"/>
                <w:szCs w:val="21"/>
                <w:highlight w:val="none"/>
              </w:rPr>
              <w:t>在三档的基础上提出切合项目实施特点更详细周全的实施方案，并提出该项目应注意的重点、难点及解决措施及特色服务，拟投入人员10人及以上且有明确的实施服务机构和人员保障措施，实施人员团队安排科学并提供合理的人员任务分配表，有完善的安全控制措施及应急保障方案、安装质量控制保证方案，有科学合理的施工进度计划和工期保证措施并配有可行的施工进度图表及说明，业务过渡期保障科学可靠，项目整体交付时间优于采购需求所要求的时间20天及以上，有充分理由证明确定能按实施计划保障项目交付及线路迁移过渡工作。</w:t>
            </w:r>
          </w:p>
          <w:p w14:paraId="7318B9D2">
            <w:pPr>
              <w:widowControl/>
              <w:spacing w:line="360" w:lineRule="exact"/>
              <w:ind w:firstLine="422" w:firstLineChars="200"/>
              <w:rPr>
                <w:rFonts w:ascii="宋体" w:hAnsi="宋体" w:cs="宋体"/>
                <w:color w:val="auto"/>
                <w:szCs w:val="21"/>
                <w:highlight w:val="none"/>
              </w:rPr>
            </w:pPr>
            <w:r>
              <w:rPr>
                <w:rFonts w:hint="eastAsia" w:ascii="宋体" w:hAnsi="宋体" w:cs="宋体"/>
                <w:b/>
                <w:bCs/>
                <w:color w:val="auto"/>
                <w:szCs w:val="21"/>
                <w:highlight w:val="none"/>
              </w:rPr>
              <w:t>注：竞标时，供应商须提供项目实施保障方案外，还必须提供交付周期保证的承诺书等，承诺交付周期及违约责任（承诺若因供应商造成项目实施逾期，同意按每逾期10天扣合同金额10%计算违约金，逾期超过30天同意采购人有权终止项目实施并赔偿经济损失）,否则不计分。</w:t>
            </w:r>
          </w:p>
        </w:tc>
        <w:tc>
          <w:tcPr>
            <w:tcW w:w="851" w:type="dxa"/>
            <w:shd w:val="clear" w:color="auto" w:fill="auto"/>
            <w:vAlign w:val="center"/>
          </w:tcPr>
          <w:p w14:paraId="262EE711">
            <w:pPr>
              <w:spacing w:line="340" w:lineRule="exact"/>
              <w:jc w:val="center"/>
              <w:rPr>
                <w:rFonts w:ascii="宋体" w:hAnsi="宋体" w:cs="Tahoma"/>
                <w:color w:val="auto"/>
                <w:kern w:val="0"/>
                <w:szCs w:val="21"/>
                <w:highlight w:val="none"/>
              </w:rPr>
            </w:pPr>
            <w:r>
              <w:rPr>
                <w:rFonts w:hint="eastAsia" w:ascii="宋体" w:hAnsi="宋体" w:cs="宋体"/>
                <w:b/>
                <w:bCs/>
                <w:color w:val="auto"/>
                <w:szCs w:val="21"/>
                <w:highlight w:val="none"/>
              </w:rPr>
              <w:t>16分</w:t>
            </w:r>
          </w:p>
        </w:tc>
      </w:tr>
      <w:tr w14:paraId="1BE1E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720" w:type="dxa"/>
            <w:shd w:val="clear" w:color="auto" w:fill="auto"/>
            <w:vAlign w:val="center"/>
          </w:tcPr>
          <w:p w14:paraId="393AF9EB">
            <w:pPr>
              <w:adjustRightInd w:val="0"/>
              <w:spacing w:line="340" w:lineRule="exact"/>
              <w:ind w:left="-105" w:leftChars="-50" w:right="-105" w:rightChars="-50"/>
              <w:jc w:val="center"/>
              <w:textAlignment w:val="baseline"/>
              <w:rPr>
                <w:rFonts w:ascii="宋体" w:hAnsi="宋体"/>
                <w:bCs/>
                <w:color w:val="auto"/>
                <w:kern w:val="0"/>
                <w:szCs w:val="21"/>
                <w:highlight w:val="none"/>
              </w:rPr>
            </w:pPr>
            <w:r>
              <w:rPr>
                <w:rFonts w:hint="eastAsia" w:ascii="宋体" w:hAnsi="宋体"/>
                <w:bCs/>
                <w:color w:val="auto"/>
                <w:kern w:val="0"/>
                <w:szCs w:val="21"/>
                <w:highlight w:val="none"/>
              </w:rPr>
              <w:t>2.4</w:t>
            </w:r>
          </w:p>
        </w:tc>
        <w:tc>
          <w:tcPr>
            <w:tcW w:w="1418" w:type="dxa"/>
            <w:shd w:val="clear" w:color="auto" w:fill="auto"/>
            <w:vAlign w:val="center"/>
          </w:tcPr>
          <w:p w14:paraId="6E84B763">
            <w:pPr>
              <w:widowControl/>
              <w:spacing w:line="360" w:lineRule="exact"/>
              <w:jc w:val="center"/>
              <w:rPr>
                <w:rFonts w:ascii="宋体" w:hAnsi="宋体" w:cs="宋体"/>
                <w:b/>
                <w:bCs/>
                <w:color w:val="auto"/>
                <w:szCs w:val="21"/>
                <w:highlight w:val="none"/>
              </w:rPr>
            </w:pPr>
            <w:r>
              <w:rPr>
                <w:rFonts w:hint="eastAsia" w:ascii="宋体" w:hAnsi="宋体" w:cs="宋体"/>
                <w:b/>
                <w:bCs/>
                <w:color w:val="auto"/>
                <w:szCs w:val="21"/>
                <w:highlight w:val="none"/>
              </w:rPr>
              <w:t>实施团队分（12分）</w:t>
            </w:r>
          </w:p>
          <w:p w14:paraId="40AEA7C9">
            <w:pPr>
              <w:pStyle w:val="2"/>
              <w:ind w:firstLine="181" w:firstLineChars="100"/>
              <w:rPr>
                <w:color w:val="auto"/>
                <w:highlight w:val="none"/>
              </w:rPr>
            </w:pPr>
            <w:r>
              <w:rPr>
                <w:rFonts w:hint="eastAsia" w:ascii="宋体" w:hAnsi="宋体"/>
                <w:b/>
                <w:color w:val="auto"/>
                <w:szCs w:val="21"/>
                <w:highlight w:val="none"/>
              </w:rPr>
              <w:t>（</w:t>
            </w:r>
            <w:r>
              <w:rPr>
                <w:rFonts w:hint="eastAsia" w:ascii="宋体" w:hAnsi="宋体" w:cs="宋体"/>
                <w:color w:val="auto"/>
                <w:szCs w:val="21"/>
                <w:highlight w:val="none"/>
              </w:rPr>
              <w:t>客观分</w:t>
            </w:r>
            <w:r>
              <w:rPr>
                <w:rFonts w:hint="eastAsia" w:ascii="宋体" w:hAnsi="宋体"/>
                <w:b/>
                <w:color w:val="auto"/>
                <w:szCs w:val="21"/>
                <w:highlight w:val="none"/>
              </w:rPr>
              <w:t>）</w:t>
            </w:r>
          </w:p>
        </w:tc>
        <w:tc>
          <w:tcPr>
            <w:tcW w:w="6288" w:type="dxa"/>
            <w:shd w:val="clear" w:color="auto" w:fill="auto"/>
            <w:vAlign w:val="center"/>
          </w:tcPr>
          <w:p w14:paraId="016CBB40">
            <w:pPr>
              <w:widowControl/>
              <w:spacing w:line="36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1.项目经理资质情况（3分）</w:t>
            </w:r>
          </w:p>
          <w:p w14:paraId="029BE11D">
            <w:pPr>
              <w:widowControl/>
              <w:spacing w:line="360" w:lineRule="exact"/>
              <w:ind w:firstLine="420" w:firstLineChars="200"/>
              <w:rPr>
                <w:color w:val="auto"/>
                <w:highlight w:val="none"/>
              </w:rPr>
            </w:pPr>
            <w:r>
              <w:rPr>
                <w:rFonts w:hint="eastAsia" w:ascii="宋体" w:hAnsi="宋体" w:cs="宋体"/>
                <w:color w:val="auto"/>
                <w:szCs w:val="21"/>
                <w:highlight w:val="none"/>
              </w:rPr>
              <w:t>安排具有本科及以上学历，且获得信息系统项目管理师或系统规划与管理师认证证书的人员作为项目经理得3分，不具备相关资质或不是本科及以上学历的或证明材料不齐全得0分。</w:t>
            </w:r>
          </w:p>
          <w:p w14:paraId="75290173">
            <w:pPr>
              <w:widowControl/>
              <w:spacing w:line="360" w:lineRule="exact"/>
              <w:ind w:firstLine="422" w:firstLineChars="200"/>
              <w:rPr>
                <w:rFonts w:ascii="宋体" w:hAnsi="宋体" w:cs="宋体"/>
                <w:color w:val="auto"/>
                <w:szCs w:val="21"/>
                <w:highlight w:val="none"/>
              </w:rPr>
            </w:pPr>
            <w:r>
              <w:rPr>
                <w:rFonts w:hint="eastAsia" w:ascii="宋体" w:hAnsi="宋体" w:cs="宋体"/>
                <w:b/>
                <w:bCs/>
                <w:color w:val="auto"/>
                <w:szCs w:val="21"/>
                <w:highlight w:val="none"/>
              </w:rPr>
              <w:t>2．拟投入本项目的主要技术人员（不含项目经理）（6分）</w:t>
            </w:r>
          </w:p>
          <w:p w14:paraId="6216E039">
            <w:pPr>
              <w:widowControl/>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拟投入本项目的主要技术人员（不含项目经理人员）按人员资质计分，最高得6分，超出不计：</w:t>
            </w:r>
          </w:p>
          <w:p w14:paraId="65406FC6">
            <w:pPr>
              <w:widowControl/>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（1）主要技术人员具有高级工程师（计算机类专业）或系统分析师或系统架构设计师证书，则每人计2分，最多4分；</w:t>
            </w:r>
          </w:p>
          <w:p w14:paraId="1D78206C">
            <w:pPr>
              <w:widowControl/>
              <w:spacing w:line="360" w:lineRule="exact"/>
              <w:ind w:firstLine="420" w:firstLineChars="200"/>
              <w:rPr>
                <w:color w:val="auto"/>
                <w:highlight w:val="none"/>
              </w:rPr>
            </w:pPr>
            <w:r>
              <w:rPr>
                <w:rFonts w:hint="eastAsia" w:ascii="宋体" w:hAnsi="宋体" w:cs="宋体"/>
                <w:color w:val="auto"/>
                <w:szCs w:val="21"/>
                <w:highlight w:val="none"/>
              </w:rPr>
              <w:t>（2）主要技术人员具有软件设计师资格认证证书，则每人1分，最多2分；</w:t>
            </w:r>
          </w:p>
          <w:p w14:paraId="22BB8E1C">
            <w:pPr>
              <w:widowControl/>
              <w:spacing w:line="360" w:lineRule="exact"/>
              <w:ind w:firstLine="420" w:firstLineChars="200"/>
              <w:rPr>
                <w:rFonts w:ascii="宋体" w:hAnsi="宋体" w:cs="宋体"/>
                <w:b/>
                <w:bCs/>
                <w:color w:val="auto"/>
                <w:szCs w:val="21"/>
                <w:highlight w:val="none"/>
              </w:rPr>
            </w:pPr>
            <w:r>
              <w:rPr>
                <w:rFonts w:hint="eastAsia" w:ascii="宋体" w:hAnsi="宋体" w:cs="宋体"/>
                <w:color w:val="auto"/>
                <w:szCs w:val="21"/>
                <w:highlight w:val="none"/>
              </w:rPr>
              <w:t>（3）主要技术人员具有信息安全工程师或网络工程师或网络安全工程师资格认证证书，每人1分，最多2分；</w:t>
            </w:r>
          </w:p>
          <w:p w14:paraId="76222CEB">
            <w:pPr>
              <w:widowControl/>
              <w:spacing w:line="360" w:lineRule="exact"/>
              <w:ind w:firstLine="422" w:firstLineChars="200"/>
              <w:rPr>
                <w:rFonts w:ascii="宋体" w:hAnsi="宋体" w:cs="宋体"/>
                <w:color w:val="auto"/>
                <w:szCs w:val="21"/>
                <w:highlight w:val="none"/>
              </w:rPr>
            </w:pPr>
            <w:r>
              <w:rPr>
                <w:rFonts w:hint="eastAsia" w:ascii="宋体" w:hAnsi="宋体" w:cs="宋体"/>
                <w:b/>
                <w:color w:val="auto"/>
                <w:szCs w:val="21"/>
                <w:highlight w:val="none"/>
              </w:rPr>
              <w:t>注：同一人员具有多个资质按照其中一项最高得分计算，不累计得分；竞标时必须提供相关人员的有效资质证书或证明复印件。</w:t>
            </w:r>
          </w:p>
          <w:p w14:paraId="0936DA1F">
            <w:pPr>
              <w:widowControl/>
              <w:spacing w:line="36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3．供应商软件自主研发能力证明（3分）</w:t>
            </w:r>
          </w:p>
          <w:p w14:paraId="08EA4A44">
            <w:pPr>
              <w:widowControl/>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供应商通过提供自主产权的软件著作权证书或软件产品登记证书体现其自主研发能力，其中每个软件著作权证书或软件产品登记证书得0.5分，最多3分。</w:t>
            </w:r>
          </w:p>
          <w:p w14:paraId="4410F8EF">
            <w:pPr>
              <w:widowControl/>
              <w:spacing w:line="360" w:lineRule="exact"/>
              <w:ind w:firstLine="422" w:firstLineChars="200"/>
              <w:rPr>
                <w:rFonts w:ascii="宋体" w:hAnsi="宋体" w:cs="宋体"/>
                <w:color w:val="auto"/>
                <w:szCs w:val="21"/>
                <w:highlight w:val="none"/>
              </w:rPr>
            </w:pPr>
            <w:r>
              <w:rPr>
                <w:rFonts w:hint="eastAsia" w:ascii="宋体" w:hAnsi="宋体" w:cs="宋体"/>
                <w:b/>
                <w:bCs/>
                <w:color w:val="auto"/>
                <w:szCs w:val="21"/>
                <w:highlight w:val="none"/>
              </w:rPr>
              <w:t>注：响应文件中提供软件著作权证书或软件产品登记证书复印件并加盖供应商公章。</w:t>
            </w:r>
          </w:p>
        </w:tc>
        <w:tc>
          <w:tcPr>
            <w:tcW w:w="851" w:type="dxa"/>
            <w:shd w:val="clear" w:color="auto" w:fill="auto"/>
            <w:vAlign w:val="center"/>
          </w:tcPr>
          <w:p w14:paraId="6CB9232B">
            <w:pPr>
              <w:spacing w:line="340" w:lineRule="exact"/>
              <w:jc w:val="center"/>
              <w:rPr>
                <w:rFonts w:ascii="宋体" w:hAnsi="宋体" w:cs="Tahoma"/>
                <w:color w:val="auto"/>
                <w:kern w:val="0"/>
                <w:szCs w:val="21"/>
                <w:highlight w:val="none"/>
              </w:rPr>
            </w:pPr>
            <w:r>
              <w:rPr>
                <w:rFonts w:hint="eastAsia" w:ascii="宋体" w:hAnsi="宋体" w:cs="宋体"/>
                <w:b/>
                <w:bCs/>
                <w:color w:val="auto"/>
                <w:szCs w:val="21"/>
                <w:highlight w:val="none"/>
              </w:rPr>
              <w:t>12分</w:t>
            </w:r>
          </w:p>
        </w:tc>
      </w:tr>
      <w:tr w14:paraId="02843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720" w:type="dxa"/>
            <w:shd w:val="clear" w:color="auto" w:fill="auto"/>
            <w:vAlign w:val="center"/>
          </w:tcPr>
          <w:p w14:paraId="42A54DED">
            <w:pPr>
              <w:adjustRightInd w:val="0"/>
              <w:spacing w:line="340" w:lineRule="exact"/>
              <w:ind w:left="-105" w:leftChars="-50" w:right="-105" w:rightChars="-50"/>
              <w:jc w:val="center"/>
              <w:textAlignment w:val="baseline"/>
              <w:rPr>
                <w:rFonts w:ascii="宋体" w:hAnsi="宋体"/>
                <w:bCs/>
                <w:color w:val="auto"/>
                <w:kern w:val="0"/>
                <w:szCs w:val="21"/>
                <w:highlight w:val="none"/>
              </w:rPr>
            </w:pPr>
            <w:r>
              <w:rPr>
                <w:rFonts w:hint="eastAsia" w:ascii="宋体" w:hAnsi="宋体"/>
                <w:bCs/>
                <w:color w:val="auto"/>
                <w:kern w:val="0"/>
                <w:szCs w:val="21"/>
                <w:highlight w:val="none"/>
              </w:rPr>
              <w:t>2.5</w:t>
            </w:r>
          </w:p>
        </w:tc>
        <w:tc>
          <w:tcPr>
            <w:tcW w:w="1418" w:type="dxa"/>
            <w:shd w:val="clear" w:color="auto" w:fill="auto"/>
            <w:vAlign w:val="center"/>
          </w:tcPr>
          <w:p w14:paraId="394D0D90">
            <w:pPr>
              <w:widowControl/>
              <w:spacing w:line="360" w:lineRule="exact"/>
              <w:jc w:val="center"/>
              <w:rPr>
                <w:rFonts w:ascii="宋体" w:hAnsi="宋体" w:cs="宋体"/>
                <w:b/>
                <w:bCs/>
                <w:color w:val="auto"/>
                <w:szCs w:val="21"/>
                <w:highlight w:val="none"/>
              </w:rPr>
            </w:pPr>
            <w:r>
              <w:rPr>
                <w:rFonts w:hint="eastAsia" w:ascii="宋体" w:hAnsi="宋体" w:cs="宋体"/>
                <w:b/>
                <w:bCs/>
                <w:color w:val="auto"/>
                <w:szCs w:val="21"/>
                <w:highlight w:val="none"/>
              </w:rPr>
              <w:t>售后及培训服务方案分（18分）</w:t>
            </w:r>
          </w:p>
        </w:tc>
        <w:tc>
          <w:tcPr>
            <w:tcW w:w="6288" w:type="dxa"/>
            <w:shd w:val="clear" w:color="auto" w:fill="auto"/>
            <w:vAlign w:val="center"/>
          </w:tcPr>
          <w:p w14:paraId="184C5680">
            <w:pPr>
              <w:widowControl/>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售后服务方案内容包括服务内容、响应时间、故障处理、服务质量保证，供应商未提供的本项不得分。</w:t>
            </w:r>
          </w:p>
          <w:p w14:paraId="6C46583A">
            <w:pPr>
              <w:widowControl/>
              <w:spacing w:line="360" w:lineRule="exact"/>
              <w:ind w:firstLine="422" w:firstLineChars="200"/>
              <w:rPr>
                <w:rFonts w:ascii="宋体" w:hAnsi="宋体" w:cs="宋体"/>
                <w:color w:val="auto"/>
                <w:szCs w:val="21"/>
                <w:highlight w:val="none"/>
              </w:rPr>
            </w:pPr>
            <w:r>
              <w:rPr>
                <w:rFonts w:hint="eastAsia" w:ascii="宋体" w:hAnsi="宋体" w:cs="宋体"/>
                <w:b/>
                <w:bCs/>
                <w:color w:val="auto"/>
                <w:szCs w:val="21"/>
                <w:highlight w:val="none"/>
              </w:rPr>
              <w:t>一档（6分）：</w:t>
            </w:r>
            <w:r>
              <w:rPr>
                <w:rFonts w:hint="eastAsia" w:ascii="宋体" w:hAnsi="宋体" w:cs="宋体"/>
                <w:color w:val="auto"/>
                <w:szCs w:val="21"/>
                <w:highlight w:val="none"/>
              </w:rPr>
              <w:t>售后方案及培训内容简单，工作目标模糊、措施基本合理、方法基本得当，基本符合项目要求。</w:t>
            </w:r>
          </w:p>
          <w:p w14:paraId="30EB983A">
            <w:pPr>
              <w:widowControl/>
              <w:spacing w:line="360" w:lineRule="exact"/>
              <w:ind w:firstLine="422" w:firstLineChars="200"/>
              <w:rPr>
                <w:rFonts w:ascii="宋体" w:hAnsi="宋体" w:cs="宋体"/>
                <w:color w:val="auto"/>
                <w:szCs w:val="21"/>
                <w:highlight w:val="none"/>
              </w:rPr>
            </w:pPr>
            <w:r>
              <w:rPr>
                <w:rFonts w:hint="eastAsia" w:ascii="宋体" w:hAnsi="宋体" w:cs="宋体"/>
                <w:b/>
                <w:bCs/>
                <w:color w:val="auto"/>
                <w:szCs w:val="21"/>
                <w:highlight w:val="none"/>
              </w:rPr>
              <w:t>二档（12分）：</w:t>
            </w:r>
            <w:r>
              <w:rPr>
                <w:rFonts w:hint="eastAsia" w:ascii="宋体" w:hAnsi="宋体" w:cs="宋体"/>
                <w:color w:val="auto"/>
                <w:szCs w:val="21"/>
                <w:highlight w:val="none"/>
              </w:rPr>
              <w:t>售后方案及培训内容较明确可行，工作目标较清晰、措施较合理、方法较得当，较符合项目要求。</w:t>
            </w:r>
          </w:p>
          <w:p w14:paraId="2EDA911B">
            <w:pPr>
              <w:widowControl/>
              <w:spacing w:line="360" w:lineRule="exact"/>
              <w:ind w:firstLine="422" w:firstLineChars="200"/>
              <w:rPr>
                <w:rFonts w:ascii="宋体" w:hAnsi="宋体" w:cs="宋体"/>
                <w:color w:val="auto"/>
                <w:szCs w:val="21"/>
                <w:highlight w:val="none"/>
              </w:rPr>
            </w:pPr>
            <w:r>
              <w:rPr>
                <w:rFonts w:hint="eastAsia" w:ascii="宋体" w:hAnsi="宋体" w:cs="宋体"/>
                <w:b/>
                <w:bCs/>
                <w:color w:val="auto"/>
                <w:szCs w:val="21"/>
                <w:highlight w:val="none"/>
              </w:rPr>
              <w:t>三档（18分）：</w:t>
            </w:r>
            <w:r>
              <w:rPr>
                <w:rFonts w:hint="eastAsia" w:ascii="宋体" w:hAnsi="宋体" w:cs="宋体"/>
                <w:color w:val="auto"/>
                <w:szCs w:val="21"/>
                <w:highlight w:val="none"/>
              </w:rPr>
              <w:t>售后方案及培训内容明确可行，工作目标清晰、措施合理、方法得当，有完整的培训计划，安排合理可行，完全符合项目要求；供应商具有满足项目对各层机构运用对接服务能力，本次项目投入售后团队人员熟练运维，当系统出现问题时，投标单位及其下属机构（或合作机构）所在地市可安排技术服务人员在30分钟内到达现场解决问题；供应商可通过网络提供7*24小时远程技术支持及故障检测等服务。</w:t>
            </w:r>
          </w:p>
          <w:p w14:paraId="480BCAB1">
            <w:pPr>
              <w:widowControl/>
              <w:spacing w:line="360" w:lineRule="exact"/>
              <w:ind w:firstLine="422" w:firstLineChars="200"/>
              <w:rPr>
                <w:rFonts w:ascii="宋体" w:hAnsi="宋体" w:cs="宋体"/>
                <w:color w:val="auto"/>
                <w:szCs w:val="21"/>
                <w:highlight w:val="none"/>
              </w:rPr>
            </w:pPr>
            <w:r>
              <w:rPr>
                <w:rFonts w:hint="eastAsia" w:ascii="宋体" w:hAnsi="宋体" w:cs="宋体"/>
                <w:b/>
                <w:bCs/>
                <w:color w:val="auto"/>
                <w:szCs w:val="21"/>
                <w:highlight w:val="none"/>
              </w:rPr>
              <w:t>注：竞标时需提供竞标单位及其下属机构（或合作机构）所在地市售后服务能力证明。</w:t>
            </w:r>
          </w:p>
        </w:tc>
        <w:tc>
          <w:tcPr>
            <w:tcW w:w="851" w:type="dxa"/>
            <w:shd w:val="clear" w:color="auto" w:fill="auto"/>
            <w:vAlign w:val="center"/>
          </w:tcPr>
          <w:p w14:paraId="1603BFE3">
            <w:pPr>
              <w:spacing w:line="340" w:lineRule="exact"/>
              <w:jc w:val="center"/>
              <w:rPr>
                <w:rFonts w:ascii="宋体" w:hAnsi="宋体" w:cs="Tahoma"/>
                <w:color w:val="auto"/>
                <w:kern w:val="0"/>
                <w:szCs w:val="21"/>
                <w:highlight w:val="none"/>
              </w:rPr>
            </w:pPr>
            <w:r>
              <w:rPr>
                <w:rFonts w:hint="eastAsia" w:ascii="宋体" w:hAnsi="宋体" w:cs="宋体"/>
                <w:b/>
                <w:bCs/>
                <w:color w:val="auto"/>
                <w:szCs w:val="21"/>
                <w:highlight w:val="none"/>
              </w:rPr>
              <w:t>18分</w:t>
            </w:r>
          </w:p>
        </w:tc>
      </w:tr>
      <w:tr w14:paraId="306DF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720" w:type="dxa"/>
            <w:shd w:val="clear" w:color="auto" w:fill="auto"/>
            <w:vAlign w:val="center"/>
          </w:tcPr>
          <w:p w14:paraId="6D09D023">
            <w:pPr>
              <w:widowControl/>
              <w:spacing w:line="340" w:lineRule="exact"/>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3</w:t>
            </w:r>
          </w:p>
        </w:tc>
        <w:tc>
          <w:tcPr>
            <w:tcW w:w="1418" w:type="dxa"/>
            <w:shd w:val="clear" w:color="auto" w:fill="auto"/>
            <w:vAlign w:val="center"/>
          </w:tcPr>
          <w:p w14:paraId="5B83DC44">
            <w:pPr>
              <w:widowControl/>
              <w:spacing w:line="340" w:lineRule="exact"/>
              <w:jc w:val="center"/>
              <w:rPr>
                <w:rFonts w:ascii="宋体" w:hAnsi="宋体" w:cs="Courier New"/>
                <w:b/>
                <w:bCs/>
                <w:color w:val="auto"/>
                <w:szCs w:val="21"/>
                <w:highlight w:val="none"/>
              </w:rPr>
            </w:pPr>
            <w:r>
              <w:rPr>
                <w:rFonts w:hint="eastAsia" w:ascii="宋体" w:hAnsi="宋体" w:cs="Courier New"/>
                <w:b/>
                <w:bCs/>
                <w:color w:val="auto"/>
                <w:szCs w:val="21"/>
                <w:highlight w:val="none"/>
              </w:rPr>
              <w:t>商务分</w:t>
            </w:r>
          </w:p>
        </w:tc>
        <w:tc>
          <w:tcPr>
            <w:tcW w:w="7139" w:type="dxa"/>
            <w:gridSpan w:val="2"/>
            <w:shd w:val="clear" w:color="auto" w:fill="auto"/>
            <w:vAlign w:val="center"/>
          </w:tcPr>
          <w:p w14:paraId="682A8742">
            <w:pPr>
              <w:widowControl/>
              <w:spacing w:line="340" w:lineRule="exact"/>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评审因素</w:t>
            </w:r>
          </w:p>
        </w:tc>
      </w:tr>
      <w:tr w14:paraId="66F49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720" w:type="dxa"/>
            <w:shd w:val="clear" w:color="auto" w:fill="auto"/>
            <w:vAlign w:val="center"/>
          </w:tcPr>
          <w:p w14:paraId="24583DFE">
            <w:pPr>
              <w:spacing w:line="340" w:lineRule="exact"/>
              <w:jc w:val="center"/>
              <w:rPr>
                <w:rFonts w:ascii="宋体" w:hAnsi="宋体" w:cs="Tahoma"/>
                <w:color w:val="auto"/>
                <w:kern w:val="0"/>
                <w:szCs w:val="21"/>
                <w:highlight w:val="none"/>
              </w:rPr>
            </w:pPr>
            <w:r>
              <w:rPr>
                <w:rFonts w:ascii="宋体" w:hAnsi="宋体" w:cs="Tahoma"/>
                <w:color w:val="auto"/>
                <w:kern w:val="0"/>
                <w:szCs w:val="21"/>
                <w:highlight w:val="none"/>
              </w:rPr>
              <w:t>3.</w:t>
            </w:r>
            <w:r>
              <w:rPr>
                <w:rFonts w:hint="eastAsia" w:ascii="宋体" w:hAnsi="宋体" w:cs="Tahoma"/>
                <w:color w:val="auto"/>
                <w:kern w:val="0"/>
                <w:szCs w:val="21"/>
                <w:highlight w:val="none"/>
              </w:rPr>
              <w:t>1</w:t>
            </w:r>
          </w:p>
        </w:tc>
        <w:tc>
          <w:tcPr>
            <w:tcW w:w="1418" w:type="dxa"/>
            <w:shd w:val="clear" w:color="auto" w:fill="auto"/>
            <w:vAlign w:val="center"/>
          </w:tcPr>
          <w:p w14:paraId="0723E324">
            <w:pPr>
              <w:adjustRightInd w:val="0"/>
              <w:snapToGrid w:val="0"/>
              <w:spacing w:line="420" w:lineRule="exact"/>
              <w:jc w:val="center"/>
              <w:textAlignment w:val="baseline"/>
              <w:rPr>
                <w:rFonts w:ascii="宋体" w:hAnsi="宋体" w:cs="宋体"/>
                <w:b/>
                <w:bCs/>
                <w:color w:val="auto"/>
                <w:kern w:val="0"/>
                <w:highlight w:val="none"/>
              </w:rPr>
            </w:pPr>
            <w:r>
              <w:rPr>
                <w:rFonts w:hint="eastAsia" w:ascii="宋体" w:hAnsi="宋体" w:cs="宋体"/>
                <w:b/>
                <w:bCs/>
                <w:color w:val="auto"/>
                <w:kern w:val="0"/>
                <w:highlight w:val="none"/>
              </w:rPr>
              <w:t>公司资质分</w:t>
            </w:r>
          </w:p>
          <w:p w14:paraId="4C4CC18F">
            <w:pPr>
              <w:adjustRightInd w:val="0"/>
              <w:snapToGrid w:val="0"/>
              <w:spacing w:line="420" w:lineRule="exact"/>
              <w:jc w:val="center"/>
              <w:textAlignment w:val="baseline"/>
              <w:rPr>
                <w:rFonts w:ascii="宋体" w:hAnsi="宋体" w:cs="宋体"/>
                <w:b/>
                <w:bCs/>
                <w:color w:val="auto"/>
                <w:kern w:val="0"/>
                <w:highlight w:val="none"/>
              </w:rPr>
            </w:pPr>
            <w:r>
              <w:rPr>
                <w:rFonts w:hint="eastAsia" w:ascii="宋体" w:hAnsi="宋体" w:cs="宋体"/>
                <w:b/>
                <w:bCs/>
                <w:color w:val="auto"/>
                <w:kern w:val="0"/>
                <w:highlight w:val="none"/>
              </w:rPr>
              <w:t>（8分）</w:t>
            </w:r>
          </w:p>
          <w:p w14:paraId="290BF272">
            <w:pPr>
              <w:pStyle w:val="2"/>
              <w:ind w:firstLine="181" w:firstLineChars="100"/>
              <w:rPr>
                <w:color w:val="auto"/>
                <w:highlight w:val="none"/>
              </w:rPr>
            </w:pPr>
            <w:r>
              <w:rPr>
                <w:rFonts w:hint="eastAsia"/>
                <w:b/>
                <w:bCs/>
                <w:color w:val="auto"/>
                <w:highlight w:val="none"/>
              </w:rPr>
              <w:t>（客观分）</w:t>
            </w:r>
          </w:p>
        </w:tc>
        <w:tc>
          <w:tcPr>
            <w:tcW w:w="6288" w:type="dxa"/>
            <w:shd w:val="clear" w:color="auto" w:fill="auto"/>
            <w:vAlign w:val="center"/>
          </w:tcPr>
          <w:p w14:paraId="48ECEE8F">
            <w:pPr>
              <w:widowControl/>
              <w:spacing w:line="360" w:lineRule="exact"/>
              <w:ind w:firstLine="420" w:firstLineChars="200"/>
              <w:rPr>
                <w:rFonts w:hAnsi="宋体" w:cs="宋体"/>
                <w:color w:val="auto"/>
                <w:highlight w:val="none"/>
              </w:rPr>
            </w:pPr>
            <w:r>
              <w:rPr>
                <w:rFonts w:hint="eastAsia" w:hAnsi="宋体" w:cs="宋体"/>
                <w:color w:val="auto"/>
                <w:highlight w:val="none"/>
              </w:rPr>
              <w:t>（1）供应商具有：ISO9001或GB/T19001质量管理体系认证、ISO27001或GB/T22080信息安全管理体系认证、信息系统集成建设和服务能力等级证书（</w:t>
            </w:r>
            <w:r>
              <w:rPr>
                <w:rFonts w:hAnsi="宋体" w:cs="宋体"/>
                <w:color w:val="auto"/>
                <w:highlight w:val="none"/>
              </w:rPr>
              <w:t>CS3</w:t>
            </w:r>
            <w:r>
              <w:rPr>
                <w:rFonts w:hint="eastAsia" w:hAnsi="宋体" w:cs="宋体"/>
                <w:color w:val="auto"/>
                <w:highlight w:val="none"/>
              </w:rPr>
              <w:t>及以上，</w:t>
            </w:r>
            <w:r>
              <w:rPr>
                <w:rFonts w:hAnsi="宋体" w:cs="宋体"/>
                <w:color w:val="auto"/>
                <w:highlight w:val="none"/>
              </w:rPr>
              <w:t>CS5</w:t>
            </w:r>
            <w:r>
              <w:rPr>
                <w:rFonts w:hint="eastAsia" w:hAnsi="宋体" w:cs="宋体"/>
                <w:color w:val="auto"/>
                <w:highlight w:val="none"/>
              </w:rPr>
              <w:t>最高）、国产化信息系统集成和服务能力评估证书等有效认证，以上满足</w:t>
            </w:r>
            <w:r>
              <w:rPr>
                <w:rFonts w:hAnsi="宋体" w:cs="宋体"/>
                <w:color w:val="auto"/>
                <w:highlight w:val="none"/>
              </w:rPr>
              <w:t>4</w:t>
            </w:r>
            <w:r>
              <w:rPr>
                <w:rFonts w:hint="eastAsia" w:hAnsi="宋体" w:cs="宋体"/>
                <w:color w:val="auto"/>
                <w:highlight w:val="none"/>
              </w:rPr>
              <w:t>项得</w:t>
            </w:r>
            <w:r>
              <w:rPr>
                <w:rFonts w:hAnsi="宋体" w:cs="宋体"/>
                <w:color w:val="auto"/>
                <w:highlight w:val="none"/>
              </w:rPr>
              <w:t>6</w:t>
            </w:r>
            <w:r>
              <w:rPr>
                <w:rFonts w:hint="eastAsia" w:hAnsi="宋体" w:cs="宋体"/>
                <w:color w:val="auto"/>
                <w:highlight w:val="none"/>
              </w:rPr>
              <w:t>分；满足</w:t>
            </w:r>
            <w:r>
              <w:rPr>
                <w:rFonts w:hAnsi="宋体" w:cs="宋体"/>
                <w:color w:val="auto"/>
                <w:highlight w:val="none"/>
              </w:rPr>
              <w:t>3</w:t>
            </w:r>
            <w:r>
              <w:rPr>
                <w:rFonts w:hint="eastAsia" w:hAnsi="宋体" w:cs="宋体"/>
                <w:color w:val="auto"/>
                <w:highlight w:val="none"/>
              </w:rPr>
              <w:t>项得</w:t>
            </w:r>
            <w:r>
              <w:rPr>
                <w:rFonts w:hAnsi="宋体" w:cs="宋体"/>
                <w:color w:val="auto"/>
                <w:highlight w:val="none"/>
              </w:rPr>
              <w:t>4</w:t>
            </w:r>
            <w:r>
              <w:rPr>
                <w:rFonts w:hint="eastAsia" w:hAnsi="宋体" w:cs="宋体"/>
                <w:color w:val="auto"/>
                <w:highlight w:val="none"/>
              </w:rPr>
              <w:t>分；满足</w:t>
            </w:r>
            <w:r>
              <w:rPr>
                <w:rFonts w:hAnsi="宋体" w:cs="宋体"/>
                <w:color w:val="auto"/>
                <w:highlight w:val="none"/>
              </w:rPr>
              <w:t>2</w:t>
            </w:r>
            <w:r>
              <w:rPr>
                <w:rFonts w:hint="eastAsia" w:hAnsi="宋体" w:cs="宋体"/>
                <w:color w:val="auto"/>
                <w:highlight w:val="none"/>
              </w:rPr>
              <w:t>项得</w:t>
            </w:r>
            <w:r>
              <w:rPr>
                <w:rFonts w:hAnsi="宋体" w:cs="宋体"/>
                <w:color w:val="auto"/>
                <w:highlight w:val="none"/>
              </w:rPr>
              <w:t>2</w:t>
            </w:r>
            <w:r>
              <w:rPr>
                <w:rFonts w:hint="eastAsia" w:hAnsi="宋体" w:cs="宋体"/>
                <w:color w:val="auto"/>
                <w:highlight w:val="none"/>
              </w:rPr>
              <w:t>分；只满足</w:t>
            </w:r>
            <w:r>
              <w:rPr>
                <w:rFonts w:hAnsi="宋体" w:cs="宋体"/>
                <w:color w:val="auto"/>
                <w:highlight w:val="none"/>
              </w:rPr>
              <w:t>1</w:t>
            </w:r>
            <w:r>
              <w:rPr>
                <w:rFonts w:hint="eastAsia" w:hAnsi="宋体" w:cs="宋体"/>
                <w:color w:val="auto"/>
                <w:highlight w:val="none"/>
              </w:rPr>
              <w:t>项得</w:t>
            </w:r>
            <w:r>
              <w:rPr>
                <w:rFonts w:hAnsi="宋体" w:cs="宋体"/>
                <w:color w:val="auto"/>
                <w:highlight w:val="none"/>
              </w:rPr>
              <w:t>1</w:t>
            </w:r>
            <w:r>
              <w:rPr>
                <w:rFonts w:hint="eastAsia" w:hAnsi="宋体" w:cs="宋体"/>
                <w:color w:val="auto"/>
                <w:highlight w:val="none"/>
              </w:rPr>
              <w:t>分，不满足得0分。（提供相关证书扫描件，并加盖供应商公章）。</w:t>
            </w:r>
          </w:p>
          <w:p w14:paraId="4D3F7B6A">
            <w:pPr>
              <w:widowControl/>
              <w:spacing w:line="360" w:lineRule="exact"/>
              <w:ind w:firstLine="420" w:firstLineChars="200"/>
              <w:rPr>
                <w:rFonts w:hAnsi="宋体" w:cs="宋体"/>
                <w:color w:val="auto"/>
                <w:highlight w:val="none"/>
              </w:rPr>
            </w:pPr>
            <w:r>
              <w:rPr>
                <w:rFonts w:hint="eastAsia" w:hAnsi="宋体" w:cs="宋体"/>
                <w:color w:val="auto"/>
                <w:highlight w:val="none"/>
              </w:rPr>
              <w:t>（2）供应商具有CSMM软件能力成熟度模型评估国家标准三级及以上认证（五级最高)或SPCA软件过程及能力成熟度评估等级三级及以上认证（五级最高)认证或软件服务商交付能力评估SDCA二级及以上证书（一级最高)认证的，得2分。</w:t>
            </w:r>
          </w:p>
        </w:tc>
        <w:tc>
          <w:tcPr>
            <w:tcW w:w="851" w:type="dxa"/>
            <w:shd w:val="clear" w:color="auto" w:fill="auto"/>
            <w:vAlign w:val="center"/>
          </w:tcPr>
          <w:p w14:paraId="17144F09">
            <w:pPr>
              <w:widowControl/>
              <w:spacing w:line="340" w:lineRule="exact"/>
              <w:jc w:val="center"/>
              <w:rPr>
                <w:rFonts w:ascii="宋体" w:hAnsi="宋体" w:cs="Tahoma"/>
                <w:color w:val="auto"/>
                <w:kern w:val="0"/>
                <w:szCs w:val="21"/>
                <w:highlight w:val="none"/>
              </w:rPr>
            </w:pPr>
            <w:r>
              <w:rPr>
                <w:rFonts w:hint="eastAsia" w:ascii="宋体" w:hAnsi="宋体" w:cs="宋体"/>
                <w:b/>
                <w:bCs/>
                <w:color w:val="auto"/>
                <w:kern w:val="0"/>
                <w:highlight w:val="none"/>
              </w:rPr>
              <w:t>8分</w:t>
            </w:r>
          </w:p>
        </w:tc>
      </w:tr>
      <w:tr w14:paraId="754E3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720" w:type="dxa"/>
            <w:shd w:val="clear" w:color="auto" w:fill="auto"/>
            <w:vAlign w:val="center"/>
          </w:tcPr>
          <w:p w14:paraId="52291163">
            <w:pPr>
              <w:spacing w:line="340" w:lineRule="exact"/>
              <w:jc w:val="center"/>
              <w:rPr>
                <w:rFonts w:ascii="宋体" w:hAnsi="宋体" w:cs="Tahoma"/>
                <w:color w:val="auto"/>
                <w:kern w:val="0"/>
                <w:szCs w:val="21"/>
                <w:highlight w:val="none"/>
              </w:rPr>
            </w:pPr>
            <w:r>
              <w:rPr>
                <w:rFonts w:hint="eastAsia" w:ascii="宋体" w:hAnsi="宋体" w:cs="Tahoma"/>
                <w:color w:val="auto"/>
                <w:kern w:val="0"/>
                <w:szCs w:val="21"/>
                <w:highlight w:val="none"/>
              </w:rPr>
              <w:t>3.2</w:t>
            </w:r>
          </w:p>
        </w:tc>
        <w:tc>
          <w:tcPr>
            <w:tcW w:w="1418" w:type="dxa"/>
            <w:shd w:val="clear" w:color="auto" w:fill="auto"/>
            <w:vAlign w:val="center"/>
          </w:tcPr>
          <w:p w14:paraId="10A42AB2">
            <w:pPr>
              <w:adjustRightInd w:val="0"/>
              <w:snapToGrid w:val="0"/>
              <w:spacing w:line="420" w:lineRule="exact"/>
              <w:jc w:val="center"/>
              <w:textAlignment w:val="baseline"/>
              <w:rPr>
                <w:rFonts w:ascii="宋体" w:hAnsi="宋体"/>
                <w:b/>
                <w:bCs/>
                <w:color w:val="auto"/>
                <w:sz w:val="24"/>
                <w:highlight w:val="none"/>
              </w:rPr>
            </w:pPr>
            <w:r>
              <w:rPr>
                <w:rFonts w:hint="eastAsia" w:ascii="宋体" w:hAnsi="宋体"/>
                <w:b/>
                <w:bCs/>
                <w:color w:val="auto"/>
                <w:sz w:val="24"/>
                <w:highlight w:val="none"/>
              </w:rPr>
              <w:t>业绩分</w:t>
            </w:r>
          </w:p>
          <w:p w14:paraId="2D4B4CE8">
            <w:pPr>
              <w:adjustRightInd w:val="0"/>
              <w:snapToGrid w:val="0"/>
              <w:spacing w:line="420" w:lineRule="exact"/>
              <w:jc w:val="center"/>
              <w:textAlignment w:val="baseline"/>
              <w:rPr>
                <w:rFonts w:ascii="宋体" w:hAnsi="宋体" w:cs="仿宋"/>
                <w:b/>
                <w:color w:val="auto"/>
                <w:highlight w:val="none"/>
              </w:rPr>
            </w:pPr>
            <w:r>
              <w:rPr>
                <w:rFonts w:hint="eastAsia" w:ascii="宋体" w:hAnsi="宋体"/>
                <w:b/>
                <w:bCs/>
                <w:color w:val="auto"/>
                <w:sz w:val="24"/>
                <w:highlight w:val="none"/>
              </w:rPr>
              <w:t>（</w:t>
            </w:r>
            <w:r>
              <w:rPr>
                <w:rFonts w:hint="eastAsia" w:ascii="宋体" w:hAnsi="宋体" w:eastAsia="等线" w:cs="仿宋"/>
                <w:b/>
                <w:color w:val="auto"/>
                <w:highlight w:val="none"/>
              </w:rPr>
              <w:t>4</w:t>
            </w:r>
            <w:r>
              <w:rPr>
                <w:rFonts w:hint="eastAsia" w:ascii="宋体" w:hAnsi="宋体" w:cs="仿宋"/>
                <w:b/>
                <w:color w:val="auto"/>
                <w:highlight w:val="none"/>
              </w:rPr>
              <w:t>分）</w:t>
            </w:r>
          </w:p>
          <w:p w14:paraId="49DDEA2C">
            <w:pPr>
              <w:pStyle w:val="2"/>
              <w:ind w:firstLine="181" w:firstLineChars="100"/>
              <w:rPr>
                <w:color w:val="auto"/>
                <w:highlight w:val="none"/>
              </w:rPr>
            </w:pPr>
            <w:r>
              <w:rPr>
                <w:rFonts w:hint="eastAsia"/>
                <w:b/>
                <w:bCs/>
                <w:color w:val="auto"/>
                <w:highlight w:val="none"/>
              </w:rPr>
              <w:t>（客观分）</w:t>
            </w:r>
          </w:p>
        </w:tc>
        <w:tc>
          <w:tcPr>
            <w:tcW w:w="6288" w:type="dxa"/>
            <w:shd w:val="clear" w:color="auto" w:fill="auto"/>
            <w:vAlign w:val="center"/>
          </w:tcPr>
          <w:p w14:paraId="0908FF20">
            <w:pPr>
              <w:widowControl/>
              <w:spacing w:line="360" w:lineRule="exact"/>
              <w:ind w:firstLine="420" w:firstLineChars="200"/>
              <w:rPr>
                <w:rFonts w:ascii="宋体" w:hAnsi="宋体" w:cs="宋体"/>
                <w:color w:val="auto"/>
                <w:szCs w:val="21"/>
                <w:highlight w:val="none"/>
              </w:rPr>
            </w:pPr>
            <w:r>
              <w:rPr>
                <w:rFonts w:hint="eastAsia" w:hAnsi="宋体" w:cs="宋体"/>
                <w:color w:val="auto"/>
                <w:highlight w:val="none"/>
              </w:rPr>
              <w:t>供应商2021年以来具备信息化系统开发服务的信息化项目成功案例的，每提供一份得1分，满分4分。响应文件中必须提供加盖供应商公章的合同复印件（包含关键页、采购清单等，要求清晰反映项目软件组成），作为证明材料。</w:t>
            </w:r>
          </w:p>
        </w:tc>
        <w:tc>
          <w:tcPr>
            <w:tcW w:w="851" w:type="dxa"/>
            <w:shd w:val="clear" w:color="auto" w:fill="auto"/>
            <w:vAlign w:val="center"/>
          </w:tcPr>
          <w:p w14:paraId="57BC5185">
            <w:pPr>
              <w:widowControl/>
              <w:spacing w:line="340" w:lineRule="exact"/>
              <w:jc w:val="center"/>
              <w:rPr>
                <w:rFonts w:ascii="宋体" w:hAnsi="宋体" w:cs="Tahoma"/>
                <w:color w:val="auto"/>
                <w:kern w:val="0"/>
                <w:szCs w:val="21"/>
                <w:highlight w:val="none"/>
              </w:rPr>
            </w:pPr>
            <w:r>
              <w:rPr>
                <w:rFonts w:hint="eastAsia" w:ascii="宋体" w:hAnsi="宋体" w:eastAsia="等线" w:cs="仿宋"/>
                <w:b/>
                <w:color w:val="auto"/>
                <w:highlight w:val="none"/>
              </w:rPr>
              <w:t>4</w:t>
            </w:r>
            <w:r>
              <w:rPr>
                <w:rFonts w:hint="eastAsia" w:ascii="宋体" w:hAnsi="宋体" w:cs="仿宋"/>
                <w:b/>
                <w:color w:val="auto"/>
                <w:highlight w:val="none"/>
              </w:rPr>
              <w:t>分</w:t>
            </w:r>
          </w:p>
        </w:tc>
      </w:tr>
      <w:tr w14:paraId="4BA15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426" w:type="dxa"/>
            <w:gridSpan w:val="3"/>
            <w:shd w:val="clear" w:color="auto" w:fill="auto"/>
          </w:tcPr>
          <w:p w14:paraId="463CEB10">
            <w:pPr>
              <w:spacing w:line="340" w:lineRule="exact"/>
              <w:ind w:firstLine="420" w:firstLineChars="200"/>
              <w:rPr>
                <w:rFonts w:ascii="宋体" w:hAnsi="宋体" w:cs="Courier New"/>
                <w:bCs/>
                <w:color w:val="auto"/>
                <w:szCs w:val="21"/>
                <w:highlight w:val="none"/>
              </w:rPr>
            </w:pPr>
            <w:r>
              <w:rPr>
                <w:rFonts w:hint="eastAsia" w:ascii="宋体" w:hAnsi="宋体" w:cs="Courier New"/>
                <w:bCs/>
                <w:color w:val="auto"/>
                <w:szCs w:val="21"/>
                <w:highlight w:val="none"/>
              </w:rPr>
              <w:t>总得分＝1＋2＋3</w:t>
            </w:r>
          </w:p>
        </w:tc>
        <w:tc>
          <w:tcPr>
            <w:tcW w:w="851" w:type="dxa"/>
            <w:shd w:val="clear" w:color="auto" w:fill="auto"/>
            <w:vAlign w:val="center"/>
          </w:tcPr>
          <w:p w14:paraId="36F6F34F">
            <w:pPr>
              <w:widowControl/>
              <w:spacing w:line="340" w:lineRule="exact"/>
              <w:jc w:val="center"/>
              <w:rPr>
                <w:rFonts w:ascii="宋体" w:hAnsi="宋体" w:cs="Tahoma"/>
                <w:color w:val="auto"/>
                <w:kern w:val="0"/>
                <w:szCs w:val="21"/>
                <w:highlight w:val="none"/>
              </w:rPr>
            </w:pPr>
          </w:p>
        </w:tc>
      </w:tr>
    </w:tbl>
    <w:p w14:paraId="0C994A19">
      <w:pPr>
        <w:spacing w:line="360" w:lineRule="auto"/>
        <w:rPr>
          <w:rFonts w:ascii="宋体" w:hAnsi="宋体"/>
          <w:b/>
          <w:color w:val="auto"/>
          <w:sz w:val="32"/>
          <w:szCs w:val="32"/>
          <w:highlight w:val="none"/>
        </w:rPr>
      </w:pPr>
    </w:p>
    <w:p w14:paraId="65867A0E">
      <w:pPr>
        <w:spacing w:line="360" w:lineRule="auto"/>
        <w:ind w:firstLine="643" w:firstLineChars="200"/>
        <w:rPr>
          <w:rFonts w:ascii="宋体" w:hAnsi="宋体"/>
          <w:b/>
          <w:color w:val="auto"/>
          <w:sz w:val="32"/>
          <w:szCs w:val="32"/>
          <w:highlight w:val="none"/>
        </w:rPr>
      </w:pPr>
      <w:r>
        <w:rPr>
          <w:rFonts w:hint="eastAsia" w:ascii="宋体" w:hAnsi="宋体"/>
          <w:b/>
          <w:color w:val="auto"/>
          <w:sz w:val="32"/>
          <w:szCs w:val="32"/>
          <w:highlight w:val="none"/>
        </w:rPr>
        <w:t>评审标准：</w:t>
      </w:r>
    </w:p>
    <w:p w14:paraId="4C5CF38F">
      <w:pPr>
        <w:spacing w:line="360" w:lineRule="auto"/>
        <w:rPr>
          <w:rFonts w:ascii="宋体" w:hAnsi="宋体" w:cs="宋体"/>
          <w:color w:val="auto"/>
          <w:highlight w:val="none"/>
        </w:rPr>
      </w:pPr>
    </w:p>
    <w:p w14:paraId="5D5913DA">
      <w:pPr>
        <w:spacing w:line="360" w:lineRule="auto"/>
        <w:ind w:firstLine="420" w:firstLineChars="200"/>
        <w:rPr>
          <w:rFonts w:ascii="宋体" w:hAnsi="宋体" w:cs="宋体"/>
          <w:color w:val="auto"/>
          <w:szCs w:val="21"/>
          <w:highlight w:val="none"/>
        </w:rPr>
      </w:pPr>
      <w:r>
        <w:rPr>
          <w:rFonts w:hint="eastAsia" w:ascii="宋体" w:hAnsi="宋体" w:cs="宋体"/>
          <w:color w:val="auto"/>
          <w:kern w:val="0"/>
          <w:szCs w:val="21"/>
          <w:highlight w:val="none"/>
        </w:rPr>
        <w:t>本项目择优选择1家供应商作为成交人，采购人应当确定磋商小组推荐排名第一的供应商为成交供应商。</w:t>
      </w:r>
    </w:p>
    <w:p w14:paraId="222C3839">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由磋商小组根据综合评分情况，按照评审得分由高到低顺序推荐3名成交候选供应商。评审得分相同的，按照最后报价（不计算价格折扣）由低到高的顺序推荐。评审得分且最后报价（不计算价格折扣）相同的，按照技术指标优劣顺序推荐（按技术得分由高到低排序，技术得分相同的按照服务需求偏离分由高到低排序）。评审得分、最后报价（不计算价格折扣）、技术得分、服务需求偏离分均相同的，由磋商小组随机抽取推荐。</w:t>
      </w:r>
    </w:p>
    <w:p w14:paraId="5D9F98DA">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8. 评审复核</w:t>
      </w:r>
    </w:p>
    <w:p w14:paraId="3328652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8.1 评审报告签署前，评审委员会要对评审结果进行复核，复核意见要体现在评审报告中。</w:t>
      </w:r>
    </w:p>
    <w:p w14:paraId="441A1FA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8.2 评审结果汇总完成后，采购人、采购代理机构和评审委员会均不得修改评审结果或者要求重新评审，但资格性检查认定错误、分值汇总计算错误、分项评分超出评分标准范围、客观分评分不一致、经评审委员会一致认定评分畸高、畸低的情形除外。出现上述除外情形的，评审委员会应当现场修改评审结果，并在评审报告中明确记载。</w:t>
      </w:r>
    </w:p>
    <w:p w14:paraId="498C76A9">
      <w:pPr>
        <w:rPr>
          <w:color w:val="auto"/>
          <w:highlight w:val="none"/>
        </w:rPr>
      </w:pPr>
    </w:p>
    <w:p w14:paraId="3BF99B80">
      <w:pPr>
        <w:pStyle w:val="4"/>
        <w:spacing w:before="0" w:after="0" w:line="360" w:lineRule="auto"/>
        <w:ind w:firstLine="640" w:firstLineChars="200"/>
        <w:jc w:val="center"/>
        <w:rPr>
          <w:rFonts w:ascii="宋体" w:hAnsi="宋体" w:cs="宋体"/>
          <w:b w:val="0"/>
          <w:color w:val="auto"/>
          <w:highlight w:val="none"/>
        </w:rPr>
      </w:pPr>
      <w:bookmarkStart w:id="64" w:name="_Toc29504"/>
      <w:r>
        <w:rPr>
          <w:rFonts w:hint="eastAsia" w:ascii="宋体" w:hAnsi="宋体" w:cs="宋体"/>
          <w:b w:val="0"/>
          <w:color w:val="auto"/>
          <w:highlight w:val="none"/>
        </w:rPr>
        <w:t>第二节 评审原则</w:t>
      </w:r>
      <w:bookmarkEnd w:id="64"/>
    </w:p>
    <w:p w14:paraId="4D3C2E9B">
      <w:pPr>
        <w:spacing w:line="360" w:lineRule="auto"/>
        <w:ind w:firstLine="480" w:firstLineChars="200"/>
        <w:jc w:val="left"/>
        <w:rPr>
          <w:rFonts w:ascii="宋体" w:hAnsi="宋体" w:cs="宋体"/>
          <w:color w:val="auto"/>
          <w:sz w:val="24"/>
          <w:szCs w:val="32"/>
          <w:highlight w:val="none"/>
        </w:rPr>
      </w:pPr>
      <w:r>
        <w:rPr>
          <w:rFonts w:hint="eastAsia" w:ascii="宋体" w:hAnsi="宋体" w:cs="宋体"/>
          <w:color w:val="auto"/>
          <w:sz w:val="24"/>
          <w:szCs w:val="32"/>
          <w:highlight w:val="none"/>
        </w:rPr>
        <w:t>1.评审原则</w:t>
      </w:r>
    </w:p>
    <w:p w14:paraId="0EE065A7">
      <w:pPr>
        <w:spacing w:line="360" w:lineRule="auto"/>
        <w:ind w:firstLine="420" w:firstLineChars="200"/>
        <w:jc w:val="left"/>
        <w:rPr>
          <w:rFonts w:ascii="宋体" w:hAnsi="宋体" w:cs="宋体"/>
          <w:color w:val="auto"/>
          <w:highlight w:val="none"/>
        </w:rPr>
      </w:pPr>
      <w:r>
        <w:rPr>
          <w:rFonts w:hint="eastAsia" w:ascii="宋体" w:hAnsi="宋体" w:cs="宋体"/>
          <w:color w:val="auto"/>
          <w:highlight w:val="none"/>
        </w:rPr>
        <w:t>1.1磋商小组成员要依法独立评审，并对评审意见承担个人责任。磋商小组成员对需要共同认定的事项存在争议的，按照少数服从多数的原则做出结论。持不同意见的磋商小组成员应当在评审报告上签署不同意见并说明理由，否则视为同意。</w:t>
      </w:r>
    </w:p>
    <w:p w14:paraId="1D82D64A">
      <w:pPr>
        <w:spacing w:line="360" w:lineRule="auto"/>
        <w:ind w:firstLine="420" w:firstLineChars="200"/>
        <w:jc w:val="left"/>
        <w:rPr>
          <w:rFonts w:ascii="宋体" w:hAnsi="宋体" w:cs="宋体"/>
          <w:color w:val="auto"/>
          <w:highlight w:val="none"/>
        </w:rPr>
      </w:pPr>
      <w:r>
        <w:rPr>
          <w:rFonts w:hint="eastAsia" w:ascii="宋体" w:hAnsi="宋体" w:cs="宋体"/>
          <w:color w:val="auto"/>
          <w:highlight w:val="none"/>
        </w:rPr>
        <w:t>1.2根据《政府采购竞争性磋商采购方式管理暂行办法》规定，评审结果汇总完成后，采购人、采购代理机构和磋商小组均不得修改评审结果或者要求重新评审，但资格性检查认定错误、分值汇总计算错误、分项评分超出评分标准范围、客观分评分不一致、经评审委员会一致认定评分畸高、畸低的情形除外。出现上述除外情形的，磋商小组应当现场修改评审结果，并在评审报告中明确记载。</w:t>
      </w:r>
      <w:bookmarkStart w:id="65" w:name="_Toc432106535"/>
      <w:bookmarkStart w:id="66" w:name="_Toc432194885"/>
      <w:bookmarkStart w:id="67" w:name="_Toc321836413"/>
    </w:p>
    <w:bookmarkEnd w:id="65"/>
    <w:bookmarkEnd w:id="66"/>
    <w:bookmarkEnd w:id="67"/>
    <w:p w14:paraId="10902967">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1.3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14:paraId="0159DFAA">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2.终止竞争性磋商采购活动</w:t>
      </w:r>
    </w:p>
    <w:p w14:paraId="20943BB0">
      <w:pPr>
        <w:spacing w:line="360" w:lineRule="auto"/>
        <w:ind w:firstLine="420" w:firstLineChars="200"/>
        <w:jc w:val="left"/>
        <w:rPr>
          <w:rFonts w:ascii="宋体" w:hAnsi="宋体" w:cs="宋体"/>
          <w:color w:val="auto"/>
          <w:highlight w:val="none"/>
        </w:rPr>
      </w:pPr>
      <w:r>
        <w:rPr>
          <w:rFonts w:hint="eastAsia" w:ascii="宋体" w:hAnsi="宋体" w:cs="宋体"/>
          <w:color w:val="auto"/>
          <w:highlight w:val="none"/>
        </w:rPr>
        <w:t>出现下列情形之一的，采购人或者采购代理机构应当终止竞争性磋商采购活动，发布项目终止公告并说明原因，重新开展采购活动：</w:t>
      </w:r>
    </w:p>
    <w:p w14:paraId="53B1A9EF">
      <w:pPr>
        <w:spacing w:line="360" w:lineRule="auto"/>
        <w:ind w:firstLine="420" w:firstLineChars="200"/>
        <w:jc w:val="left"/>
        <w:rPr>
          <w:rFonts w:ascii="宋体" w:hAnsi="宋体" w:cs="宋体"/>
          <w:color w:val="auto"/>
          <w:highlight w:val="none"/>
        </w:rPr>
      </w:pPr>
      <w:r>
        <w:rPr>
          <w:rFonts w:hint="eastAsia" w:ascii="宋体" w:hAnsi="宋体" w:cs="宋体"/>
          <w:color w:val="auto"/>
          <w:highlight w:val="none"/>
        </w:rPr>
        <w:t xml:space="preserve">（1）因情况变化，不再符合规定的竞争性磋商采购方式适用情形的； </w:t>
      </w:r>
    </w:p>
    <w:p w14:paraId="51BB9D73">
      <w:pPr>
        <w:spacing w:line="360" w:lineRule="auto"/>
        <w:ind w:firstLine="420" w:firstLineChars="200"/>
        <w:jc w:val="left"/>
        <w:rPr>
          <w:rFonts w:ascii="宋体" w:hAnsi="宋体" w:cs="宋体"/>
          <w:color w:val="auto"/>
          <w:highlight w:val="none"/>
        </w:rPr>
      </w:pPr>
      <w:r>
        <w:rPr>
          <w:rFonts w:hint="eastAsia" w:ascii="宋体" w:hAnsi="宋体" w:cs="宋体"/>
          <w:color w:val="auto"/>
          <w:highlight w:val="none"/>
        </w:rPr>
        <w:t>（2）出现影响采购公正的违法、违规行为的；</w:t>
      </w:r>
    </w:p>
    <w:p w14:paraId="2049CDC2">
      <w:pPr>
        <w:spacing w:line="360" w:lineRule="auto"/>
        <w:ind w:firstLine="420" w:firstLineChars="200"/>
        <w:jc w:val="left"/>
        <w:rPr>
          <w:rFonts w:ascii="宋体" w:hAnsi="宋体" w:cs="宋体"/>
          <w:color w:val="auto"/>
          <w:highlight w:val="none"/>
        </w:rPr>
      </w:pPr>
      <w:r>
        <w:rPr>
          <w:rFonts w:hint="eastAsia" w:ascii="宋体" w:hAnsi="宋体" w:cs="宋体"/>
          <w:color w:val="auto"/>
          <w:highlight w:val="none"/>
        </w:rPr>
        <w:t>（3）在采购过程中符合竞争要求的供应商或者报价未超过采购预算的供应商不足3家的，但《政府采购竞争性磋商采购方式管理暂行办法》相关条款规定的情形除外。</w:t>
      </w:r>
    </w:p>
    <w:p w14:paraId="4F0A4468">
      <w:pPr>
        <w:pStyle w:val="4"/>
        <w:spacing w:before="0" w:after="0" w:line="360" w:lineRule="auto"/>
        <w:ind w:firstLine="640" w:firstLineChars="200"/>
        <w:jc w:val="center"/>
        <w:rPr>
          <w:rFonts w:ascii="宋体" w:hAnsi="宋体" w:cs="宋体"/>
          <w:b w:val="0"/>
          <w:color w:val="auto"/>
          <w:highlight w:val="none"/>
        </w:rPr>
      </w:pPr>
      <w:bookmarkStart w:id="68" w:name="_Toc15751"/>
      <w:r>
        <w:rPr>
          <w:rFonts w:hint="eastAsia" w:ascii="宋体" w:hAnsi="宋体" w:cs="宋体"/>
          <w:b w:val="0"/>
          <w:color w:val="auto"/>
          <w:highlight w:val="none"/>
        </w:rPr>
        <w:t>第三节 评审报告</w:t>
      </w:r>
      <w:bookmarkEnd w:id="68"/>
    </w:p>
    <w:p w14:paraId="2EC2004F">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1.成交标准</w:t>
      </w:r>
    </w:p>
    <w:p w14:paraId="55416EE3">
      <w:pPr>
        <w:spacing w:line="360" w:lineRule="auto"/>
        <w:ind w:firstLine="420" w:firstLineChars="200"/>
        <w:rPr>
          <w:rFonts w:ascii="宋体" w:hAnsi="宋体" w:cs="宋体"/>
          <w:color w:val="auto"/>
          <w:sz w:val="24"/>
          <w:highlight w:val="none"/>
        </w:rPr>
      </w:pPr>
      <w:r>
        <w:rPr>
          <w:rFonts w:hint="eastAsia" w:ascii="宋体" w:hAnsi="宋体" w:cs="宋体"/>
          <w:color w:val="auto"/>
          <w:highlight w:val="none"/>
        </w:rPr>
        <w:t>磋商小组应当从质量和服务均能满足磋商文件实质性响应要求的供应商中，按照综合评分由高到低的顺序排出3名成交候选人，综合得分相同时，按照最后报价由低到高顺序依次推荐；最后报价相同时，由磋商小组按“供应商须知前附表”第26.2条规定的顺序推荐）,并在线编写电子评审报告。</w:t>
      </w:r>
    </w:p>
    <w:p w14:paraId="3140BA0F">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2.评审争议事项处理</w:t>
      </w:r>
    </w:p>
    <w:p w14:paraId="6CF15224">
      <w:pPr>
        <w:pStyle w:val="95"/>
        <w:spacing w:before="0"/>
        <w:ind w:firstLine="420"/>
        <w:rPr>
          <w:rFonts w:ascii="宋体" w:hAnsi="宋体" w:cs="宋体"/>
          <w:color w:val="auto"/>
          <w:kern w:val="2"/>
          <w:sz w:val="21"/>
          <w:szCs w:val="24"/>
          <w:highlight w:val="none"/>
        </w:rPr>
      </w:pPr>
      <w:r>
        <w:rPr>
          <w:rFonts w:hint="eastAsia" w:ascii="宋体" w:hAnsi="宋体" w:cs="宋体"/>
          <w:color w:val="auto"/>
          <w:kern w:val="2"/>
          <w:sz w:val="21"/>
          <w:szCs w:val="24"/>
          <w:highlight w:val="none"/>
        </w:rPr>
        <w:t>磋商小组成员对需要共同认定的事项存在争议的，应当按照少数服从多数的原则作出结论。持不同意见的磋商小组成员应当在评审报告上签署不同意见及理由，否则视为同意评审报告。</w:t>
      </w:r>
    </w:p>
    <w:p w14:paraId="1C2B615F">
      <w:pPr>
        <w:pStyle w:val="4"/>
        <w:spacing w:before="0" w:after="0" w:line="360" w:lineRule="auto"/>
        <w:ind w:firstLine="640" w:firstLineChars="200"/>
        <w:jc w:val="center"/>
        <w:rPr>
          <w:rFonts w:ascii="宋体" w:hAnsi="宋体" w:cs="宋体"/>
          <w:b w:val="0"/>
          <w:color w:val="auto"/>
          <w:highlight w:val="none"/>
        </w:rPr>
      </w:pPr>
      <w:bookmarkStart w:id="69" w:name="_Toc7081"/>
      <w:r>
        <w:rPr>
          <w:rFonts w:hint="eastAsia" w:ascii="宋体" w:hAnsi="宋体" w:cs="宋体"/>
          <w:b w:val="0"/>
          <w:color w:val="auto"/>
          <w:highlight w:val="none"/>
        </w:rPr>
        <w:t>第四节 评审过程的保密与录像</w:t>
      </w:r>
      <w:bookmarkEnd w:id="69"/>
    </w:p>
    <w:p w14:paraId="1BDB0865">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1.保密。</w:t>
      </w:r>
    </w:p>
    <w:p w14:paraId="7543B7D0">
      <w:pPr>
        <w:widowControl/>
        <w:spacing w:line="360" w:lineRule="auto"/>
        <w:ind w:firstLine="420" w:firstLineChars="200"/>
        <w:rPr>
          <w:rFonts w:ascii="宋体" w:hAnsi="宋体" w:cs="宋体"/>
          <w:color w:val="auto"/>
          <w:highlight w:val="none"/>
        </w:rPr>
      </w:pPr>
      <w:r>
        <w:rPr>
          <w:rFonts w:hint="eastAsia" w:ascii="宋体" w:hAnsi="宋体" w:cs="宋体"/>
          <w:color w:val="auto"/>
          <w:highlight w:val="none"/>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14:paraId="59DA196E">
      <w:pPr>
        <w:widowControl/>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2.录音录像。</w:t>
      </w:r>
    </w:p>
    <w:p w14:paraId="1C6D66BE">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采购代理机构对评审工作现场及操作屏幕进行全过程录音录像，录音录像资料作为采购项目文件随其他文件一并存档。</w:t>
      </w:r>
      <w:r>
        <w:rPr>
          <w:rFonts w:hint="eastAsia" w:ascii="宋体" w:hAnsi="宋体" w:cs="宋体"/>
          <w:color w:val="auto"/>
          <w:highlight w:val="none"/>
        </w:rPr>
        <w:br w:type="page"/>
      </w:r>
    </w:p>
    <w:p w14:paraId="7180BCD2">
      <w:pPr>
        <w:rPr>
          <w:color w:val="auto"/>
          <w:highlight w:val="none"/>
        </w:rPr>
      </w:pPr>
    </w:p>
    <w:p w14:paraId="45297E50">
      <w:pPr>
        <w:rPr>
          <w:color w:val="auto"/>
          <w:highlight w:val="none"/>
        </w:rPr>
      </w:pPr>
    </w:p>
    <w:p w14:paraId="0611416E">
      <w:pPr>
        <w:rPr>
          <w:color w:val="auto"/>
          <w:highlight w:val="none"/>
        </w:rPr>
      </w:pPr>
    </w:p>
    <w:p w14:paraId="3510C1E6">
      <w:pPr>
        <w:rPr>
          <w:color w:val="auto"/>
          <w:highlight w:val="none"/>
        </w:rPr>
      </w:pPr>
    </w:p>
    <w:p w14:paraId="6C0C0B07">
      <w:pPr>
        <w:rPr>
          <w:color w:val="auto"/>
          <w:highlight w:val="none"/>
        </w:rPr>
      </w:pPr>
    </w:p>
    <w:p w14:paraId="504948E4">
      <w:pPr>
        <w:pStyle w:val="2"/>
        <w:rPr>
          <w:color w:val="auto"/>
          <w:highlight w:val="none"/>
        </w:rPr>
      </w:pPr>
    </w:p>
    <w:p w14:paraId="4AEF804E">
      <w:pPr>
        <w:rPr>
          <w:color w:val="auto"/>
          <w:highlight w:val="none"/>
        </w:rPr>
      </w:pPr>
    </w:p>
    <w:p w14:paraId="02828439">
      <w:pPr>
        <w:pStyle w:val="2"/>
        <w:rPr>
          <w:color w:val="auto"/>
          <w:highlight w:val="none"/>
        </w:rPr>
      </w:pPr>
    </w:p>
    <w:p w14:paraId="250C3191">
      <w:pPr>
        <w:rPr>
          <w:color w:val="auto"/>
          <w:highlight w:val="none"/>
        </w:rPr>
      </w:pPr>
    </w:p>
    <w:p w14:paraId="2B793EA4">
      <w:pPr>
        <w:pStyle w:val="2"/>
        <w:rPr>
          <w:color w:val="auto"/>
          <w:highlight w:val="none"/>
        </w:rPr>
      </w:pPr>
    </w:p>
    <w:p w14:paraId="2A93D8DD">
      <w:pPr>
        <w:rPr>
          <w:color w:val="auto"/>
          <w:highlight w:val="none"/>
        </w:rPr>
      </w:pPr>
    </w:p>
    <w:p w14:paraId="6E13DA21">
      <w:pPr>
        <w:pStyle w:val="2"/>
        <w:rPr>
          <w:color w:val="auto"/>
          <w:highlight w:val="none"/>
        </w:rPr>
      </w:pPr>
    </w:p>
    <w:p w14:paraId="33021625">
      <w:pPr>
        <w:rPr>
          <w:color w:val="auto"/>
          <w:highlight w:val="none"/>
        </w:rPr>
      </w:pPr>
    </w:p>
    <w:p w14:paraId="0B00F04C">
      <w:pPr>
        <w:pStyle w:val="2"/>
        <w:rPr>
          <w:color w:val="auto"/>
          <w:highlight w:val="none"/>
        </w:rPr>
      </w:pPr>
    </w:p>
    <w:p w14:paraId="1596045F">
      <w:pPr>
        <w:rPr>
          <w:color w:val="auto"/>
          <w:highlight w:val="none"/>
        </w:rPr>
      </w:pPr>
    </w:p>
    <w:p w14:paraId="7AAD71A2">
      <w:pPr>
        <w:pStyle w:val="2"/>
        <w:rPr>
          <w:color w:val="auto"/>
          <w:highlight w:val="none"/>
        </w:rPr>
      </w:pPr>
    </w:p>
    <w:p w14:paraId="42BF1A1B">
      <w:pPr>
        <w:rPr>
          <w:color w:val="auto"/>
          <w:highlight w:val="none"/>
        </w:rPr>
      </w:pPr>
    </w:p>
    <w:p w14:paraId="20898A99">
      <w:pPr>
        <w:pStyle w:val="2"/>
        <w:rPr>
          <w:color w:val="auto"/>
          <w:highlight w:val="none"/>
        </w:rPr>
      </w:pPr>
    </w:p>
    <w:p w14:paraId="013559A0">
      <w:pPr>
        <w:rPr>
          <w:color w:val="auto"/>
          <w:highlight w:val="none"/>
        </w:rPr>
      </w:pPr>
    </w:p>
    <w:p w14:paraId="0FAD485A">
      <w:pPr>
        <w:pStyle w:val="2"/>
        <w:rPr>
          <w:color w:val="auto"/>
          <w:highlight w:val="none"/>
        </w:rPr>
      </w:pPr>
    </w:p>
    <w:p w14:paraId="25E6FAC2">
      <w:pPr>
        <w:rPr>
          <w:color w:val="auto"/>
          <w:highlight w:val="none"/>
        </w:rPr>
      </w:pPr>
    </w:p>
    <w:p w14:paraId="59345DD5">
      <w:pPr>
        <w:pStyle w:val="2"/>
        <w:rPr>
          <w:color w:val="auto"/>
          <w:highlight w:val="none"/>
        </w:rPr>
      </w:pPr>
    </w:p>
    <w:p w14:paraId="505928DF">
      <w:pPr>
        <w:rPr>
          <w:color w:val="auto"/>
          <w:highlight w:val="none"/>
        </w:rPr>
      </w:pPr>
    </w:p>
    <w:p w14:paraId="47D58E85">
      <w:pPr>
        <w:pStyle w:val="2"/>
        <w:rPr>
          <w:color w:val="auto"/>
          <w:highlight w:val="none"/>
        </w:rPr>
      </w:pPr>
    </w:p>
    <w:p w14:paraId="6B9BC7E4">
      <w:pPr>
        <w:rPr>
          <w:color w:val="auto"/>
          <w:highlight w:val="none"/>
        </w:rPr>
      </w:pPr>
    </w:p>
    <w:p w14:paraId="13999095">
      <w:pPr>
        <w:pStyle w:val="2"/>
        <w:rPr>
          <w:color w:val="auto"/>
          <w:highlight w:val="none"/>
        </w:rPr>
      </w:pPr>
    </w:p>
    <w:p w14:paraId="0909E13D">
      <w:pPr>
        <w:pStyle w:val="3"/>
        <w:jc w:val="center"/>
        <w:rPr>
          <w:rFonts w:ascii="宋体" w:hAnsi="宋体" w:cs="宋体"/>
          <w:color w:val="auto"/>
          <w:highlight w:val="none"/>
        </w:rPr>
      </w:pPr>
      <w:bookmarkStart w:id="70" w:name="_Toc2127"/>
      <w:r>
        <w:rPr>
          <w:rFonts w:hint="eastAsia" w:ascii="宋体" w:hAnsi="宋体" w:cs="宋体"/>
          <w:color w:val="auto"/>
          <w:highlight w:val="none"/>
        </w:rPr>
        <w:t>第五章 响应文件格式</w:t>
      </w:r>
      <w:r>
        <w:rPr>
          <w:rFonts w:hint="eastAsia" w:ascii="宋体" w:hAnsi="宋体" w:cs="宋体"/>
          <w:color w:val="auto"/>
          <w:highlight w:val="none"/>
        </w:rPr>
        <w:br w:type="page"/>
      </w:r>
      <w:bookmarkEnd w:id="70"/>
    </w:p>
    <w:p w14:paraId="6CAC7F6B">
      <w:pPr>
        <w:pStyle w:val="4"/>
        <w:jc w:val="center"/>
        <w:rPr>
          <w:rFonts w:ascii="宋体" w:hAnsi="宋体" w:cs="宋体"/>
          <w:b w:val="0"/>
          <w:color w:val="auto"/>
          <w:highlight w:val="none"/>
        </w:rPr>
      </w:pPr>
      <w:bookmarkStart w:id="71" w:name="_Toc13161"/>
      <w:r>
        <w:rPr>
          <w:rFonts w:hint="eastAsia" w:ascii="宋体" w:hAnsi="宋体" w:cs="宋体"/>
          <w:b w:val="0"/>
          <w:color w:val="auto"/>
          <w:highlight w:val="none"/>
        </w:rPr>
        <w:t>第一节 封面格式</w:t>
      </w:r>
      <w:bookmarkEnd w:id="71"/>
    </w:p>
    <w:p w14:paraId="2D9FA9CD">
      <w:pPr>
        <w:rPr>
          <w:rFonts w:ascii="宋体" w:hAnsi="宋体" w:cs="宋体"/>
          <w:b/>
          <w:bCs/>
          <w:color w:val="auto"/>
          <w:sz w:val="32"/>
          <w:szCs w:val="32"/>
          <w:highlight w:val="none"/>
        </w:rPr>
      </w:pPr>
      <w:bookmarkStart w:id="72" w:name="_Toc44229898"/>
      <w:r>
        <w:rPr>
          <w:rFonts w:hint="eastAsia" w:ascii="宋体" w:hAnsi="宋体" w:cs="宋体"/>
          <w:b/>
          <w:color w:val="auto"/>
          <w:sz w:val="32"/>
          <w:szCs w:val="32"/>
          <w:highlight w:val="none"/>
        </w:rPr>
        <w:t>（</w:t>
      </w:r>
      <w:bookmarkStart w:id="73" w:name="_Toc35611515"/>
      <w:bookmarkStart w:id="74" w:name="_Toc35611437"/>
      <w:r>
        <w:rPr>
          <w:rFonts w:hint="eastAsia" w:ascii="宋体" w:hAnsi="宋体" w:cs="宋体"/>
          <w:b/>
          <w:bCs/>
          <w:color w:val="auto"/>
          <w:sz w:val="32"/>
          <w:szCs w:val="32"/>
          <w:highlight w:val="none"/>
        </w:rPr>
        <w:t>响应文件外层包装封面格式</w:t>
      </w:r>
      <w:bookmarkEnd w:id="73"/>
      <w:bookmarkEnd w:id="74"/>
      <w:r>
        <w:rPr>
          <w:rFonts w:hint="eastAsia" w:ascii="宋体" w:hAnsi="宋体" w:cs="宋体"/>
          <w:b/>
          <w:color w:val="auto"/>
          <w:sz w:val="32"/>
          <w:szCs w:val="32"/>
          <w:highlight w:val="none"/>
        </w:rPr>
        <w:t xml:space="preserve"> ）</w:t>
      </w:r>
      <w:bookmarkEnd w:id="72"/>
    </w:p>
    <w:p w14:paraId="466CC6F5">
      <w:pPr>
        <w:snapToGrid w:val="0"/>
        <w:spacing w:before="120" w:beforeLines="50" w:after="50"/>
        <w:rPr>
          <w:rFonts w:ascii="宋体" w:hAnsi="宋体" w:cs="宋体"/>
          <w:color w:val="auto"/>
          <w:sz w:val="24"/>
          <w:szCs w:val="20"/>
          <w:highlight w:val="none"/>
        </w:rPr>
      </w:pPr>
    </w:p>
    <w:p w14:paraId="0A08E7D6">
      <w:pPr>
        <w:snapToGrid w:val="0"/>
        <w:spacing w:before="120" w:beforeLines="50" w:after="50"/>
        <w:jc w:val="center"/>
        <w:rPr>
          <w:rFonts w:ascii="宋体" w:hAnsi="宋体" w:cs="宋体"/>
          <w:bCs/>
          <w:color w:val="auto"/>
          <w:sz w:val="24"/>
          <w:szCs w:val="20"/>
          <w:highlight w:val="none"/>
        </w:rPr>
      </w:pPr>
    </w:p>
    <w:p w14:paraId="681F0903">
      <w:pPr>
        <w:snapToGrid w:val="0"/>
        <w:spacing w:before="120" w:beforeLines="50" w:after="50"/>
        <w:jc w:val="center"/>
        <w:rPr>
          <w:rFonts w:ascii="宋体" w:hAnsi="宋体" w:cs="宋体"/>
          <w:bCs/>
          <w:color w:val="auto"/>
          <w:sz w:val="44"/>
          <w:szCs w:val="44"/>
          <w:highlight w:val="none"/>
        </w:rPr>
      </w:pPr>
      <w:r>
        <w:rPr>
          <w:rFonts w:hint="eastAsia" w:ascii="宋体" w:hAnsi="宋体" w:cs="宋体"/>
          <w:bCs/>
          <w:color w:val="auto"/>
          <w:sz w:val="44"/>
          <w:szCs w:val="44"/>
          <w:highlight w:val="none"/>
        </w:rPr>
        <w:t>响  应  文  件</w:t>
      </w:r>
    </w:p>
    <w:p w14:paraId="5106CD4D">
      <w:pPr>
        <w:snapToGrid w:val="0"/>
        <w:spacing w:before="120" w:beforeLines="50" w:after="50"/>
        <w:rPr>
          <w:rFonts w:ascii="宋体" w:hAnsi="宋体" w:cs="宋体"/>
          <w:bCs/>
          <w:color w:val="auto"/>
          <w:sz w:val="24"/>
          <w:szCs w:val="20"/>
          <w:highlight w:val="none"/>
        </w:rPr>
      </w:pPr>
    </w:p>
    <w:p w14:paraId="604AF07D">
      <w:pPr>
        <w:snapToGrid w:val="0"/>
        <w:spacing w:before="120" w:beforeLines="50" w:after="50"/>
        <w:rPr>
          <w:rFonts w:ascii="宋体" w:hAnsi="宋体" w:cs="宋体"/>
          <w:bCs/>
          <w:color w:val="auto"/>
          <w:sz w:val="24"/>
          <w:szCs w:val="20"/>
          <w:highlight w:val="none"/>
        </w:rPr>
      </w:pPr>
    </w:p>
    <w:p w14:paraId="0869755C">
      <w:pPr>
        <w:snapToGrid w:val="0"/>
        <w:spacing w:before="120" w:beforeLines="50" w:after="50"/>
        <w:rPr>
          <w:rFonts w:ascii="宋体" w:hAnsi="宋体" w:cs="宋体"/>
          <w:bCs/>
          <w:color w:val="auto"/>
          <w:sz w:val="32"/>
          <w:szCs w:val="32"/>
          <w:highlight w:val="none"/>
        </w:rPr>
      </w:pPr>
    </w:p>
    <w:p w14:paraId="779E702B">
      <w:pPr>
        <w:snapToGrid w:val="0"/>
        <w:spacing w:before="120" w:beforeLines="50" w:after="50"/>
        <w:ind w:firstLine="640" w:firstLineChars="200"/>
        <w:rPr>
          <w:rFonts w:ascii="宋体" w:hAnsi="宋体" w:cs="宋体"/>
          <w:bCs/>
          <w:color w:val="auto"/>
          <w:sz w:val="32"/>
          <w:szCs w:val="32"/>
          <w:highlight w:val="none"/>
        </w:rPr>
      </w:pPr>
      <w:r>
        <w:rPr>
          <w:rFonts w:hint="eastAsia" w:ascii="宋体" w:hAnsi="宋体" w:cs="宋体"/>
          <w:bCs/>
          <w:color w:val="auto"/>
          <w:sz w:val="32"/>
          <w:szCs w:val="32"/>
          <w:highlight w:val="none"/>
        </w:rPr>
        <w:t>项目名称：</w:t>
      </w:r>
    </w:p>
    <w:p w14:paraId="3BB3A3B7">
      <w:pPr>
        <w:snapToGrid w:val="0"/>
        <w:spacing w:before="120" w:beforeLines="50" w:after="50"/>
        <w:ind w:firstLine="480" w:firstLineChars="150"/>
        <w:rPr>
          <w:rFonts w:ascii="宋体" w:hAnsi="宋体" w:cs="宋体"/>
          <w:bCs/>
          <w:color w:val="auto"/>
          <w:sz w:val="32"/>
          <w:szCs w:val="32"/>
          <w:highlight w:val="none"/>
        </w:rPr>
      </w:pPr>
    </w:p>
    <w:p w14:paraId="5FF97EE8">
      <w:pPr>
        <w:snapToGrid w:val="0"/>
        <w:spacing w:before="120" w:beforeLines="50" w:after="50"/>
        <w:ind w:firstLine="640" w:firstLineChars="200"/>
        <w:rPr>
          <w:rFonts w:ascii="宋体" w:hAnsi="宋体" w:cs="宋体"/>
          <w:bCs/>
          <w:color w:val="auto"/>
          <w:sz w:val="32"/>
          <w:szCs w:val="32"/>
          <w:highlight w:val="none"/>
        </w:rPr>
      </w:pPr>
      <w:r>
        <w:rPr>
          <w:rFonts w:hint="eastAsia" w:ascii="宋体" w:hAnsi="宋体" w:cs="宋体"/>
          <w:bCs/>
          <w:color w:val="auto"/>
          <w:sz w:val="32"/>
          <w:szCs w:val="32"/>
          <w:highlight w:val="none"/>
        </w:rPr>
        <w:t>项目编号：</w:t>
      </w:r>
    </w:p>
    <w:p w14:paraId="5AC25230">
      <w:pPr>
        <w:snapToGrid w:val="0"/>
        <w:spacing w:before="120" w:beforeLines="50" w:after="50"/>
        <w:ind w:firstLine="480" w:firstLineChars="150"/>
        <w:rPr>
          <w:rFonts w:ascii="宋体" w:hAnsi="宋体" w:cs="宋体"/>
          <w:bCs/>
          <w:color w:val="auto"/>
          <w:sz w:val="32"/>
          <w:szCs w:val="32"/>
          <w:highlight w:val="none"/>
        </w:rPr>
      </w:pPr>
    </w:p>
    <w:p w14:paraId="51801E8F">
      <w:pPr>
        <w:snapToGrid w:val="0"/>
        <w:spacing w:before="120" w:beforeLines="50" w:after="50"/>
        <w:ind w:firstLine="640" w:firstLineChars="200"/>
        <w:rPr>
          <w:rFonts w:ascii="宋体" w:hAnsi="宋体" w:cs="宋体"/>
          <w:bCs/>
          <w:color w:val="auto"/>
          <w:sz w:val="32"/>
          <w:szCs w:val="32"/>
          <w:highlight w:val="none"/>
        </w:rPr>
      </w:pPr>
      <w:r>
        <w:rPr>
          <w:rFonts w:hint="eastAsia" w:ascii="宋体" w:hAnsi="宋体" w:cs="宋体"/>
          <w:bCs/>
          <w:color w:val="auto"/>
          <w:sz w:val="32"/>
          <w:szCs w:val="32"/>
          <w:highlight w:val="none"/>
        </w:rPr>
        <w:t>所竞分标（如有则填写，无分标时填写“无”或者留空）：</w:t>
      </w:r>
    </w:p>
    <w:p w14:paraId="7312DB3C">
      <w:pPr>
        <w:snapToGrid w:val="0"/>
        <w:spacing w:before="120" w:beforeLines="50" w:after="50"/>
        <w:rPr>
          <w:rFonts w:ascii="宋体" w:hAnsi="宋体" w:cs="宋体"/>
          <w:bCs/>
          <w:color w:val="auto"/>
          <w:sz w:val="32"/>
          <w:szCs w:val="32"/>
          <w:highlight w:val="none"/>
        </w:rPr>
      </w:pPr>
    </w:p>
    <w:p w14:paraId="1EE65EE7">
      <w:pPr>
        <w:snapToGrid w:val="0"/>
        <w:spacing w:before="120" w:beforeLines="50" w:after="50"/>
        <w:ind w:firstLine="640" w:firstLineChars="200"/>
        <w:rPr>
          <w:rFonts w:ascii="宋体" w:hAnsi="宋体" w:cs="宋体"/>
          <w:bCs/>
          <w:color w:val="auto"/>
          <w:sz w:val="32"/>
          <w:szCs w:val="32"/>
          <w:highlight w:val="none"/>
        </w:rPr>
      </w:pPr>
      <w:r>
        <w:rPr>
          <w:rFonts w:hint="eastAsia" w:ascii="宋体" w:hAnsi="宋体" w:cs="宋体"/>
          <w:bCs/>
          <w:color w:val="auto"/>
          <w:sz w:val="32"/>
          <w:szCs w:val="32"/>
          <w:highlight w:val="none"/>
        </w:rPr>
        <w:t>供应商名称：</w:t>
      </w:r>
    </w:p>
    <w:p w14:paraId="7248CFBC">
      <w:pPr>
        <w:snapToGrid w:val="0"/>
        <w:spacing w:before="120" w:beforeLines="50" w:after="50"/>
        <w:rPr>
          <w:rFonts w:ascii="宋体" w:hAnsi="宋体" w:cs="宋体"/>
          <w:bCs/>
          <w:color w:val="auto"/>
          <w:sz w:val="32"/>
          <w:szCs w:val="32"/>
          <w:highlight w:val="none"/>
        </w:rPr>
      </w:pPr>
    </w:p>
    <w:p w14:paraId="65320ADE">
      <w:pPr>
        <w:snapToGrid w:val="0"/>
        <w:spacing w:before="120" w:beforeLines="50" w:after="50"/>
        <w:ind w:firstLine="480" w:firstLineChars="150"/>
        <w:jc w:val="center"/>
        <w:rPr>
          <w:rFonts w:ascii="宋体" w:hAnsi="宋体" w:cs="宋体"/>
          <w:bCs/>
          <w:color w:val="auto"/>
          <w:sz w:val="32"/>
          <w:szCs w:val="32"/>
          <w:highlight w:val="none"/>
        </w:rPr>
      </w:pPr>
      <w:r>
        <w:rPr>
          <w:rFonts w:hint="eastAsia" w:ascii="宋体" w:hAnsi="宋体" w:cs="宋体"/>
          <w:bCs/>
          <w:color w:val="auto"/>
          <w:sz w:val="32"/>
          <w:szCs w:val="32"/>
          <w:highlight w:val="none"/>
        </w:rPr>
        <w:t>首次响应文件提交截止时间前不得解密</w:t>
      </w:r>
    </w:p>
    <w:p w14:paraId="52615523">
      <w:pPr>
        <w:snapToGrid w:val="0"/>
        <w:spacing w:before="120" w:beforeLines="50" w:after="50"/>
        <w:ind w:firstLine="5440" w:firstLineChars="1700"/>
        <w:jc w:val="center"/>
        <w:rPr>
          <w:rFonts w:ascii="宋体" w:hAnsi="宋体" w:cs="宋体"/>
          <w:bCs/>
          <w:color w:val="auto"/>
          <w:sz w:val="32"/>
          <w:szCs w:val="32"/>
          <w:highlight w:val="none"/>
        </w:rPr>
      </w:pPr>
    </w:p>
    <w:p w14:paraId="7467D355">
      <w:pPr>
        <w:snapToGrid w:val="0"/>
        <w:spacing w:before="120" w:beforeLines="50" w:after="50"/>
        <w:ind w:firstLine="645"/>
        <w:jc w:val="center"/>
        <w:rPr>
          <w:rFonts w:ascii="宋体" w:hAnsi="宋体" w:cs="宋体"/>
          <w:bCs/>
          <w:color w:val="auto"/>
          <w:sz w:val="32"/>
          <w:szCs w:val="32"/>
          <w:highlight w:val="none"/>
        </w:rPr>
      </w:pPr>
      <w:r>
        <w:rPr>
          <w:rFonts w:hint="eastAsia" w:ascii="宋体" w:hAnsi="宋体" w:cs="宋体"/>
          <w:bCs/>
          <w:color w:val="auto"/>
          <w:sz w:val="32"/>
          <w:szCs w:val="32"/>
          <w:highlight w:val="none"/>
        </w:rPr>
        <w:t>年    月    日</w:t>
      </w:r>
    </w:p>
    <w:p w14:paraId="0E801C2D">
      <w:pPr>
        <w:spacing w:line="240" w:lineRule="atLeast"/>
        <w:rPr>
          <w:rFonts w:ascii="宋体" w:hAnsi="宋体" w:cs="宋体"/>
          <w:b/>
          <w:bCs/>
          <w:color w:val="auto"/>
          <w:highlight w:val="none"/>
        </w:rPr>
      </w:pPr>
      <w:r>
        <w:rPr>
          <w:rFonts w:hint="eastAsia" w:ascii="宋体" w:hAnsi="宋体" w:cs="宋体"/>
          <w:bCs/>
          <w:color w:val="auto"/>
          <w:sz w:val="24"/>
          <w:highlight w:val="none"/>
        </w:rPr>
        <w:br w:type="page"/>
      </w:r>
    </w:p>
    <w:p w14:paraId="5BFCED60">
      <w:pPr>
        <w:snapToGrid w:val="0"/>
        <w:spacing w:before="120" w:beforeLines="50" w:after="50" w:line="360" w:lineRule="auto"/>
        <w:jc w:val="center"/>
        <w:outlineLvl w:val="1"/>
        <w:rPr>
          <w:rFonts w:ascii="宋体" w:hAnsi="宋体" w:cs="宋体"/>
          <w:bCs/>
          <w:color w:val="auto"/>
          <w:sz w:val="32"/>
          <w:szCs w:val="32"/>
          <w:highlight w:val="none"/>
        </w:rPr>
      </w:pPr>
      <w:bookmarkStart w:id="75" w:name="_Toc3174"/>
      <w:r>
        <w:rPr>
          <w:rFonts w:hint="eastAsia" w:ascii="宋体" w:hAnsi="宋体" w:cs="宋体"/>
          <w:bCs/>
          <w:color w:val="auto"/>
          <w:sz w:val="32"/>
          <w:szCs w:val="32"/>
          <w:highlight w:val="none"/>
        </w:rPr>
        <w:t>第二节 资格证明文件格式</w:t>
      </w:r>
      <w:bookmarkEnd w:id="75"/>
    </w:p>
    <w:p w14:paraId="5BFC39DE">
      <w:pPr>
        <w:snapToGrid w:val="0"/>
        <w:spacing w:before="120" w:beforeLines="50" w:after="50"/>
        <w:rPr>
          <w:rFonts w:ascii="宋体" w:hAnsi="宋体" w:cs="宋体"/>
          <w:bCs/>
          <w:color w:val="auto"/>
          <w:sz w:val="32"/>
          <w:szCs w:val="20"/>
          <w:highlight w:val="none"/>
        </w:rPr>
      </w:pPr>
      <w:r>
        <w:rPr>
          <w:rFonts w:hint="eastAsia" w:ascii="宋体" w:hAnsi="宋体" w:cs="宋体"/>
          <w:bCs/>
          <w:color w:val="auto"/>
          <w:highlight w:val="none"/>
        </w:rPr>
        <w:t>全流程电子文件</w:t>
      </w:r>
    </w:p>
    <w:p w14:paraId="5211AA3A">
      <w:pPr>
        <w:snapToGrid w:val="0"/>
        <w:spacing w:before="120" w:beforeLines="50" w:after="50"/>
        <w:rPr>
          <w:rFonts w:ascii="宋体" w:hAnsi="宋体" w:cs="宋体"/>
          <w:color w:val="auto"/>
          <w:sz w:val="24"/>
          <w:szCs w:val="20"/>
          <w:highlight w:val="none"/>
        </w:rPr>
      </w:pPr>
    </w:p>
    <w:p w14:paraId="261557D5">
      <w:pPr>
        <w:snapToGrid w:val="0"/>
        <w:spacing w:before="120" w:beforeLines="50" w:after="50"/>
        <w:rPr>
          <w:rFonts w:ascii="宋体" w:hAnsi="宋体" w:cs="宋体"/>
          <w:color w:val="auto"/>
          <w:sz w:val="24"/>
          <w:szCs w:val="20"/>
          <w:highlight w:val="none"/>
        </w:rPr>
      </w:pPr>
    </w:p>
    <w:p w14:paraId="58708B0F">
      <w:pPr>
        <w:snapToGrid w:val="0"/>
        <w:spacing w:before="120" w:beforeLines="50" w:after="50"/>
        <w:jc w:val="center"/>
        <w:rPr>
          <w:rFonts w:ascii="宋体" w:hAnsi="宋体" w:cs="宋体"/>
          <w:bCs/>
          <w:color w:val="auto"/>
          <w:sz w:val="44"/>
          <w:szCs w:val="44"/>
          <w:highlight w:val="none"/>
        </w:rPr>
      </w:pPr>
      <w:r>
        <w:rPr>
          <w:rFonts w:hint="eastAsia" w:ascii="宋体" w:hAnsi="宋体" w:cs="宋体"/>
          <w:bCs/>
          <w:color w:val="auto"/>
          <w:sz w:val="44"/>
          <w:szCs w:val="44"/>
          <w:highlight w:val="none"/>
        </w:rPr>
        <w:t>资  格  证  明  文  件（封面）</w:t>
      </w:r>
    </w:p>
    <w:p w14:paraId="55BD5E4A">
      <w:pPr>
        <w:snapToGrid w:val="0"/>
        <w:spacing w:before="120" w:beforeLines="50" w:after="50"/>
        <w:rPr>
          <w:rFonts w:ascii="宋体" w:hAnsi="宋体" w:cs="宋体"/>
          <w:bCs/>
          <w:color w:val="auto"/>
          <w:sz w:val="24"/>
          <w:szCs w:val="20"/>
          <w:highlight w:val="none"/>
        </w:rPr>
      </w:pPr>
    </w:p>
    <w:p w14:paraId="0E945665">
      <w:pPr>
        <w:snapToGrid w:val="0"/>
        <w:spacing w:before="120" w:beforeLines="50" w:after="50"/>
        <w:rPr>
          <w:rFonts w:ascii="宋体" w:hAnsi="宋体" w:cs="宋体"/>
          <w:bCs/>
          <w:color w:val="auto"/>
          <w:sz w:val="24"/>
          <w:szCs w:val="20"/>
          <w:highlight w:val="none"/>
        </w:rPr>
      </w:pPr>
    </w:p>
    <w:p w14:paraId="4888C83B">
      <w:pPr>
        <w:snapToGrid w:val="0"/>
        <w:spacing w:before="120" w:beforeLines="50" w:after="50"/>
        <w:rPr>
          <w:rFonts w:ascii="宋体" w:hAnsi="宋体" w:cs="宋体"/>
          <w:bCs/>
          <w:color w:val="auto"/>
          <w:sz w:val="24"/>
          <w:szCs w:val="20"/>
          <w:highlight w:val="none"/>
        </w:rPr>
      </w:pPr>
    </w:p>
    <w:p w14:paraId="48C76D44">
      <w:pPr>
        <w:snapToGrid w:val="0"/>
        <w:spacing w:before="120" w:beforeLines="50" w:after="50"/>
        <w:rPr>
          <w:rFonts w:ascii="宋体" w:hAnsi="宋体" w:cs="宋体"/>
          <w:bCs/>
          <w:color w:val="auto"/>
          <w:sz w:val="24"/>
          <w:szCs w:val="20"/>
          <w:highlight w:val="none"/>
        </w:rPr>
      </w:pPr>
    </w:p>
    <w:p w14:paraId="133F9F0B">
      <w:pPr>
        <w:snapToGrid w:val="0"/>
        <w:spacing w:before="120" w:beforeLines="50" w:after="50"/>
        <w:rPr>
          <w:rFonts w:ascii="宋体" w:hAnsi="宋体" w:cs="宋体"/>
          <w:bCs/>
          <w:color w:val="auto"/>
          <w:sz w:val="24"/>
          <w:szCs w:val="20"/>
          <w:highlight w:val="none"/>
        </w:rPr>
      </w:pPr>
    </w:p>
    <w:p w14:paraId="42DE024A">
      <w:pPr>
        <w:snapToGrid w:val="0"/>
        <w:spacing w:before="120" w:beforeLines="50" w:after="50"/>
        <w:ind w:firstLine="640" w:firstLineChars="200"/>
        <w:rPr>
          <w:rFonts w:ascii="宋体" w:hAnsi="宋体" w:cs="宋体"/>
          <w:bCs/>
          <w:color w:val="auto"/>
          <w:sz w:val="32"/>
          <w:szCs w:val="32"/>
          <w:highlight w:val="none"/>
        </w:rPr>
      </w:pPr>
      <w:r>
        <w:rPr>
          <w:rFonts w:hint="eastAsia" w:ascii="宋体" w:hAnsi="宋体" w:cs="宋体"/>
          <w:bCs/>
          <w:color w:val="auto"/>
          <w:sz w:val="32"/>
          <w:szCs w:val="32"/>
          <w:highlight w:val="none"/>
        </w:rPr>
        <w:t>项目名称：</w:t>
      </w:r>
    </w:p>
    <w:p w14:paraId="0B305FA8">
      <w:pPr>
        <w:snapToGrid w:val="0"/>
        <w:spacing w:before="120" w:beforeLines="50" w:after="50"/>
        <w:ind w:firstLine="720" w:firstLineChars="225"/>
        <w:rPr>
          <w:rFonts w:ascii="宋体" w:hAnsi="宋体" w:cs="宋体"/>
          <w:bCs/>
          <w:color w:val="auto"/>
          <w:sz w:val="32"/>
          <w:szCs w:val="32"/>
          <w:highlight w:val="none"/>
        </w:rPr>
      </w:pPr>
    </w:p>
    <w:p w14:paraId="4E6A2CB7">
      <w:pPr>
        <w:snapToGrid w:val="0"/>
        <w:spacing w:before="120" w:beforeLines="50" w:after="50"/>
        <w:ind w:firstLine="720" w:firstLineChars="225"/>
        <w:rPr>
          <w:rFonts w:ascii="宋体" w:hAnsi="宋体" w:cs="宋体"/>
          <w:bCs/>
          <w:color w:val="auto"/>
          <w:sz w:val="32"/>
          <w:szCs w:val="32"/>
          <w:highlight w:val="none"/>
        </w:rPr>
      </w:pPr>
      <w:r>
        <w:rPr>
          <w:rFonts w:hint="eastAsia" w:ascii="宋体" w:hAnsi="宋体" w:cs="宋体"/>
          <w:bCs/>
          <w:color w:val="auto"/>
          <w:sz w:val="32"/>
          <w:szCs w:val="32"/>
          <w:highlight w:val="none"/>
        </w:rPr>
        <w:t>项目编号：</w:t>
      </w:r>
    </w:p>
    <w:p w14:paraId="34793B22">
      <w:pPr>
        <w:snapToGrid w:val="0"/>
        <w:spacing w:before="120" w:beforeLines="50" w:after="50"/>
        <w:ind w:firstLine="720" w:firstLineChars="225"/>
        <w:rPr>
          <w:rFonts w:ascii="宋体" w:hAnsi="宋体" w:cs="宋体"/>
          <w:bCs/>
          <w:color w:val="auto"/>
          <w:sz w:val="32"/>
          <w:szCs w:val="32"/>
          <w:highlight w:val="none"/>
        </w:rPr>
      </w:pPr>
    </w:p>
    <w:p w14:paraId="5DC688CA">
      <w:pPr>
        <w:snapToGrid w:val="0"/>
        <w:spacing w:before="120" w:beforeLines="50" w:after="50"/>
        <w:ind w:firstLine="720" w:firstLineChars="225"/>
        <w:rPr>
          <w:rFonts w:ascii="宋体" w:hAnsi="宋体" w:cs="宋体"/>
          <w:bCs/>
          <w:color w:val="auto"/>
          <w:sz w:val="32"/>
          <w:szCs w:val="32"/>
          <w:highlight w:val="none"/>
        </w:rPr>
      </w:pPr>
      <w:r>
        <w:rPr>
          <w:rFonts w:hint="eastAsia" w:ascii="宋体" w:hAnsi="宋体" w:cs="宋体"/>
          <w:bCs/>
          <w:color w:val="auto"/>
          <w:sz w:val="32"/>
          <w:szCs w:val="32"/>
          <w:highlight w:val="none"/>
        </w:rPr>
        <w:t>所竞分标（如有则填写，无分标时填写“无”或者留空）：</w:t>
      </w:r>
    </w:p>
    <w:p w14:paraId="7D5A5BFD">
      <w:pPr>
        <w:snapToGrid w:val="0"/>
        <w:spacing w:before="120" w:beforeLines="50" w:after="50"/>
        <w:ind w:firstLine="720" w:firstLineChars="225"/>
        <w:rPr>
          <w:rFonts w:ascii="宋体" w:hAnsi="宋体" w:cs="宋体"/>
          <w:bCs/>
          <w:color w:val="auto"/>
          <w:sz w:val="32"/>
          <w:szCs w:val="32"/>
          <w:highlight w:val="none"/>
        </w:rPr>
      </w:pPr>
    </w:p>
    <w:p w14:paraId="0A130135">
      <w:pPr>
        <w:pStyle w:val="7"/>
        <w:snapToGrid w:val="0"/>
        <w:spacing w:before="50" w:after="50"/>
        <w:ind w:firstLine="720" w:firstLineChars="225"/>
        <w:rPr>
          <w:rFonts w:ascii="宋体" w:hAnsi="宋体" w:cs="宋体"/>
          <w:bCs/>
          <w:color w:val="auto"/>
          <w:sz w:val="32"/>
          <w:szCs w:val="32"/>
          <w:highlight w:val="none"/>
        </w:rPr>
      </w:pPr>
      <w:r>
        <w:rPr>
          <w:rFonts w:hint="eastAsia" w:ascii="宋体" w:hAnsi="宋体" w:cs="宋体"/>
          <w:bCs/>
          <w:color w:val="auto"/>
          <w:sz w:val="32"/>
          <w:szCs w:val="32"/>
          <w:highlight w:val="none"/>
        </w:rPr>
        <w:t>供应商名称：</w:t>
      </w:r>
    </w:p>
    <w:p w14:paraId="138603CB">
      <w:pPr>
        <w:pStyle w:val="7"/>
        <w:snapToGrid w:val="0"/>
        <w:spacing w:before="50" w:after="50"/>
        <w:ind w:firstLine="720" w:firstLineChars="225"/>
        <w:rPr>
          <w:rFonts w:ascii="宋体" w:hAnsi="宋体" w:cs="宋体"/>
          <w:bCs/>
          <w:color w:val="auto"/>
          <w:sz w:val="32"/>
          <w:szCs w:val="32"/>
          <w:highlight w:val="none"/>
        </w:rPr>
      </w:pPr>
    </w:p>
    <w:p w14:paraId="3ACA8F61">
      <w:pPr>
        <w:pStyle w:val="7"/>
        <w:snapToGrid w:val="0"/>
        <w:spacing w:before="50" w:after="50"/>
        <w:ind w:firstLine="720" w:firstLineChars="225"/>
        <w:rPr>
          <w:rFonts w:ascii="宋体" w:hAnsi="宋体" w:cs="宋体"/>
          <w:bCs/>
          <w:color w:val="auto"/>
          <w:sz w:val="32"/>
          <w:szCs w:val="32"/>
          <w:highlight w:val="none"/>
        </w:rPr>
      </w:pPr>
    </w:p>
    <w:p w14:paraId="2CB0A1A3">
      <w:pPr>
        <w:pStyle w:val="7"/>
        <w:snapToGrid w:val="0"/>
        <w:spacing w:before="50" w:after="50"/>
        <w:ind w:firstLine="720" w:firstLineChars="225"/>
        <w:rPr>
          <w:rFonts w:ascii="宋体" w:hAnsi="宋体" w:cs="宋体"/>
          <w:bCs/>
          <w:color w:val="auto"/>
          <w:sz w:val="32"/>
          <w:szCs w:val="32"/>
          <w:highlight w:val="none"/>
        </w:rPr>
      </w:pPr>
    </w:p>
    <w:p w14:paraId="7255389D">
      <w:pPr>
        <w:pStyle w:val="7"/>
        <w:snapToGrid w:val="0"/>
        <w:spacing w:before="50" w:after="50"/>
        <w:ind w:firstLine="1280" w:firstLineChars="400"/>
        <w:rPr>
          <w:rFonts w:ascii="宋体" w:hAnsi="宋体" w:cs="宋体"/>
          <w:bCs/>
          <w:color w:val="auto"/>
          <w:sz w:val="32"/>
          <w:szCs w:val="32"/>
          <w:highlight w:val="none"/>
        </w:rPr>
      </w:pPr>
    </w:p>
    <w:p w14:paraId="3B975B50">
      <w:pPr>
        <w:snapToGrid w:val="0"/>
        <w:spacing w:before="120" w:beforeLines="50" w:after="50"/>
        <w:jc w:val="center"/>
        <w:rPr>
          <w:rFonts w:ascii="宋体" w:hAnsi="宋体" w:cs="宋体"/>
          <w:color w:val="auto"/>
          <w:sz w:val="32"/>
          <w:szCs w:val="32"/>
          <w:highlight w:val="none"/>
        </w:rPr>
      </w:pPr>
      <w:r>
        <w:rPr>
          <w:rFonts w:hint="eastAsia" w:ascii="宋体" w:hAnsi="宋体" w:cs="宋体"/>
          <w:color w:val="auto"/>
          <w:sz w:val="32"/>
          <w:szCs w:val="32"/>
          <w:highlight w:val="none"/>
        </w:rPr>
        <w:t>年    月    日</w:t>
      </w:r>
    </w:p>
    <w:p w14:paraId="790C281F">
      <w:pPr>
        <w:snapToGrid w:val="0"/>
        <w:spacing w:before="120" w:beforeLines="50" w:after="50" w:line="360" w:lineRule="auto"/>
        <w:ind w:left="142" w:firstLine="480" w:firstLineChars="200"/>
        <w:jc w:val="left"/>
        <w:rPr>
          <w:rFonts w:ascii="宋体" w:hAnsi="宋体" w:cs="宋体"/>
          <w:b/>
          <w:bCs/>
          <w:color w:val="auto"/>
          <w:sz w:val="32"/>
          <w:szCs w:val="32"/>
          <w:highlight w:val="none"/>
        </w:rPr>
      </w:pPr>
      <w:r>
        <w:rPr>
          <w:rFonts w:hint="eastAsia" w:ascii="宋体" w:hAnsi="宋体" w:cs="宋体"/>
          <w:color w:val="auto"/>
          <w:sz w:val="24"/>
          <w:highlight w:val="none"/>
        </w:rPr>
        <w:br w:type="page"/>
      </w:r>
      <w:r>
        <w:rPr>
          <w:rFonts w:hint="eastAsia" w:ascii="宋体" w:hAnsi="宋体" w:cs="宋体"/>
          <w:b/>
          <w:bCs/>
          <w:color w:val="auto"/>
          <w:sz w:val="32"/>
          <w:szCs w:val="32"/>
          <w:highlight w:val="none"/>
        </w:rPr>
        <w:t>二、资格证明文件目录</w:t>
      </w:r>
    </w:p>
    <w:p w14:paraId="0AB60172">
      <w:pPr>
        <w:jc w:val="center"/>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资格证明文件目录</w:t>
      </w:r>
    </w:p>
    <w:p w14:paraId="4215F02A">
      <w:pPr>
        <w:snapToGrid w:val="0"/>
        <w:spacing w:line="360" w:lineRule="auto"/>
        <w:rPr>
          <w:rFonts w:ascii="宋体" w:hAnsi="宋体" w:cs="宋体"/>
          <w:color w:val="auto"/>
          <w:kern w:val="0"/>
          <w:sz w:val="24"/>
          <w:highlight w:val="none"/>
        </w:rPr>
      </w:pPr>
    </w:p>
    <w:p w14:paraId="49EB6B73">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一、</w:t>
      </w:r>
      <w:r>
        <w:rPr>
          <w:rFonts w:hint="eastAsia" w:ascii="宋体" w:hAnsi="宋体" w:cs="宋体"/>
          <w:color w:val="auto"/>
          <w:sz w:val="24"/>
          <w:highlight w:val="none"/>
        </w:rPr>
        <w:t>营业执照(或事业法人登记证或其他工商等登记证明材料)复印件（供应商为自然人的，须提供</w:t>
      </w:r>
      <w:r>
        <w:rPr>
          <w:rFonts w:hint="eastAsia" w:ascii="宋体" w:hAnsi="宋体" w:cs="宋体"/>
          <w:color w:val="auto"/>
          <w:kern w:val="0"/>
          <w:sz w:val="24"/>
          <w:highlight w:val="none"/>
        </w:rPr>
        <w:t>自然人的身份证明</w:t>
      </w:r>
      <w:r>
        <w:rPr>
          <w:rFonts w:hint="eastAsia" w:ascii="宋体" w:hAnsi="宋体" w:cs="宋体"/>
          <w:color w:val="auto"/>
          <w:sz w:val="24"/>
          <w:highlight w:val="none"/>
        </w:rPr>
        <w:t>）</w:t>
      </w:r>
      <w:r>
        <w:rPr>
          <w:rFonts w:hint="eastAsia" w:ascii="宋体" w:hAnsi="宋体" w:cs="宋体"/>
          <w:color w:val="auto"/>
          <w:kern w:val="0"/>
          <w:sz w:val="24"/>
          <w:highlight w:val="none"/>
        </w:rPr>
        <w:t>………………………………………………（页码）</w:t>
      </w:r>
    </w:p>
    <w:p w14:paraId="15D7F07C">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二、供应商依法缴纳税收的相关材料……………………………………（页码）</w:t>
      </w:r>
    </w:p>
    <w:p w14:paraId="25EBCD75">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三、供应商依法缴纳社会保障资金的相关材料…………………………（页码）</w:t>
      </w:r>
    </w:p>
    <w:p w14:paraId="13D4E71C">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四</w:t>
      </w:r>
      <w:r>
        <w:rPr>
          <w:rFonts w:hint="eastAsia" w:ascii="宋体" w:hAnsi="宋体" w:cs="宋体"/>
          <w:color w:val="auto"/>
          <w:kern w:val="0"/>
          <w:sz w:val="24"/>
          <w:highlight w:val="none"/>
        </w:rPr>
        <w:t>、财务状况报告方面的材料……………………………………………（页码）</w:t>
      </w:r>
    </w:p>
    <w:p w14:paraId="1EEB76B3">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五、供应商直接控股、管理关系信息表</w:t>
      </w:r>
      <w:r>
        <w:rPr>
          <w:rFonts w:hint="eastAsia" w:ascii="宋体" w:hAnsi="宋体" w:cs="宋体"/>
          <w:color w:val="auto"/>
          <w:kern w:val="0"/>
          <w:sz w:val="24"/>
          <w:highlight w:val="none"/>
        </w:rPr>
        <w:t>…………………………………（页码）</w:t>
      </w:r>
    </w:p>
    <w:p w14:paraId="03B4F7F9">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六、资格声明函……………………………………………………………（页码）</w:t>
      </w:r>
    </w:p>
    <w:p w14:paraId="0C997915">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七、保证金缴纳证明文件复印件…………………………………………（页码）</w:t>
      </w:r>
    </w:p>
    <w:p w14:paraId="07379C0B">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八、符合特定资格条件（如有）的有关证明材料（复印件）</w:t>
      </w:r>
      <w:r>
        <w:rPr>
          <w:rFonts w:hint="eastAsia" w:ascii="宋体" w:hAnsi="宋体" w:cs="宋体"/>
          <w:color w:val="auto"/>
          <w:kern w:val="0"/>
          <w:sz w:val="24"/>
          <w:highlight w:val="none"/>
        </w:rPr>
        <w:t>…………（页码）</w:t>
      </w:r>
    </w:p>
    <w:p w14:paraId="40E7FCB0">
      <w:pPr>
        <w:snapToGrid w:val="0"/>
        <w:spacing w:line="360" w:lineRule="auto"/>
        <w:rPr>
          <w:rFonts w:ascii="宋体" w:hAnsi="宋体" w:cs="宋体"/>
          <w:color w:val="auto"/>
          <w:kern w:val="0"/>
          <w:sz w:val="24"/>
          <w:highlight w:val="none"/>
        </w:rPr>
      </w:pPr>
    </w:p>
    <w:p w14:paraId="41EC7C5B">
      <w:pPr>
        <w:spacing w:line="360" w:lineRule="auto"/>
        <w:rPr>
          <w:rFonts w:ascii="宋体" w:hAnsi="宋体" w:cs="宋体"/>
          <w:b/>
          <w:bCs/>
          <w:color w:val="auto"/>
          <w:sz w:val="24"/>
          <w:highlight w:val="none"/>
        </w:rPr>
      </w:pPr>
    </w:p>
    <w:p w14:paraId="6A5B1FFC">
      <w:pPr>
        <w:spacing w:line="360" w:lineRule="auto"/>
        <w:rPr>
          <w:rFonts w:ascii="宋体" w:hAnsi="宋体" w:cs="宋体"/>
          <w:b/>
          <w:bCs/>
          <w:color w:val="auto"/>
          <w:sz w:val="24"/>
          <w:highlight w:val="none"/>
        </w:rPr>
      </w:pPr>
      <w:r>
        <w:rPr>
          <w:rFonts w:hint="eastAsia" w:ascii="宋体" w:hAnsi="宋体" w:cs="宋体"/>
          <w:b/>
          <w:bCs/>
          <w:color w:val="auto"/>
          <w:sz w:val="24"/>
          <w:highlight w:val="none"/>
        </w:rPr>
        <w:t>注：以上目录是编制供应商响应文件的基本格式要求，各供应商可根据自身情况进一步细化。</w:t>
      </w:r>
    </w:p>
    <w:p w14:paraId="42DA0D2A">
      <w:pPr>
        <w:snapToGrid w:val="0"/>
        <w:spacing w:before="120" w:beforeLines="50" w:after="50"/>
        <w:rPr>
          <w:rFonts w:ascii="宋体" w:hAnsi="宋体" w:cs="宋体"/>
          <w:color w:val="auto"/>
          <w:sz w:val="24"/>
          <w:szCs w:val="20"/>
          <w:highlight w:val="none"/>
        </w:rPr>
        <w:sectPr>
          <w:footerReference r:id="rId7" w:type="first"/>
          <w:footerReference r:id="rId6" w:type="default"/>
          <w:pgSz w:w="11910" w:h="16840"/>
          <w:pgMar w:top="1134" w:right="1134" w:bottom="1134" w:left="1134" w:header="720" w:footer="720" w:gutter="0"/>
          <w:cols w:space="720" w:num="1"/>
        </w:sectPr>
      </w:pPr>
    </w:p>
    <w:p w14:paraId="4AC70383">
      <w:pPr>
        <w:pStyle w:val="20"/>
        <w:spacing w:line="360" w:lineRule="auto"/>
        <w:ind w:firstLine="602" w:firstLineChars="200"/>
        <w:rPr>
          <w:rFonts w:hAnsi="宋体" w:cs="宋体"/>
          <w:b/>
          <w:color w:val="auto"/>
          <w:sz w:val="30"/>
          <w:szCs w:val="30"/>
          <w:highlight w:val="none"/>
        </w:rPr>
      </w:pPr>
      <w:r>
        <w:rPr>
          <w:rFonts w:hint="eastAsia" w:hAnsi="宋体" w:cs="宋体"/>
          <w:b/>
          <w:color w:val="auto"/>
          <w:sz w:val="30"/>
          <w:szCs w:val="30"/>
          <w:highlight w:val="none"/>
        </w:rPr>
        <w:t>一、营业执照(或事业法人登记证或其他工商等登记证明材料)复印件（供应商为自然人的，提供自然人的身份证明）</w:t>
      </w:r>
    </w:p>
    <w:p w14:paraId="1478D7C4">
      <w:pPr>
        <w:pStyle w:val="20"/>
        <w:spacing w:line="360" w:lineRule="auto"/>
        <w:ind w:firstLine="602" w:firstLineChars="200"/>
        <w:rPr>
          <w:rFonts w:hAnsi="宋体" w:cs="宋体"/>
          <w:b/>
          <w:color w:val="auto"/>
          <w:sz w:val="30"/>
          <w:szCs w:val="30"/>
          <w:highlight w:val="none"/>
        </w:rPr>
      </w:pPr>
    </w:p>
    <w:p w14:paraId="5BE6D89F">
      <w:pPr>
        <w:autoSpaceDE w:val="0"/>
        <w:autoSpaceDN w:val="0"/>
        <w:spacing w:line="360" w:lineRule="auto"/>
        <w:ind w:left="4365" w:leftChars="1850" w:hanging="480" w:hangingChars="200"/>
        <w:rPr>
          <w:rFonts w:ascii="宋体" w:hAnsi="宋体" w:cs="宋体"/>
          <w:color w:val="auto"/>
          <w:kern w:val="0"/>
          <w:sz w:val="24"/>
          <w:highlight w:val="none"/>
        </w:rPr>
      </w:pPr>
      <w:r>
        <w:rPr>
          <w:rFonts w:hint="eastAsia" w:ascii="宋体" w:hAnsi="宋体" w:cs="宋体"/>
          <w:color w:val="auto"/>
          <w:kern w:val="0"/>
          <w:sz w:val="24"/>
          <w:highlight w:val="none"/>
        </w:rPr>
        <w:t>供应商名称（电子签章）：</w:t>
      </w:r>
    </w:p>
    <w:p w14:paraId="2502B90B">
      <w:pPr>
        <w:autoSpaceDE w:val="0"/>
        <w:autoSpaceDN w:val="0"/>
        <w:spacing w:line="360" w:lineRule="auto"/>
        <w:ind w:firstLine="6120" w:firstLineChars="2550"/>
        <w:rPr>
          <w:rFonts w:ascii="宋体" w:hAnsi="宋体" w:cs="宋体"/>
          <w:b/>
          <w:bCs/>
          <w:color w:val="auto"/>
          <w:sz w:val="24"/>
          <w:highlight w:val="none"/>
        </w:rPr>
      </w:pPr>
      <w:r>
        <w:rPr>
          <w:rFonts w:hint="eastAsia" w:ascii="宋体" w:hAnsi="宋体" w:cs="宋体"/>
          <w:color w:val="auto"/>
          <w:kern w:val="0"/>
          <w:sz w:val="24"/>
          <w:highlight w:val="none"/>
          <w:lang w:val="zh-CN"/>
        </w:rPr>
        <w:t>日期：  年  月   日</w:t>
      </w:r>
    </w:p>
    <w:p w14:paraId="1CF3BF15">
      <w:pPr>
        <w:snapToGrid w:val="0"/>
        <w:spacing w:before="120" w:beforeLines="50" w:after="50"/>
        <w:rPr>
          <w:rFonts w:ascii="宋体" w:hAnsi="宋体" w:cs="宋体"/>
          <w:color w:val="auto"/>
          <w:sz w:val="24"/>
          <w:szCs w:val="20"/>
          <w:highlight w:val="none"/>
        </w:rPr>
      </w:pPr>
    </w:p>
    <w:p w14:paraId="436278C6">
      <w:pPr>
        <w:pStyle w:val="20"/>
        <w:spacing w:line="360" w:lineRule="auto"/>
        <w:ind w:firstLine="602" w:firstLineChars="200"/>
        <w:rPr>
          <w:rFonts w:hAnsi="宋体" w:cs="宋体"/>
          <w:b/>
          <w:color w:val="auto"/>
          <w:sz w:val="30"/>
          <w:szCs w:val="30"/>
          <w:highlight w:val="none"/>
        </w:rPr>
      </w:pPr>
      <w:r>
        <w:rPr>
          <w:rFonts w:hint="eastAsia" w:hAnsi="宋体" w:cs="宋体"/>
          <w:b/>
          <w:color w:val="auto"/>
          <w:sz w:val="30"/>
          <w:szCs w:val="30"/>
          <w:highlight w:val="none"/>
        </w:rPr>
        <w:t>二、供应商依法缴纳税收的相关材料[ 2024 年04月至 2024 年10月内连续3个月的依法缴纳税收的凭据复印件；依法免税的供应商，必须提供相应文件证明其依法免税。从取得营业执照时间起到响应文件提交截止时间为止不足要求月数的，只需提供从取得营业执照起的依法缴纳税收相应证明文件]</w:t>
      </w:r>
    </w:p>
    <w:p w14:paraId="68BD3BD2">
      <w:pPr>
        <w:spacing w:line="300" w:lineRule="auto"/>
        <w:rPr>
          <w:rFonts w:ascii="宋体" w:hAnsi="宋体" w:cs="宋体"/>
          <w:color w:val="auto"/>
          <w:szCs w:val="21"/>
          <w:highlight w:val="none"/>
        </w:rPr>
      </w:pPr>
    </w:p>
    <w:p w14:paraId="0FE72AA0">
      <w:pPr>
        <w:autoSpaceDE w:val="0"/>
        <w:autoSpaceDN w:val="0"/>
        <w:spacing w:line="360" w:lineRule="auto"/>
        <w:ind w:left="4365" w:leftChars="1850" w:hanging="480" w:hangingChars="200"/>
        <w:rPr>
          <w:rFonts w:ascii="宋体" w:hAnsi="宋体" w:cs="宋体"/>
          <w:color w:val="auto"/>
          <w:kern w:val="0"/>
          <w:sz w:val="24"/>
          <w:highlight w:val="none"/>
        </w:rPr>
      </w:pPr>
      <w:r>
        <w:rPr>
          <w:rFonts w:hint="eastAsia" w:ascii="宋体" w:hAnsi="宋体" w:cs="宋体"/>
          <w:color w:val="auto"/>
          <w:kern w:val="0"/>
          <w:sz w:val="24"/>
          <w:highlight w:val="none"/>
        </w:rPr>
        <w:t>供应商名称（电子签章）：</w:t>
      </w:r>
    </w:p>
    <w:p w14:paraId="30D9F4F4">
      <w:pPr>
        <w:autoSpaceDE w:val="0"/>
        <w:autoSpaceDN w:val="0"/>
        <w:spacing w:line="360" w:lineRule="auto"/>
        <w:ind w:firstLine="6120" w:firstLineChars="2550"/>
        <w:rPr>
          <w:rFonts w:ascii="宋体" w:hAnsi="宋体" w:cs="宋体"/>
          <w:b/>
          <w:bCs/>
          <w:color w:val="auto"/>
          <w:sz w:val="24"/>
          <w:highlight w:val="none"/>
        </w:rPr>
      </w:pPr>
      <w:r>
        <w:rPr>
          <w:rFonts w:hint="eastAsia" w:ascii="宋体" w:hAnsi="宋体" w:cs="宋体"/>
          <w:color w:val="auto"/>
          <w:kern w:val="0"/>
          <w:sz w:val="24"/>
          <w:highlight w:val="none"/>
          <w:lang w:val="zh-CN"/>
        </w:rPr>
        <w:t>日期：  年  月   日</w:t>
      </w:r>
    </w:p>
    <w:p w14:paraId="5BFB4CB4">
      <w:pPr>
        <w:spacing w:line="300" w:lineRule="auto"/>
        <w:rPr>
          <w:rFonts w:ascii="宋体" w:hAnsi="宋体" w:cs="宋体"/>
          <w:color w:val="auto"/>
          <w:szCs w:val="21"/>
          <w:highlight w:val="none"/>
        </w:rPr>
      </w:pPr>
    </w:p>
    <w:p w14:paraId="4D443FB9">
      <w:pPr>
        <w:spacing w:line="300" w:lineRule="auto"/>
        <w:ind w:firstLine="596" w:firstLineChars="198"/>
        <w:rPr>
          <w:rFonts w:ascii="宋体" w:hAnsi="宋体" w:cs="宋体"/>
          <w:b/>
          <w:color w:val="auto"/>
          <w:kern w:val="0"/>
          <w:sz w:val="30"/>
          <w:szCs w:val="30"/>
          <w:highlight w:val="none"/>
        </w:rPr>
      </w:pPr>
      <w:r>
        <w:rPr>
          <w:rFonts w:hint="eastAsia" w:ascii="宋体" w:hAnsi="宋体" w:cs="宋体"/>
          <w:b/>
          <w:color w:val="auto"/>
          <w:kern w:val="0"/>
          <w:sz w:val="30"/>
          <w:szCs w:val="30"/>
          <w:highlight w:val="none"/>
        </w:rPr>
        <w:t>三、供应商依法缴纳社会保障资金的相关材料[2024 年04月至 2024 年10月内连续3个月的依法缴纳社会保障资金的缴费凭证（专用收据或者社会保险缴纳清单）复印件；依法不需要缴纳社会保障资金的供应商，必须提供相应文件证明不需要缴纳社会保障资金。从取得营业执照时间起到响应文件提交截止时间为止不足要求月数的只需提供从取得营业执照起的依法缴纳社会保障资金的相应证明文件]</w:t>
      </w:r>
    </w:p>
    <w:p w14:paraId="3CE8539E">
      <w:pPr>
        <w:spacing w:line="300" w:lineRule="auto"/>
        <w:rPr>
          <w:rFonts w:ascii="宋体" w:hAnsi="宋体" w:cs="宋体"/>
          <w:color w:val="auto"/>
          <w:szCs w:val="21"/>
          <w:highlight w:val="none"/>
        </w:rPr>
      </w:pPr>
    </w:p>
    <w:p w14:paraId="472D410D">
      <w:pPr>
        <w:autoSpaceDE w:val="0"/>
        <w:autoSpaceDN w:val="0"/>
        <w:spacing w:line="360" w:lineRule="auto"/>
        <w:ind w:left="4365" w:leftChars="1850" w:hanging="480" w:hangingChars="200"/>
        <w:rPr>
          <w:rFonts w:ascii="宋体" w:hAnsi="宋体" w:cs="宋体"/>
          <w:color w:val="auto"/>
          <w:kern w:val="0"/>
          <w:sz w:val="24"/>
          <w:highlight w:val="none"/>
        </w:rPr>
      </w:pPr>
      <w:r>
        <w:rPr>
          <w:rFonts w:hint="eastAsia" w:ascii="宋体" w:hAnsi="宋体" w:cs="宋体"/>
          <w:color w:val="auto"/>
          <w:kern w:val="0"/>
          <w:sz w:val="24"/>
          <w:highlight w:val="none"/>
        </w:rPr>
        <w:t>供应商名称（电子签章）：</w:t>
      </w:r>
    </w:p>
    <w:p w14:paraId="0F3236AC">
      <w:pPr>
        <w:autoSpaceDE w:val="0"/>
        <w:autoSpaceDN w:val="0"/>
        <w:spacing w:line="360" w:lineRule="auto"/>
        <w:ind w:firstLine="6120" w:firstLineChars="2550"/>
        <w:rPr>
          <w:rFonts w:ascii="宋体" w:hAnsi="宋体" w:cs="宋体"/>
          <w:b/>
          <w:bCs/>
          <w:color w:val="auto"/>
          <w:sz w:val="24"/>
          <w:highlight w:val="none"/>
        </w:rPr>
      </w:pPr>
      <w:r>
        <w:rPr>
          <w:rFonts w:hint="eastAsia" w:ascii="宋体" w:hAnsi="宋体" w:cs="宋体"/>
          <w:color w:val="auto"/>
          <w:kern w:val="0"/>
          <w:sz w:val="24"/>
          <w:highlight w:val="none"/>
          <w:lang w:val="zh-CN"/>
        </w:rPr>
        <w:t>日期：  年  月   日</w:t>
      </w:r>
    </w:p>
    <w:p w14:paraId="35BCE7C8">
      <w:pPr>
        <w:spacing w:line="320" w:lineRule="exact"/>
        <w:jc w:val="left"/>
        <w:rPr>
          <w:rFonts w:ascii="宋体" w:hAnsi="宋体" w:cs="宋体"/>
          <w:color w:val="auto"/>
          <w:szCs w:val="21"/>
          <w:highlight w:val="none"/>
        </w:rPr>
      </w:pPr>
    </w:p>
    <w:p w14:paraId="3B7D4487">
      <w:pPr>
        <w:spacing w:line="320" w:lineRule="exact"/>
        <w:jc w:val="left"/>
        <w:rPr>
          <w:rFonts w:ascii="宋体" w:hAnsi="宋体" w:cs="宋体"/>
          <w:color w:val="auto"/>
          <w:szCs w:val="21"/>
          <w:highlight w:val="none"/>
        </w:rPr>
      </w:pPr>
    </w:p>
    <w:p w14:paraId="6F3C3A6A">
      <w:pPr>
        <w:spacing w:line="320" w:lineRule="exact"/>
        <w:jc w:val="left"/>
        <w:rPr>
          <w:rFonts w:ascii="宋体" w:hAnsi="宋体" w:cs="宋体"/>
          <w:color w:val="auto"/>
          <w:szCs w:val="21"/>
          <w:highlight w:val="none"/>
        </w:rPr>
      </w:pPr>
    </w:p>
    <w:p w14:paraId="49A1AC20">
      <w:pPr>
        <w:spacing w:line="320" w:lineRule="exact"/>
        <w:jc w:val="left"/>
        <w:rPr>
          <w:rFonts w:ascii="宋体" w:hAnsi="宋体" w:cs="宋体"/>
          <w:color w:val="auto"/>
          <w:szCs w:val="21"/>
          <w:highlight w:val="none"/>
        </w:rPr>
      </w:pPr>
    </w:p>
    <w:p w14:paraId="67FD9779">
      <w:pPr>
        <w:spacing w:line="320" w:lineRule="exact"/>
        <w:jc w:val="left"/>
        <w:rPr>
          <w:rFonts w:ascii="宋体" w:hAnsi="宋体" w:cs="宋体"/>
          <w:color w:val="auto"/>
          <w:szCs w:val="21"/>
          <w:highlight w:val="none"/>
        </w:rPr>
      </w:pPr>
    </w:p>
    <w:p w14:paraId="0902E5F4">
      <w:pPr>
        <w:snapToGrid w:val="0"/>
        <w:spacing w:before="120" w:beforeLines="50" w:after="50" w:line="360" w:lineRule="auto"/>
        <w:jc w:val="center"/>
        <w:rPr>
          <w:rFonts w:ascii="宋体" w:hAnsi="宋体" w:cs="宋体"/>
          <w:b/>
          <w:color w:val="auto"/>
          <w:sz w:val="24"/>
          <w:highlight w:val="none"/>
        </w:rPr>
      </w:pPr>
    </w:p>
    <w:p w14:paraId="585A3E59">
      <w:pPr>
        <w:spacing w:line="360" w:lineRule="auto"/>
        <w:ind w:firstLine="596" w:firstLineChars="198"/>
        <w:contextualSpacing/>
        <w:rPr>
          <w:rFonts w:ascii="宋体" w:hAnsi="宋体" w:cs="宋体"/>
          <w:b/>
          <w:color w:val="auto"/>
          <w:kern w:val="0"/>
          <w:sz w:val="30"/>
          <w:szCs w:val="30"/>
          <w:highlight w:val="none"/>
        </w:rPr>
      </w:pPr>
      <w:r>
        <w:rPr>
          <w:rFonts w:hint="eastAsia" w:ascii="宋体" w:hAnsi="宋体" w:cs="宋体"/>
          <w:b/>
          <w:color w:val="auto"/>
          <w:kern w:val="0"/>
          <w:sz w:val="30"/>
          <w:szCs w:val="30"/>
          <w:highlight w:val="none"/>
        </w:rPr>
        <w:t>四、供应商财务状况报告：[2023年]财务状况报告复印件；供应商成立不满一年的应按提供上一个月的财务状况报告复印件。年度财务报表复印件或者银行出具的资信证明；供应商属于成立时间在规定年度之后的法人或其他组织，需提供成立之日起至响应文件提交截止时间前的月报表或银行出具的资信证明；资信证明应在有效期内，未注明有效期的，银行出具时间至响应文件提交截止时间不超过一年。</w:t>
      </w:r>
    </w:p>
    <w:p w14:paraId="2F4D64EF">
      <w:pPr>
        <w:spacing w:line="360" w:lineRule="auto"/>
        <w:ind w:firstLine="596" w:firstLineChars="198"/>
        <w:contextualSpacing/>
        <w:rPr>
          <w:rFonts w:ascii="宋体" w:hAnsi="宋体" w:cs="宋体"/>
          <w:b/>
          <w:color w:val="auto"/>
          <w:kern w:val="0"/>
          <w:sz w:val="30"/>
          <w:szCs w:val="30"/>
          <w:highlight w:val="none"/>
        </w:rPr>
      </w:pPr>
    </w:p>
    <w:p w14:paraId="3CA4A138">
      <w:pPr>
        <w:spacing w:line="360" w:lineRule="auto"/>
        <w:ind w:firstLine="596" w:firstLineChars="198"/>
        <w:contextualSpacing/>
        <w:rPr>
          <w:rFonts w:ascii="宋体" w:hAnsi="宋体" w:cs="宋体"/>
          <w:b/>
          <w:color w:val="auto"/>
          <w:kern w:val="0"/>
          <w:sz w:val="30"/>
          <w:szCs w:val="30"/>
          <w:highlight w:val="none"/>
        </w:rPr>
      </w:pPr>
    </w:p>
    <w:p w14:paraId="141C2A3E">
      <w:pPr>
        <w:rPr>
          <w:rFonts w:ascii="宋体" w:hAnsi="宋体" w:cs="宋体"/>
          <w:b/>
          <w:color w:val="auto"/>
          <w:kern w:val="0"/>
          <w:sz w:val="30"/>
          <w:szCs w:val="30"/>
          <w:highlight w:val="none"/>
        </w:rPr>
      </w:pPr>
      <w:r>
        <w:rPr>
          <w:rFonts w:hint="eastAsia" w:ascii="宋体" w:hAnsi="宋体" w:cs="宋体"/>
          <w:b/>
          <w:color w:val="auto"/>
          <w:kern w:val="0"/>
          <w:sz w:val="30"/>
          <w:szCs w:val="30"/>
          <w:highlight w:val="none"/>
        </w:rPr>
        <w:br w:type="page"/>
      </w:r>
    </w:p>
    <w:p w14:paraId="1AD1E280">
      <w:pPr>
        <w:spacing w:line="360" w:lineRule="auto"/>
        <w:ind w:firstLine="596" w:firstLineChars="198"/>
        <w:contextualSpacing/>
        <w:rPr>
          <w:rFonts w:ascii="宋体" w:hAnsi="宋体" w:cs="宋体"/>
          <w:b/>
          <w:color w:val="auto"/>
          <w:kern w:val="0"/>
          <w:sz w:val="30"/>
          <w:szCs w:val="30"/>
          <w:highlight w:val="none"/>
        </w:rPr>
      </w:pPr>
      <w:r>
        <w:rPr>
          <w:rFonts w:hint="eastAsia" w:ascii="宋体" w:hAnsi="宋体" w:cs="宋体"/>
          <w:b/>
          <w:color w:val="auto"/>
          <w:kern w:val="0"/>
          <w:sz w:val="30"/>
          <w:szCs w:val="30"/>
          <w:highlight w:val="none"/>
        </w:rPr>
        <w:t>五、供应商直接控股、管理关系信息表</w:t>
      </w:r>
    </w:p>
    <w:p w14:paraId="29C2FD7A">
      <w:pPr>
        <w:spacing w:line="360" w:lineRule="auto"/>
        <w:contextualSpacing/>
        <w:jc w:val="center"/>
        <w:rPr>
          <w:rFonts w:ascii="宋体" w:hAnsi="宋体" w:cs="宋体"/>
          <w:b/>
          <w:color w:val="auto"/>
          <w:sz w:val="24"/>
          <w:highlight w:val="none"/>
        </w:rPr>
      </w:pPr>
    </w:p>
    <w:tbl>
      <w:tblPr>
        <w:tblStyle w:val="31"/>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39025302">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AAD3780">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7038964">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6E1FBFB">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9467F65">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22D7D21">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3ACF2B43">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F33658C">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B0CCDA1">
            <w:pPr>
              <w:widowControl/>
              <w:spacing w:line="360" w:lineRule="auto"/>
              <w:contextualSpacing/>
              <w:jc w:val="center"/>
              <w:rPr>
                <w:rFonts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C06D6A3">
            <w:pPr>
              <w:widowControl/>
              <w:spacing w:line="360" w:lineRule="auto"/>
              <w:contextualSpacing/>
              <w:jc w:val="center"/>
              <w:rPr>
                <w:rFonts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7054E30">
            <w:pPr>
              <w:widowControl/>
              <w:spacing w:line="360" w:lineRule="auto"/>
              <w:contextualSpacing/>
              <w:jc w:val="center"/>
              <w:rPr>
                <w:rFonts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A8C56C3">
            <w:pPr>
              <w:widowControl/>
              <w:spacing w:line="360" w:lineRule="auto"/>
              <w:contextualSpacing/>
              <w:jc w:val="center"/>
              <w:rPr>
                <w:rFonts w:ascii="宋体" w:hAnsi="宋体" w:cs="宋体"/>
                <w:color w:val="auto"/>
                <w:kern w:val="0"/>
                <w:sz w:val="24"/>
                <w:highlight w:val="none"/>
              </w:rPr>
            </w:pPr>
          </w:p>
        </w:tc>
      </w:tr>
      <w:tr w14:paraId="44A6148E">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CAD3CEC">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7887932">
            <w:pPr>
              <w:widowControl/>
              <w:spacing w:line="360" w:lineRule="auto"/>
              <w:contextualSpacing/>
              <w:jc w:val="center"/>
              <w:rPr>
                <w:rFonts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DCDC91B">
            <w:pPr>
              <w:widowControl/>
              <w:spacing w:line="360" w:lineRule="auto"/>
              <w:contextualSpacing/>
              <w:jc w:val="center"/>
              <w:rPr>
                <w:rFonts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A979F16">
            <w:pPr>
              <w:widowControl/>
              <w:spacing w:line="360" w:lineRule="auto"/>
              <w:contextualSpacing/>
              <w:jc w:val="center"/>
              <w:rPr>
                <w:rFonts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99A6BED">
            <w:pPr>
              <w:widowControl/>
              <w:spacing w:line="360" w:lineRule="auto"/>
              <w:contextualSpacing/>
              <w:jc w:val="center"/>
              <w:rPr>
                <w:rFonts w:ascii="宋体" w:hAnsi="宋体" w:cs="宋体"/>
                <w:color w:val="auto"/>
                <w:kern w:val="0"/>
                <w:sz w:val="24"/>
                <w:highlight w:val="none"/>
              </w:rPr>
            </w:pPr>
          </w:p>
        </w:tc>
      </w:tr>
      <w:tr w14:paraId="57F95EB6">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15DBCA2">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F4BC9F3">
            <w:pPr>
              <w:widowControl/>
              <w:spacing w:line="360" w:lineRule="auto"/>
              <w:contextualSpacing/>
              <w:jc w:val="center"/>
              <w:rPr>
                <w:rFonts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EE4C7D4">
            <w:pPr>
              <w:widowControl/>
              <w:spacing w:line="360" w:lineRule="auto"/>
              <w:contextualSpacing/>
              <w:jc w:val="center"/>
              <w:rPr>
                <w:rFonts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561BD7A">
            <w:pPr>
              <w:widowControl/>
              <w:spacing w:line="360" w:lineRule="auto"/>
              <w:contextualSpacing/>
              <w:jc w:val="center"/>
              <w:rPr>
                <w:rFonts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32C21F8">
            <w:pPr>
              <w:widowControl/>
              <w:spacing w:line="360" w:lineRule="auto"/>
              <w:contextualSpacing/>
              <w:jc w:val="center"/>
              <w:rPr>
                <w:rFonts w:ascii="宋体" w:hAnsi="宋体" w:cs="宋体"/>
                <w:color w:val="auto"/>
                <w:kern w:val="0"/>
                <w:sz w:val="24"/>
                <w:highlight w:val="none"/>
              </w:rPr>
            </w:pPr>
          </w:p>
        </w:tc>
      </w:tr>
      <w:tr w14:paraId="2019AD67">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1BAA956">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927FA38">
            <w:pPr>
              <w:widowControl/>
              <w:spacing w:line="360" w:lineRule="auto"/>
              <w:contextualSpacing/>
              <w:jc w:val="center"/>
              <w:rPr>
                <w:rFonts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E11F910">
            <w:pPr>
              <w:widowControl/>
              <w:spacing w:line="360" w:lineRule="auto"/>
              <w:contextualSpacing/>
              <w:jc w:val="center"/>
              <w:rPr>
                <w:rFonts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5DEFCED">
            <w:pPr>
              <w:widowControl/>
              <w:spacing w:line="360" w:lineRule="auto"/>
              <w:contextualSpacing/>
              <w:jc w:val="center"/>
              <w:rPr>
                <w:rFonts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D2A8409">
            <w:pPr>
              <w:widowControl/>
              <w:spacing w:line="360" w:lineRule="auto"/>
              <w:contextualSpacing/>
              <w:jc w:val="center"/>
              <w:rPr>
                <w:rFonts w:ascii="宋体" w:hAnsi="宋体" w:cs="宋体"/>
                <w:color w:val="auto"/>
                <w:kern w:val="0"/>
                <w:sz w:val="24"/>
                <w:highlight w:val="none"/>
              </w:rPr>
            </w:pPr>
          </w:p>
        </w:tc>
      </w:tr>
    </w:tbl>
    <w:p w14:paraId="47CA9B50">
      <w:pPr>
        <w:spacing w:line="360" w:lineRule="auto"/>
        <w:contextualSpacing/>
        <w:jc w:val="left"/>
        <w:rPr>
          <w:rFonts w:ascii="宋体" w:hAnsi="宋体" w:cs="宋体"/>
          <w:color w:val="auto"/>
          <w:kern w:val="0"/>
          <w:sz w:val="24"/>
          <w:highlight w:val="none"/>
        </w:rPr>
      </w:pPr>
      <w:r>
        <w:rPr>
          <w:rFonts w:hint="eastAsia" w:ascii="宋体" w:hAnsi="宋体" w:cs="宋体"/>
          <w:color w:val="auto"/>
          <w:kern w:val="0"/>
          <w:sz w:val="24"/>
          <w:highlight w:val="none"/>
        </w:rPr>
        <w:t>注：</w:t>
      </w:r>
    </w:p>
    <w:p w14:paraId="140132E7">
      <w:pPr>
        <w:spacing w:line="360" w:lineRule="auto"/>
        <w:ind w:firstLine="480" w:firstLineChars="200"/>
        <w:contextualSpacing/>
        <w:jc w:val="left"/>
        <w:rPr>
          <w:rFonts w:ascii="宋体" w:hAnsi="宋体" w:cs="宋体"/>
          <w:color w:val="auto"/>
          <w:kern w:val="0"/>
          <w:sz w:val="24"/>
          <w:highlight w:val="none"/>
        </w:rPr>
      </w:pPr>
      <w:r>
        <w:rPr>
          <w:rFonts w:hint="eastAsia" w:ascii="宋体" w:hAnsi="宋体" w:cs="宋体"/>
          <w:color w:val="auto"/>
          <w:kern w:val="0"/>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65908A03">
      <w:pPr>
        <w:spacing w:line="360" w:lineRule="auto"/>
        <w:ind w:firstLine="480" w:firstLineChars="200"/>
        <w:contextualSpacing/>
        <w:jc w:val="left"/>
        <w:rPr>
          <w:rFonts w:ascii="宋体" w:hAnsi="宋体" w:cs="宋体"/>
          <w:color w:val="auto"/>
          <w:kern w:val="0"/>
          <w:sz w:val="24"/>
          <w:highlight w:val="none"/>
        </w:rPr>
      </w:pPr>
      <w:r>
        <w:rPr>
          <w:rFonts w:hint="eastAsia" w:ascii="宋体" w:hAnsi="宋体" w:cs="宋体"/>
          <w:color w:val="auto"/>
          <w:kern w:val="0"/>
          <w:sz w:val="24"/>
          <w:highlight w:val="none"/>
        </w:rPr>
        <w:t>2.本表所指的控股关系仅限于直接控股关系，不包括间接的控股关系。公司实际控制人与公司之间的关系不属于本表所指的直接控股关系。</w:t>
      </w:r>
    </w:p>
    <w:p w14:paraId="04FE17A0">
      <w:pPr>
        <w:spacing w:line="360" w:lineRule="auto"/>
        <w:ind w:firstLine="480" w:firstLineChars="200"/>
        <w:contextualSpacing/>
        <w:jc w:val="left"/>
        <w:rPr>
          <w:rFonts w:ascii="宋体" w:hAnsi="宋体" w:cs="宋体"/>
          <w:color w:val="auto"/>
          <w:kern w:val="0"/>
          <w:sz w:val="24"/>
          <w:highlight w:val="none"/>
        </w:rPr>
      </w:pPr>
      <w:r>
        <w:rPr>
          <w:rFonts w:hint="eastAsia" w:ascii="宋体" w:hAnsi="宋体" w:cs="宋体"/>
          <w:color w:val="auto"/>
          <w:kern w:val="0"/>
          <w:sz w:val="24"/>
          <w:highlight w:val="none"/>
        </w:rPr>
        <w:t>3.供应商不存在直接控股股东的，则填“无”。</w:t>
      </w:r>
    </w:p>
    <w:p w14:paraId="4B6C3F6C">
      <w:pPr>
        <w:snapToGrid w:val="0"/>
        <w:spacing w:line="360" w:lineRule="auto"/>
        <w:jc w:val="left"/>
        <w:rPr>
          <w:rFonts w:ascii="宋体" w:hAnsi="宋体" w:cs="宋体"/>
          <w:color w:val="auto"/>
          <w:sz w:val="24"/>
          <w:highlight w:val="none"/>
        </w:rPr>
      </w:pPr>
    </w:p>
    <w:p w14:paraId="1D0F9BE3">
      <w:pPr>
        <w:snapToGrid w:val="0"/>
        <w:spacing w:line="360" w:lineRule="auto"/>
        <w:jc w:val="left"/>
        <w:rPr>
          <w:rFonts w:ascii="宋体" w:hAnsi="宋体" w:cs="宋体"/>
          <w:color w:val="auto"/>
          <w:sz w:val="24"/>
          <w:highlight w:val="none"/>
        </w:rPr>
      </w:pPr>
    </w:p>
    <w:p w14:paraId="67FF6130">
      <w:pPr>
        <w:snapToGrid w:val="0"/>
        <w:spacing w:line="360" w:lineRule="auto"/>
        <w:jc w:val="left"/>
        <w:rPr>
          <w:rFonts w:ascii="宋体" w:hAnsi="宋体" w:cs="宋体"/>
          <w:color w:val="auto"/>
          <w:sz w:val="24"/>
          <w:highlight w:val="none"/>
        </w:rPr>
      </w:pPr>
    </w:p>
    <w:p w14:paraId="67DAA373">
      <w:pPr>
        <w:autoSpaceDE w:val="0"/>
        <w:autoSpaceDN w:val="0"/>
        <w:spacing w:line="360" w:lineRule="auto"/>
        <w:ind w:left="4365" w:leftChars="1850" w:hanging="480" w:hangingChars="200"/>
        <w:rPr>
          <w:rFonts w:ascii="宋体" w:hAnsi="宋体" w:cs="宋体"/>
          <w:color w:val="auto"/>
          <w:kern w:val="0"/>
          <w:sz w:val="24"/>
          <w:highlight w:val="none"/>
        </w:rPr>
      </w:pPr>
      <w:r>
        <w:rPr>
          <w:rFonts w:hint="eastAsia" w:ascii="宋体" w:hAnsi="宋体" w:cs="宋体"/>
          <w:color w:val="auto"/>
          <w:kern w:val="0"/>
          <w:sz w:val="24"/>
          <w:highlight w:val="none"/>
        </w:rPr>
        <w:t>供应商名称（电子签章）：</w:t>
      </w:r>
    </w:p>
    <w:p w14:paraId="6CEC1378">
      <w:pPr>
        <w:autoSpaceDE w:val="0"/>
        <w:autoSpaceDN w:val="0"/>
        <w:spacing w:line="360" w:lineRule="auto"/>
        <w:ind w:firstLine="6120" w:firstLineChars="2550"/>
        <w:rPr>
          <w:rFonts w:ascii="宋体" w:hAnsi="宋体" w:cs="宋体"/>
          <w:b/>
          <w:bCs/>
          <w:color w:val="auto"/>
          <w:sz w:val="24"/>
          <w:highlight w:val="none"/>
        </w:rPr>
      </w:pPr>
      <w:r>
        <w:rPr>
          <w:rFonts w:hint="eastAsia" w:ascii="宋体" w:hAnsi="宋体" w:cs="宋体"/>
          <w:color w:val="auto"/>
          <w:kern w:val="0"/>
          <w:sz w:val="24"/>
          <w:highlight w:val="none"/>
          <w:lang w:val="zh-CN"/>
        </w:rPr>
        <w:t>日期：  年  月   日</w:t>
      </w:r>
    </w:p>
    <w:p w14:paraId="57A99BD2">
      <w:pPr>
        <w:snapToGrid w:val="0"/>
        <w:rPr>
          <w:rFonts w:ascii="宋体" w:hAnsi="宋体" w:cs="宋体"/>
          <w:b/>
          <w:color w:val="auto"/>
          <w:kern w:val="0"/>
          <w:sz w:val="30"/>
          <w:szCs w:val="30"/>
          <w:highlight w:val="none"/>
        </w:rPr>
      </w:pPr>
    </w:p>
    <w:p w14:paraId="5AF8E9B8">
      <w:pPr>
        <w:rPr>
          <w:rFonts w:ascii="宋体" w:hAnsi="宋体" w:cs="宋体"/>
          <w:b/>
          <w:color w:val="auto"/>
          <w:kern w:val="0"/>
          <w:sz w:val="30"/>
          <w:szCs w:val="30"/>
          <w:highlight w:val="none"/>
        </w:rPr>
      </w:pPr>
      <w:r>
        <w:rPr>
          <w:rFonts w:hint="eastAsia" w:ascii="宋体" w:hAnsi="宋体" w:cs="宋体"/>
          <w:b/>
          <w:color w:val="auto"/>
          <w:kern w:val="0"/>
          <w:sz w:val="30"/>
          <w:szCs w:val="30"/>
          <w:highlight w:val="none"/>
        </w:rPr>
        <w:br w:type="page"/>
      </w:r>
    </w:p>
    <w:p w14:paraId="7C99F791">
      <w:pPr>
        <w:snapToGrid w:val="0"/>
        <w:ind w:firstLine="596" w:firstLineChars="198"/>
        <w:rPr>
          <w:rFonts w:ascii="宋体" w:hAnsi="宋体" w:cs="宋体"/>
          <w:b/>
          <w:color w:val="auto"/>
          <w:kern w:val="0"/>
          <w:sz w:val="30"/>
          <w:szCs w:val="30"/>
          <w:highlight w:val="none"/>
        </w:rPr>
      </w:pPr>
      <w:r>
        <w:rPr>
          <w:rFonts w:hint="eastAsia" w:ascii="宋体" w:hAnsi="宋体" w:cs="宋体"/>
          <w:b/>
          <w:color w:val="auto"/>
          <w:kern w:val="0"/>
          <w:sz w:val="30"/>
          <w:szCs w:val="30"/>
          <w:highlight w:val="none"/>
        </w:rPr>
        <w:t>供应商直接管理关系信息表</w:t>
      </w:r>
    </w:p>
    <w:p w14:paraId="0F245CB8">
      <w:pPr>
        <w:snapToGrid w:val="0"/>
        <w:spacing w:line="360" w:lineRule="auto"/>
        <w:jc w:val="center"/>
        <w:rPr>
          <w:rFonts w:ascii="宋体" w:hAnsi="宋体" w:cs="宋体"/>
          <w:b/>
          <w:color w:val="auto"/>
          <w:sz w:val="24"/>
          <w:highlight w:val="none"/>
        </w:rPr>
      </w:pPr>
    </w:p>
    <w:tbl>
      <w:tblPr>
        <w:tblStyle w:val="31"/>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6FB65477">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80723C5">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41E4351">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61FC0B7">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0CCFE5B">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22648892">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B7C7EE1">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286D47B">
            <w:pPr>
              <w:widowControl/>
              <w:spacing w:line="360" w:lineRule="auto"/>
              <w:contextualSpacing/>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8407266">
            <w:pPr>
              <w:widowControl/>
              <w:spacing w:line="360" w:lineRule="auto"/>
              <w:contextualSpacing/>
              <w:jc w:val="center"/>
              <w:rPr>
                <w:rFonts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4795E56">
            <w:pPr>
              <w:widowControl/>
              <w:spacing w:line="360" w:lineRule="auto"/>
              <w:contextualSpacing/>
              <w:jc w:val="center"/>
              <w:rPr>
                <w:rFonts w:ascii="宋体" w:hAnsi="宋体" w:cs="宋体"/>
                <w:color w:val="auto"/>
                <w:kern w:val="0"/>
                <w:sz w:val="24"/>
                <w:highlight w:val="none"/>
              </w:rPr>
            </w:pPr>
          </w:p>
        </w:tc>
      </w:tr>
      <w:tr w14:paraId="3C0730A4">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448AF15">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1BCB5F7">
            <w:pPr>
              <w:widowControl/>
              <w:spacing w:line="360" w:lineRule="auto"/>
              <w:contextualSpacing/>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7E36378">
            <w:pPr>
              <w:widowControl/>
              <w:spacing w:line="360" w:lineRule="auto"/>
              <w:contextualSpacing/>
              <w:jc w:val="center"/>
              <w:rPr>
                <w:rFonts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CF798A8">
            <w:pPr>
              <w:widowControl/>
              <w:spacing w:line="360" w:lineRule="auto"/>
              <w:contextualSpacing/>
              <w:jc w:val="center"/>
              <w:rPr>
                <w:rFonts w:ascii="宋体" w:hAnsi="宋体" w:cs="宋体"/>
                <w:color w:val="auto"/>
                <w:kern w:val="0"/>
                <w:sz w:val="24"/>
                <w:highlight w:val="none"/>
              </w:rPr>
            </w:pPr>
          </w:p>
        </w:tc>
      </w:tr>
      <w:tr w14:paraId="4D714FF1">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6B75153">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C5C40FE">
            <w:pPr>
              <w:widowControl/>
              <w:spacing w:line="360" w:lineRule="auto"/>
              <w:contextualSpacing/>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F1621B6">
            <w:pPr>
              <w:widowControl/>
              <w:spacing w:line="360" w:lineRule="auto"/>
              <w:contextualSpacing/>
              <w:jc w:val="center"/>
              <w:rPr>
                <w:rFonts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FBE3B92">
            <w:pPr>
              <w:widowControl/>
              <w:spacing w:line="360" w:lineRule="auto"/>
              <w:contextualSpacing/>
              <w:jc w:val="center"/>
              <w:rPr>
                <w:rFonts w:ascii="宋体" w:hAnsi="宋体" w:cs="宋体"/>
                <w:color w:val="auto"/>
                <w:kern w:val="0"/>
                <w:sz w:val="24"/>
                <w:highlight w:val="none"/>
              </w:rPr>
            </w:pPr>
          </w:p>
        </w:tc>
      </w:tr>
      <w:tr w14:paraId="0FCD87BB">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6EA21D2">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2F82642">
            <w:pPr>
              <w:widowControl/>
              <w:spacing w:line="360" w:lineRule="auto"/>
              <w:contextualSpacing/>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BD1F6BA">
            <w:pPr>
              <w:widowControl/>
              <w:spacing w:line="360" w:lineRule="auto"/>
              <w:contextualSpacing/>
              <w:jc w:val="center"/>
              <w:rPr>
                <w:rFonts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6E862F3">
            <w:pPr>
              <w:widowControl/>
              <w:spacing w:line="360" w:lineRule="auto"/>
              <w:contextualSpacing/>
              <w:jc w:val="center"/>
              <w:rPr>
                <w:rFonts w:ascii="宋体" w:hAnsi="宋体" w:cs="宋体"/>
                <w:color w:val="auto"/>
                <w:kern w:val="0"/>
                <w:sz w:val="24"/>
                <w:highlight w:val="none"/>
              </w:rPr>
            </w:pPr>
          </w:p>
        </w:tc>
      </w:tr>
    </w:tbl>
    <w:p w14:paraId="1589123B">
      <w:pPr>
        <w:spacing w:line="360" w:lineRule="auto"/>
        <w:ind w:firstLine="480" w:firstLineChars="200"/>
        <w:contextualSpacing/>
        <w:jc w:val="left"/>
        <w:rPr>
          <w:rFonts w:ascii="宋体" w:hAnsi="宋体" w:cs="宋体"/>
          <w:color w:val="auto"/>
          <w:kern w:val="0"/>
          <w:sz w:val="24"/>
          <w:highlight w:val="none"/>
        </w:rPr>
      </w:pPr>
      <w:r>
        <w:rPr>
          <w:rFonts w:hint="eastAsia" w:ascii="宋体" w:hAnsi="宋体" w:cs="宋体"/>
          <w:color w:val="auto"/>
          <w:kern w:val="0"/>
          <w:sz w:val="24"/>
          <w:highlight w:val="none"/>
        </w:rPr>
        <w:t>注：</w:t>
      </w:r>
    </w:p>
    <w:p w14:paraId="164D1844">
      <w:pPr>
        <w:spacing w:line="360" w:lineRule="auto"/>
        <w:ind w:firstLine="480" w:firstLineChars="200"/>
        <w:contextualSpacing/>
        <w:jc w:val="left"/>
        <w:rPr>
          <w:rFonts w:ascii="宋体" w:hAnsi="宋体" w:cs="宋体"/>
          <w:color w:val="auto"/>
          <w:kern w:val="0"/>
          <w:sz w:val="24"/>
          <w:highlight w:val="none"/>
        </w:rPr>
      </w:pPr>
      <w:r>
        <w:rPr>
          <w:rFonts w:hint="eastAsia" w:ascii="宋体" w:hAnsi="宋体" w:cs="宋体"/>
          <w:color w:val="auto"/>
          <w:kern w:val="0"/>
          <w:sz w:val="24"/>
          <w:highlight w:val="none"/>
        </w:rPr>
        <w:t>1.管理关系：是指不具有出资持股关系的其他单位之间存在的管理与被管理关系，如一些上下级关系的事业单位和团体组织。</w:t>
      </w:r>
    </w:p>
    <w:p w14:paraId="4FAA213D">
      <w:pPr>
        <w:spacing w:line="360" w:lineRule="auto"/>
        <w:ind w:firstLine="480" w:firstLineChars="200"/>
        <w:contextualSpacing/>
        <w:jc w:val="left"/>
        <w:rPr>
          <w:rFonts w:ascii="宋体" w:hAnsi="宋体" w:cs="宋体"/>
          <w:color w:val="auto"/>
          <w:kern w:val="0"/>
          <w:sz w:val="24"/>
          <w:highlight w:val="none"/>
        </w:rPr>
      </w:pPr>
      <w:r>
        <w:rPr>
          <w:rFonts w:hint="eastAsia" w:ascii="宋体" w:hAnsi="宋体" w:cs="宋体"/>
          <w:color w:val="auto"/>
          <w:kern w:val="0"/>
          <w:sz w:val="24"/>
          <w:highlight w:val="none"/>
        </w:rPr>
        <w:t>2.本表所指的管理关系仅限于直接管理关系，不包括间接的管理关系。</w:t>
      </w:r>
    </w:p>
    <w:p w14:paraId="0B62E328">
      <w:pPr>
        <w:spacing w:line="360" w:lineRule="auto"/>
        <w:ind w:firstLine="480" w:firstLineChars="200"/>
        <w:contextualSpacing/>
        <w:jc w:val="left"/>
        <w:rPr>
          <w:rFonts w:ascii="宋体" w:hAnsi="宋体" w:cs="宋体"/>
          <w:color w:val="auto"/>
          <w:kern w:val="0"/>
          <w:sz w:val="24"/>
          <w:highlight w:val="none"/>
        </w:rPr>
      </w:pPr>
      <w:r>
        <w:rPr>
          <w:rFonts w:hint="eastAsia" w:ascii="宋体" w:hAnsi="宋体" w:cs="宋体"/>
          <w:color w:val="auto"/>
          <w:kern w:val="0"/>
          <w:sz w:val="24"/>
          <w:highlight w:val="none"/>
        </w:rPr>
        <w:t>3.供应商不存在直接管理关系的，则填“无”。</w:t>
      </w:r>
    </w:p>
    <w:p w14:paraId="31A52F90">
      <w:pPr>
        <w:spacing w:line="360" w:lineRule="auto"/>
        <w:contextualSpacing/>
        <w:jc w:val="left"/>
        <w:rPr>
          <w:rFonts w:ascii="宋体" w:hAnsi="宋体" w:cs="宋体"/>
          <w:color w:val="auto"/>
          <w:sz w:val="24"/>
          <w:highlight w:val="none"/>
        </w:rPr>
      </w:pPr>
    </w:p>
    <w:p w14:paraId="1B18DEA5">
      <w:pPr>
        <w:autoSpaceDE w:val="0"/>
        <w:autoSpaceDN w:val="0"/>
        <w:spacing w:line="360" w:lineRule="auto"/>
        <w:ind w:left="4365" w:leftChars="1850" w:hanging="480" w:hangingChars="200"/>
        <w:rPr>
          <w:rFonts w:ascii="宋体" w:hAnsi="宋体" w:cs="宋体"/>
          <w:color w:val="auto"/>
          <w:kern w:val="0"/>
          <w:sz w:val="24"/>
          <w:highlight w:val="none"/>
        </w:rPr>
      </w:pPr>
      <w:r>
        <w:rPr>
          <w:rFonts w:hint="eastAsia" w:ascii="宋体" w:hAnsi="宋体" w:cs="宋体"/>
          <w:color w:val="auto"/>
          <w:kern w:val="0"/>
          <w:sz w:val="24"/>
          <w:highlight w:val="none"/>
        </w:rPr>
        <w:t>供应商名称（电子签章）：</w:t>
      </w:r>
    </w:p>
    <w:p w14:paraId="18DFEEDA">
      <w:pPr>
        <w:autoSpaceDE w:val="0"/>
        <w:autoSpaceDN w:val="0"/>
        <w:spacing w:line="360" w:lineRule="auto"/>
        <w:ind w:firstLine="6120" w:firstLineChars="2550"/>
        <w:rPr>
          <w:rFonts w:ascii="宋体" w:hAnsi="宋体" w:cs="宋体"/>
          <w:b/>
          <w:bCs/>
          <w:color w:val="auto"/>
          <w:sz w:val="24"/>
          <w:highlight w:val="none"/>
        </w:rPr>
      </w:pPr>
      <w:r>
        <w:rPr>
          <w:rFonts w:hint="eastAsia" w:ascii="宋体" w:hAnsi="宋体" w:cs="宋体"/>
          <w:color w:val="auto"/>
          <w:kern w:val="0"/>
          <w:sz w:val="24"/>
          <w:highlight w:val="none"/>
          <w:lang w:val="zh-CN"/>
        </w:rPr>
        <w:t>日期：  年  月   日</w:t>
      </w:r>
    </w:p>
    <w:p w14:paraId="2EB5289F">
      <w:pPr>
        <w:spacing w:line="360" w:lineRule="auto"/>
        <w:ind w:right="480" w:firstLine="280" w:firstLineChars="100"/>
        <w:contextualSpacing/>
        <w:jc w:val="center"/>
        <w:rPr>
          <w:rFonts w:ascii="宋体" w:hAnsi="宋体" w:cs="宋体"/>
          <w:color w:val="auto"/>
          <w:sz w:val="28"/>
          <w:szCs w:val="28"/>
          <w:highlight w:val="none"/>
        </w:rPr>
      </w:pPr>
    </w:p>
    <w:p w14:paraId="2B599352">
      <w:pPr>
        <w:spacing w:line="320" w:lineRule="exact"/>
        <w:ind w:firstLine="560" w:firstLineChars="200"/>
        <w:jc w:val="left"/>
        <w:rPr>
          <w:rFonts w:ascii="宋体" w:hAnsi="宋体" w:cs="宋体"/>
          <w:color w:val="auto"/>
          <w:sz w:val="28"/>
          <w:szCs w:val="28"/>
          <w:highlight w:val="none"/>
        </w:rPr>
      </w:pPr>
      <w:r>
        <w:rPr>
          <w:rFonts w:hint="eastAsia" w:ascii="宋体" w:hAnsi="宋体" w:cs="宋体"/>
          <w:color w:val="auto"/>
          <w:sz w:val="28"/>
          <w:szCs w:val="28"/>
          <w:highlight w:val="none"/>
        </w:rPr>
        <w:br w:type="page"/>
      </w:r>
      <w:r>
        <w:rPr>
          <w:rFonts w:hint="eastAsia" w:ascii="宋体" w:hAnsi="宋体" w:cs="宋体"/>
          <w:b/>
          <w:color w:val="auto"/>
          <w:kern w:val="0"/>
          <w:sz w:val="30"/>
          <w:szCs w:val="30"/>
          <w:highlight w:val="none"/>
        </w:rPr>
        <w:t>六、资格声明函</w:t>
      </w:r>
    </w:p>
    <w:p w14:paraId="1EC214C3">
      <w:pPr>
        <w:spacing w:line="320" w:lineRule="exact"/>
        <w:jc w:val="center"/>
        <w:rPr>
          <w:rFonts w:ascii="宋体" w:hAnsi="宋体" w:cs="宋体"/>
          <w:b/>
          <w:color w:val="auto"/>
          <w:sz w:val="32"/>
          <w:szCs w:val="32"/>
          <w:highlight w:val="none"/>
        </w:rPr>
      </w:pPr>
    </w:p>
    <w:p w14:paraId="09A87B80">
      <w:pPr>
        <w:spacing w:line="32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资格声明函</w:t>
      </w:r>
    </w:p>
    <w:p w14:paraId="16B3011A">
      <w:pPr>
        <w:spacing w:line="320" w:lineRule="exact"/>
        <w:jc w:val="center"/>
        <w:rPr>
          <w:rFonts w:ascii="宋体" w:hAnsi="宋体" w:cs="宋体"/>
          <w:color w:val="auto"/>
          <w:sz w:val="24"/>
          <w:szCs w:val="20"/>
          <w:highlight w:val="none"/>
        </w:rPr>
      </w:pPr>
    </w:p>
    <w:p w14:paraId="62FA09C0">
      <w:pPr>
        <w:spacing w:line="360" w:lineRule="auto"/>
        <w:contextualSpacing/>
        <w:rPr>
          <w:rFonts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（采购代理机构名称）</w:t>
      </w:r>
      <w:r>
        <w:rPr>
          <w:rFonts w:hint="eastAsia" w:ascii="宋体" w:hAnsi="宋体" w:cs="宋体"/>
          <w:color w:val="auto"/>
          <w:sz w:val="24"/>
          <w:highlight w:val="none"/>
        </w:rPr>
        <w:t>：</w:t>
      </w:r>
    </w:p>
    <w:p w14:paraId="7EBFE5AC">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u w:val="single"/>
        </w:rPr>
        <w:t>（供应商名称）</w:t>
      </w:r>
      <w:r>
        <w:rPr>
          <w:rFonts w:hint="eastAsia" w:ascii="宋体" w:hAnsi="宋体" w:cs="宋体"/>
          <w:color w:val="auto"/>
          <w:sz w:val="24"/>
          <w:highlight w:val="none"/>
        </w:rPr>
        <w:t>系中华人民共和国合法供应商，经营地址。</w:t>
      </w:r>
    </w:p>
    <w:p w14:paraId="3CB03570">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我方愿意参加贵方组织的</w:t>
      </w:r>
      <w:r>
        <w:rPr>
          <w:rFonts w:hint="eastAsia" w:ascii="宋体" w:hAnsi="宋体" w:cs="宋体"/>
          <w:color w:val="auto"/>
          <w:sz w:val="24"/>
          <w:highlight w:val="none"/>
          <w:u w:val="single"/>
        </w:rPr>
        <w:t>（项目名称）</w:t>
      </w:r>
      <w:r>
        <w:rPr>
          <w:rFonts w:hint="eastAsia" w:ascii="宋体" w:hAnsi="宋体" w:cs="宋体"/>
          <w:color w:val="auto"/>
          <w:sz w:val="24"/>
          <w:highlight w:val="none"/>
        </w:rPr>
        <w:t>项目的竞标，为便于贵方公正、择优地确定成交供应商及其竞标产品和服务，我方就本次竞标有关事项郑重声明如下：</w:t>
      </w:r>
    </w:p>
    <w:p w14:paraId="01F3CDA5">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1.我方向贵方提交的所有响应文件、资料都是准确的和真实的。</w:t>
      </w:r>
    </w:p>
    <w:p w14:paraId="5380514D">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3243F303">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3.在此，我方宣布同意如下：</w:t>
      </w:r>
    </w:p>
    <w:p w14:paraId="3895A65F">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（1）将按磋商文件的约定履行合同责任和义务；</w:t>
      </w:r>
    </w:p>
    <w:p w14:paraId="095B7A59">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（2）已详细审查全部磋商文件，包括澄清或者更正公告（如有）；</w:t>
      </w:r>
    </w:p>
    <w:p w14:paraId="3713BA3A">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（3）同意提供按照贵方可能要求的与磋商有关的一切数据或者资料；</w:t>
      </w:r>
    </w:p>
    <w:p w14:paraId="6C05FD1F">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（4）响应磋商文件规定的竞标有效期。</w:t>
      </w:r>
    </w:p>
    <w:p w14:paraId="5BCF6260">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4.我方承诺符合《中华人民共和国政府采购法》第二十二条规定：</w:t>
      </w:r>
    </w:p>
    <w:p w14:paraId="1327D40F">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14:paraId="6E405921">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（2）具有良好的商业信誉和健全的财务会计制度；</w:t>
      </w:r>
    </w:p>
    <w:p w14:paraId="274FD5D8">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02B1C9E9">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7FA91C65">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7D3DFC32">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（6）法律、行政法规规定的其他条件。</w:t>
      </w:r>
    </w:p>
    <w:p w14:paraId="04EAA183">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我方承诺按本项目响应文件“第三章”“第二节供应商须知前附表”中“资格证明文件组成”完整提供证明材料。</w:t>
      </w:r>
    </w:p>
    <w:p w14:paraId="4054A5A7">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4912D7C3">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06F96F44">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内容中</w:t>
      </w:r>
      <w:r>
        <w:rPr>
          <w:rFonts w:hint="eastAsia" w:ascii="宋体" w:hAnsi="宋体" w:cs="宋体"/>
          <w:color w:val="auto"/>
          <w:sz w:val="24"/>
          <w:highlight w:val="none"/>
        </w:rPr>
        <w:t>未</w:t>
      </w:r>
      <w:r>
        <w:rPr>
          <w:rFonts w:hint="eastAsia" w:ascii="宋体" w:hAnsi="宋体" w:cs="宋体"/>
          <w:color w:val="auto"/>
          <w:kern w:val="0"/>
          <w:sz w:val="24"/>
          <w:highlight w:val="none"/>
        </w:rPr>
        <w:t>涉及商业秘密；</w:t>
      </w:r>
    </w:p>
    <w:p w14:paraId="3E2B280A">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涉及商业秘密的内容有：；</w:t>
      </w:r>
    </w:p>
    <w:p w14:paraId="58470580">
      <w:pPr>
        <w:pStyle w:val="20"/>
        <w:spacing w:line="360" w:lineRule="auto"/>
        <w:ind w:firstLine="480" w:firstLineChars="200"/>
        <w:contextualSpacing/>
        <w:rPr>
          <w:rFonts w:hAnsi="宋体" w:cs="宋体"/>
          <w:color w:val="auto"/>
          <w:sz w:val="24"/>
          <w:szCs w:val="24"/>
          <w:highlight w:val="none"/>
          <w:u w:val="single"/>
        </w:rPr>
      </w:pPr>
      <w:r>
        <w:rPr>
          <w:rFonts w:hint="eastAsia" w:hAnsi="宋体" w:cs="宋体"/>
          <w:color w:val="auto"/>
          <w:sz w:val="24"/>
          <w:szCs w:val="24"/>
          <w:highlight w:val="none"/>
        </w:rPr>
        <w:t>7.与本磋商有关的一切正式往来信函请寄：邮政编号：</w:t>
      </w:r>
    </w:p>
    <w:p w14:paraId="6B300B11">
      <w:pPr>
        <w:pStyle w:val="20"/>
        <w:spacing w:line="360" w:lineRule="auto"/>
        <w:ind w:firstLine="480" w:firstLineChars="200"/>
        <w:contextualSpacing/>
        <w:rPr>
          <w:rFonts w:hAnsi="宋体" w:cs="宋体"/>
          <w:color w:val="auto"/>
          <w:sz w:val="24"/>
          <w:szCs w:val="24"/>
          <w:highlight w:val="none"/>
        </w:rPr>
      </w:pPr>
      <w:r>
        <w:rPr>
          <w:rFonts w:hint="eastAsia" w:hAnsi="宋体" w:cs="宋体"/>
          <w:color w:val="auto"/>
          <w:sz w:val="24"/>
          <w:szCs w:val="24"/>
          <w:highlight w:val="none"/>
        </w:rPr>
        <w:t>电话/传真： 电子函件：</w:t>
      </w:r>
    </w:p>
    <w:p w14:paraId="3759A0E2">
      <w:pPr>
        <w:pStyle w:val="18"/>
        <w:tabs>
          <w:tab w:val="left" w:pos="939"/>
        </w:tabs>
        <w:spacing w:line="360" w:lineRule="auto"/>
        <w:ind w:left="141" w:leftChars="67" w:firstLine="360" w:firstLineChars="150"/>
        <w:rPr>
          <w:rFonts w:ascii="宋体" w:hAnsi="宋体" w:cs="宋体"/>
          <w:color w:val="auto"/>
          <w:sz w:val="24"/>
          <w:highlight w:val="none"/>
        </w:rPr>
      </w:pPr>
      <w:r>
        <w:rPr>
          <w:rFonts w:hint="eastAsia" w:ascii="宋体" w:hAnsi="宋体" w:cs="宋体"/>
          <w:color w:val="auto"/>
          <w:sz w:val="24"/>
          <w:highlight w:val="none"/>
        </w:rPr>
        <w:t>开户银行：  帐号：</w:t>
      </w:r>
    </w:p>
    <w:p w14:paraId="15FBC0ED">
      <w:pPr>
        <w:pStyle w:val="18"/>
        <w:tabs>
          <w:tab w:val="left" w:pos="939"/>
        </w:tabs>
        <w:spacing w:line="360" w:lineRule="auto"/>
        <w:ind w:left="0" w:leftChars="0" w:firstLine="480" w:firstLineChars="200"/>
        <w:rPr>
          <w:rFonts w:ascii="宋体" w:hAnsi="宋体" w:cs="宋体"/>
          <w:color w:val="auto"/>
          <w:sz w:val="24"/>
          <w:highlight w:val="none"/>
        </w:rPr>
      </w:pPr>
      <w:r>
        <w:rPr>
          <w:rFonts w:hint="eastAsia" w:ascii="宋体" w:hAnsi="宋体" w:cs="宋体"/>
          <w:color w:val="auto"/>
          <w:sz w:val="24"/>
          <w:highlight w:val="none"/>
        </w:rPr>
        <w:t>8.以上事项如有虚假或者隐瞒，我方愿意承担一切后果，并不再寻求任何旨在减轻或者免除法律责任的辩解。</w:t>
      </w:r>
    </w:p>
    <w:p w14:paraId="1F31F57C">
      <w:pPr>
        <w:pStyle w:val="18"/>
        <w:tabs>
          <w:tab w:val="left" w:pos="939"/>
        </w:tabs>
        <w:spacing w:line="360" w:lineRule="auto"/>
        <w:ind w:left="141" w:leftChars="67" w:firstLine="360" w:firstLineChars="150"/>
        <w:rPr>
          <w:rFonts w:ascii="宋体" w:hAnsi="宋体" w:cs="宋体"/>
          <w:color w:val="auto"/>
          <w:sz w:val="24"/>
          <w:highlight w:val="none"/>
        </w:rPr>
      </w:pPr>
      <w:r>
        <w:rPr>
          <w:rFonts w:hint="eastAsia" w:ascii="宋体" w:hAnsi="宋体" w:cs="宋体"/>
          <w:color w:val="auto"/>
          <w:sz w:val="24"/>
          <w:highlight w:val="none"/>
        </w:rPr>
        <w:t>特此承诺。</w:t>
      </w:r>
    </w:p>
    <w:p w14:paraId="52104EBC">
      <w:pPr>
        <w:pStyle w:val="18"/>
        <w:tabs>
          <w:tab w:val="left" w:pos="939"/>
        </w:tabs>
        <w:spacing w:line="360" w:lineRule="auto"/>
        <w:ind w:left="0" w:leftChars="0" w:firstLine="480" w:firstLineChars="200"/>
        <w:rPr>
          <w:rFonts w:ascii="宋体" w:hAnsi="宋体" w:cs="宋体"/>
          <w:color w:val="auto"/>
          <w:sz w:val="24"/>
          <w:highlight w:val="none"/>
        </w:rPr>
      </w:pPr>
      <w:r>
        <w:rPr>
          <w:rFonts w:hint="eastAsia" w:ascii="宋体" w:hAnsi="宋体" w:cs="宋体"/>
          <w:color w:val="auto"/>
          <w:sz w:val="24"/>
          <w:highlight w:val="none"/>
        </w:rPr>
        <w:t>注：如为联合体竞标，盖章处须加盖联合体各方公章并由联合体各方法定代表人签署，否则其响应文件按无效响应处理。</w:t>
      </w:r>
    </w:p>
    <w:p w14:paraId="3D27AEC5">
      <w:pPr>
        <w:pStyle w:val="18"/>
        <w:tabs>
          <w:tab w:val="left" w:pos="939"/>
        </w:tabs>
        <w:spacing w:line="360" w:lineRule="auto"/>
        <w:ind w:left="0" w:leftChars="0" w:firstLine="480" w:firstLineChars="200"/>
        <w:rPr>
          <w:rFonts w:ascii="宋体" w:hAnsi="宋体" w:cs="宋体"/>
          <w:color w:val="auto"/>
          <w:sz w:val="24"/>
          <w:highlight w:val="none"/>
        </w:rPr>
      </w:pPr>
    </w:p>
    <w:p w14:paraId="53453272">
      <w:pPr>
        <w:autoSpaceDE w:val="0"/>
        <w:autoSpaceDN w:val="0"/>
        <w:spacing w:line="360" w:lineRule="auto"/>
        <w:ind w:left="4365" w:leftChars="1850" w:hanging="480" w:hangingChars="200"/>
        <w:rPr>
          <w:rFonts w:ascii="宋体" w:hAnsi="宋体" w:cs="宋体"/>
          <w:color w:val="auto"/>
          <w:kern w:val="0"/>
          <w:sz w:val="24"/>
          <w:highlight w:val="none"/>
        </w:rPr>
      </w:pPr>
      <w:r>
        <w:rPr>
          <w:rFonts w:hint="eastAsia" w:ascii="宋体" w:hAnsi="宋体" w:cs="宋体"/>
          <w:color w:val="auto"/>
          <w:kern w:val="0"/>
          <w:sz w:val="24"/>
          <w:highlight w:val="none"/>
        </w:rPr>
        <w:t>供应商名称（电子签章）：</w:t>
      </w:r>
    </w:p>
    <w:p w14:paraId="3EC7F2DB">
      <w:pPr>
        <w:autoSpaceDE w:val="0"/>
        <w:autoSpaceDN w:val="0"/>
        <w:spacing w:line="360" w:lineRule="auto"/>
        <w:ind w:firstLine="6120" w:firstLineChars="2550"/>
        <w:rPr>
          <w:rFonts w:ascii="宋体" w:hAnsi="宋体" w:cs="宋体"/>
          <w:color w:val="auto"/>
          <w:kern w:val="0"/>
          <w:sz w:val="24"/>
          <w:highlight w:val="none"/>
          <w:lang w:val="zh-CN"/>
        </w:rPr>
        <w:sectPr>
          <w:pgSz w:w="11910" w:h="16840"/>
          <w:pgMar w:top="1340" w:right="1500" w:bottom="280" w:left="1680" w:header="720" w:footer="720" w:gutter="0"/>
          <w:cols w:space="720" w:num="1"/>
        </w:sectPr>
      </w:pPr>
      <w:r>
        <w:rPr>
          <w:rFonts w:hint="eastAsia" w:ascii="宋体" w:hAnsi="宋体" w:cs="宋体"/>
          <w:color w:val="auto"/>
          <w:kern w:val="0"/>
          <w:sz w:val="24"/>
          <w:highlight w:val="none"/>
          <w:lang w:val="zh-CN"/>
        </w:rPr>
        <w:t>日期：  年  月   日</w:t>
      </w:r>
    </w:p>
    <w:p w14:paraId="550E0D91">
      <w:pPr>
        <w:pStyle w:val="7"/>
        <w:overflowPunct w:val="0"/>
        <w:spacing w:line="520" w:lineRule="exact"/>
        <w:ind w:firstLine="0"/>
        <w:rPr>
          <w:rFonts w:ascii="宋体" w:hAnsi="宋体" w:cs="宋体"/>
          <w:color w:val="auto"/>
          <w:kern w:val="0"/>
          <w:sz w:val="24"/>
          <w:highlight w:val="none"/>
          <w:lang w:val="zh-CN"/>
        </w:rPr>
      </w:pPr>
      <w:r>
        <w:rPr>
          <w:rFonts w:hint="eastAsia" w:ascii="宋体" w:hAnsi="宋体" w:cs="宋体"/>
          <w:b/>
          <w:color w:val="auto"/>
          <w:kern w:val="0"/>
          <w:sz w:val="30"/>
          <w:szCs w:val="30"/>
          <w:highlight w:val="none"/>
        </w:rPr>
        <w:t>七、</w:t>
      </w:r>
      <w:r>
        <w:rPr>
          <w:rFonts w:hint="eastAsia" w:ascii="宋体" w:hAnsi="宋体" w:cs="宋体"/>
          <w:b/>
          <w:color w:val="auto"/>
          <w:sz w:val="30"/>
          <w:szCs w:val="30"/>
          <w:highlight w:val="none"/>
        </w:rPr>
        <w:t>保证金缴纳证明文件复印件</w:t>
      </w:r>
    </w:p>
    <w:p w14:paraId="4A6DECBE">
      <w:pPr>
        <w:autoSpaceDE w:val="0"/>
        <w:autoSpaceDN w:val="0"/>
        <w:spacing w:line="360" w:lineRule="auto"/>
        <w:ind w:firstLine="6120" w:firstLineChars="2550"/>
        <w:rPr>
          <w:rFonts w:ascii="宋体" w:hAnsi="宋体" w:cs="宋体"/>
          <w:color w:val="auto"/>
          <w:kern w:val="0"/>
          <w:sz w:val="24"/>
          <w:highlight w:val="none"/>
          <w:lang w:val="zh-CN"/>
        </w:rPr>
      </w:pPr>
    </w:p>
    <w:p w14:paraId="14397549">
      <w:pPr>
        <w:autoSpaceDE w:val="0"/>
        <w:autoSpaceDN w:val="0"/>
        <w:spacing w:line="360" w:lineRule="auto"/>
        <w:ind w:firstLine="6120" w:firstLineChars="2550"/>
        <w:rPr>
          <w:rFonts w:ascii="宋体" w:hAnsi="宋体" w:cs="宋体"/>
          <w:color w:val="auto"/>
          <w:kern w:val="0"/>
          <w:sz w:val="24"/>
          <w:highlight w:val="none"/>
          <w:lang w:val="zh-CN"/>
        </w:rPr>
      </w:pPr>
    </w:p>
    <w:p w14:paraId="0044DEF1">
      <w:pPr>
        <w:autoSpaceDE w:val="0"/>
        <w:autoSpaceDN w:val="0"/>
        <w:spacing w:line="360" w:lineRule="auto"/>
        <w:ind w:firstLine="6120" w:firstLineChars="2550"/>
        <w:rPr>
          <w:rFonts w:ascii="宋体" w:hAnsi="宋体" w:cs="宋体"/>
          <w:color w:val="auto"/>
          <w:kern w:val="0"/>
          <w:sz w:val="24"/>
          <w:highlight w:val="none"/>
          <w:lang w:val="zh-CN"/>
        </w:rPr>
      </w:pPr>
    </w:p>
    <w:p w14:paraId="35C109E7">
      <w:pPr>
        <w:autoSpaceDE w:val="0"/>
        <w:autoSpaceDN w:val="0"/>
        <w:spacing w:line="360" w:lineRule="auto"/>
        <w:ind w:firstLine="6120" w:firstLineChars="2550"/>
        <w:rPr>
          <w:rFonts w:ascii="宋体" w:hAnsi="宋体" w:cs="宋体"/>
          <w:color w:val="auto"/>
          <w:kern w:val="0"/>
          <w:sz w:val="24"/>
          <w:highlight w:val="none"/>
          <w:lang w:val="zh-CN"/>
        </w:rPr>
      </w:pPr>
    </w:p>
    <w:p w14:paraId="2F410392">
      <w:pPr>
        <w:autoSpaceDE w:val="0"/>
        <w:autoSpaceDN w:val="0"/>
        <w:spacing w:line="360" w:lineRule="auto"/>
        <w:ind w:firstLine="6120" w:firstLineChars="2550"/>
        <w:rPr>
          <w:rFonts w:ascii="宋体" w:hAnsi="宋体" w:cs="宋体"/>
          <w:color w:val="auto"/>
          <w:kern w:val="0"/>
          <w:sz w:val="24"/>
          <w:highlight w:val="none"/>
          <w:lang w:val="zh-CN"/>
        </w:rPr>
      </w:pPr>
    </w:p>
    <w:p w14:paraId="57C17BDB">
      <w:pPr>
        <w:autoSpaceDE w:val="0"/>
        <w:autoSpaceDN w:val="0"/>
        <w:spacing w:line="360" w:lineRule="auto"/>
        <w:ind w:firstLine="6120" w:firstLineChars="2550"/>
        <w:rPr>
          <w:rFonts w:ascii="宋体" w:hAnsi="宋体" w:cs="宋体"/>
          <w:color w:val="auto"/>
          <w:kern w:val="0"/>
          <w:sz w:val="24"/>
          <w:highlight w:val="none"/>
          <w:lang w:val="zh-CN"/>
        </w:rPr>
      </w:pPr>
    </w:p>
    <w:p w14:paraId="01E0ABE0">
      <w:pPr>
        <w:autoSpaceDE w:val="0"/>
        <w:autoSpaceDN w:val="0"/>
        <w:spacing w:line="360" w:lineRule="auto"/>
        <w:ind w:firstLine="6120" w:firstLineChars="2550"/>
        <w:rPr>
          <w:rFonts w:ascii="宋体" w:hAnsi="宋体" w:cs="宋体"/>
          <w:color w:val="auto"/>
          <w:kern w:val="0"/>
          <w:sz w:val="24"/>
          <w:highlight w:val="none"/>
          <w:lang w:val="zh-CN"/>
        </w:rPr>
      </w:pPr>
    </w:p>
    <w:p w14:paraId="0EC3F04D">
      <w:pPr>
        <w:snapToGrid w:val="0"/>
        <w:spacing w:line="360" w:lineRule="auto"/>
        <w:rPr>
          <w:rFonts w:ascii="宋体" w:hAnsi="宋体" w:cs="宋体"/>
          <w:b/>
          <w:color w:val="auto"/>
          <w:sz w:val="30"/>
          <w:szCs w:val="30"/>
          <w:highlight w:val="none"/>
        </w:rPr>
      </w:pPr>
      <w:r>
        <w:rPr>
          <w:rFonts w:hint="eastAsia" w:ascii="宋体" w:hAnsi="宋体" w:cs="宋体"/>
          <w:b/>
          <w:color w:val="auto"/>
          <w:sz w:val="30"/>
          <w:szCs w:val="30"/>
          <w:highlight w:val="none"/>
        </w:rPr>
        <w:t>八、符合特定资格条件（如果项目要求）的有关证明材料（复印件）</w:t>
      </w:r>
    </w:p>
    <w:p w14:paraId="635E9D82">
      <w:pPr>
        <w:pStyle w:val="97"/>
        <w:rPr>
          <w:rFonts w:ascii="宋体" w:hAnsi="宋体" w:cs="宋体"/>
          <w:b/>
          <w:color w:val="auto"/>
          <w:sz w:val="30"/>
          <w:szCs w:val="30"/>
          <w:highlight w:val="none"/>
        </w:rPr>
      </w:pPr>
    </w:p>
    <w:p w14:paraId="50721C29">
      <w:pPr>
        <w:pStyle w:val="97"/>
        <w:rPr>
          <w:rFonts w:ascii="宋体" w:hAnsi="宋体" w:cs="宋体"/>
          <w:b/>
          <w:color w:val="auto"/>
          <w:sz w:val="30"/>
          <w:szCs w:val="30"/>
          <w:highlight w:val="none"/>
        </w:rPr>
      </w:pPr>
    </w:p>
    <w:p w14:paraId="09981381">
      <w:pPr>
        <w:pStyle w:val="16"/>
        <w:rPr>
          <w:rFonts w:ascii="宋体" w:hAnsi="宋体" w:cs="宋体"/>
          <w:b/>
          <w:color w:val="auto"/>
          <w:sz w:val="30"/>
          <w:szCs w:val="30"/>
          <w:highlight w:val="none"/>
        </w:rPr>
      </w:pPr>
    </w:p>
    <w:p w14:paraId="0B841A28">
      <w:pPr>
        <w:rPr>
          <w:color w:val="auto"/>
          <w:highlight w:val="none"/>
        </w:rPr>
      </w:pPr>
    </w:p>
    <w:p w14:paraId="15C733E3">
      <w:pPr>
        <w:autoSpaceDE w:val="0"/>
        <w:autoSpaceDN w:val="0"/>
        <w:spacing w:line="360" w:lineRule="auto"/>
        <w:ind w:left="4335" w:leftChars="1950" w:hanging="240" w:hangingChars="100"/>
        <w:rPr>
          <w:rFonts w:ascii="宋体" w:hAnsi="宋体" w:cs="宋体"/>
          <w:color w:val="auto"/>
          <w:kern w:val="0"/>
          <w:sz w:val="24"/>
          <w:highlight w:val="none"/>
        </w:rPr>
      </w:pPr>
      <w:r>
        <w:rPr>
          <w:rFonts w:hint="eastAsia" w:ascii="宋体" w:hAnsi="宋体" w:cs="宋体"/>
          <w:color w:val="auto"/>
          <w:kern w:val="0"/>
          <w:sz w:val="24"/>
          <w:highlight w:val="none"/>
        </w:rPr>
        <w:t>供应商名称（电子签章）：</w:t>
      </w:r>
    </w:p>
    <w:p w14:paraId="4A43D424">
      <w:pPr>
        <w:autoSpaceDE w:val="0"/>
        <w:autoSpaceDN w:val="0"/>
        <w:spacing w:line="360" w:lineRule="auto"/>
        <w:ind w:firstLine="6480" w:firstLineChars="2700"/>
        <w:rPr>
          <w:rFonts w:ascii="宋体" w:hAnsi="宋体" w:cs="宋体"/>
          <w:b/>
          <w:bCs/>
          <w:color w:val="auto"/>
          <w:sz w:val="24"/>
          <w:highlight w:val="none"/>
        </w:rPr>
      </w:pPr>
      <w:r>
        <w:rPr>
          <w:rFonts w:hint="eastAsia" w:ascii="宋体" w:hAnsi="宋体" w:cs="宋体"/>
          <w:color w:val="auto"/>
          <w:kern w:val="0"/>
          <w:sz w:val="24"/>
          <w:highlight w:val="none"/>
          <w:lang w:val="zh-CN"/>
        </w:rPr>
        <w:t>日期：  年  月   日</w:t>
      </w:r>
    </w:p>
    <w:p w14:paraId="07AA3065">
      <w:pPr>
        <w:autoSpaceDE w:val="0"/>
        <w:autoSpaceDN w:val="0"/>
        <w:spacing w:line="360" w:lineRule="auto"/>
        <w:ind w:firstLine="5355" w:firstLineChars="2550"/>
        <w:rPr>
          <w:rFonts w:ascii="宋体" w:hAnsi="宋体" w:cs="宋体"/>
          <w:color w:val="auto"/>
          <w:highlight w:val="none"/>
        </w:rPr>
        <w:sectPr>
          <w:pgSz w:w="11910" w:h="16840"/>
          <w:pgMar w:top="1340" w:right="1500" w:bottom="280" w:left="1680" w:header="720" w:footer="720" w:gutter="0"/>
          <w:cols w:space="720" w:num="1"/>
        </w:sectPr>
      </w:pPr>
    </w:p>
    <w:p w14:paraId="3E32B404">
      <w:pPr>
        <w:pStyle w:val="4"/>
        <w:jc w:val="center"/>
        <w:rPr>
          <w:rFonts w:ascii="宋体" w:hAnsi="宋体" w:cs="宋体"/>
          <w:b w:val="0"/>
          <w:color w:val="auto"/>
          <w:highlight w:val="none"/>
        </w:rPr>
      </w:pPr>
      <w:bookmarkStart w:id="76" w:name="_Toc10817"/>
      <w:r>
        <w:rPr>
          <w:rFonts w:hint="eastAsia" w:ascii="宋体" w:hAnsi="宋体" w:cs="宋体"/>
          <w:b w:val="0"/>
          <w:bCs w:val="0"/>
          <w:color w:val="auto"/>
          <w:highlight w:val="none"/>
        </w:rPr>
        <w:t xml:space="preserve">第三节 </w:t>
      </w:r>
      <w:r>
        <w:rPr>
          <w:rFonts w:hint="eastAsia" w:ascii="宋体" w:hAnsi="宋体" w:cs="宋体"/>
          <w:b w:val="0"/>
          <w:color w:val="auto"/>
          <w:highlight w:val="none"/>
        </w:rPr>
        <w:t>商务技术文件格式</w:t>
      </w:r>
      <w:bookmarkEnd w:id="76"/>
    </w:p>
    <w:p w14:paraId="7485ABE8">
      <w:pPr>
        <w:snapToGrid w:val="0"/>
        <w:spacing w:before="120" w:beforeLines="50" w:after="50"/>
        <w:rPr>
          <w:rFonts w:ascii="宋体" w:hAnsi="宋体" w:cs="宋体"/>
          <w:bCs/>
          <w:color w:val="auto"/>
          <w:sz w:val="32"/>
          <w:szCs w:val="20"/>
          <w:highlight w:val="none"/>
        </w:rPr>
      </w:pPr>
      <w:r>
        <w:rPr>
          <w:rFonts w:hint="eastAsia" w:ascii="宋体" w:hAnsi="宋体" w:cs="宋体"/>
          <w:bCs/>
          <w:color w:val="auto"/>
          <w:highlight w:val="none"/>
        </w:rPr>
        <w:t>全流程电子文件</w:t>
      </w:r>
    </w:p>
    <w:p w14:paraId="06835E4A">
      <w:pPr>
        <w:snapToGrid w:val="0"/>
        <w:spacing w:before="120" w:beforeLines="50" w:after="50"/>
        <w:rPr>
          <w:rFonts w:ascii="宋体" w:hAnsi="宋体" w:cs="宋体"/>
          <w:color w:val="auto"/>
          <w:sz w:val="24"/>
          <w:szCs w:val="20"/>
          <w:highlight w:val="none"/>
        </w:rPr>
      </w:pPr>
    </w:p>
    <w:p w14:paraId="3D26869E">
      <w:pPr>
        <w:snapToGrid w:val="0"/>
        <w:spacing w:before="120" w:beforeLines="50" w:after="50"/>
        <w:rPr>
          <w:rFonts w:ascii="宋体" w:hAnsi="宋体" w:cs="宋体"/>
          <w:color w:val="auto"/>
          <w:sz w:val="24"/>
          <w:szCs w:val="20"/>
          <w:highlight w:val="none"/>
        </w:rPr>
      </w:pPr>
    </w:p>
    <w:p w14:paraId="00E54558">
      <w:pPr>
        <w:snapToGrid w:val="0"/>
        <w:spacing w:before="120" w:beforeLines="50" w:after="50"/>
        <w:rPr>
          <w:rFonts w:ascii="宋体" w:hAnsi="宋体" w:cs="宋体"/>
          <w:color w:val="auto"/>
          <w:sz w:val="24"/>
          <w:szCs w:val="20"/>
          <w:highlight w:val="none"/>
        </w:rPr>
      </w:pPr>
    </w:p>
    <w:p w14:paraId="2EE64DE3">
      <w:pPr>
        <w:snapToGrid w:val="0"/>
        <w:spacing w:before="120" w:beforeLines="50" w:after="50"/>
        <w:jc w:val="center"/>
        <w:rPr>
          <w:rFonts w:ascii="宋体" w:hAnsi="宋体" w:cs="宋体"/>
          <w:bCs/>
          <w:color w:val="auto"/>
          <w:sz w:val="44"/>
          <w:szCs w:val="44"/>
          <w:highlight w:val="none"/>
        </w:rPr>
      </w:pPr>
      <w:r>
        <w:rPr>
          <w:rFonts w:hint="eastAsia" w:ascii="宋体" w:hAnsi="宋体" w:cs="宋体"/>
          <w:bCs/>
          <w:color w:val="auto"/>
          <w:sz w:val="44"/>
          <w:szCs w:val="44"/>
          <w:highlight w:val="none"/>
        </w:rPr>
        <w:t>商  务  技  术  文  件（封面）</w:t>
      </w:r>
    </w:p>
    <w:p w14:paraId="00B32CB2">
      <w:pPr>
        <w:snapToGrid w:val="0"/>
        <w:spacing w:before="120" w:beforeLines="50" w:after="50"/>
        <w:rPr>
          <w:rFonts w:ascii="宋体" w:hAnsi="宋体" w:cs="宋体"/>
          <w:bCs/>
          <w:color w:val="auto"/>
          <w:sz w:val="24"/>
          <w:szCs w:val="20"/>
          <w:highlight w:val="none"/>
        </w:rPr>
      </w:pPr>
    </w:p>
    <w:p w14:paraId="7AA4ADC1">
      <w:pPr>
        <w:snapToGrid w:val="0"/>
        <w:spacing w:before="120" w:beforeLines="50" w:after="50"/>
        <w:rPr>
          <w:rFonts w:ascii="宋体" w:hAnsi="宋体" w:cs="宋体"/>
          <w:bCs/>
          <w:color w:val="auto"/>
          <w:sz w:val="24"/>
          <w:szCs w:val="20"/>
          <w:highlight w:val="none"/>
        </w:rPr>
      </w:pPr>
    </w:p>
    <w:p w14:paraId="69AC1001">
      <w:pPr>
        <w:snapToGrid w:val="0"/>
        <w:spacing w:before="120" w:beforeLines="50" w:after="50"/>
        <w:rPr>
          <w:rFonts w:ascii="宋体" w:hAnsi="宋体" w:cs="宋体"/>
          <w:bCs/>
          <w:color w:val="auto"/>
          <w:sz w:val="24"/>
          <w:szCs w:val="20"/>
          <w:highlight w:val="none"/>
        </w:rPr>
      </w:pPr>
    </w:p>
    <w:p w14:paraId="03213069">
      <w:pPr>
        <w:snapToGrid w:val="0"/>
        <w:spacing w:before="120" w:beforeLines="50" w:after="50"/>
        <w:rPr>
          <w:rFonts w:ascii="宋体" w:hAnsi="宋体" w:cs="宋体"/>
          <w:bCs/>
          <w:color w:val="auto"/>
          <w:sz w:val="24"/>
          <w:szCs w:val="20"/>
          <w:highlight w:val="none"/>
        </w:rPr>
      </w:pPr>
    </w:p>
    <w:p w14:paraId="4543330A">
      <w:pPr>
        <w:snapToGrid w:val="0"/>
        <w:spacing w:before="120" w:beforeLines="50" w:after="50"/>
        <w:rPr>
          <w:rFonts w:ascii="宋体" w:hAnsi="宋体" w:cs="宋体"/>
          <w:bCs/>
          <w:color w:val="auto"/>
          <w:sz w:val="24"/>
          <w:szCs w:val="20"/>
          <w:highlight w:val="none"/>
        </w:rPr>
      </w:pPr>
    </w:p>
    <w:p w14:paraId="6AA837BC">
      <w:pPr>
        <w:snapToGrid w:val="0"/>
        <w:spacing w:before="120" w:beforeLines="50" w:after="50"/>
        <w:ind w:firstLine="640" w:firstLineChars="200"/>
        <w:rPr>
          <w:rFonts w:ascii="宋体" w:hAnsi="宋体" w:cs="宋体"/>
          <w:bCs/>
          <w:color w:val="auto"/>
          <w:sz w:val="32"/>
          <w:szCs w:val="32"/>
          <w:highlight w:val="none"/>
        </w:rPr>
      </w:pPr>
      <w:r>
        <w:rPr>
          <w:rFonts w:hint="eastAsia" w:ascii="宋体" w:hAnsi="宋体" w:cs="宋体"/>
          <w:bCs/>
          <w:color w:val="auto"/>
          <w:sz w:val="32"/>
          <w:szCs w:val="32"/>
          <w:highlight w:val="none"/>
        </w:rPr>
        <w:t>项目名称：</w:t>
      </w:r>
    </w:p>
    <w:p w14:paraId="7A1CE989">
      <w:pPr>
        <w:snapToGrid w:val="0"/>
        <w:spacing w:before="120" w:beforeLines="50" w:after="50"/>
        <w:ind w:firstLine="720" w:firstLineChars="225"/>
        <w:rPr>
          <w:rFonts w:ascii="宋体" w:hAnsi="宋体" w:cs="宋体"/>
          <w:bCs/>
          <w:color w:val="auto"/>
          <w:sz w:val="32"/>
          <w:szCs w:val="32"/>
          <w:highlight w:val="none"/>
        </w:rPr>
      </w:pPr>
    </w:p>
    <w:p w14:paraId="4217C369">
      <w:pPr>
        <w:snapToGrid w:val="0"/>
        <w:spacing w:before="120" w:beforeLines="50" w:after="50"/>
        <w:ind w:firstLine="640" w:firstLineChars="200"/>
        <w:rPr>
          <w:rFonts w:ascii="宋体" w:hAnsi="宋体" w:cs="宋体"/>
          <w:bCs/>
          <w:color w:val="auto"/>
          <w:sz w:val="32"/>
          <w:szCs w:val="32"/>
          <w:highlight w:val="none"/>
        </w:rPr>
      </w:pPr>
      <w:r>
        <w:rPr>
          <w:rFonts w:hint="eastAsia" w:ascii="宋体" w:hAnsi="宋体" w:cs="宋体"/>
          <w:bCs/>
          <w:color w:val="auto"/>
          <w:sz w:val="32"/>
          <w:szCs w:val="32"/>
          <w:highlight w:val="none"/>
        </w:rPr>
        <w:t>项目编号：</w:t>
      </w:r>
    </w:p>
    <w:p w14:paraId="3B6C5494">
      <w:pPr>
        <w:snapToGrid w:val="0"/>
        <w:spacing w:before="120" w:beforeLines="50" w:after="50"/>
        <w:ind w:firstLine="720" w:firstLineChars="225"/>
        <w:rPr>
          <w:rFonts w:ascii="宋体" w:hAnsi="宋体" w:cs="宋体"/>
          <w:bCs/>
          <w:color w:val="auto"/>
          <w:sz w:val="32"/>
          <w:szCs w:val="32"/>
          <w:highlight w:val="none"/>
        </w:rPr>
      </w:pPr>
    </w:p>
    <w:p w14:paraId="2BE4C3D8">
      <w:pPr>
        <w:snapToGrid w:val="0"/>
        <w:spacing w:before="120" w:beforeLines="50" w:after="50"/>
        <w:ind w:firstLine="640" w:firstLineChars="200"/>
        <w:rPr>
          <w:rFonts w:ascii="宋体" w:hAnsi="宋体" w:cs="宋体"/>
          <w:bCs/>
          <w:color w:val="auto"/>
          <w:sz w:val="32"/>
          <w:szCs w:val="32"/>
          <w:highlight w:val="none"/>
        </w:rPr>
      </w:pPr>
      <w:r>
        <w:rPr>
          <w:rFonts w:hint="eastAsia" w:ascii="宋体" w:hAnsi="宋体" w:cs="宋体"/>
          <w:bCs/>
          <w:color w:val="auto"/>
          <w:sz w:val="32"/>
          <w:szCs w:val="32"/>
          <w:highlight w:val="none"/>
        </w:rPr>
        <w:t>所竞分标（如有则填写，无分标时填写“无”或者留空）：</w:t>
      </w:r>
    </w:p>
    <w:p w14:paraId="51281E60">
      <w:pPr>
        <w:snapToGrid w:val="0"/>
        <w:spacing w:before="120" w:beforeLines="50" w:after="50"/>
        <w:ind w:firstLine="720" w:firstLineChars="225"/>
        <w:rPr>
          <w:rFonts w:ascii="宋体" w:hAnsi="宋体" w:cs="宋体"/>
          <w:bCs/>
          <w:color w:val="auto"/>
          <w:sz w:val="32"/>
          <w:szCs w:val="32"/>
          <w:highlight w:val="none"/>
        </w:rPr>
      </w:pPr>
    </w:p>
    <w:p w14:paraId="0743AAF6">
      <w:pPr>
        <w:pStyle w:val="7"/>
        <w:snapToGrid w:val="0"/>
        <w:spacing w:before="50" w:after="50"/>
        <w:ind w:firstLine="640" w:firstLineChars="200"/>
        <w:rPr>
          <w:rFonts w:ascii="宋体" w:hAnsi="宋体" w:cs="宋体"/>
          <w:bCs/>
          <w:color w:val="auto"/>
          <w:sz w:val="32"/>
          <w:szCs w:val="32"/>
          <w:highlight w:val="none"/>
        </w:rPr>
      </w:pPr>
      <w:r>
        <w:rPr>
          <w:rFonts w:hint="eastAsia" w:ascii="宋体" w:hAnsi="宋体" w:cs="宋体"/>
          <w:bCs/>
          <w:color w:val="auto"/>
          <w:sz w:val="32"/>
          <w:szCs w:val="32"/>
          <w:highlight w:val="none"/>
        </w:rPr>
        <w:t>供应商名称：</w:t>
      </w:r>
    </w:p>
    <w:p w14:paraId="66145BB3">
      <w:pPr>
        <w:pStyle w:val="7"/>
        <w:snapToGrid w:val="0"/>
        <w:spacing w:before="50" w:after="50"/>
        <w:ind w:firstLine="720" w:firstLineChars="225"/>
        <w:rPr>
          <w:rFonts w:ascii="宋体" w:hAnsi="宋体" w:cs="宋体"/>
          <w:bCs/>
          <w:color w:val="auto"/>
          <w:sz w:val="32"/>
          <w:szCs w:val="32"/>
          <w:highlight w:val="none"/>
        </w:rPr>
      </w:pPr>
    </w:p>
    <w:p w14:paraId="2BB69EE2">
      <w:pPr>
        <w:pStyle w:val="7"/>
        <w:snapToGrid w:val="0"/>
        <w:spacing w:before="50" w:after="50"/>
        <w:ind w:firstLine="720" w:firstLineChars="225"/>
        <w:rPr>
          <w:rFonts w:ascii="宋体" w:hAnsi="宋体" w:cs="宋体"/>
          <w:bCs/>
          <w:color w:val="auto"/>
          <w:sz w:val="32"/>
          <w:szCs w:val="32"/>
          <w:highlight w:val="none"/>
        </w:rPr>
      </w:pPr>
    </w:p>
    <w:p w14:paraId="4021EB70">
      <w:pPr>
        <w:pStyle w:val="7"/>
        <w:snapToGrid w:val="0"/>
        <w:spacing w:before="50" w:after="50"/>
        <w:ind w:firstLine="1280" w:firstLineChars="400"/>
        <w:rPr>
          <w:rFonts w:ascii="宋体" w:hAnsi="宋体" w:cs="宋体"/>
          <w:bCs/>
          <w:color w:val="auto"/>
          <w:sz w:val="32"/>
          <w:szCs w:val="32"/>
          <w:highlight w:val="none"/>
        </w:rPr>
      </w:pPr>
    </w:p>
    <w:p w14:paraId="3290E7AC">
      <w:pPr>
        <w:snapToGrid w:val="0"/>
        <w:spacing w:before="120" w:beforeLines="50" w:after="50"/>
        <w:jc w:val="center"/>
        <w:rPr>
          <w:rFonts w:ascii="宋体" w:hAnsi="宋体" w:cs="宋体"/>
          <w:color w:val="auto"/>
          <w:sz w:val="32"/>
          <w:szCs w:val="32"/>
          <w:highlight w:val="none"/>
        </w:rPr>
      </w:pPr>
      <w:r>
        <w:rPr>
          <w:rFonts w:hint="eastAsia" w:ascii="宋体" w:hAnsi="宋体" w:cs="宋体"/>
          <w:color w:val="auto"/>
          <w:sz w:val="32"/>
          <w:szCs w:val="32"/>
          <w:highlight w:val="none"/>
        </w:rPr>
        <w:t>年    月    日</w:t>
      </w:r>
    </w:p>
    <w:p w14:paraId="52C3DCA1">
      <w:pPr>
        <w:jc w:val="center"/>
        <w:rPr>
          <w:rFonts w:ascii="宋体" w:hAnsi="宋体" w:cs="宋体"/>
          <w:b/>
          <w:color w:val="auto"/>
          <w:kern w:val="0"/>
          <w:sz w:val="28"/>
          <w:szCs w:val="28"/>
          <w:highlight w:val="none"/>
        </w:rPr>
      </w:pPr>
      <w:r>
        <w:rPr>
          <w:rFonts w:hint="eastAsia" w:ascii="宋体" w:hAnsi="宋体" w:cs="宋体"/>
          <w:color w:val="auto"/>
          <w:sz w:val="24"/>
          <w:highlight w:val="none"/>
        </w:rPr>
        <w:br w:type="page"/>
      </w:r>
      <w:r>
        <w:rPr>
          <w:rFonts w:hint="eastAsia" w:ascii="宋体" w:hAnsi="宋体" w:cs="宋体"/>
          <w:b/>
          <w:color w:val="auto"/>
          <w:kern w:val="0"/>
          <w:sz w:val="28"/>
          <w:szCs w:val="28"/>
          <w:highlight w:val="none"/>
        </w:rPr>
        <w:t>商务技术文件目录</w:t>
      </w:r>
    </w:p>
    <w:p w14:paraId="6177EDA6">
      <w:pPr>
        <w:pStyle w:val="98"/>
        <w:spacing w:line="360" w:lineRule="auto"/>
        <w:rPr>
          <w:rFonts w:ascii="宋体" w:hAnsi="宋体" w:eastAsia="宋体" w:cs="宋体"/>
          <w:color w:val="auto"/>
          <w:highlight w:val="none"/>
        </w:rPr>
      </w:pPr>
      <w:r>
        <w:rPr>
          <w:rFonts w:hint="eastAsia" w:ascii="宋体" w:hAnsi="宋体" w:eastAsia="宋体" w:cs="宋体"/>
          <w:color w:val="auto"/>
          <w:highlight w:val="none"/>
        </w:rPr>
        <w:t>商务文件</w:t>
      </w:r>
    </w:p>
    <w:p w14:paraId="6802E94B">
      <w:pPr>
        <w:pStyle w:val="98"/>
        <w:spacing w:line="360" w:lineRule="auto"/>
        <w:rPr>
          <w:rFonts w:ascii="宋体" w:hAnsi="宋体" w:eastAsia="宋体" w:cs="宋体"/>
          <w:color w:val="auto"/>
          <w:highlight w:val="none"/>
        </w:rPr>
      </w:pPr>
      <w:r>
        <w:rPr>
          <w:rFonts w:hint="eastAsia" w:ascii="宋体" w:hAnsi="宋体" w:eastAsia="宋体" w:cs="宋体"/>
          <w:color w:val="auto"/>
          <w:highlight w:val="none"/>
        </w:rPr>
        <w:t>一、无串标行为承诺函………………………………………………………（页码）</w:t>
      </w:r>
    </w:p>
    <w:p w14:paraId="4C70EC84">
      <w:pPr>
        <w:pStyle w:val="98"/>
        <w:spacing w:line="360" w:lineRule="auto"/>
        <w:rPr>
          <w:rFonts w:ascii="宋体" w:hAnsi="宋体" w:eastAsia="宋体" w:cs="宋体"/>
          <w:color w:val="auto"/>
          <w:highlight w:val="none"/>
        </w:rPr>
      </w:pPr>
      <w:r>
        <w:rPr>
          <w:rFonts w:hint="eastAsia" w:ascii="宋体" w:hAnsi="宋体" w:eastAsia="宋体" w:cs="宋体"/>
          <w:color w:val="auto"/>
          <w:highlight w:val="none"/>
        </w:rPr>
        <w:t>二、法定代表人身份证明及法定代表人有效身份证正反面复印件………（页码）</w:t>
      </w:r>
    </w:p>
    <w:p w14:paraId="26359A42">
      <w:pPr>
        <w:pStyle w:val="98"/>
        <w:spacing w:line="360" w:lineRule="auto"/>
        <w:rPr>
          <w:rFonts w:ascii="宋体" w:hAnsi="宋体" w:eastAsia="宋体" w:cs="宋体"/>
          <w:color w:val="auto"/>
          <w:highlight w:val="none"/>
        </w:rPr>
      </w:pPr>
      <w:r>
        <w:rPr>
          <w:rFonts w:hint="eastAsia" w:ascii="宋体" w:hAnsi="宋体" w:eastAsia="宋体" w:cs="宋体"/>
          <w:color w:val="auto"/>
          <w:highlight w:val="none"/>
        </w:rPr>
        <w:t>三、法定代表人授权委托书（如有委托时）………………………………（页码）</w:t>
      </w:r>
    </w:p>
    <w:p w14:paraId="5D205282">
      <w:pPr>
        <w:pStyle w:val="98"/>
        <w:spacing w:line="360" w:lineRule="auto"/>
        <w:rPr>
          <w:rFonts w:ascii="宋体" w:hAnsi="宋体" w:eastAsia="宋体" w:cs="宋体"/>
          <w:color w:val="auto"/>
          <w:highlight w:val="none"/>
        </w:rPr>
      </w:pPr>
      <w:r>
        <w:rPr>
          <w:rFonts w:hint="eastAsia" w:ascii="宋体" w:hAnsi="宋体" w:eastAsia="宋体" w:cs="宋体"/>
          <w:color w:val="auto"/>
          <w:highlight w:val="none"/>
        </w:rPr>
        <w:t>四、</w:t>
      </w:r>
      <w:r>
        <w:rPr>
          <w:rFonts w:hint="eastAsia" w:ascii="宋体" w:hAnsi="宋体" w:eastAsia="宋体" w:cs="宋体"/>
          <w:color w:val="auto"/>
          <w:highlight w:val="none"/>
          <w:lang w:val="zh-CN"/>
        </w:rPr>
        <w:t>商务条款偏离表………………………………</w:t>
      </w:r>
      <w:r>
        <w:rPr>
          <w:rFonts w:hint="eastAsia" w:ascii="宋体" w:hAnsi="宋体" w:eastAsia="宋体" w:cs="宋体"/>
          <w:color w:val="auto"/>
          <w:highlight w:val="none"/>
        </w:rPr>
        <w:t>…………………………（页码）</w:t>
      </w:r>
    </w:p>
    <w:p w14:paraId="6F006285">
      <w:pPr>
        <w:pStyle w:val="98"/>
        <w:spacing w:line="360" w:lineRule="auto"/>
        <w:rPr>
          <w:rFonts w:ascii="宋体" w:hAnsi="宋体" w:eastAsia="宋体" w:cs="宋体"/>
          <w:color w:val="auto"/>
          <w:highlight w:val="none"/>
        </w:rPr>
      </w:pPr>
      <w:bookmarkStart w:id="77" w:name="OLE_LINK7"/>
      <w:bookmarkStart w:id="78" w:name="OLE_LINK6"/>
      <w:bookmarkStart w:id="79" w:name="OLE_LINK5"/>
      <w:r>
        <w:rPr>
          <w:rFonts w:hint="eastAsia" w:ascii="宋体" w:hAnsi="宋体" w:eastAsia="宋体" w:cs="宋体"/>
          <w:color w:val="auto"/>
          <w:highlight w:val="none"/>
        </w:rPr>
        <w:t>五、竞标人情况介绍</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6519C1D6">
      <w:pPr>
        <w:pStyle w:val="98"/>
        <w:spacing w:line="360" w:lineRule="auto"/>
        <w:rPr>
          <w:rFonts w:ascii="宋体" w:hAnsi="宋体" w:eastAsia="宋体" w:cs="宋体"/>
          <w:color w:val="auto"/>
          <w:highlight w:val="none"/>
        </w:rPr>
      </w:pPr>
      <w:r>
        <w:rPr>
          <w:rFonts w:hint="eastAsia" w:ascii="宋体" w:hAnsi="宋体" w:eastAsia="宋体" w:cs="宋体"/>
          <w:color w:val="auto"/>
          <w:highlight w:val="none"/>
        </w:rPr>
        <w:t>六、供应商认为需要提供的其他有关资料</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bookmarkEnd w:id="77"/>
      <w:bookmarkEnd w:id="78"/>
    </w:p>
    <w:p w14:paraId="6691788D">
      <w:pPr>
        <w:pStyle w:val="98"/>
        <w:spacing w:line="360" w:lineRule="auto"/>
        <w:rPr>
          <w:rFonts w:ascii="宋体" w:hAnsi="宋体" w:eastAsia="宋体" w:cs="宋体"/>
          <w:color w:val="auto"/>
          <w:highlight w:val="none"/>
        </w:rPr>
      </w:pPr>
      <w:r>
        <w:rPr>
          <w:rFonts w:hint="eastAsia" w:ascii="宋体" w:hAnsi="宋体" w:eastAsia="宋体" w:cs="宋体"/>
          <w:color w:val="auto"/>
          <w:highlight w:val="none"/>
        </w:rPr>
        <w:t>技术文件</w:t>
      </w:r>
    </w:p>
    <w:p w14:paraId="2CBBE214">
      <w:pPr>
        <w:pStyle w:val="98"/>
        <w:spacing w:line="360" w:lineRule="auto"/>
        <w:rPr>
          <w:rFonts w:ascii="宋体" w:hAnsi="宋体" w:eastAsia="宋体" w:cs="宋体"/>
          <w:color w:val="auto"/>
          <w:highlight w:val="none"/>
        </w:rPr>
      </w:pPr>
      <w:r>
        <w:rPr>
          <w:rFonts w:hint="eastAsia" w:ascii="宋体" w:hAnsi="宋体" w:eastAsia="宋体" w:cs="宋体"/>
          <w:color w:val="auto"/>
          <w:highlight w:val="none"/>
        </w:rPr>
        <w:t>一、需求偏离表</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272E2645">
      <w:pPr>
        <w:pStyle w:val="98"/>
        <w:spacing w:line="360" w:lineRule="auto"/>
        <w:rPr>
          <w:rFonts w:ascii="宋体" w:hAnsi="宋体" w:eastAsia="宋体" w:cs="宋体"/>
          <w:color w:val="auto"/>
          <w:highlight w:val="none"/>
        </w:rPr>
      </w:pPr>
      <w:r>
        <w:rPr>
          <w:rFonts w:hint="eastAsia" w:ascii="宋体" w:hAnsi="宋体" w:eastAsia="宋体" w:cs="宋体"/>
          <w:color w:val="auto"/>
          <w:highlight w:val="none"/>
        </w:rPr>
        <w:t xml:space="preserve">三、项目实施方案及项目实施人员一览表…………………………………（页码）  </w:t>
      </w:r>
    </w:p>
    <w:p w14:paraId="7FBCCC59">
      <w:pPr>
        <w:pStyle w:val="98"/>
        <w:spacing w:line="360" w:lineRule="auto"/>
        <w:rPr>
          <w:rFonts w:ascii="宋体" w:hAnsi="宋体" w:eastAsia="宋体" w:cs="宋体"/>
          <w:color w:val="auto"/>
          <w:highlight w:val="none"/>
        </w:rPr>
      </w:pPr>
      <w:r>
        <w:rPr>
          <w:rFonts w:hint="eastAsia" w:ascii="宋体" w:hAnsi="宋体" w:eastAsia="宋体" w:cs="宋体"/>
          <w:color w:val="auto"/>
          <w:highlight w:val="none"/>
        </w:rPr>
        <w:t>三、技术服务方案…………………………………………………………（页码）</w:t>
      </w:r>
    </w:p>
    <w:p w14:paraId="0FD13077">
      <w:pPr>
        <w:pStyle w:val="98"/>
        <w:spacing w:line="360" w:lineRule="auto"/>
        <w:rPr>
          <w:rFonts w:ascii="宋体" w:hAnsi="宋体" w:eastAsia="宋体" w:cs="宋体"/>
          <w:color w:val="auto"/>
          <w:highlight w:val="none"/>
        </w:rPr>
      </w:pPr>
      <w:r>
        <w:rPr>
          <w:rFonts w:hint="eastAsia" w:ascii="宋体" w:hAnsi="宋体" w:eastAsia="宋体" w:cs="宋体"/>
          <w:color w:val="auto"/>
          <w:highlight w:val="none"/>
        </w:rPr>
        <w:t>四、售后服务承诺</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0A5207B6">
      <w:pPr>
        <w:pStyle w:val="98"/>
        <w:spacing w:line="360" w:lineRule="auto"/>
        <w:rPr>
          <w:rFonts w:ascii="宋体" w:hAnsi="宋体" w:eastAsia="宋体" w:cs="宋体"/>
          <w:color w:val="auto"/>
          <w:highlight w:val="none"/>
        </w:rPr>
      </w:pPr>
      <w:r>
        <w:rPr>
          <w:rFonts w:hint="eastAsia" w:ascii="宋体" w:hAnsi="宋体" w:eastAsia="宋体" w:cs="宋体"/>
          <w:color w:val="auto"/>
          <w:highlight w:val="none"/>
        </w:rPr>
        <w:t>五、供应商认为需要提供的其他有关资料</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bookmarkEnd w:id="79"/>
    <w:p w14:paraId="253B417D">
      <w:pPr>
        <w:spacing w:line="360" w:lineRule="auto"/>
        <w:rPr>
          <w:rFonts w:ascii="宋体" w:hAnsi="宋体" w:cs="宋体"/>
          <w:b/>
          <w:bCs/>
          <w:color w:val="auto"/>
          <w:sz w:val="24"/>
          <w:highlight w:val="none"/>
        </w:rPr>
      </w:pPr>
      <w:r>
        <w:rPr>
          <w:rFonts w:hint="eastAsia" w:ascii="宋体" w:hAnsi="宋体" w:cs="宋体"/>
          <w:b/>
          <w:bCs/>
          <w:color w:val="auto"/>
          <w:sz w:val="24"/>
          <w:highlight w:val="none"/>
        </w:rPr>
        <w:t>注：以上目录是基本格式要求，各供应商可根据自身情况进一步向下增加内容或细化。</w:t>
      </w:r>
    </w:p>
    <w:p w14:paraId="4BAD14E3">
      <w:pPr>
        <w:snapToGrid w:val="0"/>
        <w:spacing w:before="120" w:beforeLines="50" w:after="50" w:line="360" w:lineRule="auto"/>
        <w:ind w:left="142" w:firstLine="640" w:firstLineChars="200"/>
        <w:jc w:val="left"/>
        <w:rPr>
          <w:rFonts w:ascii="宋体" w:hAnsi="宋体" w:cs="宋体"/>
          <w:color w:val="auto"/>
          <w:sz w:val="32"/>
          <w:szCs w:val="32"/>
          <w:highlight w:val="none"/>
        </w:rPr>
      </w:pPr>
    </w:p>
    <w:p w14:paraId="3371D7D8">
      <w:pPr>
        <w:spacing w:line="520" w:lineRule="exact"/>
        <w:ind w:firstLine="880" w:firstLineChars="200"/>
        <w:jc w:val="center"/>
        <w:rPr>
          <w:rFonts w:ascii="宋体" w:hAnsi="宋体" w:cs="宋体"/>
          <w:color w:val="auto"/>
          <w:sz w:val="44"/>
          <w:szCs w:val="44"/>
          <w:highlight w:val="none"/>
        </w:rPr>
      </w:pPr>
      <w:r>
        <w:rPr>
          <w:rFonts w:hint="eastAsia" w:ascii="宋体" w:hAnsi="宋体" w:cs="宋体"/>
          <w:color w:val="auto"/>
          <w:sz w:val="44"/>
          <w:szCs w:val="44"/>
          <w:highlight w:val="none"/>
        </w:rPr>
        <w:br w:type="page"/>
      </w:r>
    </w:p>
    <w:p w14:paraId="1542AF9B">
      <w:pPr>
        <w:spacing w:line="520" w:lineRule="exact"/>
        <w:ind w:firstLine="880" w:firstLineChars="200"/>
        <w:jc w:val="center"/>
        <w:rPr>
          <w:rFonts w:ascii="宋体" w:hAnsi="宋体" w:cs="宋体"/>
          <w:color w:val="auto"/>
          <w:sz w:val="44"/>
          <w:szCs w:val="44"/>
          <w:highlight w:val="none"/>
        </w:rPr>
      </w:pPr>
    </w:p>
    <w:p w14:paraId="083198F7">
      <w:pPr>
        <w:spacing w:line="520" w:lineRule="exact"/>
        <w:ind w:firstLine="880" w:firstLineChars="200"/>
        <w:jc w:val="center"/>
        <w:rPr>
          <w:rFonts w:ascii="宋体" w:hAnsi="宋体" w:cs="宋体"/>
          <w:color w:val="auto"/>
          <w:sz w:val="44"/>
          <w:szCs w:val="44"/>
          <w:highlight w:val="none"/>
        </w:rPr>
      </w:pPr>
    </w:p>
    <w:p w14:paraId="40E14430">
      <w:pPr>
        <w:spacing w:line="520" w:lineRule="exact"/>
        <w:ind w:firstLine="880" w:firstLineChars="200"/>
        <w:jc w:val="center"/>
        <w:rPr>
          <w:rFonts w:ascii="宋体" w:hAnsi="宋体" w:cs="宋体"/>
          <w:color w:val="auto"/>
          <w:sz w:val="44"/>
          <w:szCs w:val="44"/>
          <w:highlight w:val="none"/>
        </w:rPr>
      </w:pPr>
    </w:p>
    <w:p w14:paraId="4FC75D1D">
      <w:pPr>
        <w:spacing w:line="520" w:lineRule="exact"/>
        <w:ind w:firstLine="880" w:firstLineChars="200"/>
        <w:jc w:val="center"/>
        <w:rPr>
          <w:rFonts w:ascii="宋体" w:hAnsi="宋体" w:cs="宋体"/>
          <w:color w:val="auto"/>
          <w:sz w:val="44"/>
          <w:szCs w:val="44"/>
          <w:highlight w:val="none"/>
        </w:rPr>
      </w:pPr>
    </w:p>
    <w:p w14:paraId="318B4593">
      <w:pPr>
        <w:spacing w:line="520" w:lineRule="exact"/>
        <w:ind w:firstLine="880" w:firstLineChars="200"/>
        <w:jc w:val="center"/>
        <w:rPr>
          <w:rFonts w:ascii="宋体" w:hAnsi="宋体" w:cs="宋体"/>
          <w:color w:val="auto"/>
          <w:sz w:val="44"/>
          <w:szCs w:val="44"/>
          <w:highlight w:val="none"/>
        </w:rPr>
      </w:pPr>
    </w:p>
    <w:p w14:paraId="53C00C8A">
      <w:pPr>
        <w:pStyle w:val="2"/>
        <w:rPr>
          <w:rFonts w:ascii="宋体" w:hAnsi="宋体" w:cs="宋体"/>
          <w:color w:val="auto"/>
          <w:sz w:val="44"/>
          <w:szCs w:val="44"/>
          <w:highlight w:val="none"/>
        </w:rPr>
      </w:pPr>
    </w:p>
    <w:p w14:paraId="0D797FA6">
      <w:pPr>
        <w:rPr>
          <w:rFonts w:ascii="宋体" w:hAnsi="宋体" w:cs="宋体"/>
          <w:color w:val="auto"/>
          <w:sz w:val="44"/>
          <w:szCs w:val="44"/>
          <w:highlight w:val="none"/>
        </w:rPr>
      </w:pPr>
    </w:p>
    <w:p w14:paraId="0099FE49">
      <w:pPr>
        <w:pStyle w:val="2"/>
        <w:rPr>
          <w:rFonts w:ascii="宋体" w:hAnsi="宋体" w:cs="宋体"/>
          <w:color w:val="auto"/>
          <w:sz w:val="44"/>
          <w:szCs w:val="44"/>
          <w:highlight w:val="none"/>
        </w:rPr>
      </w:pPr>
    </w:p>
    <w:p w14:paraId="38E421C8">
      <w:pPr>
        <w:rPr>
          <w:color w:val="auto"/>
          <w:highlight w:val="none"/>
        </w:rPr>
      </w:pPr>
    </w:p>
    <w:p w14:paraId="492BA8B4">
      <w:pPr>
        <w:spacing w:line="520" w:lineRule="exact"/>
        <w:ind w:firstLine="880" w:firstLineChars="200"/>
        <w:jc w:val="center"/>
        <w:rPr>
          <w:rFonts w:ascii="宋体" w:hAnsi="宋体" w:cs="宋体"/>
          <w:color w:val="auto"/>
          <w:sz w:val="44"/>
          <w:szCs w:val="44"/>
          <w:highlight w:val="none"/>
        </w:rPr>
      </w:pPr>
    </w:p>
    <w:p w14:paraId="1B70C9E6">
      <w:pPr>
        <w:spacing w:line="520" w:lineRule="exact"/>
        <w:ind w:firstLine="880" w:firstLineChars="200"/>
        <w:jc w:val="center"/>
        <w:rPr>
          <w:rFonts w:ascii="宋体" w:hAnsi="宋体" w:cs="宋体"/>
          <w:color w:val="auto"/>
          <w:sz w:val="44"/>
          <w:szCs w:val="44"/>
          <w:highlight w:val="none"/>
        </w:rPr>
      </w:pPr>
    </w:p>
    <w:p w14:paraId="289669AC">
      <w:pPr>
        <w:spacing w:line="520" w:lineRule="exact"/>
        <w:ind w:firstLine="880" w:firstLineChars="200"/>
        <w:jc w:val="center"/>
        <w:rPr>
          <w:rFonts w:ascii="宋体" w:hAnsi="宋体" w:cs="宋体"/>
          <w:color w:val="auto"/>
          <w:sz w:val="44"/>
          <w:szCs w:val="44"/>
          <w:highlight w:val="none"/>
        </w:rPr>
      </w:pPr>
    </w:p>
    <w:p w14:paraId="3D45A08F">
      <w:pPr>
        <w:spacing w:line="520" w:lineRule="exact"/>
        <w:ind w:firstLine="880" w:firstLineChars="200"/>
        <w:jc w:val="center"/>
        <w:rPr>
          <w:rFonts w:ascii="宋体" w:hAnsi="宋体" w:cs="宋体"/>
          <w:color w:val="auto"/>
          <w:sz w:val="44"/>
          <w:szCs w:val="44"/>
          <w:highlight w:val="none"/>
        </w:rPr>
      </w:pPr>
      <w:r>
        <w:rPr>
          <w:rFonts w:hint="eastAsia" w:ascii="宋体" w:hAnsi="宋体" w:cs="宋体"/>
          <w:color w:val="auto"/>
          <w:sz w:val="44"/>
          <w:szCs w:val="44"/>
          <w:highlight w:val="none"/>
        </w:rPr>
        <w:t>商务文件</w:t>
      </w:r>
    </w:p>
    <w:p w14:paraId="4DCAF43B">
      <w:pPr>
        <w:spacing w:line="520" w:lineRule="exact"/>
        <w:ind w:firstLine="880" w:firstLineChars="200"/>
        <w:jc w:val="center"/>
        <w:rPr>
          <w:rFonts w:ascii="宋体" w:hAnsi="宋体" w:cs="宋体"/>
          <w:color w:val="auto"/>
          <w:sz w:val="44"/>
          <w:szCs w:val="44"/>
          <w:highlight w:val="none"/>
        </w:rPr>
      </w:pPr>
    </w:p>
    <w:p w14:paraId="12B27FCC">
      <w:pPr>
        <w:spacing w:line="520" w:lineRule="exact"/>
        <w:ind w:firstLine="880" w:firstLineChars="200"/>
        <w:jc w:val="center"/>
        <w:rPr>
          <w:rFonts w:ascii="宋体" w:hAnsi="宋体" w:cs="宋体"/>
          <w:color w:val="auto"/>
          <w:sz w:val="44"/>
          <w:szCs w:val="44"/>
          <w:highlight w:val="none"/>
        </w:rPr>
      </w:pPr>
    </w:p>
    <w:p w14:paraId="4F53B612">
      <w:pPr>
        <w:spacing w:line="520" w:lineRule="exact"/>
        <w:ind w:firstLine="880" w:firstLineChars="200"/>
        <w:jc w:val="center"/>
        <w:rPr>
          <w:rFonts w:ascii="宋体" w:hAnsi="宋体" w:cs="宋体"/>
          <w:color w:val="auto"/>
          <w:sz w:val="44"/>
          <w:szCs w:val="44"/>
          <w:highlight w:val="none"/>
        </w:rPr>
      </w:pPr>
    </w:p>
    <w:p w14:paraId="732AB070">
      <w:pPr>
        <w:spacing w:line="520" w:lineRule="exact"/>
        <w:ind w:firstLine="880" w:firstLineChars="200"/>
        <w:jc w:val="center"/>
        <w:rPr>
          <w:rFonts w:ascii="宋体" w:hAnsi="宋体" w:cs="宋体"/>
          <w:color w:val="auto"/>
          <w:sz w:val="44"/>
          <w:szCs w:val="44"/>
          <w:highlight w:val="none"/>
        </w:rPr>
      </w:pPr>
    </w:p>
    <w:p w14:paraId="48EB86ED">
      <w:pPr>
        <w:spacing w:line="520" w:lineRule="exact"/>
        <w:ind w:firstLine="880" w:firstLineChars="200"/>
        <w:jc w:val="center"/>
        <w:rPr>
          <w:rFonts w:ascii="宋体" w:hAnsi="宋体" w:cs="宋体"/>
          <w:color w:val="auto"/>
          <w:sz w:val="44"/>
          <w:szCs w:val="44"/>
          <w:highlight w:val="none"/>
        </w:rPr>
      </w:pPr>
    </w:p>
    <w:p w14:paraId="1626E642">
      <w:pPr>
        <w:spacing w:line="520" w:lineRule="exact"/>
        <w:ind w:firstLine="880" w:firstLineChars="200"/>
        <w:jc w:val="center"/>
        <w:rPr>
          <w:rFonts w:ascii="宋体" w:hAnsi="宋体" w:cs="宋体"/>
          <w:color w:val="auto"/>
          <w:sz w:val="44"/>
          <w:szCs w:val="44"/>
          <w:highlight w:val="none"/>
        </w:rPr>
      </w:pPr>
    </w:p>
    <w:p w14:paraId="083636D7">
      <w:pPr>
        <w:spacing w:line="520" w:lineRule="exact"/>
        <w:ind w:firstLine="880" w:firstLineChars="200"/>
        <w:jc w:val="center"/>
        <w:rPr>
          <w:rFonts w:ascii="宋体" w:hAnsi="宋体" w:cs="宋体"/>
          <w:color w:val="auto"/>
          <w:sz w:val="44"/>
          <w:szCs w:val="44"/>
          <w:highlight w:val="none"/>
        </w:rPr>
      </w:pPr>
    </w:p>
    <w:p w14:paraId="4AD24068">
      <w:pPr>
        <w:spacing w:line="520" w:lineRule="exact"/>
        <w:ind w:firstLine="880" w:firstLineChars="200"/>
        <w:jc w:val="center"/>
        <w:rPr>
          <w:rFonts w:ascii="宋体" w:hAnsi="宋体" w:cs="宋体"/>
          <w:color w:val="auto"/>
          <w:sz w:val="44"/>
          <w:szCs w:val="44"/>
          <w:highlight w:val="none"/>
        </w:rPr>
      </w:pPr>
    </w:p>
    <w:p w14:paraId="6761F1B1">
      <w:pPr>
        <w:spacing w:line="520" w:lineRule="exact"/>
        <w:ind w:firstLine="880" w:firstLineChars="200"/>
        <w:jc w:val="center"/>
        <w:rPr>
          <w:rFonts w:ascii="宋体" w:hAnsi="宋体" w:cs="宋体"/>
          <w:color w:val="auto"/>
          <w:sz w:val="44"/>
          <w:szCs w:val="44"/>
          <w:highlight w:val="none"/>
        </w:rPr>
      </w:pPr>
    </w:p>
    <w:p w14:paraId="6D3523BF">
      <w:pPr>
        <w:spacing w:line="520" w:lineRule="exact"/>
        <w:ind w:firstLine="880" w:firstLineChars="200"/>
        <w:jc w:val="center"/>
        <w:rPr>
          <w:rFonts w:ascii="宋体" w:hAnsi="宋体" w:cs="宋体"/>
          <w:color w:val="auto"/>
          <w:sz w:val="44"/>
          <w:szCs w:val="44"/>
          <w:highlight w:val="none"/>
        </w:rPr>
      </w:pPr>
    </w:p>
    <w:p w14:paraId="52B02D40">
      <w:pPr>
        <w:spacing w:line="520" w:lineRule="exact"/>
        <w:ind w:firstLine="880" w:firstLineChars="200"/>
        <w:jc w:val="center"/>
        <w:rPr>
          <w:rFonts w:ascii="宋体" w:hAnsi="宋体" w:cs="宋体"/>
          <w:color w:val="auto"/>
          <w:sz w:val="44"/>
          <w:szCs w:val="44"/>
          <w:highlight w:val="none"/>
        </w:rPr>
      </w:pPr>
    </w:p>
    <w:p w14:paraId="10BE8D81">
      <w:pPr>
        <w:spacing w:line="520" w:lineRule="exact"/>
        <w:ind w:firstLine="880" w:firstLineChars="200"/>
        <w:jc w:val="center"/>
        <w:rPr>
          <w:rFonts w:ascii="宋体" w:hAnsi="宋体" w:cs="宋体"/>
          <w:color w:val="auto"/>
          <w:sz w:val="44"/>
          <w:szCs w:val="44"/>
          <w:highlight w:val="none"/>
        </w:rPr>
      </w:pPr>
    </w:p>
    <w:p w14:paraId="7C5DB2AF">
      <w:pPr>
        <w:spacing w:line="520" w:lineRule="exact"/>
        <w:ind w:firstLine="880" w:firstLineChars="200"/>
        <w:jc w:val="center"/>
        <w:rPr>
          <w:rFonts w:ascii="宋体" w:hAnsi="宋体" w:cs="宋体"/>
          <w:color w:val="auto"/>
          <w:sz w:val="44"/>
          <w:szCs w:val="44"/>
          <w:highlight w:val="none"/>
        </w:rPr>
      </w:pPr>
    </w:p>
    <w:p w14:paraId="5DEAF20F">
      <w:pPr>
        <w:spacing w:line="520" w:lineRule="exact"/>
        <w:rPr>
          <w:rFonts w:ascii="宋体" w:hAnsi="宋体" w:cs="宋体"/>
          <w:color w:val="auto"/>
          <w:sz w:val="44"/>
          <w:szCs w:val="44"/>
          <w:highlight w:val="none"/>
        </w:rPr>
      </w:pPr>
    </w:p>
    <w:p w14:paraId="2226F44D">
      <w:pPr>
        <w:spacing w:line="520" w:lineRule="exact"/>
        <w:ind w:firstLine="602" w:firstLineChars="200"/>
        <w:rPr>
          <w:rFonts w:ascii="宋体" w:hAnsi="宋体" w:cs="宋体"/>
          <w:color w:val="auto"/>
          <w:sz w:val="44"/>
          <w:szCs w:val="44"/>
          <w:highlight w:val="none"/>
        </w:rPr>
      </w:pPr>
      <w:r>
        <w:rPr>
          <w:rFonts w:hint="eastAsia" w:ascii="宋体" w:hAnsi="宋体" w:cs="宋体"/>
          <w:b/>
          <w:color w:val="auto"/>
          <w:sz w:val="30"/>
          <w:szCs w:val="30"/>
          <w:highlight w:val="none"/>
        </w:rPr>
        <w:t>一、无串标行为承诺函</w:t>
      </w:r>
    </w:p>
    <w:p w14:paraId="1060666B">
      <w:pPr>
        <w:spacing w:line="520" w:lineRule="exact"/>
        <w:jc w:val="center"/>
        <w:rPr>
          <w:rFonts w:ascii="宋体" w:hAnsi="宋体" w:cs="宋体"/>
          <w:color w:val="auto"/>
          <w:sz w:val="40"/>
          <w:szCs w:val="40"/>
          <w:highlight w:val="none"/>
        </w:rPr>
      </w:pPr>
    </w:p>
    <w:p w14:paraId="004F4E09">
      <w:pPr>
        <w:spacing w:line="520" w:lineRule="exact"/>
        <w:jc w:val="center"/>
        <w:rPr>
          <w:rFonts w:ascii="宋体" w:hAnsi="宋体" w:cs="宋体"/>
          <w:color w:val="auto"/>
          <w:sz w:val="28"/>
          <w:szCs w:val="28"/>
          <w:highlight w:val="none"/>
        </w:rPr>
      </w:pPr>
      <w:r>
        <w:rPr>
          <w:rFonts w:hint="eastAsia" w:ascii="宋体" w:hAnsi="宋体" w:cs="宋体"/>
          <w:color w:val="auto"/>
          <w:sz w:val="40"/>
          <w:szCs w:val="40"/>
          <w:highlight w:val="none"/>
        </w:rPr>
        <w:t>无串通竞标行为的承诺函</w:t>
      </w:r>
    </w:p>
    <w:p w14:paraId="7C64899F">
      <w:pPr>
        <w:spacing w:line="360" w:lineRule="auto"/>
        <w:ind w:firstLine="482" w:firstLineChars="200"/>
        <w:contextualSpacing/>
        <w:rPr>
          <w:rFonts w:ascii="宋体" w:hAnsi="宋体" w:cs="宋体"/>
          <w:b/>
          <w:bCs/>
          <w:color w:val="auto"/>
          <w:sz w:val="24"/>
          <w:highlight w:val="none"/>
        </w:rPr>
      </w:pPr>
    </w:p>
    <w:p w14:paraId="6C0D646F">
      <w:pPr>
        <w:spacing w:line="360" w:lineRule="auto"/>
        <w:ind w:firstLine="482" w:firstLineChars="200"/>
        <w:contextualSpacing/>
        <w:rPr>
          <w:rFonts w:ascii="宋体" w:hAnsi="宋体" w:cs="宋体"/>
          <w:b/>
          <w:bCs/>
          <w:color w:val="auto"/>
          <w:sz w:val="24"/>
          <w:highlight w:val="none"/>
        </w:rPr>
      </w:pPr>
      <w:r>
        <w:rPr>
          <w:rFonts w:hint="eastAsia" w:ascii="宋体" w:hAnsi="宋体" w:cs="宋体"/>
          <w:b/>
          <w:bCs/>
          <w:color w:val="auto"/>
          <w:sz w:val="24"/>
          <w:highlight w:val="none"/>
        </w:rPr>
        <w:t>一、我方承诺无下列相互串通竞标的情形：</w:t>
      </w:r>
    </w:p>
    <w:p w14:paraId="16A0AAC3">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1.不同供应商的响应文件由同一单位或者个人编制；或者不同供应商报名的IP地址一致的；或者编制响应文件硬件设备CPU编号、硬盘编号、网卡地址一致的情况；</w:t>
      </w:r>
    </w:p>
    <w:p w14:paraId="58E0CF50">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2.不同供应商委托同一单位或者个人办理竞标事宜；</w:t>
      </w:r>
    </w:p>
    <w:p w14:paraId="2321D847">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3.不同的供应商的响应文件载明的项目管理员为同一个人；</w:t>
      </w:r>
    </w:p>
    <w:p w14:paraId="7CEBE6FC">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4.不</w:t>
      </w:r>
      <w:r>
        <w:rPr>
          <w:rFonts w:hint="eastAsia" w:ascii="宋体" w:hAnsi="宋体" w:cs="宋体"/>
          <w:color w:val="auto"/>
          <w:spacing w:val="-6"/>
          <w:sz w:val="24"/>
          <w:highlight w:val="none"/>
        </w:rPr>
        <w:t>同供应商的响应文件异常一致或者竞标报价呈规律性差异；</w:t>
      </w:r>
    </w:p>
    <w:p w14:paraId="4471943A">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5.不同供应商的响应文件相互混装；</w:t>
      </w:r>
    </w:p>
    <w:p w14:paraId="34CDE1EF">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6.不同供应商的竞标保证金从同一单位或者个人账户转出。</w:t>
      </w:r>
    </w:p>
    <w:p w14:paraId="59F38498">
      <w:pPr>
        <w:spacing w:line="360" w:lineRule="auto"/>
        <w:ind w:firstLine="482" w:firstLineChars="200"/>
        <w:contextualSpacing/>
        <w:rPr>
          <w:rFonts w:ascii="宋体" w:hAnsi="宋体" w:cs="宋体"/>
          <w:b/>
          <w:bCs/>
          <w:color w:val="auto"/>
          <w:sz w:val="24"/>
          <w:highlight w:val="none"/>
        </w:rPr>
      </w:pPr>
      <w:r>
        <w:rPr>
          <w:rFonts w:hint="eastAsia" w:ascii="宋体" w:hAnsi="宋体" w:cs="宋体"/>
          <w:b/>
          <w:bCs/>
          <w:color w:val="auto"/>
          <w:sz w:val="24"/>
          <w:highlight w:val="none"/>
        </w:rPr>
        <w:t>二、我方承诺无下列恶意串通的情形：</w:t>
      </w:r>
    </w:p>
    <w:p w14:paraId="53C9B4A6">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1.供应商直接或者间接从采购人或者采购代理机构处获得其他供应商的相关信息并修改其响应文件；</w:t>
      </w:r>
    </w:p>
    <w:p w14:paraId="6878125F">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2.供应商按照采购人或者采购代理机构的授意撤换、修改响应文件；</w:t>
      </w:r>
    </w:p>
    <w:p w14:paraId="0C81D844">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3.供</w:t>
      </w:r>
      <w:r>
        <w:rPr>
          <w:rFonts w:hint="eastAsia" w:ascii="宋体" w:hAnsi="宋体" w:cs="宋体"/>
          <w:color w:val="auto"/>
          <w:spacing w:val="-6"/>
          <w:sz w:val="24"/>
          <w:highlight w:val="none"/>
        </w:rPr>
        <w:t>应商之间协商报价、技术方案等响应文件的实质性内容；</w:t>
      </w:r>
    </w:p>
    <w:p w14:paraId="364724B0">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4.属于同一集团、协会、商会等组织成员的供应商按照该组织要求协同参加政府采购活动；</w:t>
      </w:r>
    </w:p>
    <w:p w14:paraId="5A7DEBCA">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5.供应商之间事先约定一致抬高或者压低竞标报价,或者在竞争性磋商项目中事先约定轮流以高价位或者低价位成交,或者事先约定由某一特定供应商成交,然后再参加竞标；</w:t>
      </w:r>
    </w:p>
    <w:p w14:paraId="4797ABD0">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6.供应商之间商定部分供应商放弃参加政府采购活动或者放弃成交；</w:t>
      </w:r>
    </w:p>
    <w:p w14:paraId="0A64FF3E">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7.供应商与采购人或者采购代理机构之间、供应商相互之间，为</w:t>
      </w:r>
      <w:r>
        <w:rPr>
          <w:rFonts w:hint="eastAsia" w:ascii="宋体" w:hAnsi="宋体" w:cs="宋体"/>
          <w:color w:val="auto"/>
          <w:spacing w:val="-6"/>
          <w:sz w:val="24"/>
          <w:highlight w:val="none"/>
        </w:rPr>
        <w:t>谋求特定供应商成交或者排斥其他供应商的其他串通行为。</w:t>
      </w:r>
    </w:p>
    <w:p w14:paraId="02F60597">
      <w:pPr>
        <w:spacing w:line="360" w:lineRule="auto"/>
        <w:ind w:firstLine="482" w:firstLineChars="200"/>
        <w:contextualSpacing/>
        <w:rPr>
          <w:rFonts w:ascii="宋体" w:hAnsi="宋体" w:cs="宋体"/>
          <w:b/>
          <w:bCs/>
          <w:color w:val="auto"/>
          <w:sz w:val="24"/>
          <w:highlight w:val="none"/>
        </w:rPr>
      </w:pPr>
      <w:r>
        <w:rPr>
          <w:rFonts w:hint="eastAsia" w:ascii="宋体" w:hAnsi="宋体" w:cs="宋体"/>
          <w:b/>
          <w:bCs/>
          <w:color w:val="auto"/>
          <w:sz w:val="24"/>
          <w:highlight w:val="none"/>
        </w:rPr>
        <w:t>以上情形一经核查属实，接受政府采购监管部门对我方认定存在围标串标行为，我方愿意承担一切后果，并不再寻求任何旨在减轻或者免除法律责任的辩解。</w:t>
      </w:r>
    </w:p>
    <w:p w14:paraId="7C28441B">
      <w:pPr>
        <w:autoSpaceDE w:val="0"/>
        <w:autoSpaceDN w:val="0"/>
        <w:spacing w:line="360" w:lineRule="auto"/>
        <w:ind w:left="4335" w:leftChars="1950" w:hanging="240" w:hangingChars="100"/>
        <w:rPr>
          <w:rFonts w:ascii="宋体" w:hAnsi="宋体" w:cs="宋体"/>
          <w:color w:val="auto"/>
          <w:kern w:val="0"/>
          <w:sz w:val="24"/>
          <w:highlight w:val="none"/>
        </w:rPr>
      </w:pPr>
      <w:r>
        <w:rPr>
          <w:rFonts w:hint="eastAsia" w:ascii="宋体" w:hAnsi="宋体" w:cs="宋体"/>
          <w:color w:val="auto"/>
          <w:kern w:val="0"/>
          <w:sz w:val="24"/>
          <w:highlight w:val="none"/>
        </w:rPr>
        <w:t>供应商名称（电子签章）：</w:t>
      </w:r>
    </w:p>
    <w:p w14:paraId="4A03017E">
      <w:pPr>
        <w:spacing w:line="520" w:lineRule="exact"/>
        <w:ind w:firstLine="6360" w:firstLineChars="2650"/>
        <w:jc w:val="left"/>
        <w:rPr>
          <w:rFonts w:ascii="宋体" w:hAnsi="宋体" w:cs="宋体"/>
          <w:bCs/>
          <w:color w:val="auto"/>
          <w:sz w:val="44"/>
          <w:szCs w:val="44"/>
          <w:highlight w:val="none"/>
        </w:rPr>
      </w:pPr>
      <w:r>
        <w:rPr>
          <w:rFonts w:hint="eastAsia" w:ascii="宋体" w:hAnsi="宋体" w:cs="宋体"/>
          <w:color w:val="auto"/>
          <w:kern w:val="0"/>
          <w:sz w:val="24"/>
          <w:highlight w:val="none"/>
          <w:lang w:val="zh-CN"/>
        </w:rPr>
        <w:t xml:space="preserve">日期：  年  月   日        </w:t>
      </w:r>
      <w:r>
        <w:rPr>
          <w:rFonts w:hint="eastAsia" w:ascii="宋体" w:hAnsi="宋体" w:cs="宋体"/>
          <w:b/>
          <w:bCs/>
          <w:color w:val="auto"/>
          <w:sz w:val="32"/>
          <w:szCs w:val="32"/>
          <w:highlight w:val="none"/>
        </w:rPr>
        <w:br w:type="page"/>
      </w:r>
      <w:r>
        <w:rPr>
          <w:rFonts w:hint="eastAsia" w:ascii="宋体" w:hAnsi="宋体" w:cs="宋体"/>
          <w:b/>
          <w:color w:val="auto"/>
          <w:sz w:val="30"/>
          <w:szCs w:val="30"/>
          <w:highlight w:val="none"/>
        </w:rPr>
        <w:t>二、法定代表人身份证明及法定代表人有效身份证正反面复印件</w:t>
      </w:r>
    </w:p>
    <w:p w14:paraId="6119CD80">
      <w:pPr>
        <w:spacing w:line="520" w:lineRule="exact"/>
        <w:jc w:val="center"/>
        <w:rPr>
          <w:rFonts w:ascii="宋体" w:hAnsi="宋体" w:cs="宋体"/>
          <w:color w:val="auto"/>
          <w:sz w:val="32"/>
          <w:szCs w:val="32"/>
          <w:highlight w:val="none"/>
        </w:rPr>
      </w:pPr>
      <w:r>
        <w:rPr>
          <w:rFonts w:hint="eastAsia" w:ascii="宋体" w:hAnsi="宋体" w:cs="宋体"/>
          <w:bCs/>
          <w:color w:val="auto"/>
          <w:sz w:val="44"/>
          <w:szCs w:val="44"/>
          <w:highlight w:val="none"/>
        </w:rPr>
        <w:t>法定代表人证明书</w:t>
      </w:r>
    </w:p>
    <w:p w14:paraId="06CE614B">
      <w:pPr>
        <w:spacing w:line="360" w:lineRule="auto"/>
        <w:ind w:left="540"/>
        <w:contextualSpacing/>
        <w:rPr>
          <w:rFonts w:ascii="宋体" w:hAnsi="宋体" w:cs="宋体"/>
          <w:color w:val="auto"/>
          <w:sz w:val="32"/>
          <w:szCs w:val="32"/>
          <w:highlight w:val="none"/>
        </w:rPr>
      </w:pPr>
    </w:p>
    <w:p w14:paraId="19469E6F">
      <w:pPr>
        <w:spacing w:line="360" w:lineRule="auto"/>
        <w:ind w:left="540"/>
        <w:contextualSpacing/>
        <w:rPr>
          <w:rFonts w:ascii="宋体" w:hAnsi="宋体" w:cs="宋体"/>
          <w:color w:val="auto"/>
          <w:sz w:val="24"/>
          <w:highlight w:val="none"/>
        </w:rPr>
      </w:pPr>
      <w:r>
        <w:rPr>
          <w:rFonts w:hint="eastAsia" w:ascii="宋体" w:hAnsi="宋体" w:cs="宋体"/>
          <w:color w:val="auto"/>
          <w:sz w:val="24"/>
          <w:highlight w:val="none"/>
        </w:rPr>
        <w:t>供应商名称：</w:t>
      </w:r>
    </w:p>
    <w:p w14:paraId="0FADC131">
      <w:pPr>
        <w:spacing w:line="360" w:lineRule="auto"/>
        <w:ind w:left="540"/>
        <w:contextualSpacing/>
        <w:rPr>
          <w:rFonts w:ascii="宋体" w:hAnsi="宋体" w:cs="宋体"/>
          <w:color w:val="auto"/>
          <w:sz w:val="24"/>
          <w:highlight w:val="none"/>
        </w:rPr>
      </w:pPr>
      <w:r>
        <w:rPr>
          <w:rFonts w:hint="eastAsia" w:ascii="宋体" w:hAnsi="宋体" w:cs="宋体"/>
          <w:color w:val="auto"/>
          <w:sz w:val="24"/>
          <w:highlight w:val="none"/>
        </w:rPr>
        <w:t>地    址：</w:t>
      </w:r>
    </w:p>
    <w:p w14:paraId="10DA92EF">
      <w:pPr>
        <w:spacing w:line="360" w:lineRule="auto"/>
        <w:ind w:left="540"/>
        <w:contextualSpacing/>
        <w:rPr>
          <w:rFonts w:ascii="宋体" w:hAnsi="宋体" w:cs="宋体"/>
          <w:color w:val="auto"/>
          <w:sz w:val="24"/>
          <w:highlight w:val="none"/>
        </w:rPr>
      </w:pPr>
      <w:r>
        <w:rPr>
          <w:rFonts w:hint="eastAsia" w:ascii="宋体" w:hAnsi="宋体" w:cs="宋体"/>
          <w:color w:val="auto"/>
          <w:sz w:val="24"/>
          <w:highlight w:val="none"/>
        </w:rPr>
        <w:t>姓    名：性     别：</w:t>
      </w:r>
    </w:p>
    <w:p w14:paraId="5A7F7151">
      <w:pPr>
        <w:spacing w:line="360" w:lineRule="auto"/>
        <w:ind w:left="540"/>
        <w:contextualSpacing/>
        <w:rPr>
          <w:rFonts w:ascii="宋体" w:hAnsi="宋体" w:cs="宋体"/>
          <w:color w:val="auto"/>
          <w:sz w:val="24"/>
          <w:highlight w:val="none"/>
          <w:u w:val="single"/>
        </w:rPr>
      </w:pPr>
      <w:r>
        <w:rPr>
          <w:rFonts w:hint="eastAsia" w:ascii="宋体" w:hAnsi="宋体" w:cs="宋体"/>
          <w:color w:val="auto"/>
          <w:sz w:val="24"/>
          <w:highlight w:val="none"/>
        </w:rPr>
        <w:t>年    龄：职     务：</w:t>
      </w:r>
    </w:p>
    <w:p w14:paraId="6D5703B9">
      <w:pPr>
        <w:spacing w:line="360" w:lineRule="auto"/>
        <w:ind w:left="540"/>
        <w:contextualSpacing/>
        <w:rPr>
          <w:rFonts w:ascii="宋体" w:hAnsi="宋体" w:cs="宋体"/>
          <w:color w:val="auto"/>
          <w:sz w:val="24"/>
          <w:highlight w:val="none"/>
        </w:rPr>
      </w:pPr>
      <w:r>
        <w:rPr>
          <w:rFonts w:hint="eastAsia" w:ascii="宋体" w:hAnsi="宋体" w:cs="宋体"/>
          <w:color w:val="auto"/>
          <w:sz w:val="24"/>
          <w:highlight w:val="none"/>
        </w:rPr>
        <w:t>身份证号码：</w:t>
      </w:r>
    </w:p>
    <w:p w14:paraId="2D374C44">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系</w:t>
      </w:r>
      <w:r>
        <w:rPr>
          <w:rFonts w:hint="eastAsia" w:ascii="宋体" w:hAnsi="宋体" w:cs="宋体"/>
          <w:color w:val="auto"/>
          <w:sz w:val="24"/>
          <w:highlight w:val="none"/>
          <w:u w:val="single"/>
        </w:rPr>
        <w:t>（供应商名称）</w:t>
      </w:r>
      <w:r>
        <w:rPr>
          <w:rFonts w:hint="eastAsia" w:ascii="宋体" w:hAnsi="宋体" w:cs="宋体"/>
          <w:color w:val="auto"/>
          <w:sz w:val="24"/>
          <w:highlight w:val="none"/>
        </w:rPr>
        <w:t>的法定代表人。</w:t>
      </w:r>
    </w:p>
    <w:p w14:paraId="33890C2C">
      <w:pPr>
        <w:spacing w:line="360" w:lineRule="auto"/>
        <w:ind w:left="540"/>
        <w:contextualSpacing/>
        <w:rPr>
          <w:rFonts w:ascii="宋体" w:hAnsi="宋体" w:cs="宋体"/>
          <w:color w:val="auto"/>
          <w:sz w:val="24"/>
          <w:highlight w:val="none"/>
        </w:rPr>
      </w:pPr>
      <w:r>
        <w:rPr>
          <w:rFonts w:hint="eastAsia" w:ascii="宋体" w:hAnsi="宋体" w:cs="宋体"/>
          <w:color w:val="auto"/>
          <w:sz w:val="24"/>
          <w:highlight w:val="none"/>
        </w:rPr>
        <w:t>特此证明。</w:t>
      </w:r>
    </w:p>
    <w:p w14:paraId="07FD6CDB">
      <w:pPr>
        <w:spacing w:line="360" w:lineRule="auto"/>
        <w:ind w:left="540"/>
        <w:contextualSpacing/>
        <w:rPr>
          <w:rFonts w:ascii="宋体" w:hAnsi="宋体" w:cs="宋体"/>
          <w:color w:val="auto"/>
          <w:sz w:val="24"/>
          <w:highlight w:val="none"/>
        </w:rPr>
      </w:pPr>
    </w:p>
    <w:p w14:paraId="608140D1">
      <w:pPr>
        <w:spacing w:line="360" w:lineRule="auto"/>
        <w:ind w:left="540"/>
        <w:contextualSpacing/>
        <w:rPr>
          <w:rFonts w:ascii="宋体" w:hAnsi="宋体" w:cs="宋体"/>
          <w:color w:val="auto"/>
          <w:sz w:val="24"/>
          <w:highlight w:val="none"/>
        </w:rPr>
      </w:pPr>
    </w:p>
    <w:p w14:paraId="64F392C0">
      <w:pPr>
        <w:spacing w:line="360" w:lineRule="auto"/>
        <w:ind w:left="540"/>
        <w:contextualSpacing/>
        <w:rPr>
          <w:rFonts w:ascii="宋体" w:hAnsi="宋体" w:cs="宋体"/>
          <w:color w:val="auto"/>
          <w:sz w:val="24"/>
          <w:highlight w:val="none"/>
        </w:rPr>
      </w:pPr>
    </w:p>
    <w:p w14:paraId="31529CBD">
      <w:pPr>
        <w:spacing w:line="360" w:lineRule="auto"/>
        <w:ind w:left="540"/>
        <w:contextualSpacing/>
        <w:rPr>
          <w:rFonts w:ascii="宋体" w:hAnsi="宋体" w:cs="宋体"/>
          <w:color w:val="auto"/>
          <w:sz w:val="24"/>
          <w:highlight w:val="none"/>
        </w:rPr>
      </w:pPr>
      <w:r>
        <w:rPr>
          <w:rFonts w:hint="eastAsia" w:ascii="宋体" w:hAnsi="宋体" w:cs="宋体"/>
          <w:color w:val="auto"/>
          <w:sz w:val="24"/>
          <w:highlight w:val="none"/>
        </w:rPr>
        <w:t>附件：法定代表人有效身份证正反面复印件</w:t>
      </w:r>
    </w:p>
    <w:p w14:paraId="67F44D56">
      <w:pPr>
        <w:spacing w:line="360" w:lineRule="auto"/>
        <w:ind w:left="540"/>
        <w:contextualSpacing/>
        <w:rPr>
          <w:rFonts w:ascii="宋体" w:hAnsi="宋体" w:cs="宋体"/>
          <w:color w:val="auto"/>
          <w:sz w:val="24"/>
          <w:highlight w:val="none"/>
        </w:rPr>
      </w:pPr>
    </w:p>
    <w:p w14:paraId="164C761B">
      <w:pPr>
        <w:autoSpaceDE w:val="0"/>
        <w:autoSpaceDN w:val="0"/>
        <w:spacing w:line="360" w:lineRule="auto"/>
        <w:ind w:left="4335" w:leftChars="1950" w:hanging="240" w:hangingChars="100"/>
        <w:rPr>
          <w:rFonts w:ascii="宋体" w:hAnsi="宋体" w:cs="宋体"/>
          <w:color w:val="auto"/>
          <w:kern w:val="0"/>
          <w:sz w:val="24"/>
          <w:highlight w:val="none"/>
        </w:rPr>
      </w:pPr>
      <w:r>
        <w:rPr>
          <w:rFonts w:hint="eastAsia" w:ascii="宋体" w:hAnsi="宋体" w:cs="宋体"/>
          <w:color w:val="auto"/>
          <w:kern w:val="0"/>
          <w:sz w:val="24"/>
          <w:highlight w:val="none"/>
        </w:rPr>
        <w:t>供应商名称（电子签章）：</w:t>
      </w:r>
    </w:p>
    <w:p w14:paraId="729FA264">
      <w:pPr>
        <w:spacing w:line="360" w:lineRule="auto"/>
        <w:contextualSpacing/>
        <w:jc w:val="center"/>
        <w:rPr>
          <w:rFonts w:ascii="宋体" w:hAnsi="宋体" w:cs="宋体"/>
          <w:b/>
          <w:color w:val="auto"/>
          <w:sz w:val="24"/>
          <w:highlight w:val="none"/>
        </w:rPr>
      </w:pPr>
      <w:r>
        <w:rPr>
          <w:rFonts w:hint="eastAsia" w:ascii="宋体" w:hAnsi="宋体" w:cs="宋体"/>
          <w:color w:val="auto"/>
          <w:kern w:val="0"/>
          <w:sz w:val="24"/>
          <w:highlight w:val="none"/>
          <w:lang w:val="zh-CN"/>
        </w:rPr>
        <w:t xml:space="preserve">                                                   日期：  年  月   日</w:t>
      </w:r>
    </w:p>
    <w:p w14:paraId="204F25EA">
      <w:pPr>
        <w:spacing w:line="360" w:lineRule="auto"/>
        <w:contextualSpacing/>
        <w:jc w:val="left"/>
        <w:rPr>
          <w:rFonts w:ascii="宋体" w:hAnsi="宋体" w:cs="宋体"/>
          <w:color w:val="auto"/>
          <w:sz w:val="24"/>
          <w:highlight w:val="none"/>
        </w:rPr>
      </w:pPr>
    </w:p>
    <w:p w14:paraId="106E8CC1">
      <w:pPr>
        <w:spacing w:line="360" w:lineRule="auto"/>
        <w:contextualSpacing/>
        <w:jc w:val="left"/>
        <w:rPr>
          <w:rFonts w:ascii="宋体" w:hAnsi="宋体" w:cs="宋体"/>
          <w:color w:val="auto"/>
          <w:sz w:val="24"/>
          <w:highlight w:val="none"/>
        </w:rPr>
      </w:pPr>
      <w:r>
        <w:rPr>
          <w:rFonts w:hint="eastAsia" w:ascii="宋体" w:hAnsi="宋体" w:cs="宋体"/>
          <w:color w:val="auto"/>
          <w:sz w:val="24"/>
          <w:highlight w:val="none"/>
        </w:rPr>
        <w:t>注：1.自然人竞标的无需提供，联合体竞标的只需牵头人出具。</w:t>
      </w:r>
    </w:p>
    <w:p w14:paraId="243F5D5E">
      <w:pPr>
        <w:spacing w:line="360" w:lineRule="auto"/>
        <w:ind w:firstLine="480" w:firstLineChars="200"/>
        <w:contextualSpacing/>
        <w:jc w:val="left"/>
        <w:rPr>
          <w:rFonts w:ascii="宋体" w:hAnsi="宋体" w:cs="宋体"/>
          <w:color w:val="auto"/>
          <w:sz w:val="24"/>
          <w:highlight w:val="none"/>
        </w:rPr>
        <w:sectPr>
          <w:pgSz w:w="11910" w:h="16840"/>
          <w:pgMar w:top="1340" w:right="1500" w:bottom="280" w:left="1680" w:header="720" w:footer="720" w:gutter="0"/>
          <w:cols w:space="720" w:num="1"/>
        </w:sectPr>
      </w:pPr>
      <w:r>
        <w:rPr>
          <w:rFonts w:hint="eastAsia" w:ascii="宋体" w:hAnsi="宋体" w:cs="宋体"/>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tbl>
      <w:tblPr>
        <w:tblStyle w:val="31"/>
        <w:tblpPr w:leftFromText="180" w:rightFromText="180" w:vertAnchor="text" w:horzAnchor="margin" w:tblpY="116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14:paraId="02553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tcPr>
          <w:p w14:paraId="46C77193">
            <w:pPr>
              <w:spacing w:line="360" w:lineRule="auto"/>
              <w:rPr>
                <w:rFonts w:ascii="宋体" w:hAnsi="宋体" w:cs="宋体"/>
                <w:b/>
                <w:color w:val="auto"/>
                <w:sz w:val="24"/>
                <w:highlight w:val="none"/>
              </w:rPr>
            </w:pPr>
          </w:p>
          <w:p w14:paraId="4A54D8AC">
            <w:pPr>
              <w:spacing w:line="360" w:lineRule="auto"/>
              <w:rPr>
                <w:rFonts w:ascii="宋体" w:hAnsi="宋体" w:cs="宋体"/>
                <w:b/>
                <w:color w:val="auto"/>
                <w:sz w:val="24"/>
                <w:highlight w:val="none"/>
              </w:rPr>
            </w:pPr>
            <w:r>
              <w:rPr>
                <w:rFonts w:hint="eastAsia" w:ascii="宋体" w:hAnsi="宋体" w:cs="宋体"/>
                <w:b/>
                <w:color w:val="auto"/>
                <w:sz w:val="24"/>
                <w:highlight w:val="none"/>
              </w:rPr>
              <w:t>法定代表身份证复印件粘帖处（正、反面）</w:t>
            </w:r>
          </w:p>
        </w:tc>
      </w:tr>
    </w:tbl>
    <w:p w14:paraId="308822B1">
      <w:pPr>
        <w:spacing w:line="360" w:lineRule="auto"/>
        <w:ind w:firstLine="482" w:firstLineChars="200"/>
        <w:contextualSpacing/>
        <w:jc w:val="left"/>
        <w:rPr>
          <w:rFonts w:ascii="宋体" w:hAnsi="宋体" w:cs="宋体"/>
          <w:b/>
          <w:color w:val="auto"/>
          <w:sz w:val="32"/>
          <w:szCs w:val="32"/>
          <w:highlight w:val="none"/>
        </w:rPr>
      </w:pPr>
      <w:r>
        <w:rPr>
          <w:rFonts w:hint="eastAsia" w:ascii="宋体" w:hAnsi="宋体" w:cs="宋体"/>
          <w:b/>
          <w:color w:val="auto"/>
          <w:sz w:val="24"/>
          <w:highlight w:val="none"/>
        </w:rPr>
        <w:t>附件：</w:t>
      </w:r>
    </w:p>
    <w:p w14:paraId="58D87141">
      <w:pPr>
        <w:adjustRightInd w:val="0"/>
        <w:snapToGrid w:val="0"/>
        <w:spacing w:line="300" w:lineRule="auto"/>
        <w:jc w:val="left"/>
        <w:rPr>
          <w:rFonts w:ascii="宋体" w:hAnsi="宋体" w:cs="宋体"/>
          <w:b/>
          <w:color w:val="auto"/>
          <w:szCs w:val="21"/>
          <w:highlight w:val="none"/>
        </w:rPr>
      </w:pPr>
    </w:p>
    <w:p w14:paraId="58B6FFAB">
      <w:pPr>
        <w:snapToGrid w:val="0"/>
        <w:spacing w:line="360" w:lineRule="auto"/>
        <w:ind w:firstLine="880" w:firstLineChars="200"/>
        <w:rPr>
          <w:rFonts w:ascii="宋体" w:hAnsi="宋体" w:cs="宋体"/>
          <w:bCs/>
          <w:color w:val="auto"/>
          <w:sz w:val="44"/>
          <w:szCs w:val="44"/>
          <w:highlight w:val="none"/>
        </w:rPr>
      </w:pPr>
      <w:r>
        <w:rPr>
          <w:rFonts w:hint="eastAsia" w:ascii="宋体" w:hAnsi="宋体" w:cs="宋体"/>
          <w:color w:val="auto"/>
          <w:sz w:val="44"/>
          <w:szCs w:val="44"/>
          <w:highlight w:val="none"/>
        </w:rPr>
        <w:br w:type="page"/>
      </w:r>
      <w:r>
        <w:rPr>
          <w:rFonts w:hint="eastAsia" w:ascii="宋体" w:hAnsi="宋体" w:cs="宋体"/>
          <w:b/>
          <w:color w:val="auto"/>
          <w:sz w:val="30"/>
          <w:szCs w:val="30"/>
          <w:highlight w:val="none"/>
        </w:rPr>
        <w:t>三、法定代表人授权委托书</w:t>
      </w:r>
    </w:p>
    <w:p w14:paraId="45791F71">
      <w:pPr>
        <w:spacing w:line="500" w:lineRule="exact"/>
        <w:jc w:val="center"/>
        <w:rPr>
          <w:rFonts w:ascii="宋体" w:hAnsi="宋体" w:cs="宋体"/>
          <w:color w:val="auto"/>
          <w:sz w:val="44"/>
          <w:szCs w:val="44"/>
          <w:highlight w:val="none"/>
        </w:rPr>
      </w:pPr>
    </w:p>
    <w:p w14:paraId="79FCB924">
      <w:pPr>
        <w:spacing w:line="520" w:lineRule="exact"/>
        <w:jc w:val="center"/>
        <w:rPr>
          <w:rFonts w:ascii="宋体" w:hAnsi="宋体" w:cs="宋体"/>
          <w:color w:val="auto"/>
          <w:sz w:val="44"/>
          <w:szCs w:val="44"/>
          <w:highlight w:val="none"/>
        </w:rPr>
      </w:pPr>
      <w:r>
        <w:rPr>
          <w:rFonts w:hint="eastAsia" w:ascii="宋体" w:hAnsi="宋体" w:cs="宋体"/>
          <w:color w:val="auto"/>
          <w:sz w:val="44"/>
          <w:szCs w:val="44"/>
          <w:highlight w:val="none"/>
        </w:rPr>
        <w:t>授权委托书（非联合体竞标格式）</w:t>
      </w:r>
    </w:p>
    <w:p w14:paraId="20D5972D">
      <w:pPr>
        <w:spacing w:line="520" w:lineRule="exact"/>
        <w:jc w:val="center"/>
        <w:rPr>
          <w:rFonts w:ascii="宋体" w:hAnsi="宋体" w:cs="宋体"/>
          <w:color w:val="auto"/>
          <w:sz w:val="44"/>
          <w:szCs w:val="44"/>
          <w:highlight w:val="none"/>
        </w:rPr>
      </w:pPr>
      <w:r>
        <w:rPr>
          <w:rFonts w:hint="eastAsia" w:ascii="宋体" w:hAnsi="宋体" w:cs="宋体"/>
          <w:color w:val="auto"/>
          <w:sz w:val="44"/>
          <w:szCs w:val="44"/>
          <w:highlight w:val="none"/>
        </w:rPr>
        <w:t>（如有委托时）</w:t>
      </w:r>
    </w:p>
    <w:p w14:paraId="74A4E84D">
      <w:pPr>
        <w:spacing w:line="520" w:lineRule="exact"/>
        <w:rPr>
          <w:rFonts w:ascii="宋体" w:hAnsi="宋体" w:cs="宋体"/>
          <w:color w:val="auto"/>
          <w:sz w:val="32"/>
          <w:szCs w:val="32"/>
          <w:highlight w:val="none"/>
        </w:rPr>
      </w:pPr>
    </w:p>
    <w:p w14:paraId="7589001C">
      <w:pPr>
        <w:spacing w:line="360" w:lineRule="auto"/>
        <w:rPr>
          <w:rFonts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（采购人名称）</w:t>
      </w:r>
      <w:r>
        <w:rPr>
          <w:rFonts w:hint="eastAsia" w:ascii="宋体" w:hAnsi="宋体" w:cs="宋体"/>
          <w:color w:val="auto"/>
          <w:sz w:val="24"/>
          <w:highlight w:val="none"/>
        </w:rPr>
        <w:t>：</w:t>
      </w:r>
    </w:p>
    <w:p w14:paraId="7465FE3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w:t>
      </w:r>
      <w:r>
        <w:rPr>
          <w:rFonts w:hint="eastAsia" w:ascii="宋体" w:hAnsi="宋体" w:cs="宋体"/>
          <w:color w:val="auto"/>
          <w:sz w:val="24"/>
          <w:highlight w:val="none"/>
          <w:u w:val="single"/>
        </w:rPr>
        <w:t xml:space="preserve">  （姓名）  </w:t>
      </w:r>
      <w:r>
        <w:rPr>
          <w:rFonts w:hint="eastAsia" w:ascii="宋体" w:hAnsi="宋体" w:cs="宋体"/>
          <w:color w:val="auto"/>
          <w:sz w:val="24"/>
          <w:highlight w:val="none"/>
        </w:rPr>
        <w:t>系</w:t>
      </w:r>
      <w:r>
        <w:rPr>
          <w:rFonts w:hint="eastAsia" w:ascii="宋体" w:hAnsi="宋体" w:cs="宋体"/>
          <w:color w:val="auto"/>
          <w:sz w:val="24"/>
          <w:highlight w:val="none"/>
          <w:u w:val="single"/>
        </w:rPr>
        <w:t xml:space="preserve">  （供应商名称）  </w:t>
      </w:r>
      <w:r>
        <w:rPr>
          <w:rFonts w:hint="eastAsia" w:ascii="宋体" w:hAnsi="宋体" w:cs="宋体"/>
          <w:color w:val="auto"/>
          <w:sz w:val="24"/>
          <w:highlight w:val="none"/>
        </w:rPr>
        <w:t>的（</w:t>
      </w:r>
      <w:r>
        <w:rPr>
          <w:rFonts w:hint="eastAsia" w:ascii="宋体" w:hAnsi="宋体" w:cs="宋体"/>
          <w:color w:val="auto"/>
          <w:sz w:val="24"/>
          <w:highlight w:val="none"/>
          <w:u w:val="single"/>
        </w:rPr>
        <w:t>□法定代表人/□负责人/□自然人本人</w:t>
      </w:r>
      <w:r>
        <w:rPr>
          <w:rFonts w:hint="eastAsia" w:ascii="宋体" w:hAnsi="宋体" w:cs="宋体"/>
          <w:color w:val="auto"/>
          <w:sz w:val="24"/>
          <w:highlight w:val="none"/>
        </w:rPr>
        <w:t>），现授权</w:t>
      </w:r>
      <w:r>
        <w:rPr>
          <w:rFonts w:hint="eastAsia" w:ascii="宋体" w:hAnsi="宋体" w:cs="宋体"/>
          <w:color w:val="auto"/>
          <w:sz w:val="24"/>
          <w:highlight w:val="none"/>
          <w:u w:val="single"/>
        </w:rPr>
        <w:t xml:space="preserve"> （姓名） </w:t>
      </w:r>
      <w:r>
        <w:rPr>
          <w:rFonts w:hint="eastAsia" w:ascii="宋体" w:hAnsi="宋体" w:cs="宋体"/>
          <w:color w:val="auto"/>
          <w:sz w:val="24"/>
          <w:highlight w:val="none"/>
        </w:rPr>
        <w:t>以我方的名义参加项目的竞标活动，并代表我方全权办理针对上述项目的所有采购程序和环节的具体事务和签署相关文件。</w:t>
      </w:r>
    </w:p>
    <w:p w14:paraId="6E9119C6">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我方对委托代理人的签字事项负全部责任。</w:t>
      </w:r>
    </w:p>
    <w:p w14:paraId="3209883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本授权书自签署之日起生效，在撤销授权的书面通知以前，本授权书一直有效。委托代理人在授权书有效期内签署的所有文件不因授权的撤销而失效。</w:t>
      </w:r>
    </w:p>
    <w:p w14:paraId="56ED76D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委托代理人无转委托权，特此委托。</w:t>
      </w:r>
    </w:p>
    <w:p w14:paraId="4FBE044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附：法定代表人身份证明书及委托代理人有效身份证正反面复印件</w:t>
      </w:r>
    </w:p>
    <w:p w14:paraId="2966C14B">
      <w:pPr>
        <w:spacing w:line="360" w:lineRule="auto"/>
        <w:rPr>
          <w:rFonts w:ascii="宋体" w:hAnsi="宋体" w:cs="宋体"/>
          <w:color w:val="auto"/>
          <w:sz w:val="24"/>
          <w:highlight w:val="none"/>
        </w:rPr>
      </w:pPr>
    </w:p>
    <w:p w14:paraId="7425B0D3">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委托代理人（签字）：                 法定代表人（签字或盖章）：                    </w:t>
      </w:r>
    </w:p>
    <w:p w14:paraId="711F055D">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委托代理人身份证号码：                              </w:t>
      </w:r>
    </w:p>
    <w:p w14:paraId="3204195D">
      <w:pPr>
        <w:spacing w:line="360" w:lineRule="auto"/>
        <w:rPr>
          <w:rFonts w:ascii="宋体" w:hAnsi="宋体" w:cs="宋体"/>
          <w:color w:val="auto"/>
          <w:sz w:val="24"/>
          <w:highlight w:val="none"/>
        </w:rPr>
      </w:pPr>
    </w:p>
    <w:p w14:paraId="5FAEA213">
      <w:pPr>
        <w:spacing w:line="360" w:lineRule="auto"/>
        <w:ind w:firstLine="3840" w:firstLineChars="1600"/>
        <w:rPr>
          <w:rFonts w:ascii="宋体" w:hAnsi="宋体" w:cs="宋体"/>
          <w:color w:val="auto"/>
          <w:sz w:val="24"/>
          <w:highlight w:val="none"/>
        </w:rPr>
      </w:pPr>
      <w:r>
        <w:rPr>
          <w:rFonts w:hint="eastAsia" w:ascii="宋体" w:hAnsi="宋体" w:cs="宋体"/>
          <w:color w:val="auto"/>
          <w:kern w:val="0"/>
          <w:sz w:val="24"/>
          <w:highlight w:val="none"/>
        </w:rPr>
        <w:t>供应商名称（电子签章）：</w:t>
      </w:r>
    </w:p>
    <w:p w14:paraId="7B12B7AE">
      <w:pPr>
        <w:spacing w:line="360" w:lineRule="auto"/>
        <w:contextualSpacing/>
        <w:jc w:val="center"/>
        <w:rPr>
          <w:rFonts w:ascii="宋体" w:hAnsi="宋体" w:cs="宋体"/>
          <w:b/>
          <w:color w:val="auto"/>
          <w:sz w:val="24"/>
          <w:highlight w:val="none"/>
        </w:rPr>
      </w:pPr>
      <w:r>
        <w:rPr>
          <w:rFonts w:hint="eastAsia" w:ascii="宋体" w:hAnsi="宋体" w:cs="宋体"/>
          <w:color w:val="auto"/>
          <w:kern w:val="0"/>
          <w:sz w:val="24"/>
          <w:highlight w:val="none"/>
          <w:lang w:val="zh-CN"/>
        </w:rPr>
        <w:t xml:space="preserve">                                                   日期：  年  月   日</w:t>
      </w:r>
    </w:p>
    <w:p w14:paraId="300B415E">
      <w:pPr>
        <w:spacing w:line="360" w:lineRule="auto"/>
        <w:rPr>
          <w:rFonts w:ascii="宋体" w:hAnsi="宋体" w:cs="宋体"/>
          <w:color w:val="auto"/>
          <w:sz w:val="24"/>
          <w:highlight w:val="none"/>
        </w:rPr>
      </w:pPr>
    </w:p>
    <w:p w14:paraId="37BE9EA7">
      <w:pPr>
        <w:spacing w:line="360" w:lineRule="auto"/>
        <w:rPr>
          <w:rFonts w:ascii="宋体" w:hAnsi="宋体" w:cs="宋体"/>
          <w:color w:val="auto"/>
          <w:sz w:val="24"/>
          <w:highlight w:val="none"/>
        </w:rPr>
      </w:pPr>
      <w:r>
        <w:rPr>
          <w:rFonts w:hint="eastAsia" w:ascii="宋体" w:hAnsi="宋体" w:cs="宋体"/>
          <w:color w:val="auto"/>
          <w:sz w:val="24"/>
          <w:highlight w:val="none"/>
        </w:rPr>
        <w:t>注：1. 法定代表人必须在授权委托书上亲笔签字或盖章，委托代理人必须在授权委托书上亲笔签字，</w:t>
      </w:r>
      <w:r>
        <w:rPr>
          <w:rFonts w:hint="eastAsia" w:ascii="宋体" w:hAnsi="宋体" w:cs="宋体"/>
          <w:b/>
          <w:color w:val="auto"/>
          <w:sz w:val="24"/>
          <w:highlight w:val="none"/>
        </w:rPr>
        <w:t>否则其响应文件按无效响应处理。</w:t>
      </w:r>
    </w:p>
    <w:p w14:paraId="478F956D">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75A083CE">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3.法人、其他组织竞标时“我方”是指“我单位”，自然人竞标时“我方”是指“本人”。</w:t>
      </w:r>
    </w:p>
    <w:p w14:paraId="30E209A6">
      <w:pPr>
        <w:spacing w:line="360" w:lineRule="auto"/>
        <w:ind w:firstLine="420" w:firstLineChars="200"/>
        <w:jc w:val="left"/>
        <w:rPr>
          <w:rFonts w:ascii="宋体" w:hAnsi="宋体" w:cs="宋体"/>
          <w:color w:val="auto"/>
          <w:szCs w:val="21"/>
          <w:highlight w:val="none"/>
        </w:rPr>
      </w:pPr>
    </w:p>
    <w:p w14:paraId="01855C7C">
      <w:pPr>
        <w:spacing w:line="500" w:lineRule="exact"/>
        <w:jc w:val="center"/>
        <w:rPr>
          <w:rFonts w:ascii="宋体" w:hAnsi="宋体" w:cs="宋体"/>
          <w:color w:val="auto"/>
          <w:sz w:val="44"/>
          <w:szCs w:val="44"/>
          <w:highlight w:val="none"/>
        </w:rPr>
      </w:pPr>
      <w:r>
        <w:rPr>
          <w:rFonts w:hint="eastAsia" w:ascii="宋体" w:hAnsi="宋体" w:cs="宋体"/>
          <w:color w:val="auto"/>
          <w:szCs w:val="21"/>
          <w:highlight w:val="none"/>
        </w:rPr>
        <w:br w:type="page"/>
      </w:r>
      <w:r>
        <w:rPr>
          <w:rFonts w:hint="eastAsia" w:ascii="宋体" w:hAnsi="宋体" w:cs="宋体"/>
          <w:color w:val="auto"/>
          <w:sz w:val="44"/>
          <w:szCs w:val="44"/>
          <w:highlight w:val="none"/>
        </w:rPr>
        <w:t>授权委托书（联合体竞标格式）</w:t>
      </w:r>
    </w:p>
    <w:p w14:paraId="4769B83A">
      <w:pPr>
        <w:spacing w:line="500" w:lineRule="exact"/>
        <w:jc w:val="center"/>
        <w:rPr>
          <w:rFonts w:ascii="宋体" w:hAnsi="宋体" w:cs="宋体"/>
          <w:color w:val="auto"/>
          <w:sz w:val="44"/>
          <w:szCs w:val="44"/>
          <w:highlight w:val="none"/>
        </w:rPr>
      </w:pPr>
      <w:r>
        <w:rPr>
          <w:rFonts w:hint="eastAsia" w:ascii="宋体" w:hAnsi="宋体" w:cs="宋体"/>
          <w:color w:val="auto"/>
          <w:sz w:val="44"/>
          <w:szCs w:val="44"/>
          <w:highlight w:val="none"/>
        </w:rPr>
        <w:t>（如有委托时）</w:t>
      </w:r>
    </w:p>
    <w:p w14:paraId="0937FBA5">
      <w:pPr>
        <w:spacing w:line="500" w:lineRule="exact"/>
        <w:jc w:val="center"/>
        <w:rPr>
          <w:rFonts w:ascii="宋体" w:hAnsi="宋体" w:cs="宋体"/>
          <w:color w:val="auto"/>
          <w:sz w:val="44"/>
          <w:szCs w:val="44"/>
          <w:highlight w:val="none"/>
        </w:rPr>
      </w:pPr>
    </w:p>
    <w:p w14:paraId="461DD6C3">
      <w:pPr>
        <w:spacing w:line="500" w:lineRule="exact"/>
        <w:jc w:val="center"/>
        <w:rPr>
          <w:rFonts w:ascii="宋体" w:hAnsi="宋体" w:cs="宋体"/>
          <w:color w:val="auto"/>
          <w:sz w:val="32"/>
          <w:szCs w:val="32"/>
          <w:highlight w:val="none"/>
        </w:rPr>
      </w:pPr>
    </w:p>
    <w:p w14:paraId="55F3A493">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授权委托书声明：根据（牵头人名称）与（联合体其他成员名称）签订的《联合体竞标协议书》的内容，（牵头人名称）的法定代表人（姓名）现授权（姓名）为联合委托代理人，并代表我方全权办理针对上述项目的所有采购程序和环节的具体事务和签署相关文件。</w:t>
      </w:r>
    </w:p>
    <w:p w14:paraId="48098F1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我方对委托代理人的签字事项负全部责任。</w:t>
      </w:r>
    </w:p>
    <w:p w14:paraId="68DB5EB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本授权书自签署之日起生效，在撤销授权的书面通知以前，本授权书一直有效。委托代理人在授权书有效期内签署的所有文件不因授权的撤销而失效。</w:t>
      </w:r>
    </w:p>
    <w:p w14:paraId="10CE1AC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委托代理人无转委托权，特此委托。</w:t>
      </w:r>
    </w:p>
    <w:p w14:paraId="1A3889CF">
      <w:pPr>
        <w:spacing w:line="360" w:lineRule="auto"/>
        <w:rPr>
          <w:rFonts w:ascii="宋体" w:hAnsi="宋体" w:cs="宋体"/>
          <w:color w:val="auto"/>
          <w:sz w:val="24"/>
          <w:highlight w:val="none"/>
        </w:rPr>
      </w:pPr>
    </w:p>
    <w:p w14:paraId="3076C2A3">
      <w:pPr>
        <w:spacing w:line="360" w:lineRule="auto"/>
        <w:ind w:firstLine="1560" w:firstLineChars="650"/>
        <w:rPr>
          <w:rFonts w:ascii="宋体" w:hAnsi="宋体" w:cs="宋体"/>
          <w:color w:val="auto"/>
          <w:sz w:val="24"/>
          <w:highlight w:val="none"/>
        </w:rPr>
      </w:pPr>
      <w:r>
        <w:rPr>
          <w:rFonts w:hint="eastAsia" w:ascii="宋体" w:hAnsi="宋体" w:cs="宋体"/>
          <w:color w:val="auto"/>
          <w:sz w:val="24"/>
          <w:highlight w:val="none"/>
        </w:rPr>
        <w:t>牵头人法定代表人（签字或盖章）：</w:t>
      </w:r>
    </w:p>
    <w:p w14:paraId="1442E77B">
      <w:pPr>
        <w:spacing w:line="360" w:lineRule="auto"/>
        <w:ind w:firstLine="3000" w:firstLineChars="1250"/>
        <w:rPr>
          <w:rFonts w:ascii="宋体" w:hAnsi="宋体" w:cs="宋体"/>
          <w:color w:val="auto"/>
          <w:sz w:val="24"/>
          <w:highlight w:val="none"/>
        </w:rPr>
      </w:pPr>
      <w:r>
        <w:rPr>
          <w:rFonts w:hint="eastAsia" w:ascii="宋体" w:hAnsi="宋体" w:cs="宋体"/>
          <w:color w:val="auto"/>
          <w:sz w:val="24"/>
          <w:highlight w:val="none"/>
        </w:rPr>
        <w:t>牵头人（电子签章）：</w:t>
      </w:r>
    </w:p>
    <w:p w14:paraId="1F4D02F4">
      <w:pPr>
        <w:spacing w:line="360" w:lineRule="auto"/>
        <w:ind w:firstLine="3840" w:firstLineChars="1600"/>
        <w:rPr>
          <w:rFonts w:ascii="宋体" w:hAnsi="宋体" w:cs="宋体"/>
          <w:color w:val="auto"/>
          <w:sz w:val="24"/>
          <w:highlight w:val="none"/>
        </w:rPr>
      </w:pPr>
      <w:r>
        <w:rPr>
          <w:rFonts w:hint="eastAsia" w:ascii="宋体" w:hAnsi="宋体" w:cs="宋体"/>
          <w:color w:val="auto"/>
          <w:sz w:val="24"/>
          <w:highlight w:val="none"/>
        </w:rPr>
        <w:t>日期：    年   月   日</w:t>
      </w:r>
    </w:p>
    <w:p w14:paraId="0F029192">
      <w:pPr>
        <w:spacing w:line="360" w:lineRule="auto"/>
        <w:rPr>
          <w:rFonts w:ascii="宋体" w:hAnsi="宋体" w:cs="宋体"/>
          <w:color w:val="auto"/>
          <w:sz w:val="24"/>
          <w:highlight w:val="none"/>
        </w:rPr>
      </w:pPr>
    </w:p>
    <w:p w14:paraId="41D6EB4C">
      <w:pPr>
        <w:spacing w:line="360" w:lineRule="auto"/>
        <w:ind w:firstLine="3120" w:firstLineChars="1300"/>
        <w:rPr>
          <w:rFonts w:ascii="宋体" w:hAnsi="宋体" w:cs="宋体"/>
          <w:color w:val="auto"/>
          <w:sz w:val="24"/>
          <w:highlight w:val="none"/>
        </w:rPr>
      </w:pPr>
      <w:r>
        <w:rPr>
          <w:rFonts w:hint="eastAsia" w:ascii="宋体" w:hAnsi="宋体" w:cs="宋体"/>
          <w:color w:val="auto"/>
          <w:sz w:val="24"/>
          <w:highlight w:val="none"/>
        </w:rPr>
        <w:t>被授权人（签字）：</w:t>
      </w:r>
    </w:p>
    <w:p w14:paraId="52E3E5B7">
      <w:pPr>
        <w:spacing w:line="360" w:lineRule="auto"/>
        <w:ind w:firstLine="3840" w:firstLineChars="1600"/>
        <w:rPr>
          <w:rFonts w:ascii="宋体" w:hAnsi="宋体" w:cs="宋体"/>
          <w:color w:val="auto"/>
          <w:sz w:val="24"/>
          <w:highlight w:val="none"/>
        </w:rPr>
      </w:pPr>
      <w:r>
        <w:rPr>
          <w:rFonts w:hint="eastAsia" w:ascii="宋体" w:hAnsi="宋体" w:cs="宋体"/>
          <w:color w:val="auto"/>
          <w:sz w:val="24"/>
          <w:highlight w:val="none"/>
        </w:rPr>
        <w:t>日期：    年   月   日</w:t>
      </w:r>
    </w:p>
    <w:p w14:paraId="2E65EFDE">
      <w:pPr>
        <w:spacing w:line="360" w:lineRule="auto"/>
        <w:rPr>
          <w:rFonts w:ascii="宋体" w:hAnsi="宋体" w:cs="宋体"/>
          <w:color w:val="auto"/>
          <w:sz w:val="24"/>
          <w:highlight w:val="none"/>
        </w:rPr>
      </w:pPr>
    </w:p>
    <w:p w14:paraId="5F9135E6">
      <w:pPr>
        <w:spacing w:line="360" w:lineRule="auto"/>
        <w:rPr>
          <w:rFonts w:ascii="宋体" w:hAnsi="宋体" w:cs="宋体"/>
          <w:color w:val="auto"/>
          <w:sz w:val="24"/>
          <w:highlight w:val="none"/>
        </w:rPr>
      </w:pPr>
      <w:r>
        <w:rPr>
          <w:rFonts w:hint="eastAsia" w:ascii="宋体" w:hAnsi="宋体" w:cs="宋体"/>
          <w:color w:val="auto"/>
          <w:sz w:val="24"/>
          <w:highlight w:val="none"/>
        </w:rPr>
        <w:t>注：</w:t>
      </w:r>
    </w:p>
    <w:p w14:paraId="7AE833F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1.法定代表人必须在授权委托书上亲笔签字或盖章，委托代理人必须在授权委托书上亲笔签字，</w:t>
      </w:r>
      <w:r>
        <w:rPr>
          <w:rFonts w:hint="eastAsia" w:ascii="宋体" w:hAnsi="宋体" w:cs="宋体"/>
          <w:b/>
          <w:color w:val="auto"/>
          <w:sz w:val="24"/>
          <w:highlight w:val="none"/>
        </w:rPr>
        <w:t>否则其响应文件按无效响应处理。</w:t>
      </w:r>
    </w:p>
    <w:p w14:paraId="529BA055">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2.本授权委托书应由联合体牵头人的法定代表人按上述规定签署。</w:t>
      </w:r>
    </w:p>
    <w:p w14:paraId="79F9DBF2">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62C76C78">
      <w:pPr>
        <w:spacing w:line="360" w:lineRule="auto"/>
        <w:ind w:firstLine="480" w:firstLineChars="200"/>
        <w:jc w:val="left"/>
        <w:rPr>
          <w:rFonts w:ascii="宋体" w:hAnsi="宋体" w:cs="宋体"/>
          <w:color w:val="auto"/>
          <w:szCs w:val="21"/>
          <w:highlight w:val="none"/>
        </w:rPr>
      </w:pPr>
      <w:r>
        <w:rPr>
          <w:rFonts w:hint="eastAsia" w:ascii="宋体" w:hAnsi="宋体" w:cs="宋体"/>
          <w:color w:val="auto"/>
          <w:sz w:val="24"/>
          <w:highlight w:val="none"/>
        </w:rPr>
        <w:t>4.法人、其他组织竞标时“我方”是指“我单位”，自然人竞标时“我方”是指“本人”。</w:t>
      </w:r>
    </w:p>
    <w:p w14:paraId="27D4D8E0">
      <w:pPr>
        <w:snapToGrid w:val="0"/>
        <w:spacing w:line="360" w:lineRule="auto"/>
        <w:ind w:firstLine="640" w:firstLineChars="200"/>
        <w:rPr>
          <w:rFonts w:ascii="宋体" w:hAnsi="宋体" w:cs="宋体"/>
          <w:b/>
          <w:bCs/>
          <w:color w:val="auto"/>
          <w:sz w:val="32"/>
          <w:szCs w:val="32"/>
          <w:highlight w:val="none"/>
        </w:rPr>
      </w:pPr>
      <w:r>
        <w:rPr>
          <w:rFonts w:hint="eastAsia" w:ascii="宋体" w:hAnsi="宋体" w:cs="宋体"/>
          <w:color w:val="auto"/>
          <w:sz w:val="32"/>
          <w:szCs w:val="32"/>
          <w:highlight w:val="none"/>
        </w:rPr>
        <w:br w:type="page"/>
      </w:r>
      <w:r>
        <w:rPr>
          <w:rFonts w:hint="eastAsia" w:ascii="宋体" w:hAnsi="宋体" w:cs="宋体"/>
          <w:b/>
          <w:color w:val="auto"/>
          <w:sz w:val="30"/>
          <w:szCs w:val="30"/>
          <w:highlight w:val="none"/>
        </w:rPr>
        <w:t>四、商务条款偏离表</w:t>
      </w:r>
    </w:p>
    <w:p w14:paraId="2C19E3CA">
      <w:pPr>
        <w:spacing w:line="500" w:lineRule="exact"/>
        <w:jc w:val="center"/>
        <w:rPr>
          <w:rFonts w:ascii="宋体" w:hAnsi="宋体" w:cs="宋体"/>
          <w:bCs/>
          <w:color w:val="auto"/>
          <w:sz w:val="44"/>
          <w:szCs w:val="44"/>
          <w:highlight w:val="none"/>
        </w:rPr>
      </w:pPr>
      <w:r>
        <w:rPr>
          <w:rFonts w:hint="eastAsia" w:ascii="宋体" w:hAnsi="宋体" w:cs="宋体"/>
          <w:bCs/>
          <w:color w:val="auto"/>
          <w:sz w:val="44"/>
          <w:szCs w:val="44"/>
          <w:highlight w:val="none"/>
        </w:rPr>
        <w:t>商务条款偏离表（格式）</w:t>
      </w:r>
    </w:p>
    <w:p w14:paraId="19874533">
      <w:pPr>
        <w:spacing w:line="360" w:lineRule="auto"/>
        <w:contextualSpacing/>
        <w:rPr>
          <w:rFonts w:ascii="宋体" w:hAnsi="宋体" w:cs="宋体"/>
          <w:color w:val="auto"/>
          <w:sz w:val="24"/>
          <w:highlight w:val="none"/>
          <w:u w:val="single"/>
        </w:rPr>
      </w:pPr>
      <w:r>
        <w:rPr>
          <w:rFonts w:hint="eastAsia" w:ascii="宋体" w:hAnsi="宋体" w:cs="宋体"/>
          <w:color w:val="auto"/>
          <w:sz w:val="24"/>
          <w:highlight w:val="none"/>
        </w:rPr>
        <w:t>分标号</w:t>
      </w:r>
      <w:r>
        <w:rPr>
          <w:rFonts w:hint="eastAsia" w:ascii="宋体" w:hAnsi="宋体" w:cs="宋体"/>
          <w:color w:val="auto"/>
          <w:szCs w:val="21"/>
          <w:highlight w:val="none"/>
        </w:rPr>
        <w:t>（此处有分标时填写具体分标号，无分标时填写“无”）</w:t>
      </w:r>
      <w:r>
        <w:rPr>
          <w:rFonts w:hint="eastAsia" w:ascii="宋体" w:hAnsi="宋体" w:cs="宋体"/>
          <w:color w:val="auto"/>
          <w:sz w:val="24"/>
          <w:highlight w:val="none"/>
        </w:rPr>
        <w:t>：</w:t>
      </w:r>
    </w:p>
    <w:tbl>
      <w:tblPr>
        <w:tblStyle w:val="31"/>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14:paraId="283BC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vAlign w:val="center"/>
          </w:tcPr>
          <w:p w14:paraId="53B6672A">
            <w:pPr>
              <w:spacing w:line="340" w:lineRule="exact"/>
              <w:jc w:val="center"/>
              <w:rPr>
                <w:rFonts w:ascii="宋体" w:hAnsi="宋体" w:cs="宋体"/>
                <w:color w:val="auto"/>
                <w:szCs w:val="21"/>
                <w:highlight w:val="none"/>
              </w:rPr>
            </w:pPr>
            <w:r>
              <w:rPr>
                <w:rFonts w:hint="eastAsia" w:ascii="宋体" w:hAnsi="宋体" w:cs="宋体"/>
                <w:color w:val="auto"/>
                <w:szCs w:val="21"/>
                <w:highlight w:val="none"/>
              </w:rPr>
              <w:t>项号</w:t>
            </w:r>
          </w:p>
        </w:tc>
        <w:tc>
          <w:tcPr>
            <w:tcW w:w="3926" w:type="dxa"/>
            <w:tcBorders>
              <w:top w:val="single" w:color="auto" w:sz="4" w:space="0"/>
              <w:left w:val="single" w:color="auto" w:sz="4" w:space="0"/>
              <w:bottom w:val="single" w:color="auto" w:sz="4" w:space="0"/>
              <w:right w:val="single" w:color="auto" w:sz="4" w:space="0"/>
            </w:tcBorders>
            <w:vAlign w:val="center"/>
          </w:tcPr>
          <w:p w14:paraId="65D95FFE">
            <w:pPr>
              <w:spacing w:line="340" w:lineRule="exact"/>
              <w:jc w:val="center"/>
              <w:rPr>
                <w:rFonts w:ascii="宋体" w:hAnsi="宋体" w:cs="宋体"/>
                <w:color w:val="auto"/>
                <w:szCs w:val="21"/>
                <w:highlight w:val="none"/>
              </w:rPr>
            </w:pPr>
            <w:r>
              <w:rPr>
                <w:rFonts w:hint="eastAsia" w:ascii="宋体" w:hAnsi="宋体" w:cs="宋体"/>
                <w:color w:val="auto"/>
                <w:szCs w:val="21"/>
                <w:highlight w:val="none"/>
              </w:rPr>
              <w:t>竞争性磋商采购文件的商务需求</w:t>
            </w:r>
          </w:p>
        </w:tc>
        <w:tc>
          <w:tcPr>
            <w:tcW w:w="3589" w:type="dxa"/>
            <w:tcBorders>
              <w:top w:val="single" w:color="auto" w:sz="4" w:space="0"/>
              <w:left w:val="single" w:color="auto" w:sz="4" w:space="0"/>
              <w:bottom w:val="single" w:color="auto" w:sz="4" w:space="0"/>
              <w:right w:val="single" w:color="auto" w:sz="4" w:space="0"/>
            </w:tcBorders>
            <w:vAlign w:val="center"/>
          </w:tcPr>
          <w:p w14:paraId="6F98E20A">
            <w:pPr>
              <w:spacing w:line="340" w:lineRule="exact"/>
              <w:jc w:val="center"/>
              <w:rPr>
                <w:rFonts w:ascii="宋体" w:hAnsi="宋体" w:cs="宋体"/>
                <w:color w:val="auto"/>
                <w:szCs w:val="21"/>
                <w:highlight w:val="none"/>
              </w:rPr>
            </w:pPr>
            <w:r>
              <w:rPr>
                <w:rFonts w:hint="eastAsia" w:ascii="宋体" w:hAnsi="宋体" w:cs="宋体"/>
                <w:color w:val="auto"/>
                <w:szCs w:val="21"/>
                <w:highlight w:val="none"/>
              </w:rPr>
              <w:t>响应文件承诺的商务条款</w:t>
            </w:r>
          </w:p>
        </w:tc>
        <w:tc>
          <w:tcPr>
            <w:tcW w:w="1274" w:type="dxa"/>
            <w:tcBorders>
              <w:top w:val="single" w:color="auto" w:sz="4" w:space="0"/>
              <w:left w:val="single" w:color="auto" w:sz="4" w:space="0"/>
              <w:bottom w:val="single" w:color="auto" w:sz="4" w:space="0"/>
              <w:right w:val="single" w:color="auto" w:sz="4" w:space="0"/>
            </w:tcBorders>
            <w:vAlign w:val="center"/>
          </w:tcPr>
          <w:p w14:paraId="3B81E3B0">
            <w:pPr>
              <w:spacing w:line="340" w:lineRule="exact"/>
              <w:jc w:val="center"/>
              <w:rPr>
                <w:rFonts w:ascii="宋体" w:hAnsi="宋体" w:cs="宋体"/>
                <w:color w:val="auto"/>
                <w:szCs w:val="21"/>
                <w:highlight w:val="none"/>
              </w:rPr>
            </w:pPr>
            <w:r>
              <w:rPr>
                <w:rFonts w:hint="eastAsia" w:ascii="宋体" w:hAnsi="宋体" w:cs="宋体"/>
                <w:color w:val="auto"/>
                <w:szCs w:val="21"/>
                <w:highlight w:val="none"/>
              </w:rPr>
              <w:t>偏离说明</w:t>
            </w:r>
          </w:p>
        </w:tc>
      </w:tr>
      <w:tr w14:paraId="56049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tcPr>
          <w:p w14:paraId="429758F0">
            <w:pPr>
              <w:spacing w:line="340" w:lineRule="exact"/>
              <w:rPr>
                <w:rFonts w:ascii="宋体" w:hAnsi="宋体" w:cs="宋体"/>
                <w:color w:val="auto"/>
                <w:szCs w:val="21"/>
                <w:highlight w:val="none"/>
              </w:rPr>
            </w:pPr>
            <w:r>
              <w:rPr>
                <w:rFonts w:hint="eastAsia" w:ascii="宋体" w:hAnsi="宋体" w:cs="宋体"/>
                <w:color w:val="auto"/>
                <w:szCs w:val="21"/>
                <w:highlight w:val="none"/>
              </w:rPr>
              <w:t>一</w:t>
            </w:r>
          </w:p>
        </w:tc>
        <w:tc>
          <w:tcPr>
            <w:tcW w:w="3926" w:type="dxa"/>
            <w:tcBorders>
              <w:top w:val="single" w:color="auto" w:sz="4" w:space="0"/>
              <w:left w:val="single" w:color="auto" w:sz="4" w:space="0"/>
              <w:bottom w:val="single" w:color="auto" w:sz="4" w:space="0"/>
              <w:right w:val="single" w:color="auto" w:sz="4" w:space="0"/>
            </w:tcBorders>
          </w:tcPr>
          <w:p w14:paraId="47842C37">
            <w:pPr>
              <w:spacing w:line="340" w:lineRule="exact"/>
              <w:rPr>
                <w:rFonts w:ascii="宋体" w:hAnsi="宋体" w:cs="宋体"/>
                <w:color w:val="auto"/>
                <w:szCs w:val="21"/>
                <w:highlight w:val="none"/>
              </w:rPr>
            </w:pPr>
            <w:r>
              <w:rPr>
                <w:rFonts w:hint="eastAsia" w:ascii="宋体" w:hAnsi="宋体" w:cs="宋体"/>
                <w:color w:val="auto"/>
                <w:szCs w:val="21"/>
                <w:highlight w:val="none"/>
              </w:rPr>
              <w:t>1  ……</w:t>
            </w:r>
          </w:p>
          <w:p w14:paraId="63D67267">
            <w:pPr>
              <w:spacing w:line="340" w:lineRule="exact"/>
              <w:rPr>
                <w:rFonts w:ascii="宋体" w:hAnsi="宋体" w:cs="宋体"/>
                <w:color w:val="auto"/>
                <w:szCs w:val="21"/>
                <w:highlight w:val="none"/>
              </w:rPr>
            </w:pPr>
            <w:r>
              <w:rPr>
                <w:rFonts w:hint="eastAsia" w:ascii="宋体" w:hAnsi="宋体" w:cs="宋体"/>
                <w:color w:val="auto"/>
                <w:szCs w:val="21"/>
                <w:highlight w:val="none"/>
              </w:rPr>
              <w:t>2  ……</w:t>
            </w:r>
          </w:p>
          <w:p w14:paraId="24BC7D9D">
            <w:pPr>
              <w:spacing w:line="340" w:lineRule="exact"/>
              <w:rPr>
                <w:rFonts w:ascii="宋体" w:hAnsi="宋体" w:cs="宋体"/>
                <w:color w:val="auto"/>
                <w:szCs w:val="21"/>
                <w:highlight w:val="none"/>
              </w:rPr>
            </w:pPr>
            <w:r>
              <w:rPr>
                <w:rFonts w:hint="eastAsia" w:ascii="宋体" w:hAnsi="宋体" w:cs="宋体"/>
                <w:color w:val="auto"/>
                <w:szCs w:val="21"/>
                <w:highlight w:val="none"/>
              </w:rPr>
              <w:t>3  ……</w:t>
            </w:r>
          </w:p>
          <w:p w14:paraId="75C17A14">
            <w:pPr>
              <w:spacing w:line="340" w:lineRule="exact"/>
              <w:rPr>
                <w:rFonts w:ascii="宋体" w:hAnsi="宋体" w:cs="宋体"/>
                <w:color w:val="auto"/>
                <w:szCs w:val="21"/>
                <w:highlight w:val="none"/>
              </w:rPr>
            </w:pPr>
            <w:r>
              <w:rPr>
                <w:rFonts w:hint="eastAsia" w:ascii="宋体" w:hAnsi="宋体" w:cs="宋体"/>
                <w:color w:val="auto"/>
                <w:szCs w:val="21"/>
                <w:highlight w:val="none"/>
              </w:rPr>
              <w:t>……</w:t>
            </w:r>
          </w:p>
        </w:tc>
        <w:tc>
          <w:tcPr>
            <w:tcW w:w="3589" w:type="dxa"/>
            <w:tcBorders>
              <w:top w:val="single" w:color="auto" w:sz="4" w:space="0"/>
              <w:left w:val="single" w:color="auto" w:sz="4" w:space="0"/>
              <w:bottom w:val="single" w:color="auto" w:sz="4" w:space="0"/>
              <w:right w:val="single" w:color="auto" w:sz="4" w:space="0"/>
            </w:tcBorders>
          </w:tcPr>
          <w:p w14:paraId="116DD3E3">
            <w:pPr>
              <w:spacing w:line="340" w:lineRule="exact"/>
              <w:rPr>
                <w:rFonts w:ascii="宋体" w:hAnsi="宋体" w:cs="宋体"/>
                <w:color w:val="auto"/>
                <w:szCs w:val="21"/>
                <w:highlight w:val="none"/>
              </w:rPr>
            </w:pPr>
            <w:r>
              <w:rPr>
                <w:rFonts w:hint="eastAsia" w:ascii="宋体" w:hAnsi="宋体" w:cs="宋体"/>
                <w:color w:val="auto"/>
                <w:szCs w:val="21"/>
                <w:highlight w:val="none"/>
              </w:rPr>
              <w:t>1  ……</w:t>
            </w:r>
          </w:p>
          <w:p w14:paraId="21231DC5">
            <w:pPr>
              <w:spacing w:line="340" w:lineRule="exact"/>
              <w:rPr>
                <w:rFonts w:ascii="宋体" w:hAnsi="宋体" w:cs="宋体"/>
                <w:color w:val="auto"/>
                <w:szCs w:val="21"/>
                <w:highlight w:val="none"/>
              </w:rPr>
            </w:pPr>
            <w:r>
              <w:rPr>
                <w:rFonts w:hint="eastAsia" w:ascii="宋体" w:hAnsi="宋体" w:cs="宋体"/>
                <w:color w:val="auto"/>
                <w:szCs w:val="21"/>
                <w:highlight w:val="none"/>
              </w:rPr>
              <w:t>2  ……</w:t>
            </w:r>
          </w:p>
          <w:p w14:paraId="3F6549C4">
            <w:pPr>
              <w:spacing w:line="340" w:lineRule="exact"/>
              <w:rPr>
                <w:rFonts w:ascii="宋体" w:hAnsi="宋体" w:cs="宋体"/>
                <w:color w:val="auto"/>
                <w:szCs w:val="21"/>
                <w:highlight w:val="none"/>
              </w:rPr>
            </w:pPr>
            <w:r>
              <w:rPr>
                <w:rFonts w:hint="eastAsia" w:ascii="宋体" w:hAnsi="宋体" w:cs="宋体"/>
                <w:color w:val="auto"/>
                <w:szCs w:val="21"/>
                <w:highlight w:val="none"/>
              </w:rPr>
              <w:t>3  ……</w:t>
            </w:r>
          </w:p>
          <w:p w14:paraId="33818CE8">
            <w:pPr>
              <w:spacing w:line="340" w:lineRule="exact"/>
              <w:rPr>
                <w:rFonts w:ascii="宋体" w:hAnsi="宋体" w:cs="宋体"/>
                <w:color w:val="auto"/>
                <w:szCs w:val="21"/>
                <w:highlight w:val="none"/>
              </w:rPr>
            </w:pPr>
            <w:r>
              <w:rPr>
                <w:rFonts w:hint="eastAsia" w:ascii="宋体" w:hAnsi="宋体" w:cs="宋体"/>
                <w:color w:val="auto"/>
                <w:szCs w:val="21"/>
                <w:highlight w:val="none"/>
              </w:rPr>
              <w:t>……</w:t>
            </w:r>
          </w:p>
        </w:tc>
        <w:tc>
          <w:tcPr>
            <w:tcW w:w="1274" w:type="dxa"/>
            <w:tcBorders>
              <w:top w:val="single" w:color="auto" w:sz="4" w:space="0"/>
              <w:left w:val="single" w:color="auto" w:sz="4" w:space="0"/>
              <w:bottom w:val="single" w:color="auto" w:sz="4" w:space="0"/>
              <w:right w:val="single" w:color="auto" w:sz="4" w:space="0"/>
            </w:tcBorders>
          </w:tcPr>
          <w:p w14:paraId="3AF462C5">
            <w:pPr>
              <w:spacing w:line="300" w:lineRule="exact"/>
              <w:rPr>
                <w:rFonts w:ascii="宋体" w:hAnsi="宋体" w:cs="宋体"/>
                <w:color w:val="auto"/>
                <w:szCs w:val="21"/>
                <w:highlight w:val="none"/>
              </w:rPr>
            </w:pPr>
            <w:r>
              <w:rPr>
                <w:rFonts w:hint="eastAsia" w:ascii="宋体" w:hAnsi="宋体" w:cs="宋体"/>
                <w:color w:val="auto"/>
                <w:szCs w:val="21"/>
                <w:highlight w:val="none"/>
              </w:rPr>
              <w:t>正偏离（负偏离或无偏</w:t>
            </w:r>
          </w:p>
          <w:p w14:paraId="0F8B3521">
            <w:pPr>
              <w:spacing w:line="300" w:lineRule="exact"/>
              <w:rPr>
                <w:rFonts w:ascii="宋体" w:hAnsi="宋体" w:cs="宋体"/>
                <w:color w:val="auto"/>
                <w:szCs w:val="21"/>
                <w:highlight w:val="none"/>
              </w:rPr>
            </w:pPr>
            <w:r>
              <w:rPr>
                <w:rFonts w:hint="eastAsia" w:ascii="宋体" w:hAnsi="宋体" w:cs="宋体"/>
                <w:color w:val="auto"/>
                <w:szCs w:val="21"/>
                <w:highlight w:val="none"/>
              </w:rPr>
              <w:t>离）</w:t>
            </w:r>
          </w:p>
        </w:tc>
      </w:tr>
      <w:tr w14:paraId="37FC9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tcPr>
          <w:p w14:paraId="152F1108">
            <w:pPr>
              <w:spacing w:line="340" w:lineRule="exact"/>
              <w:rPr>
                <w:rFonts w:ascii="宋体" w:hAnsi="宋体" w:cs="宋体"/>
                <w:color w:val="auto"/>
                <w:szCs w:val="21"/>
                <w:highlight w:val="none"/>
              </w:rPr>
            </w:pPr>
            <w:r>
              <w:rPr>
                <w:rFonts w:hint="eastAsia" w:ascii="宋体" w:hAnsi="宋体" w:cs="宋体"/>
                <w:color w:val="auto"/>
                <w:szCs w:val="21"/>
                <w:highlight w:val="none"/>
              </w:rPr>
              <w:t>二</w:t>
            </w:r>
          </w:p>
        </w:tc>
        <w:tc>
          <w:tcPr>
            <w:tcW w:w="3926" w:type="dxa"/>
            <w:tcBorders>
              <w:top w:val="single" w:color="auto" w:sz="4" w:space="0"/>
              <w:left w:val="single" w:color="auto" w:sz="4" w:space="0"/>
              <w:bottom w:val="single" w:color="auto" w:sz="4" w:space="0"/>
              <w:right w:val="single" w:color="auto" w:sz="4" w:space="0"/>
            </w:tcBorders>
          </w:tcPr>
          <w:p w14:paraId="7692195B">
            <w:pPr>
              <w:spacing w:line="340" w:lineRule="exact"/>
              <w:rPr>
                <w:rFonts w:ascii="宋体" w:hAnsi="宋体" w:cs="宋体"/>
                <w:color w:val="auto"/>
                <w:szCs w:val="21"/>
                <w:highlight w:val="none"/>
              </w:rPr>
            </w:pPr>
            <w:r>
              <w:rPr>
                <w:rFonts w:hint="eastAsia" w:ascii="宋体" w:hAnsi="宋体" w:cs="宋体"/>
                <w:color w:val="auto"/>
                <w:szCs w:val="21"/>
                <w:highlight w:val="none"/>
              </w:rPr>
              <w:t>1  ……</w:t>
            </w:r>
          </w:p>
          <w:p w14:paraId="729E9B8F">
            <w:pPr>
              <w:spacing w:line="340" w:lineRule="exact"/>
              <w:rPr>
                <w:rFonts w:ascii="宋体" w:hAnsi="宋体" w:cs="宋体"/>
                <w:color w:val="auto"/>
                <w:szCs w:val="21"/>
                <w:highlight w:val="none"/>
              </w:rPr>
            </w:pPr>
            <w:r>
              <w:rPr>
                <w:rFonts w:hint="eastAsia" w:ascii="宋体" w:hAnsi="宋体" w:cs="宋体"/>
                <w:color w:val="auto"/>
                <w:szCs w:val="21"/>
                <w:highlight w:val="none"/>
              </w:rPr>
              <w:t>2  ……</w:t>
            </w:r>
          </w:p>
          <w:p w14:paraId="3EBEC729">
            <w:pPr>
              <w:spacing w:line="340" w:lineRule="exact"/>
              <w:rPr>
                <w:rFonts w:ascii="宋体" w:hAnsi="宋体" w:cs="宋体"/>
                <w:color w:val="auto"/>
                <w:szCs w:val="21"/>
                <w:highlight w:val="none"/>
              </w:rPr>
            </w:pPr>
            <w:r>
              <w:rPr>
                <w:rFonts w:hint="eastAsia" w:ascii="宋体" w:hAnsi="宋体" w:cs="宋体"/>
                <w:color w:val="auto"/>
                <w:szCs w:val="21"/>
                <w:highlight w:val="none"/>
              </w:rPr>
              <w:t>3  ……</w:t>
            </w:r>
          </w:p>
          <w:p w14:paraId="4C3CF455">
            <w:pPr>
              <w:spacing w:line="340" w:lineRule="exact"/>
              <w:rPr>
                <w:rFonts w:ascii="宋体" w:hAnsi="宋体" w:cs="宋体"/>
                <w:color w:val="auto"/>
                <w:szCs w:val="21"/>
                <w:highlight w:val="none"/>
              </w:rPr>
            </w:pPr>
            <w:r>
              <w:rPr>
                <w:rFonts w:hint="eastAsia" w:ascii="宋体" w:hAnsi="宋体" w:cs="宋体"/>
                <w:color w:val="auto"/>
                <w:szCs w:val="21"/>
                <w:highlight w:val="none"/>
              </w:rPr>
              <w:t>……</w:t>
            </w:r>
          </w:p>
        </w:tc>
        <w:tc>
          <w:tcPr>
            <w:tcW w:w="3589" w:type="dxa"/>
            <w:tcBorders>
              <w:top w:val="single" w:color="auto" w:sz="4" w:space="0"/>
              <w:left w:val="single" w:color="auto" w:sz="4" w:space="0"/>
              <w:bottom w:val="single" w:color="auto" w:sz="4" w:space="0"/>
              <w:right w:val="single" w:color="auto" w:sz="4" w:space="0"/>
            </w:tcBorders>
          </w:tcPr>
          <w:p w14:paraId="0E9D61AC">
            <w:pPr>
              <w:spacing w:line="340" w:lineRule="exact"/>
              <w:rPr>
                <w:rFonts w:ascii="宋体" w:hAnsi="宋体" w:cs="宋体"/>
                <w:color w:val="auto"/>
                <w:szCs w:val="21"/>
                <w:highlight w:val="none"/>
              </w:rPr>
            </w:pPr>
            <w:r>
              <w:rPr>
                <w:rFonts w:hint="eastAsia" w:ascii="宋体" w:hAnsi="宋体" w:cs="宋体"/>
                <w:color w:val="auto"/>
                <w:szCs w:val="21"/>
                <w:highlight w:val="none"/>
              </w:rPr>
              <w:t>1  ……</w:t>
            </w:r>
          </w:p>
          <w:p w14:paraId="3505D1AA">
            <w:pPr>
              <w:spacing w:line="340" w:lineRule="exact"/>
              <w:rPr>
                <w:rFonts w:ascii="宋体" w:hAnsi="宋体" w:cs="宋体"/>
                <w:color w:val="auto"/>
                <w:szCs w:val="21"/>
                <w:highlight w:val="none"/>
              </w:rPr>
            </w:pPr>
            <w:r>
              <w:rPr>
                <w:rFonts w:hint="eastAsia" w:ascii="宋体" w:hAnsi="宋体" w:cs="宋体"/>
                <w:color w:val="auto"/>
                <w:szCs w:val="21"/>
                <w:highlight w:val="none"/>
              </w:rPr>
              <w:t>2  ……</w:t>
            </w:r>
          </w:p>
          <w:p w14:paraId="159D6883">
            <w:pPr>
              <w:spacing w:line="340" w:lineRule="exact"/>
              <w:rPr>
                <w:rFonts w:ascii="宋体" w:hAnsi="宋体" w:cs="宋体"/>
                <w:color w:val="auto"/>
                <w:szCs w:val="21"/>
                <w:highlight w:val="none"/>
              </w:rPr>
            </w:pPr>
            <w:r>
              <w:rPr>
                <w:rFonts w:hint="eastAsia" w:ascii="宋体" w:hAnsi="宋体" w:cs="宋体"/>
                <w:color w:val="auto"/>
                <w:szCs w:val="21"/>
                <w:highlight w:val="none"/>
              </w:rPr>
              <w:t>3  ……</w:t>
            </w:r>
          </w:p>
          <w:p w14:paraId="17A17D54">
            <w:pPr>
              <w:spacing w:line="340" w:lineRule="exact"/>
              <w:rPr>
                <w:rFonts w:ascii="宋体" w:hAnsi="宋体" w:cs="宋体"/>
                <w:color w:val="auto"/>
                <w:szCs w:val="21"/>
                <w:highlight w:val="none"/>
              </w:rPr>
            </w:pPr>
            <w:r>
              <w:rPr>
                <w:rFonts w:hint="eastAsia" w:ascii="宋体" w:hAnsi="宋体" w:cs="宋体"/>
                <w:color w:val="auto"/>
                <w:szCs w:val="21"/>
                <w:highlight w:val="none"/>
              </w:rPr>
              <w:t>……</w:t>
            </w:r>
          </w:p>
        </w:tc>
        <w:tc>
          <w:tcPr>
            <w:tcW w:w="1274" w:type="dxa"/>
            <w:tcBorders>
              <w:top w:val="single" w:color="auto" w:sz="4" w:space="0"/>
              <w:left w:val="single" w:color="auto" w:sz="4" w:space="0"/>
              <w:bottom w:val="single" w:color="auto" w:sz="4" w:space="0"/>
              <w:right w:val="single" w:color="auto" w:sz="4" w:space="0"/>
            </w:tcBorders>
          </w:tcPr>
          <w:p w14:paraId="4284691B">
            <w:pPr>
              <w:spacing w:line="300" w:lineRule="exact"/>
              <w:rPr>
                <w:rFonts w:ascii="宋体" w:hAnsi="宋体" w:cs="宋体"/>
                <w:color w:val="auto"/>
                <w:szCs w:val="21"/>
                <w:highlight w:val="none"/>
              </w:rPr>
            </w:pPr>
            <w:r>
              <w:rPr>
                <w:rFonts w:hint="eastAsia" w:ascii="宋体" w:hAnsi="宋体" w:cs="宋体"/>
                <w:color w:val="auto"/>
                <w:szCs w:val="21"/>
                <w:highlight w:val="none"/>
              </w:rPr>
              <w:t>正偏离（负偏离或无偏</w:t>
            </w:r>
          </w:p>
          <w:p w14:paraId="2929E442">
            <w:pPr>
              <w:spacing w:line="300" w:lineRule="exact"/>
              <w:rPr>
                <w:rFonts w:ascii="宋体" w:hAnsi="宋体" w:cs="宋体"/>
                <w:color w:val="auto"/>
                <w:szCs w:val="21"/>
                <w:highlight w:val="none"/>
              </w:rPr>
            </w:pPr>
            <w:r>
              <w:rPr>
                <w:rFonts w:hint="eastAsia" w:ascii="宋体" w:hAnsi="宋体" w:cs="宋体"/>
                <w:color w:val="auto"/>
                <w:szCs w:val="21"/>
                <w:highlight w:val="none"/>
              </w:rPr>
              <w:t>离）</w:t>
            </w:r>
          </w:p>
        </w:tc>
      </w:tr>
      <w:tr w14:paraId="774DD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tcPr>
          <w:p w14:paraId="739608BC">
            <w:pPr>
              <w:spacing w:line="340" w:lineRule="exact"/>
              <w:rPr>
                <w:rFonts w:ascii="宋体" w:hAnsi="宋体" w:cs="宋体"/>
                <w:color w:val="auto"/>
                <w:szCs w:val="21"/>
                <w:highlight w:val="none"/>
              </w:rPr>
            </w:pPr>
            <w:r>
              <w:rPr>
                <w:rFonts w:hint="eastAsia" w:ascii="宋体" w:hAnsi="宋体" w:cs="宋体"/>
                <w:color w:val="auto"/>
                <w:szCs w:val="21"/>
                <w:highlight w:val="none"/>
              </w:rPr>
              <w:t>...</w:t>
            </w:r>
          </w:p>
        </w:tc>
        <w:tc>
          <w:tcPr>
            <w:tcW w:w="3926" w:type="dxa"/>
            <w:tcBorders>
              <w:top w:val="single" w:color="auto" w:sz="4" w:space="0"/>
              <w:left w:val="single" w:color="auto" w:sz="4" w:space="0"/>
              <w:bottom w:val="single" w:color="auto" w:sz="4" w:space="0"/>
              <w:right w:val="single" w:color="auto" w:sz="4" w:space="0"/>
            </w:tcBorders>
          </w:tcPr>
          <w:p w14:paraId="15041114">
            <w:pPr>
              <w:spacing w:line="340" w:lineRule="exact"/>
              <w:rPr>
                <w:rFonts w:ascii="宋体" w:hAnsi="宋体" w:cs="宋体"/>
                <w:color w:val="auto"/>
                <w:szCs w:val="21"/>
                <w:highlight w:val="none"/>
              </w:rPr>
            </w:pPr>
            <w:r>
              <w:rPr>
                <w:rFonts w:hint="eastAsia" w:ascii="宋体" w:hAnsi="宋体" w:cs="宋体"/>
                <w:color w:val="auto"/>
                <w:szCs w:val="21"/>
                <w:highlight w:val="none"/>
              </w:rPr>
              <w:t>1  ……</w:t>
            </w:r>
          </w:p>
          <w:p w14:paraId="34B52571">
            <w:pPr>
              <w:spacing w:line="340" w:lineRule="exact"/>
              <w:rPr>
                <w:rFonts w:ascii="宋体" w:hAnsi="宋体" w:cs="宋体"/>
                <w:color w:val="auto"/>
                <w:szCs w:val="21"/>
                <w:highlight w:val="none"/>
              </w:rPr>
            </w:pPr>
            <w:r>
              <w:rPr>
                <w:rFonts w:hint="eastAsia" w:ascii="宋体" w:hAnsi="宋体" w:cs="宋体"/>
                <w:color w:val="auto"/>
                <w:szCs w:val="21"/>
                <w:highlight w:val="none"/>
              </w:rPr>
              <w:t>2  ……</w:t>
            </w:r>
          </w:p>
          <w:p w14:paraId="0C6F56F3">
            <w:pPr>
              <w:spacing w:line="340" w:lineRule="exact"/>
              <w:rPr>
                <w:rFonts w:ascii="宋体" w:hAnsi="宋体" w:cs="宋体"/>
                <w:color w:val="auto"/>
                <w:szCs w:val="21"/>
                <w:highlight w:val="none"/>
              </w:rPr>
            </w:pPr>
            <w:r>
              <w:rPr>
                <w:rFonts w:hint="eastAsia" w:ascii="宋体" w:hAnsi="宋体" w:cs="宋体"/>
                <w:color w:val="auto"/>
                <w:szCs w:val="21"/>
                <w:highlight w:val="none"/>
              </w:rPr>
              <w:t>3  ……</w:t>
            </w:r>
          </w:p>
          <w:p w14:paraId="37213056">
            <w:pPr>
              <w:spacing w:line="340" w:lineRule="exact"/>
              <w:rPr>
                <w:rFonts w:ascii="宋体" w:hAnsi="宋体" w:cs="宋体"/>
                <w:color w:val="auto"/>
                <w:szCs w:val="21"/>
                <w:highlight w:val="none"/>
              </w:rPr>
            </w:pPr>
            <w:r>
              <w:rPr>
                <w:rFonts w:hint="eastAsia" w:ascii="宋体" w:hAnsi="宋体" w:cs="宋体"/>
                <w:color w:val="auto"/>
                <w:szCs w:val="21"/>
                <w:highlight w:val="none"/>
              </w:rPr>
              <w:t>……</w:t>
            </w:r>
          </w:p>
        </w:tc>
        <w:tc>
          <w:tcPr>
            <w:tcW w:w="3589" w:type="dxa"/>
            <w:tcBorders>
              <w:top w:val="single" w:color="auto" w:sz="4" w:space="0"/>
              <w:left w:val="single" w:color="auto" w:sz="4" w:space="0"/>
              <w:bottom w:val="single" w:color="auto" w:sz="4" w:space="0"/>
              <w:right w:val="single" w:color="auto" w:sz="4" w:space="0"/>
            </w:tcBorders>
          </w:tcPr>
          <w:p w14:paraId="24E2CFBA">
            <w:pPr>
              <w:spacing w:line="340" w:lineRule="exact"/>
              <w:rPr>
                <w:rFonts w:ascii="宋体" w:hAnsi="宋体" w:cs="宋体"/>
                <w:color w:val="auto"/>
                <w:szCs w:val="21"/>
                <w:highlight w:val="none"/>
              </w:rPr>
            </w:pPr>
            <w:r>
              <w:rPr>
                <w:rFonts w:hint="eastAsia" w:ascii="宋体" w:hAnsi="宋体" w:cs="宋体"/>
                <w:color w:val="auto"/>
                <w:szCs w:val="21"/>
                <w:highlight w:val="none"/>
              </w:rPr>
              <w:t>1  ……</w:t>
            </w:r>
          </w:p>
          <w:p w14:paraId="336EF8C3">
            <w:pPr>
              <w:spacing w:line="340" w:lineRule="exact"/>
              <w:rPr>
                <w:rFonts w:ascii="宋体" w:hAnsi="宋体" w:cs="宋体"/>
                <w:color w:val="auto"/>
                <w:szCs w:val="21"/>
                <w:highlight w:val="none"/>
              </w:rPr>
            </w:pPr>
            <w:r>
              <w:rPr>
                <w:rFonts w:hint="eastAsia" w:ascii="宋体" w:hAnsi="宋体" w:cs="宋体"/>
                <w:color w:val="auto"/>
                <w:szCs w:val="21"/>
                <w:highlight w:val="none"/>
              </w:rPr>
              <w:t>2  ……</w:t>
            </w:r>
          </w:p>
          <w:p w14:paraId="2B6D50F7">
            <w:pPr>
              <w:spacing w:line="340" w:lineRule="exact"/>
              <w:rPr>
                <w:rFonts w:ascii="宋体" w:hAnsi="宋体" w:cs="宋体"/>
                <w:color w:val="auto"/>
                <w:szCs w:val="21"/>
                <w:highlight w:val="none"/>
              </w:rPr>
            </w:pPr>
            <w:r>
              <w:rPr>
                <w:rFonts w:hint="eastAsia" w:ascii="宋体" w:hAnsi="宋体" w:cs="宋体"/>
                <w:color w:val="auto"/>
                <w:szCs w:val="21"/>
                <w:highlight w:val="none"/>
              </w:rPr>
              <w:t>3  ……</w:t>
            </w:r>
          </w:p>
          <w:p w14:paraId="0C54925D">
            <w:pPr>
              <w:spacing w:line="340" w:lineRule="exact"/>
              <w:rPr>
                <w:rFonts w:ascii="宋体" w:hAnsi="宋体" w:cs="宋体"/>
                <w:color w:val="auto"/>
                <w:szCs w:val="21"/>
                <w:highlight w:val="none"/>
              </w:rPr>
            </w:pPr>
            <w:r>
              <w:rPr>
                <w:rFonts w:hint="eastAsia" w:ascii="宋体" w:hAnsi="宋体" w:cs="宋体"/>
                <w:color w:val="auto"/>
                <w:szCs w:val="21"/>
                <w:highlight w:val="none"/>
              </w:rPr>
              <w:t>……</w:t>
            </w:r>
          </w:p>
        </w:tc>
        <w:tc>
          <w:tcPr>
            <w:tcW w:w="1274" w:type="dxa"/>
            <w:tcBorders>
              <w:top w:val="single" w:color="auto" w:sz="4" w:space="0"/>
              <w:left w:val="single" w:color="auto" w:sz="4" w:space="0"/>
              <w:bottom w:val="single" w:color="auto" w:sz="4" w:space="0"/>
              <w:right w:val="single" w:color="auto" w:sz="4" w:space="0"/>
            </w:tcBorders>
          </w:tcPr>
          <w:p w14:paraId="0B1369E5">
            <w:pPr>
              <w:spacing w:line="300" w:lineRule="exact"/>
              <w:rPr>
                <w:rFonts w:ascii="宋体" w:hAnsi="宋体" w:cs="宋体"/>
                <w:color w:val="auto"/>
                <w:szCs w:val="21"/>
                <w:highlight w:val="none"/>
              </w:rPr>
            </w:pPr>
            <w:r>
              <w:rPr>
                <w:rFonts w:hint="eastAsia" w:ascii="宋体" w:hAnsi="宋体" w:cs="宋体"/>
                <w:color w:val="auto"/>
                <w:szCs w:val="21"/>
                <w:highlight w:val="none"/>
              </w:rPr>
              <w:t>正偏离（负偏离或无偏</w:t>
            </w:r>
          </w:p>
          <w:p w14:paraId="5ADDE5CB">
            <w:pPr>
              <w:spacing w:line="300" w:lineRule="exact"/>
              <w:rPr>
                <w:rFonts w:ascii="宋体" w:hAnsi="宋体" w:cs="宋体"/>
                <w:color w:val="auto"/>
                <w:szCs w:val="21"/>
                <w:highlight w:val="none"/>
              </w:rPr>
            </w:pPr>
            <w:r>
              <w:rPr>
                <w:rFonts w:hint="eastAsia" w:ascii="宋体" w:hAnsi="宋体" w:cs="宋体"/>
                <w:color w:val="auto"/>
                <w:szCs w:val="21"/>
                <w:highlight w:val="none"/>
              </w:rPr>
              <w:t>离）</w:t>
            </w:r>
          </w:p>
        </w:tc>
      </w:tr>
      <w:tr w14:paraId="4B06E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9480" w:type="dxa"/>
            <w:gridSpan w:val="4"/>
            <w:tcBorders>
              <w:top w:val="single" w:color="auto" w:sz="4" w:space="0"/>
              <w:left w:val="single" w:color="auto" w:sz="4" w:space="0"/>
              <w:bottom w:val="single" w:color="auto" w:sz="4" w:space="0"/>
              <w:right w:val="single" w:color="auto" w:sz="4" w:space="0"/>
            </w:tcBorders>
          </w:tcPr>
          <w:p w14:paraId="7B3FB299">
            <w:pPr>
              <w:spacing w:line="300" w:lineRule="exact"/>
              <w:rPr>
                <w:rFonts w:ascii="宋体" w:hAnsi="宋体" w:cs="宋体"/>
                <w:color w:val="auto"/>
                <w:szCs w:val="21"/>
                <w:highlight w:val="none"/>
              </w:rPr>
            </w:pPr>
            <w:r>
              <w:rPr>
                <w:rFonts w:hint="eastAsia" w:ascii="宋体" w:hAnsi="宋体" w:cs="宋体"/>
                <w:color w:val="auto"/>
                <w:szCs w:val="21"/>
                <w:highlight w:val="none"/>
                <w:u w:val="single"/>
              </w:rPr>
              <w:t>　  　</w:t>
            </w:r>
            <w:r>
              <w:rPr>
                <w:rFonts w:hint="eastAsia" w:ascii="宋体" w:hAnsi="宋体" w:cs="宋体"/>
                <w:color w:val="auto"/>
                <w:szCs w:val="21"/>
                <w:highlight w:val="none"/>
              </w:rPr>
              <w:t>分标（此处有分标时填写具体分标号，无分标时填写“无”）</w:t>
            </w:r>
          </w:p>
        </w:tc>
      </w:tr>
    </w:tbl>
    <w:p w14:paraId="01C5268A">
      <w:pPr>
        <w:pStyle w:val="17"/>
        <w:spacing w:line="400" w:lineRule="exact"/>
        <w:ind w:firstLine="0" w:firstLineChars="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注：</w:t>
      </w:r>
    </w:p>
    <w:p w14:paraId="6E4A218D">
      <w:pPr>
        <w:pStyle w:val="17"/>
        <w:spacing w:line="400" w:lineRule="exact"/>
        <w:ind w:firstLine="0" w:firstLineChars="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1.说明：应对照磋商文件“第二章 采购需求”中的商务条款逐条作出明确响应，并作出偏离说明。</w:t>
      </w:r>
    </w:p>
    <w:p w14:paraId="118D978E">
      <w:pPr>
        <w:pStyle w:val="17"/>
        <w:spacing w:line="400" w:lineRule="exact"/>
        <w:ind w:firstLine="0" w:firstLineChars="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应根据自身的承诺，对照磋商文件要求，在“偏离说明”中注明“正偏离”、“负偏离”或者“无偏离”。既不属于“正偏离”也不属于“负偏离”即为“无偏离”。当响应文件的商务内容低于竞争性磋商采购文件要求时，竞标人应当如实写明“负偏离”，否则视为虚假应标</w:t>
      </w:r>
    </w:p>
    <w:p w14:paraId="273D9D05">
      <w:pPr>
        <w:spacing w:line="400" w:lineRule="exact"/>
        <w:rPr>
          <w:rFonts w:ascii="宋体" w:hAnsi="宋体" w:cs="宋体"/>
          <w:color w:val="auto"/>
          <w:kern w:val="0"/>
          <w:sz w:val="24"/>
          <w:highlight w:val="none"/>
        </w:rPr>
      </w:pPr>
      <w:r>
        <w:rPr>
          <w:rFonts w:hint="eastAsia" w:ascii="宋体" w:hAnsi="宋体" w:cs="宋体"/>
          <w:color w:val="auto"/>
          <w:kern w:val="0"/>
          <w:sz w:val="24"/>
          <w:highlight w:val="none"/>
        </w:rPr>
        <w:t>3.表格内容均需按要求填写并盖章，不得留空，否则按竞标无效处理。</w:t>
      </w:r>
    </w:p>
    <w:p w14:paraId="4E5B9014">
      <w:pPr>
        <w:pStyle w:val="20"/>
        <w:spacing w:line="400" w:lineRule="exact"/>
        <w:contextualSpacing/>
        <w:rPr>
          <w:rFonts w:hAnsi="宋体" w:cs="宋体"/>
          <w:color w:val="auto"/>
          <w:sz w:val="24"/>
          <w:szCs w:val="24"/>
          <w:highlight w:val="none"/>
        </w:rPr>
      </w:pPr>
      <w:r>
        <w:rPr>
          <w:rFonts w:hint="eastAsia" w:hAnsi="宋体" w:cs="宋体"/>
          <w:color w:val="auto"/>
          <w:sz w:val="24"/>
          <w:szCs w:val="24"/>
          <w:highlight w:val="none"/>
        </w:rPr>
        <w:t>4.如果采购需求为小于、小于等于、大于或大于等于某个数值标准时，响应文件承诺不得直接复制采购需求，响应文件承诺内容应当写明竞标货物具体参数或商务响应承诺的具体数值，否则按竞标无效处理。如该采购需求属于不能明确具体数值的，采购人应在此采购需求的数值后标注◆号，对标注◆号的采购需求不适用上述“竞标无效”条款。</w:t>
      </w:r>
    </w:p>
    <w:p w14:paraId="5D693777">
      <w:pPr>
        <w:spacing w:line="360" w:lineRule="auto"/>
        <w:ind w:right="-817" w:rightChars="-389"/>
        <w:contextualSpacing/>
        <w:rPr>
          <w:rFonts w:ascii="宋体" w:hAnsi="宋体" w:cs="宋体"/>
          <w:color w:val="auto"/>
          <w:sz w:val="24"/>
          <w:highlight w:val="none"/>
        </w:rPr>
      </w:pPr>
    </w:p>
    <w:p w14:paraId="6B5D9904">
      <w:pPr>
        <w:spacing w:line="360" w:lineRule="auto"/>
        <w:ind w:firstLine="3840" w:firstLineChars="1600"/>
        <w:rPr>
          <w:rFonts w:ascii="宋体" w:hAnsi="宋体" w:cs="宋体"/>
          <w:color w:val="auto"/>
          <w:sz w:val="24"/>
          <w:highlight w:val="none"/>
        </w:rPr>
      </w:pPr>
      <w:r>
        <w:rPr>
          <w:rFonts w:hint="eastAsia" w:ascii="宋体" w:hAnsi="宋体" w:cs="宋体"/>
          <w:color w:val="auto"/>
          <w:kern w:val="0"/>
          <w:sz w:val="24"/>
          <w:highlight w:val="none"/>
        </w:rPr>
        <w:t>供应商名称（电子签章）：</w:t>
      </w:r>
    </w:p>
    <w:p w14:paraId="14B4BE13">
      <w:pPr>
        <w:spacing w:line="360" w:lineRule="auto"/>
        <w:contextualSpacing/>
        <w:jc w:val="center"/>
        <w:rPr>
          <w:rFonts w:ascii="宋体" w:hAnsi="宋体" w:cs="宋体"/>
          <w:b/>
          <w:color w:val="auto"/>
          <w:sz w:val="24"/>
          <w:highlight w:val="none"/>
        </w:rPr>
      </w:pPr>
      <w:r>
        <w:rPr>
          <w:rFonts w:hint="eastAsia" w:ascii="宋体" w:hAnsi="宋体" w:cs="宋体"/>
          <w:color w:val="auto"/>
          <w:kern w:val="0"/>
          <w:sz w:val="24"/>
          <w:highlight w:val="none"/>
          <w:lang w:val="zh-CN"/>
        </w:rPr>
        <w:t xml:space="preserve">                                                   日期：  年  月   日</w:t>
      </w:r>
    </w:p>
    <w:p w14:paraId="65F45472">
      <w:pPr>
        <w:snapToGrid w:val="0"/>
        <w:spacing w:line="360" w:lineRule="auto"/>
        <w:ind w:firstLine="602" w:firstLineChars="200"/>
        <w:rPr>
          <w:rFonts w:ascii="宋体" w:hAnsi="宋体" w:cs="宋体"/>
          <w:b/>
          <w:color w:val="auto"/>
          <w:sz w:val="30"/>
          <w:szCs w:val="30"/>
          <w:highlight w:val="none"/>
        </w:rPr>
      </w:pPr>
    </w:p>
    <w:p w14:paraId="31E335BB">
      <w:pPr>
        <w:snapToGrid w:val="0"/>
        <w:spacing w:line="360" w:lineRule="auto"/>
        <w:ind w:firstLine="602" w:firstLineChars="200"/>
        <w:rPr>
          <w:rFonts w:ascii="宋体" w:hAnsi="宋体" w:cs="宋体"/>
          <w:b/>
          <w:color w:val="auto"/>
          <w:sz w:val="30"/>
          <w:szCs w:val="30"/>
          <w:highlight w:val="none"/>
        </w:rPr>
      </w:pPr>
    </w:p>
    <w:p w14:paraId="054C38FD">
      <w:pPr>
        <w:snapToGrid w:val="0"/>
        <w:spacing w:line="360" w:lineRule="auto"/>
        <w:ind w:firstLine="602" w:firstLineChars="200"/>
        <w:rPr>
          <w:rFonts w:ascii="宋体" w:hAnsi="宋体" w:cs="宋体"/>
          <w:b/>
          <w:color w:val="auto"/>
          <w:sz w:val="30"/>
          <w:szCs w:val="30"/>
          <w:highlight w:val="none"/>
        </w:rPr>
      </w:pPr>
      <w:r>
        <w:rPr>
          <w:rFonts w:hint="eastAsia" w:ascii="宋体" w:hAnsi="宋体" w:cs="宋体"/>
          <w:b/>
          <w:color w:val="auto"/>
          <w:sz w:val="30"/>
          <w:szCs w:val="30"/>
          <w:highlight w:val="none"/>
        </w:rPr>
        <w:t>五、竞标人情况介绍</w:t>
      </w:r>
    </w:p>
    <w:p w14:paraId="23978BBA">
      <w:pPr>
        <w:snapToGrid w:val="0"/>
        <w:spacing w:line="360" w:lineRule="auto"/>
        <w:ind w:firstLine="602" w:firstLineChars="200"/>
        <w:rPr>
          <w:rFonts w:ascii="宋体" w:hAnsi="宋体" w:cs="宋体"/>
          <w:b/>
          <w:color w:val="auto"/>
          <w:sz w:val="30"/>
          <w:szCs w:val="30"/>
          <w:highlight w:val="none"/>
        </w:rPr>
      </w:pPr>
    </w:p>
    <w:p w14:paraId="110779F7">
      <w:pPr>
        <w:autoSpaceDE w:val="0"/>
        <w:autoSpaceDN w:val="0"/>
        <w:spacing w:line="360" w:lineRule="auto"/>
        <w:ind w:left="4335" w:leftChars="1950" w:hanging="240" w:hangingChars="100"/>
        <w:rPr>
          <w:rFonts w:ascii="宋体" w:hAnsi="宋体" w:cs="宋体"/>
          <w:color w:val="auto"/>
          <w:kern w:val="0"/>
          <w:sz w:val="24"/>
          <w:highlight w:val="none"/>
        </w:rPr>
      </w:pPr>
      <w:r>
        <w:rPr>
          <w:rFonts w:hint="eastAsia" w:ascii="宋体" w:hAnsi="宋体" w:cs="宋体"/>
          <w:color w:val="auto"/>
          <w:kern w:val="0"/>
          <w:sz w:val="24"/>
          <w:highlight w:val="none"/>
        </w:rPr>
        <w:t>供应商名称（电子签章）：</w:t>
      </w:r>
    </w:p>
    <w:p w14:paraId="0F36F87E">
      <w:pPr>
        <w:autoSpaceDE w:val="0"/>
        <w:autoSpaceDN w:val="0"/>
        <w:spacing w:line="360" w:lineRule="auto"/>
        <w:ind w:firstLine="6480" w:firstLineChars="2700"/>
        <w:rPr>
          <w:rFonts w:ascii="宋体" w:hAnsi="宋体" w:cs="宋体"/>
          <w:b/>
          <w:bCs/>
          <w:color w:val="auto"/>
          <w:sz w:val="24"/>
          <w:highlight w:val="none"/>
        </w:rPr>
      </w:pPr>
      <w:r>
        <w:rPr>
          <w:rFonts w:hint="eastAsia" w:ascii="宋体" w:hAnsi="宋体" w:cs="宋体"/>
          <w:color w:val="auto"/>
          <w:kern w:val="0"/>
          <w:sz w:val="24"/>
          <w:highlight w:val="none"/>
          <w:lang w:val="zh-CN"/>
        </w:rPr>
        <w:t>日期：  年  月   日</w:t>
      </w:r>
    </w:p>
    <w:p w14:paraId="28074260">
      <w:pPr>
        <w:snapToGrid w:val="0"/>
        <w:spacing w:before="120" w:beforeLines="50" w:after="50"/>
        <w:ind w:firstLine="602" w:firstLineChars="200"/>
        <w:rPr>
          <w:rFonts w:ascii="宋体" w:hAnsi="宋体" w:cs="宋体"/>
          <w:b/>
          <w:color w:val="auto"/>
          <w:sz w:val="30"/>
          <w:szCs w:val="30"/>
          <w:highlight w:val="none"/>
        </w:rPr>
      </w:pPr>
      <w:r>
        <w:rPr>
          <w:rFonts w:hint="eastAsia" w:ascii="宋体" w:hAnsi="宋体" w:cs="宋体"/>
          <w:b/>
          <w:color w:val="auto"/>
          <w:sz w:val="30"/>
          <w:szCs w:val="30"/>
          <w:highlight w:val="none"/>
        </w:rPr>
        <w:t>六、供应商类似的业绩证明文件</w:t>
      </w:r>
    </w:p>
    <w:p w14:paraId="50E2D79E">
      <w:pPr>
        <w:pStyle w:val="25"/>
        <w:snapToGrid w:val="0"/>
        <w:ind w:left="480" w:hanging="480"/>
        <w:rPr>
          <w:rFonts w:ascii="宋体" w:hAnsi="宋体" w:cs="宋体"/>
          <w:color w:val="auto"/>
          <w:sz w:val="24"/>
          <w:highlight w:val="none"/>
        </w:rPr>
      </w:pPr>
    </w:p>
    <w:tbl>
      <w:tblPr>
        <w:tblStyle w:val="31"/>
        <w:tblpPr w:leftFromText="180" w:rightFromText="180" w:vertAnchor="page" w:horzAnchor="margin" w:tblpXSpec="center" w:tblpY="4783"/>
        <w:tblW w:w="9839"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84"/>
        <w:gridCol w:w="1843"/>
        <w:gridCol w:w="1134"/>
        <w:gridCol w:w="1134"/>
        <w:gridCol w:w="1701"/>
        <w:gridCol w:w="1276"/>
        <w:gridCol w:w="1367"/>
      </w:tblGrid>
      <w:tr w14:paraId="5FA71F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1384" w:type="dxa"/>
            <w:vMerge w:val="restart"/>
            <w:tcBorders>
              <w:top w:val="single" w:color="auto" w:sz="4" w:space="0"/>
              <w:left w:val="single" w:color="auto" w:sz="4" w:space="0"/>
              <w:bottom w:val="single" w:color="auto" w:sz="4" w:space="0"/>
              <w:right w:val="single" w:color="auto" w:sz="4" w:space="0"/>
            </w:tcBorders>
            <w:vAlign w:val="center"/>
          </w:tcPr>
          <w:p w14:paraId="2315EDD5">
            <w:pPr>
              <w:snapToGrid w:val="0"/>
              <w:spacing w:line="240" w:lineRule="exact"/>
              <w:jc w:val="center"/>
              <w:rPr>
                <w:rFonts w:ascii="宋体" w:hAnsi="宋体" w:cs="宋体"/>
                <w:color w:val="auto"/>
                <w:sz w:val="24"/>
                <w:highlight w:val="none"/>
              </w:rPr>
            </w:pPr>
            <w:r>
              <w:rPr>
                <w:rFonts w:hint="eastAsia" w:ascii="宋体" w:hAnsi="宋体" w:cs="宋体"/>
                <w:color w:val="auto"/>
                <w:sz w:val="24"/>
                <w:highlight w:val="none"/>
              </w:rPr>
              <w:t>采购人名称</w:t>
            </w:r>
          </w:p>
        </w:tc>
        <w:tc>
          <w:tcPr>
            <w:tcW w:w="1843" w:type="dxa"/>
            <w:vMerge w:val="restart"/>
            <w:tcBorders>
              <w:top w:val="single" w:color="auto" w:sz="4" w:space="0"/>
              <w:left w:val="single" w:color="auto" w:sz="4" w:space="0"/>
              <w:bottom w:val="single" w:color="auto" w:sz="4" w:space="0"/>
              <w:right w:val="single" w:color="auto" w:sz="4" w:space="0"/>
            </w:tcBorders>
            <w:vAlign w:val="center"/>
          </w:tcPr>
          <w:p w14:paraId="54385BBF">
            <w:pPr>
              <w:snapToGrid w:val="0"/>
              <w:spacing w:line="240" w:lineRule="exact"/>
              <w:jc w:val="center"/>
              <w:rPr>
                <w:rFonts w:ascii="宋体" w:hAnsi="宋体" w:cs="宋体"/>
                <w:color w:val="auto"/>
                <w:sz w:val="24"/>
                <w:highlight w:val="none"/>
              </w:rPr>
            </w:pPr>
            <w:r>
              <w:rPr>
                <w:rFonts w:hint="eastAsia" w:ascii="宋体" w:hAnsi="宋体" w:cs="宋体"/>
                <w:color w:val="auto"/>
                <w:sz w:val="24"/>
                <w:highlight w:val="none"/>
              </w:rPr>
              <w:t>项目名称</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14:paraId="4666AFF3">
            <w:pPr>
              <w:snapToGrid w:val="0"/>
              <w:spacing w:line="240" w:lineRule="exact"/>
              <w:jc w:val="center"/>
              <w:rPr>
                <w:rFonts w:ascii="宋体" w:hAnsi="宋体" w:cs="宋体"/>
                <w:color w:val="auto"/>
                <w:sz w:val="24"/>
                <w:highlight w:val="none"/>
              </w:rPr>
            </w:pPr>
            <w:r>
              <w:rPr>
                <w:rFonts w:hint="eastAsia" w:ascii="宋体" w:hAnsi="宋体" w:cs="宋体"/>
                <w:color w:val="auto"/>
                <w:sz w:val="24"/>
                <w:highlight w:val="none"/>
              </w:rPr>
              <w:t>合同</w:t>
            </w:r>
          </w:p>
          <w:p w14:paraId="7FA31F7F">
            <w:pPr>
              <w:snapToGrid w:val="0"/>
              <w:spacing w:line="240" w:lineRule="exact"/>
              <w:jc w:val="center"/>
              <w:rPr>
                <w:rFonts w:ascii="宋体" w:hAnsi="宋体" w:cs="宋体"/>
                <w:color w:val="auto"/>
                <w:sz w:val="24"/>
                <w:highlight w:val="none"/>
              </w:rPr>
            </w:pPr>
            <w:r>
              <w:rPr>
                <w:rFonts w:hint="eastAsia" w:ascii="宋体" w:hAnsi="宋体" w:cs="宋体"/>
                <w:color w:val="auto"/>
                <w:sz w:val="24"/>
                <w:highlight w:val="none"/>
              </w:rPr>
              <w:t>金额</w:t>
            </w:r>
          </w:p>
          <w:p w14:paraId="379CDD20">
            <w:pPr>
              <w:snapToGrid w:val="0"/>
              <w:spacing w:line="240" w:lineRule="exact"/>
              <w:jc w:val="center"/>
              <w:rPr>
                <w:rFonts w:ascii="宋体" w:hAnsi="宋体" w:cs="宋体"/>
                <w:color w:val="auto"/>
                <w:sz w:val="24"/>
                <w:highlight w:val="none"/>
              </w:rPr>
            </w:pPr>
            <w:r>
              <w:rPr>
                <w:rFonts w:hint="eastAsia" w:ascii="宋体" w:hAnsi="宋体" w:cs="宋体"/>
                <w:color w:val="auto"/>
                <w:sz w:val="24"/>
                <w:highlight w:val="none"/>
              </w:rPr>
              <w:t>（万元）</w:t>
            </w:r>
          </w:p>
        </w:tc>
        <w:tc>
          <w:tcPr>
            <w:tcW w:w="4111" w:type="dxa"/>
            <w:gridSpan w:val="3"/>
            <w:tcBorders>
              <w:top w:val="single" w:color="auto" w:sz="4" w:space="0"/>
              <w:left w:val="single" w:color="auto" w:sz="4" w:space="0"/>
              <w:bottom w:val="single" w:color="auto" w:sz="4" w:space="0"/>
              <w:right w:val="single" w:color="auto" w:sz="4" w:space="0"/>
            </w:tcBorders>
            <w:vAlign w:val="center"/>
          </w:tcPr>
          <w:p w14:paraId="781A3BF5">
            <w:pPr>
              <w:snapToGrid w:val="0"/>
              <w:spacing w:line="240" w:lineRule="exact"/>
              <w:jc w:val="center"/>
              <w:rPr>
                <w:rFonts w:ascii="宋体" w:hAnsi="宋体" w:cs="宋体"/>
                <w:color w:val="auto"/>
                <w:sz w:val="24"/>
                <w:highlight w:val="none"/>
              </w:rPr>
            </w:pPr>
            <w:r>
              <w:rPr>
                <w:rFonts w:hint="eastAsia" w:ascii="宋体" w:hAnsi="宋体" w:cs="宋体"/>
                <w:color w:val="auto"/>
                <w:sz w:val="24"/>
                <w:highlight w:val="none"/>
              </w:rPr>
              <w:t>附件在响应文件中页码</w:t>
            </w:r>
          </w:p>
        </w:tc>
        <w:tc>
          <w:tcPr>
            <w:tcW w:w="1367" w:type="dxa"/>
            <w:vMerge w:val="restart"/>
            <w:tcBorders>
              <w:top w:val="single" w:color="auto" w:sz="4" w:space="0"/>
              <w:left w:val="single" w:color="auto" w:sz="4" w:space="0"/>
              <w:bottom w:val="single" w:color="auto" w:sz="4" w:space="0"/>
              <w:right w:val="single" w:color="auto" w:sz="4" w:space="0"/>
            </w:tcBorders>
            <w:vAlign w:val="center"/>
          </w:tcPr>
          <w:p w14:paraId="06EF9F1F">
            <w:pPr>
              <w:snapToGrid w:val="0"/>
              <w:spacing w:line="240" w:lineRule="exact"/>
              <w:jc w:val="center"/>
              <w:rPr>
                <w:rFonts w:ascii="宋体" w:hAnsi="宋体" w:cs="宋体"/>
                <w:color w:val="auto"/>
                <w:sz w:val="24"/>
                <w:highlight w:val="none"/>
              </w:rPr>
            </w:pPr>
            <w:r>
              <w:rPr>
                <w:rFonts w:hint="eastAsia" w:ascii="宋体" w:hAnsi="宋体" w:cs="宋体"/>
                <w:color w:val="auto"/>
                <w:sz w:val="24"/>
                <w:highlight w:val="none"/>
              </w:rPr>
              <w:t>采购人联系人及联系电话</w:t>
            </w:r>
          </w:p>
        </w:tc>
      </w:tr>
      <w:tr w14:paraId="705D1F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1384" w:type="dxa"/>
            <w:vMerge w:val="continue"/>
            <w:tcBorders>
              <w:top w:val="single" w:color="auto" w:sz="4" w:space="0"/>
              <w:left w:val="single" w:color="auto" w:sz="4" w:space="0"/>
              <w:bottom w:val="single" w:color="auto" w:sz="4" w:space="0"/>
              <w:right w:val="single" w:color="auto" w:sz="4" w:space="0"/>
            </w:tcBorders>
            <w:vAlign w:val="center"/>
          </w:tcPr>
          <w:p w14:paraId="43CB973B">
            <w:pPr>
              <w:jc w:val="left"/>
              <w:rPr>
                <w:rFonts w:ascii="宋体" w:hAnsi="宋体" w:cs="宋体"/>
                <w:color w:val="auto"/>
                <w:sz w:val="24"/>
                <w:highlight w:val="none"/>
              </w:rPr>
            </w:pPr>
          </w:p>
        </w:tc>
        <w:tc>
          <w:tcPr>
            <w:tcW w:w="1843" w:type="dxa"/>
            <w:vMerge w:val="continue"/>
            <w:tcBorders>
              <w:top w:val="single" w:color="auto" w:sz="4" w:space="0"/>
              <w:left w:val="single" w:color="auto" w:sz="4" w:space="0"/>
              <w:bottom w:val="single" w:color="auto" w:sz="4" w:space="0"/>
              <w:right w:val="single" w:color="auto" w:sz="4" w:space="0"/>
            </w:tcBorders>
            <w:vAlign w:val="center"/>
          </w:tcPr>
          <w:p w14:paraId="0FA483D1">
            <w:pPr>
              <w:jc w:val="left"/>
              <w:rPr>
                <w:rFonts w:ascii="宋体" w:hAnsi="宋体" w:cs="宋体"/>
                <w:color w:val="auto"/>
                <w:sz w:val="24"/>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FEE56CC">
            <w:pPr>
              <w:jc w:val="left"/>
              <w:rPr>
                <w:rFonts w:ascii="宋体" w:hAnsi="宋体" w:cs="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6B871379">
            <w:pPr>
              <w:snapToGrid w:val="0"/>
              <w:spacing w:line="240" w:lineRule="exact"/>
              <w:jc w:val="center"/>
              <w:rPr>
                <w:rFonts w:ascii="宋体" w:hAnsi="宋体" w:cs="宋体"/>
                <w:color w:val="auto"/>
                <w:sz w:val="24"/>
                <w:highlight w:val="none"/>
              </w:rPr>
            </w:pPr>
            <w:r>
              <w:rPr>
                <w:rFonts w:hint="eastAsia" w:ascii="宋体" w:hAnsi="宋体" w:cs="宋体"/>
                <w:color w:val="auto"/>
                <w:sz w:val="24"/>
                <w:highlight w:val="none"/>
              </w:rPr>
              <w:t>合同</w:t>
            </w:r>
          </w:p>
        </w:tc>
        <w:tc>
          <w:tcPr>
            <w:tcW w:w="1701" w:type="dxa"/>
            <w:tcBorders>
              <w:top w:val="single" w:color="auto" w:sz="4" w:space="0"/>
              <w:left w:val="single" w:color="auto" w:sz="4" w:space="0"/>
              <w:bottom w:val="single" w:color="auto" w:sz="4" w:space="0"/>
              <w:right w:val="single" w:color="auto" w:sz="4" w:space="0"/>
            </w:tcBorders>
            <w:vAlign w:val="center"/>
          </w:tcPr>
          <w:p w14:paraId="517F94FE">
            <w:pPr>
              <w:snapToGrid w:val="0"/>
              <w:spacing w:line="240" w:lineRule="exact"/>
              <w:jc w:val="center"/>
              <w:rPr>
                <w:rFonts w:ascii="宋体" w:hAnsi="宋体" w:cs="宋体"/>
                <w:color w:val="auto"/>
                <w:sz w:val="24"/>
                <w:highlight w:val="none"/>
              </w:rPr>
            </w:pPr>
            <w:r>
              <w:rPr>
                <w:rFonts w:hint="eastAsia" w:ascii="宋体" w:hAnsi="宋体" w:cs="宋体"/>
                <w:color w:val="auto"/>
                <w:sz w:val="24"/>
                <w:highlight w:val="none"/>
              </w:rPr>
              <w:t>验收报告</w:t>
            </w:r>
          </w:p>
        </w:tc>
        <w:tc>
          <w:tcPr>
            <w:tcW w:w="1276" w:type="dxa"/>
            <w:tcBorders>
              <w:top w:val="single" w:color="auto" w:sz="4" w:space="0"/>
              <w:left w:val="single" w:color="auto" w:sz="4" w:space="0"/>
              <w:bottom w:val="single" w:color="auto" w:sz="4" w:space="0"/>
              <w:right w:val="single" w:color="auto" w:sz="4" w:space="0"/>
            </w:tcBorders>
            <w:vAlign w:val="center"/>
          </w:tcPr>
          <w:p w14:paraId="171DD593">
            <w:pPr>
              <w:snapToGrid w:val="0"/>
              <w:spacing w:line="240" w:lineRule="exact"/>
              <w:jc w:val="center"/>
              <w:rPr>
                <w:rFonts w:ascii="宋体" w:hAnsi="宋体" w:cs="宋体"/>
                <w:color w:val="auto"/>
                <w:sz w:val="24"/>
                <w:highlight w:val="none"/>
              </w:rPr>
            </w:pPr>
            <w:r>
              <w:rPr>
                <w:rFonts w:hint="eastAsia" w:ascii="宋体" w:hAnsi="宋体" w:cs="宋体"/>
                <w:color w:val="auto"/>
                <w:sz w:val="24"/>
                <w:highlight w:val="none"/>
              </w:rPr>
              <w:t>用户评价</w:t>
            </w:r>
          </w:p>
        </w:tc>
        <w:tc>
          <w:tcPr>
            <w:tcW w:w="1367" w:type="dxa"/>
            <w:vMerge w:val="continue"/>
            <w:tcBorders>
              <w:top w:val="single" w:color="auto" w:sz="4" w:space="0"/>
              <w:left w:val="single" w:color="auto" w:sz="4" w:space="0"/>
              <w:bottom w:val="single" w:color="auto" w:sz="4" w:space="0"/>
              <w:right w:val="single" w:color="auto" w:sz="4" w:space="0"/>
            </w:tcBorders>
            <w:vAlign w:val="center"/>
          </w:tcPr>
          <w:p w14:paraId="0A66A731">
            <w:pPr>
              <w:jc w:val="left"/>
              <w:rPr>
                <w:rFonts w:ascii="宋体" w:hAnsi="宋体" w:cs="宋体"/>
                <w:color w:val="auto"/>
                <w:sz w:val="24"/>
                <w:highlight w:val="none"/>
              </w:rPr>
            </w:pPr>
          </w:p>
        </w:tc>
      </w:tr>
      <w:tr w14:paraId="050116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1384" w:type="dxa"/>
            <w:tcBorders>
              <w:top w:val="single" w:color="auto" w:sz="4" w:space="0"/>
              <w:left w:val="single" w:color="auto" w:sz="4" w:space="0"/>
              <w:bottom w:val="single" w:color="auto" w:sz="4" w:space="0"/>
              <w:right w:val="single" w:color="auto" w:sz="4" w:space="0"/>
            </w:tcBorders>
          </w:tcPr>
          <w:p w14:paraId="223CAD8C">
            <w:pPr>
              <w:snapToGrid w:val="0"/>
              <w:spacing w:line="240" w:lineRule="exact"/>
              <w:jc w:val="left"/>
              <w:rPr>
                <w:rFonts w:ascii="宋体" w:hAnsi="宋体" w:cs="宋体"/>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tcPr>
          <w:p w14:paraId="5290B8E4">
            <w:pPr>
              <w:snapToGrid w:val="0"/>
              <w:spacing w:line="240" w:lineRule="exact"/>
              <w:jc w:val="left"/>
              <w:rPr>
                <w:rFonts w:ascii="宋体" w:hAnsi="宋体" w:cs="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tcPr>
          <w:p w14:paraId="50380000">
            <w:pPr>
              <w:snapToGrid w:val="0"/>
              <w:spacing w:line="240" w:lineRule="exact"/>
              <w:jc w:val="left"/>
              <w:rPr>
                <w:rFonts w:ascii="宋体" w:hAnsi="宋体" w:cs="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tcPr>
          <w:p w14:paraId="182773AA">
            <w:pPr>
              <w:snapToGrid w:val="0"/>
              <w:spacing w:line="240" w:lineRule="exact"/>
              <w:jc w:val="left"/>
              <w:rPr>
                <w:rFonts w:ascii="宋体" w:hAnsi="宋体" w:cs="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tcPr>
          <w:p w14:paraId="7E5970CE">
            <w:pPr>
              <w:snapToGrid w:val="0"/>
              <w:spacing w:line="240" w:lineRule="exact"/>
              <w:jc w:val="left"/>
              <w:rPr>
                <w:rFonts w:ascii="宋体" w:hAnsi="宋体" w:cs="宋体"/>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tcPr>
          <w:p w14:paraId="0D982128">
            <w:pPr>
              <w:snapToGrid w:val="0"/>
              <w:spacing w:line="240" w:lineRule="exact"/>
              <w:jc w:val="left"/>
              <w:rPr>
                <w:rFonts w:ascii="宋体" w:hAnsi="宋体" w:cs="宋体"/>
                <w:color w:val="auto"/>
                <w:sz w:val="24"/>
                <w:highlight w:val="none"/>
              </w:rPr>
            </w:pPr>
          </w:p>
        </w:tc>
        <w:tc>
          <w:tcPr>
            <w:tcW w:w="1367" w:type="dxa"/>
            <w:tcBorders>
              <w:top w:val="single" w:color="auto" w:sz="4" w:space="0"/>
              <w:left w:val="single" w:color="auto" w:sz="4" w:space="0"/>
              <w:bottom w:val="single" w:color="auto" w:sz="4" w:space="0"/>
              <w:right w:val="single" w:color="auto" w:sz="4" w:space="0"/>
            </w:tcBorders>
          </w:tcPr>
          <w:p w14:paraId="300687DE">
            <w:pPr>
              <w:snapToGrid w:val="0"/>
              <w:spacing w:line="240" w:lineRule="exact"/>
              <w:jc w:val="left"/>
              <w:rPr>
                <w:rFonts w:ascii="宋体" w:hAnsi="宋体" w:cs="宋体"/>
                <w:color w:val="auto"/>
                <w:sz w:val="24"/>
                <w:highlight w:val="none"/>
              </w:rPr>
            </w:pPr>
          </w:p>
        </w:tc>
      </w:tr>
      <w:tr w14:paraId="5216DC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84" w:type="dxa"/>
            <w:tcBorders>
              <w:top w:val="single" w:color="auto" w:sz="4" w:space="0"/>
              <w:left w:val="single" w:color="auto" w:sz="4" w:space="0"/>
              <w:bottom w:val="single" w:color="auto" w:sz="4" w:space="0"/>
              <w:right w:val="single" w:color="auto" w:sz="4" w:space="0"/>
            </w:tcBorders>
          </w:tcPr>
          <w:p w14:paraId="3E75FEF3">
            <w:pPr>
              <w:snapToGrid w:val="0"/>
              <w:spacing w:before="50" w:after="120" w:afterLines="50" w:line="400" w:lineRule="exact"/>
              <w:jc w:val="left"/>
              <w:rPr>
                <w:rFonts w:ascii="宋体" w:hAnsi="宋体" w:cs="宋体"/>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tcPr>
          <w:p w14:paraId="28E50656">
            <w:pPr>
              <w:snapToGrid w:val="0"/>
              <w:spacing w:before="50" w:after="120" w:afterLines="50" w:line="400" w:lineRule="exact"/>
              <w:jc w:val="left"/>
              <w:rPr>
                <w:rFonts w:ascii="宋体" w:hAnsi="宋体" w:cs="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tcPr>
          <w:p w14:paraId="026AD08D">
            <w:pPr>
              <w:snapToGrid w:val="0"/>
              <w:spacing w:before="50" w:after="120" w:afterLines="50" w:line="400" w:lineRule="exact"/>
              <w:jc w:val="left"/>
              <w:rPr>
                <w:rFonts w:ascii="宋体" w:hAnsi="宋体" w:cs="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tcPr>
          <w:p w14:paraId="258A5621">
            <w:pPr>
              <w:snapToGrid w:val="0"/>
              <w:spacing w:before="50" w:after="120" w:afterLines="50" w:line="400" w:lineRule="exact"/>
              <w:jc w:val="left"/>
              <w:rPr>
                <w:rFonts w:ascii="宋体" w:hAnsi="宋体" w:cs="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tcPr>
          <w:p w14:paraId="66F24107">
            <w:pPr>
              <w:snapToGrid w:val="0"/>
              <w:spacing w:before="50" w:after="120" w:afterLines="50" w:line="400" w:lineRule="exact"/>
              <w:jc w:val="left"/>
              <w:rPr>
                <w:rFonts w:ascii="宋体" w:hAnsi="宋体" w:cs="宋体"/>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tcPr>
          <w:p w14:paraId="0B1DCA4A">
            <w:pPr>
              <w:snapToGrid w:val="0"/>
              <w:spacing w:before="50" w:after="120" w:afterLines="50" w:line="400" w:lineRule="exact"/>
              <w:jc w:val="left"/>
              <w:rPr>
                <w:rFonts w:ascii="宋体" w:hAnsi="宋体" w:cs="宋体"/>
                <w:color w:val="auto"/>
                <w:sz w:val="24"/>
                <w:highlight w:val="none"/>
              </w:rPr>
            </w:pPr>
          </w:p>
        </w:tc>
        <w:tc>
          <w:tcPr>
            <w:tcW w:w="1367" w:type="dxa"/>
            <w:tcBorders>
              <w:top w:val="single" w:color="auto" w:sz="4" w:space="0"/>
              <w:left w:val="single" w:color="auto" w:sz="4" w:space="0"/>
              <w:bottom w:val="single" w:color="auto" w:sz="4" w:space="0"/>
              <w:right w:val="single" w:color="auto" w:sz="4" w:space="0"/>
            </w:tcBorders>
          </w:tcPr>
          <w:p w14:paraId="5ED98E77">
            <w:pPr>
              <w:snapToGrid w:val="0"/>
              <w:spacing w:before="50" w:after="120" w:afterLines="50" w:line="400" w:lineRule="exact"/>
              <w:jc w:val="left"/>
              <w:rPr>
                <w:rFonts w:ascii="宋体" w:hAnsi="宋体" w:cs="宋体"/>
                <w:color w:val="auto"/>
                <w:sz w:val="24"/>
                <w:highlight w:val="none"/>
              </w:rPr>
            </w:pPr>
          </w:p>
        </w:tc>
      </w:tr>
      <w:tr w14:paraId="77CC48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1384" w:type="dxa"/>
            <w:tcBorders>
              <w:top w:val="single" w:color="auto" w:sz="4" w:space="0"/>
              <w:left w:val="single" w:color="auto" w:sz="4" w:space="0"/>
              <w:bottom w:val="single" w:color="auto" w:sz="4" w:space="0"/>
              <w:right w:val="single" w:color="auto" w:sz="4" w:space="0"/>
            </w:tcBorders>
          </w:tcPr>
          <w:p w14:paraId="232F5640">
            <w:pPr>
              <w:snapToGrid w:val="0"/>
              <w:spacing w:before="50" w:after="120" w:afterLines="50" w:line="400" w:lineRule="exact"/>
              <w:jc w:val="left"/>
              <w:rPr>
                <w:rFonts w:ascii="宋体" w:hAnsi="宋体" w:cs="宋体"/>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tcPr>
          <w:p w14:paraId="1110A101">
            <w:pPr>
              <w:snapToGrid w:val="0"/>
              <w:spacing w:before="50" w:after="120" w:afterLines="50" w:line="400" w:lineRule="exact"/>
              <w:jc w:val="left"/>
              <w:rPr>
                <w:rFonts w:ascii="宋体" w:hAnsi="宋体" w:cs="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tcPr>
          <w:p w14:paraId="3E0A2D99">
            <w:pPr>
              <w:snapToGrid w:val="0"/>
              <w:spacing w:before="50" w:after="120" w:afterLines="50" w:line="400" w:lineRule="exact"/>
              <w:jc w:val="left"/>
              <w:rPr>
                <w:rFonts w:ascii="宋体" w:hAnsi="宋体" w:cs="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tcPr>
          <w:p w14:paraId="73F2008D">
            <w:pPr>
              <w:snapToGrid w:val="0"/>
              <w:spacing w:before="50" w:after="120" w:afterLines="50" w:line="400" w:lineRule="exact"/>
              <w:jc w:val="left"/>
              <w:rPr>
                <w:rFonts w:ascii="宋体" w:hAnsi="宋体" w:cs="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tcPr>
          <w:p w14:paraId="6C9AC4EB">
            <w:pPr>
              <w:snapToGrid w:val="0"/>
              <w:spacing w:before="50" w:after="120" w:afterLines="50" w:line="400" w:lineRule="exact"/>
              <w:jc w:val="left"/>
              <w:rPr>
                <w:rFonts w:ascii="宋体" w:hAnsi="宋体" w:cs="宋体"/>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tcPr>
          <w:p w14:paraId="2AF4ED27">
            <w:pPr>
              <w:snapToGrid w:val="0"/>
              <w:spacing w:before="50" w:after="120" w:afterLines="50" w:line="400" w:lineRule="exact"/>
              <w:jc w:val="left"/>
              <w:rPr>
                <w:rFonts w:ascii="宋体" w:hAnsi="宋体" w:cs="宋体"/>
                <w:color w:val="auto"/>
                <w:sz w:val="24"/>
                <w:highlight w:val="none"/>
              </w:rPr>
            </w:pPr>
          </w:p>
        </w:tc>
        <w:tc>
          <w:tcPr>
            <w:tcW w:w="1367" w:type="dxa"/>
            <w:tcBorders>
              <w:top w:val="single" w:color="auto" w:sz="4" w:space="0"/>
              <w:left w:val="single" w:color="auto" w:sz="4" w:space="0"/>
              <w:bottom w:val="single" w:color="auto" w:sz="4" w:space="0"/>
              <w:right w:val="single" w:color="auto" w:sz="4" w:space="0"/>
            </w:tcBorders>
          </w:tcPr>
          <w:p w14:paraId="68312661">
            <w:pPr>
              <w:snapToGrid w:val="0"/>
              <w:spacing w:before="50" w:after="120" w:afterLines="50" w:line="400" w:lineRule="exact"/>
              <w:jc w:val="left"/>
              <w:rPr>
                <w:rFonts w:ascii="宋体" w:hAnsi="宋体" w:cs="宋体"/>
                <w:color w:val="auto"/>
                <w:sz w:val="24"/>
                <w:highlight w:val="none"/>
              </w:rPr>
            </w:pPr>
          </w:p>
        </w:tc>
      </w:tr>
      <w:tr w14:paraId="03695C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84" w:type="dxa"/>
            <w:tcBorders>
              <w:top w:val="single" w:color="auto" w:sz="4" w:space="0"/>
              <w:left w:val="single" w:color="auto" w:sz="4" w:space="0"/>
              <w:bottom w:val="single" w:color="auto" w:sz="4" w:space="0"/>
              <w:right w:val="single" w:color="auto" w:sz="4" w:space="0"/>
            </w:tcBorders>
          </w:tcPr>
          <w:p w14:paraId="2431C8D7">
            <w:pPr>
              <w:snapToGrid w:val="0"/>
              <w:spacing w:before="50" w:after="120" w:afterLines="50" w:line="400" w:lineRule="exact"/>
              <w:jc w:val="left"/>
              <w:rPr>
                <w:rFonts w:ascii="宋体" w:hAnsi="宋体" w:cs="宋体"/>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tcPr>
          <w:p w14:paraId="4A35F32C">
            <w:pPr>
              <w:snapToGrid w:val="0"/>
              <w:spacing w:before="50" w:after="120" w:afterLines="50" w:line="400" w:lineRule="exact"/>
              <w:jc w:val="left"/>
              <w:rPr>
                <w:rFonts w:ascii="宋体" w:hAnsi="宋体" w:cs="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tcPr>
          <w:p w14:paraId="58B4C387">
            <w:pPr>
              <w:snapToGrid w:val="0"/>
              <w:spacing w:before="50" w:after="120" w:afterLines="50" w:line="400" w:lineRule="exact"/>
              <w:jc w:val="left"/>
              <w:rPr>
                <w:rFonts w:ascii="宋体" w:hAnsi="宋体" w:cs="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tcPr>
          <w:p w14:paraId="0F4040AA">
            <w:pPr>
              <w:snapToGrid w:val="0"/>
              <w:spacing w:before="50" w:after="120" w:afterLines="50" w:line="400" w:lineRule="exact"/>
              <w:jc w:val="left"/>
              <w:rPr>
                <w:rFonts w:ascii="宋体" w:hAnsi="宋体" w:cs="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tcPr>
          <w:p w14:paraId="2EF6B4CB">
            <w:pPr>
              <w:snapToGrid w:val="0"/>
              <w:spacing w:before="50" w:after="120" w:afterLines="50" w:line="400" w:lineRule="exact"/>
              <w:jc w:val="left"/>
              <w:rPr>
                <w:rFonts w:ascii="宋体" w:hAnsi="宋体" w:cs="宋体"/>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tcPr>
          <w:p w14:paraId="46F59739">
            <w:pPr>
              <w:snapToGrid w:val="0"/>
              <w:spacing w:before="50" w:after="120" w:afterLines="50" w:line="400" w:lineRule="exact"/>
              <w:jc w:val="left"/>
              <w:rPr>
                <w:rFonts w:ascii="宋体" w:hAnsi="宋体" w:cs="宋体"/>
                <w:color w:val="auto"/>
                <w:sz w:val="24"/>
                <w:highlight w:val="none"/>
              </w:rPr>
            </w:pPr>
          </w:p>
        </w:tc>
        <w:tc>
          <w:tcPr>
            <w:tcW w:w="1367" w:type="dxa"/>
            <w:tcBorders>
              <w:top w:val="single" w:color="auto" w:sz="4" w:space="0"/>
              <w:left w:val="single" w:color="auto" w:sz="4" w:space="0"/>
              <w:bottom w:val="single" w:color="auto" w:sz="4" w:space="0"/>
              <w:right w:val="single" w:color="auto" w:sz="4" w:space="0"/>
            </w:tcBorders>
          </w:tcPr>
          <w:p w14:paraId="2A95195C">
            <w:pPr>
              <w:snapToGrid w:val="0"/>
              <w:spacing w:before="50" w:after="120" w:afterLines="50" w:line="400" w:lineRule="exact"/>
              <w:jc w:val="left"/>
              <w:rPr>
                <w:rFonts w:ascii="宋体" w:hAnsi="宋体" w:cs="宋体"/>
                <w:color w:val="auto"/>
                <w:sz w:val="24"/>
                <w:highlight w:val="none"/>
              </w:rPr>
            </w:pPr>
          </w:p>
        </w:tc>
      </w:tr>
      <w:tr w14:paraId="66E0A2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84" w:type="dxa"/>
            <w:tcBorders>
              <w:top w:val="single" w:color="auto" w:sz="4" w:space="0"/>
              <w:left w:val="single" w:color="auto" w:sz="4" w:space="0"/>
              <w:bottom w:val="single" w:color="auto" w:sz="4" w:space="0"/>
              <w:right w:val="single" w:color="auto" w:sz="4" w:space="0"/>
            </w:tcBorders>
          </w:tcPr>
          <w:p w14:paraId="0D7B11AC">
            <w:pPr>
              <w:snapToGrid w:val="0"/>
              <w:spacing w:before="50" w:after="120" w:afterLines="50" w:line="400" w:lineRule="exact"/>
              <w:jc w:val="left"/>
              <w:rPr>
                <w:rFonts w:ascii="宋体" w:hAnsi="宋体" w:cs="宋体"/>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tcPr>
          <w:p w14:paraId="5DB20262">
            <w:pPr>
              <w:snapToGrid w:val="0"/>
              <w:spacing w:before="50" w:after="120" w:afterLines="50" w:line="400" w:lineRule="exact"/>
              <w:jc w:val="left"/>
              <w:rPr>
                <w:rFonts w:ascii="宋体" w:hAnsi="宋体" w:cs="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tcPr>
          <w:p w14:paraId="1802148C">
            <w:pPr>
              <w:snapToGrid w:val="0"/>
              <w:spacing w:before="50" w:after="120" w:afterLines="50" w:line="400" w:lineRule="exact"/>
              <w:jc w:val="left"/>
              <w:rPr>
                <w:rFonts w:ascii="宋体" w:hAnsi="宋体" w:cs="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tcPr>
          <w:p w14:paraId="514C5E4B">
            <w:pPr>
              <w:snapToGrid w:val="0"/>
              <w:spacing w:before="50" w:after="120" w:afterLines="50" w:line="400" w:lineRule="exact"/>
              <w:jc w:val="left"/>
              <w:rPr>
                <w:rFonts w:ascii="宋体" w:hAnsi="宋体" w:cs="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tcPr>
          <w:p w14:paraId="3A22D467">
            <w:pPr>
              <w:snapToGrid w:val="0"/>
              <w:spacing w:before="50" w:after="120" w:afterLines="50" w:line="400" w:lineRule="exact"/>
              <w:jc w:val="left"/>
              <w:rPr>
                <w:rFonts w:ascii="宋体" w:hAnsi="宋体" w:cs="宋体"/>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tcPr>
          <w:p w14:paraId="2DF6A874">
            <w:pPr>
              <w:snapToGrid w:val="0"/>
              <w:spacing w:before="50" w:after="120" w:afterLines="50" w:line="400" w:lineRule="exact"/>
              <w:jc w:val="left"/>
              <w:rPr>
                <w:rFonts w:ascii="宋体" w:hAnsi="宋体" w:cs="宋体"/>
                <w:color w:val="auto"/>
                <w:sz w:val="24"/>
                <w:highlight w:val="none"/>
              </w:rPr>
            </w:pPr>
          </w:p>
        </w:tc>
        <w:tc>
          <w:tcPr>
            <w:tcW w:w="1367" w:type="dxa"/>
            <w:tcBorders>
              <w:top w:val="single" w:color="auto" w:sz="4" w:space="0"/>
              <w:left w:val="single" w:color="auto" w:sz="4" w:space="0"/>
              <w:bottom w:val="single" w:color="auto" w:sz="4" w:space="0"/>
              <w:right w:val="single" w:color="auto" w:sz="4" w:space="0"/>
            </w:tcBorders>
          </w:tcPr>
          <w:p w14:paraId="25320E7E">
            <w:pPr>
              <w:snapToGrid w:val="0"/>
              <w:spacing w:before="50" w:after="120" w:afterLines="50" w:line="400" w:lineRule="exact"/>
              <w:jc w:val="left"/>
              <w:rPr>
                <w:rFonts w:ascii="宋体" w:hAnsi="宋体" w:cs="宋体"/>
                <w:color w:val="auto"/>
                <w:sz w:val="24"/>
                <w:highlight w:val="none"/>
              </w:rPr>
            </w:pPr>
          </w:p>
        </w:tc>
      </w:tr>
    </w:tbl>
    <w:p w14:paraId="417E232E">
      <w:pPr>
        <w:pStyle w:val="25"/>
        <w:snapToGrid w:val="0"/>
        <w:ind w:left="480" w:hanging="480"/>
        <w:rPr>
          <w:rFonts w:ascii="宋体" w:hAnsi="宋体" w:cs="宋体"/>
          <w:color w:val="auto"/>
          <w:sz w:val="24"/>
          <w:highlight w:val="none"/>
        </w:rPr>
      </w:pPr>
    </w:p>
    <w:p w14:paraId="6DC982AE">
      <w:pPr>
        <w:pStyle w:val="25"/>
        <w:snapToGrid w:val="0"/>
        <w:ind w:left="480" w:hanging="480"/>
        <w:rPr>
          <w:rFonts w:ascii="宋体" w:hAnsi="宋体" w:cs="宋体"/>
          <w:color w:val="auto"/>
          <w:sz w:val="24"/>
          <w:highlight w:val="none"/>
        </w:rPr>
      </w:pPr>
    </w:p>
    <w:p w14:paraId="5E551074">
      <w:pPr>
        <w:autoSpaceDE w:val="0"/>
        <w:autoSpaceDN w:val="0"/>
        <w:spacing w:line="360" w:lineRule="auto"/>
        <w:ind w:firstLine="120"/>
        <w:rPr>
          <w:rFonts w:ascii="宋体" w:hAnsi="宋体" w:cs="宋体"/>
          <w:color w:val="auto"/>
          <w:sz w:val="24"/>
          <w:highlight w:val="none"/>
        </w:rPr>
      </w:pPr>
      <w:r>
        <w:rPr>
          <w:rFonts w:hint="eastAsia" w:ascii="宋体" w:hAnsi="宋体" w:cs="宋体"/>
          <w:b/>
          <w:color w:val="auto"/>
          <w:sz w:val="24"/>
          <w:highlight w:val="none"/>
        </w:rPr>
        <w:t>附表:相关项目业绩一览表（供应商同类项目合同复印件或中标通知书，必须能清晰反映所提供的服务名称、种类、金额（或单价、费率）；未能体现相应内容的，需提供相关证明材料）</w:t>
      </w:r>
    </w:p>
    <w:p w14:paraId="24ADE6C3">
      <w:pPr>
        <w:pStyle w:val="20"/>
        <w:spacing w:line="360" w:lineRule="auto"/>
        <w:ind w:left="72"/>
        <w:rPr>
          <w:rFonts w:hAnsi="宋体" w:cs="宋体"/>
          <w:color w:val="auto"/>
          <w:highlight w:val="none"/>
        </w:rPr>
      </w:pPr>
      <w:r>
        <w:rPr>
          <w:rFonts w:hint="eastAsia" w:hAnsi="宋体" w:cs="宋体"/>
          <w:color w:val="auto"/>
          <w:highlight w:val="none"/>
        </w:rPr>
        <w:t>注：供应商可按上述的格式自行编制，须随表提交相应的合同复印件或中标通知书注明所在供应商商务技术文件页码。</w:t>
      </w:r>
    </w:p>
    <w:p w14:paraId="77073F7E">
      <w:pPr>
        <w:snapToGrid w:val="0"/>
        <w:spacing w:line="360" w:lineRule="auto"/>
        <w:ind w:firstLine="4935" w:firstLineChars="2350"/>
        <w:rPr>
          <w:rFonts w:ascii="宋体" w:hAnsi="宋体" w:cs="宋体"/>
          <w:color w:val="auto"/>
          <w:szCs w:val="21"/>
          <w:highlight w:val="none"/>
        </w:rPr>
      </w:pPr>
    </w:p>
    <w:p w14:paraId="69946CC6">
      <w:pPr>
        <w:snapToGrid w:val="0"/>
        <w:spacing w:line="360" w:lineRule="auto"/>
        <w:ind w:firstLine="4935" w:firstLineChars="2350"/>
        <w:rPr>
          <w:rFonts w:ascii="宋体" w:hAnsi="宋体" w:cs="宋体"/>
          <w:color w:val="auto"/>
          <w:szCs w:val="21"/>
          <w:highlight w:val="none"/>
        </w:rPr>
      </w:pPr>
    </w:p>
    <w:p w14:paraId="45778B55">
      <w:pPr>
        <w:snapToGrid w:val="0"/>
        <w:spacing w:line="360" w:lineRule="auto"/>
        <w:jc w:val="right"/>
        <w:rPr>
          <w:rFonts w:ascii="宋体" w:hAnsi="宋体" w:cs="宋体"/>
          <w:color w:val="auto"/>
          <w:kern w:val="0"/>
          <w:sz w:val="24"/>
          <w:highlight w:val="none"/>
        </w:rPr>
      </w:pPr>
      <w:r>
        <w:rPr>
          <w:rFonts w:hint="eastAsia" w:ascii="宋体" w:hAnsi="宋体" w:cs="宋体"/>
          <w:color w:val="auto"/>
          <w:kern w:val="0"/>
          <w:sz w:val="24"/>
          <w:highlight w:val="none"/>
          <w:lang w:val="zh-CN"/>
        </w:rPr>
        <w:t>供应商名称(电子签章)：</w:t>
      </w:r>
    </w:p>
    <w:p w14:paraId="6A994B20">
      <w:pPr>
        <w:spacing w:line="500" w:lineRule="exact"/>
        <w:jc w:val="center"/>
        <w:rPr>
          <w:rFonts w:ascii="宋体" w:hAnsi="宋体" w:cs="宋体"/>
          <w:color w:val="auto"/>
          <w:sz w:val="32"/>
          <w:szCs w:val="32"/>
          <w:highlight w:val="none"/>
        </w:rPr>
        <w:sectPr>
          <w:pgSz w:w="11910" w:h="16840"/>
          <w:pgMar w:top="1340" w:right="1500" w:bottom="280" w:left="1680" w:header="720" w:footer="720" w:gutter="0"/>
          <w:cols w:space="720" w:num="1"/>
        </w:sectPr>
      </w:pPr>
      <w:r>
        <w:rPr>
          <w:rFonts w:hint="eastAsia" w:ascii="宋体" w:hAnsi="宋体" w:cs="宋体"/>
          <w:color w:val="auto"/>
          <w:kern w:val="0"/>
          <w:sz w:val="24"/>
          <w:highlight w:val="none"/>
          <w:lang w:val="zh-CN"/>
        </w:rPr>
        <w:t xml:space="preserve">                                                     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月日</w:t>
      </w:r>
    </w:p>
    <w:p w14:paraId="75468178">
      <w:pPr>
        <w:spacing w:line="500" w:lineRule="exact"/>
        <w:rPr>
          <w:rFonts w:ascii="宋体" w:hAnsi="宋体" w:cs="宋体"/>
          <w:color w:val="auto"/>
          <w:sz w:val="32"/>
          <w:szCs w:val="32"/>
          <w:highlight w:val="none"/>
        </w:rPr>
      </w:pPr>
    </w:p>
    <w:p w14:paraId="62A2412D">
      <w:pPr>
        <w:snapToGrid w:val="0"/>
        <w:spacing w:line="360" w:lineRule="auto"/>
        <w:ind w:firstLine="602" w:firstLineChars="200"/>
        <w:rPr>
          <w:rFonts w:ascii="宋体" w:hAnsi="宋体" w:cs="宋体"/>
          <w:b/>
          <w:color w:val="auto"/>
          <w:sz w:val="30"/>
          <w:szCs w:val="30"/>
          <w:highlight w:val="none"/>
        </w:rPr>
      </w:pPr>
      <w:r>
        <w:rPr>
          <w:rFonts w:hint="eastAsia" w:ascii="宋体" w:hAnsi="宋体" w:cs="宋体"/>
          <w:b/>
          <w:color w:val="auto"/>
          <w:sz w:val="30"/>
          <w:szCs w:val="30"/>
          <w:highlight w:val="none"/>
        </w:rPr>
        <w:t>七、供应商认为需要提供的其他有关资料</w:t>
      </w:r>
    </w:p>
    <w:p w14:paraId="45F16B7C">
      <w:pPr>
        <w:autoSpaceDE w:val="0"/>
        <w:autoSpaceDN w:val="0"/>
        <w:spacing w:line="360" w:lineRule="auto"/>
        <w:ind w:left="4335" w:leftChars="1950" w:hanging="240" w:hangingChars="100"/>
        <w:rPr>
          <w:rFonts w:ascii="宋体" w:hAnsi="宋体" w:cs="宋体"/>
          <w:color w:val="auto"/>
          <w:kern w:val="0"/>
          <w:sz w:val="24"/>
          <w:highlight w:val="none"/>
        </w:rPr>
      </w:pPr>
    </w:p>
    <w:p w14:paraId="7812FA7F">
      <w:pPr>
        <w:autoSpaceDE w:val="0"/>
        <w:autoSpaceDN w:val="0"/>
        <w:spacing w:line="360" w:lineRule="auto"/>
        <w:ind w:left="4335" w:leftChars="1950" w:hanging="240" w:hangingChars="100"/>
        <w:rPr>
          <w:rFonts w:ascii="宋体" w:hAnsi="宋体" w:cs="宋体"/>
          <w:color w:val="auto"/>
          <w:kern w:val="0"/>
          <w:sz w:val="24"/>
          <w:highlight w:val="none"/>
        </w:rPr>
      </w:pPr>
      <w:r>
        <w:rPr>
          <w:rFonts w:hint="eastAsia" w:ascii="宋体" w:hAnsi="宋体" w:cs="宋体"/>
          <w:color w:val="auto"/>
          <w:kern w:val="0"/>
          <w:sz w:val="24"/>
          <w:highlight w:val="none"/>
        </w:rPr>
        <w:t>供应商名称（电子签章）：</w:t>
      </w:r>
    </w:p>
    <w:p w14:paraId="23E90124">
      <w:pPr>
        <w:autoSpaceDE w:val="0"/>
        <w:autoSpaceDN w:val="0"/>
        <w:spacing w:line="360" w:lineRule="auto"/>
        <w:ind w:firstLine="6480" w:firstLineChars="27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687A8C09">
      <w:pPr>
        <w:spacing w:line="500" w:lineRule="exact"/>
        <w:rPr>
          <w:rFonts w:ascii="宋体" w:hAnsi="宋体" w:cs="宋体"/>
          <w:color w:val="auto"/>
          <w:sz w:val="32"/>
          <w:szCs w:val="32"/>
          <w:highlight w:val="none"/>
        </w:rPr>
        <w:sectPr>
          <w:pgSz w:w="11910" w:h="16840"/>
          <w:pgMar w:top="1340" w:right="1500" w:bottom="280" w:left="1680" w:header="720" w:footer="720" w:gutter="0"/>
          <w:cols w:space="720" w:num="1"/>
        </w:sectPr>
      </w:pPr>
    </w:p>
    <w:p w14:paraId="028E19F5">
      <w:pPr>
        <w:adjustRightInd w:val="0"/>
        <w:snapToGrid w:val="0"/>
        <w:spacing w:line="300" w:lineRule="auto"/>
        <w:rPr>
          <w:rFonts w:ascii="宋体" w:hAnsi="宋体" w:cs="宋体"/>
          <w:color w:val="auto"/>
          <w:szCs w:val="21"/>
          <w:highlight w:val="none"/>
          <w:u w:val="single"/>
        </w:rPr>
      </w:pPr>
    </w:p>
    <w:p w14:paraId="0E2693E8">
      <w:pPr>
        <w:adjustRightInd w:val="0"/>
        <w:snapToGrid w:val="0"/>
        <w:spacing w:line="300" w:lineRule="auto"/>
        <w:rPr>
          <w:rFonts w:ascii="宋体" w:hAnsi="宋体" w:cs="宋体"/>
          <w:color w:val="auto"/>
          <w:szCs w:val="21"/>
          <w:highlight w:val="none"/>
          <w:u w:val="single"/>
        </w:rPr>
      </w:pPr>
    </w:p>
    <w:p w14:paraId="45203D2D">
      <w:pPr>
        <w:adjustRightInd w:val="0"/>
        <w:snapToGrid w:val="0"/>
        <w:spacing w:line="300" w:lineRule="auto"/>
        <w:rPr>
          <w:rFonts w:ascii="宋体" w:hAnsi="宋体" w:cs="宋体"/>
          <w:color w:val="auto"/>
          <w:szCs w:val="21"/>
          <w:highlight w:val="none"/>
          <w:u w:val="single"/>
        </w:rPr>
      </w:pPr>
    </w:p>
    <w:p w14:paraId="64811862">
      <w:pPr>
        <w:adjustRightInd w:val="0"/>
        <w:snapToGrid w:val="0"/>
        <w:spacing w:line="300" w:lineRule="auto"/>
        <w:rPr>
          <w:rFonts w:ascii="宋体" w:hAnsi="宋体" w:cs="宋体"/>
          <w:color w:val="auto"/>
          <w:szCs w:val="21"/>
          <w:highlight w:val="none"/>
          <w:u w:val="single"/>
        </w:rPr>
      </w:pPr>
    </w:p>
    <w:p w14:paraId="21BDDE75">
      <w:pPr>
        <w:adjustRightInd w:val="0"/>
        <w:snapToGrid w:val="0"/>
        <w:spacing w:line="300" w:lineRule="auto"/>
        <w:rPr>
          <w:rFonts w:ascii="宋体" w:hAnsi="宋体" w:cs="宋体"/>
          <w:color w:val="auto"/>
          <w:szCs w:val="21"/>
          <w:highlight w:val="none"/>
          <w:u w:val="single"/>
        </w:rPr>
      </w:pPr>
    </w:p>
    <w:p w14:paraId="4DABDE47">
      <w:pPr>
        <w:adjustRightInd w:val="0"/>
        <w:snapToGrid w:val="0"/>
        <w:spacing w:line="300" w:lineRule="auto"/>
        <w:rPr>
          <w:rFonts w:ascii="宋体" w:hAnsi="宋体" w:cs="宋体"/>
          <w:color w:val="auto"/>
          <w:szCs w:val="21"/>
          <w:highlight w:val="none"/>
          <w:u w:val="single"/>
        </w:rPr>
      </w:pPr>
    </w:p>
    <w:p w14:paraId="534E267D">
      <w:pPr>
        <w:adjustRightInd w:val="0"/>
        <w:snapToGrid w:val="0"/>
        <w:spacing w:line="300" w:lineRule="auto"/>
        <w:rPr>
          <w:rFonts w:ascii="宋体" w:hAnsi="宋体" w:cs="宋体"/>
          <w:color w:val="auto"/>
          <w:szCs w:val="21"/>
          <w:highlight w:val="none"/>
          <w:u w:val="single"/>
        </w:rPr>
      </w:pPr>
    </w:p>
    <w:p w14:paraId="5E89EB98">
      <w:pPr>
        <w:adjustRightInd w:val="0"/>
        <w:snapToGrid w:val="0"/>
        <w:spacing w:line="300" w:lineRule="auto"/>
        <w:rPr>
          <w:rFonts w:ascii="宋体" w:hAnsi="宋体" w:cs="宋体"/>
          <w:color w:val="auto"/>
          <w:szCs w:val="21"/>
          <w:highlight w:val="none"/>
          <w:u w:val="single"/>
        </w:rPr>
      </w:pPr>
    </w:p>
    <w:p w14:paraId="0FA8EA42">
      <w:pPr>
        <w:adjustRightInd w:val="0"/>
        <w:snapToGrid w:val="0"/>
        <w:spacing w:line="300" w:lineRule="auto"/>
        <w:rPr>
          <w:rFonts w:ascii="宋体" w:hAnsi="宋体" w:cs="宋体"/>
          <w:color w:val="auto"/>
          <w:szCs w:val="21"/>
          <w:highlight w:val="none"/>
          <w:u w:val="single"/>
        </w:rPr>
      </w:pPr>
    </w:p>
    <w:p w14:paraId="27FA3C45">
      <w:pPr>
        <w:adjustRightInd w:val="0"/>
        <w:snapToGrid w:val="0"/>
        <w:spacing w:line="300" w:lineRule="auto"/>
        <w:rPr>
          <w:rFonts w:ascii="宋体" w:hAnsi="宋体" w:cs="宋体"/>
          <w:color w:val="auto"/>
          <w:szCs w:val="21"/>
          <w:highlight w:val="none"/>
          <w:u w:val="single"/>
        </w:rPr>
      </w:pPr>
    </w:p>
    <w:p w14:paraId="269F9617">
      <w:pPr>
        <w:adjustRightInd w:val="0"/>
        <w:snapToGrid w:val="0"/>
        <w:spacing w:line="300" w:lineRule="auto"/>
        <w:rPr>
          <w:rFonts w:ascii="宋体" w:hAnsi="宋体" w:cs="宋体"/>
          <w:color w:val="auto"/>
          <w:szCs w:val="21"/>
          <w:highlight w:val="none"/>
          <w:u w:val="single"/>
        </w:rPr>
      </w:pPr>
    </w:p>
    <w:p w14:paraId="07128A71">
      <w:pPr>
        <w:adjustRightInd w:val="0"/>
        <w:snapToGrid w:val="0"/>
        <w:spacing w:line="300" w:lineRule="auto"/>
        <w:rPr>
          <w:rFonts w:ascii="宋体" w:hAnsi="宋体" w:cs="宋体"/>
          <w:color w:val="auto"/>
          <w:szCs w:val="21"/>
          <w:highlight w:val="none"/>
          <w:u w:val="single"/>
        </w:rPr>
      </w:pPr>
    </w:p>
    <w:p w14:paraId="4629551F">
      <w:pPr>
        <w:adjustRightInd w:val="0"/>
        <w:snapToGrid w:val="0"/>
        <w:spacing w:line="300" w:lineRule="auto"/>
        <w:rPr>
          <w:rFonts w:ascii="宋体" w:hAnsi="宋体" w:cs="宋体"/>
          <w:color w:val="auto"/>
          <w:szCs w:val="21"/>
          <w:highlight w:val="none"/>
          <w:u w:val="single"/>
        </w:rPr>
      </w:pPr>
    </w:p>
    <w:p w14:paraId="6B6EBE91">
      <w:pPr>
        <w:adjustRightInd w:val="0"/>
        <w:snapToGrid w:val="0"/>
        <w:spacing w:line="300" w:lineRule="auto"/>
        <w:rPr>
          <w:rFonts w:ascii="宋体" w:hAnsi="宋体" w:cs="宋体"/>
          <w:color w:val="auto"/>
          <w:szCs w:val="21"/>
          <w:highlight w:val="none"/>
          <w:u w:val="single"/>
        </w:rPr>
      </w:pPr>
    </w:p>
    <w:p w14:paraId="1ED8D76B">
      <w:pPr>
        <w:pStyle w:val="98"/>
        <w:spacing w:line="360" w:lineRule="auto"/>
        <w:ind w:firstLine="1040"/>
        <w:jc w:val="center"/>
        <w:rPr>
          <w:rFonts w:ascii="宋体" w:hAnsi="宋体" w:eastAsia="宋体" w:cs="宋体"/>
          <w:color w:val="auto"/>
          <w:sz w:val="52"/>
          <w:szCs w:val="52"/>
          <w:highlight w:val="none"/>
        </w:rPr>
      </w:pPr>
      <w:r>
        <w:rPr>
          <w:rFonts w:hint="eastAsia" w:ascii="宋体" w:hAnsi="宋体" w:eastAsia="宋体" w:cs="宋体"/>
          <w:color w:val="auto"/>
          <w:sz w:val="52"/>
          <w:szCs w:val="52"/>
          <w:highlight w:val="none"/>
        </w:rPr>
        <w:t>技术文件</w:t>
      </w:r>
    </w:p>
    <w:p w14:paraId="22553FDD">
      <w:pPr>
        <w:pStyle w:val="98"/>
        <w:spacing w:line="360" w:lineRule="auto"/>
        <w:ind w:firstLine="1040"/>
        <w:jc w:val="center"/>
        <w:rPr>
          <w:rFonts w:ascii="宋体" w:hAnsi="宋体" w:eastAsia="宋体" w:cs="宋体"/>
          <w:color w:val="auto"/>
          <w:sz w:val="52"/>
          <w:szCs w:val="52"/>
          <w:highlight w:val="none"/>
        </w:rPr>
      </w:pPr>
    </w:p>
    <w:p w14:paraId="156827FC">
      <w:pPr>
        <w:pStyle w:val="98"/>
        <w:spacing w:line="360" w:lineRule="auto"/>
        <w:ind w:firstLine="1040"/>
        <w:jc w:val="center"/>
        <w:rPr>
          <w:rFonts w:ascii="宋体" w:hAnsi="宋体" w:eastAsia="宋体" w:cs="宋体"/>
          <w:color w:val="auto"/>
          <w:sz w:val="52"/>
          <w:szCs w:val="52"/>
          <w:highlight w:val="none"/>
        </w:rPr>
      </w:pPr>
    </w:p>
    <w:p w14:paraId="465FE49C">
      <w:pPr>
        <w:pStyle w:val="98"/>
        <w:spacing w:line="360" w:lineRule="auto"/>
        <w:ind w:firstLine="1040"/>
        <w:jc w:val="center"/>
        <w:rPr>
          <w:rFonts w:ascii="宋体" w:hAnsi="宋体" w:eastAsia="宋体" w:cs="宋体"/>
          <w:color w:val="auto"/>
          <w:sz w:val="52"/>
          <w:szCs w:val="52"/>
          <w:highlight w:val="none"/>
        </w:rPr>
      </w:pPr>
    </w:p>
    <w:p w14:paraId="32EF6B01">
      <w:pPr>
        <w:pStyle w:val="98"/>
        <w:spacing w:line="360" w:lineRule="auto"/>
        <w:ind w:firstLine="1040"/>
        <w:jc w:val="center"/>
        <w:rPr>
          <w:rFonts w:ascii="宋体" w:hAnsi="宋体" w:eastAsia="宋体" w:cs="宋体"/>
          <w:color w:val="auto"/>
          <w:sz w:val="52"/>
          <w:szCs w:val="52"/>
          <w:highlight w:val="none"/>
        </w:rPr>
      </w:pPr>
    </w:p>
    <w:p w14:paraId="74BAA5B5">
      <w:pPr>
        <w:pStyle w:val="98"/>
        <w:spacing w:line="360" w:lineRule="auto"/>
        <w:ind w:firstLine="1040"/>
        <w:jc w:val="center"/>
        <w:rPr>
          <w:rFonts w:ascii="宋体" w:hAnsi="宋体" w:eastAsia="宋体" w:cs="宋体"/>
          <w:color w:val="auto"/>
          <w:sz w:val="52"/>
          <w:szCs w:val="52"/>
          <w:highlight w:val="none"/>
        </w:rPr>
      </w:pPr>
    </w:p>
    <w:p w14:paraId="04EC38C6">
      <w:pPr>
        <w:pStyle w:val="98"/>
        <w:spacing w:line="360" w:lineRule="auto"/>
        <w:ind w:firstLine="1040"/>
        <w:jc w:val="center"/>
        <w:rPr>
          <w:rFonts w:ascii="宋体" w:hAnsi="宋体" w:eastAsia="宋体" w:cs="宋体"/>
          <w:color w:val="auto"/>
          <w:sz w:val="52"/>
          <w:szCs w:val="52"/>
          <w:highlight w:val="none"/>
        </w:rPr>
      </w:pPr>
    </w:p>
    <w:p w14:paraId="49E95556">
      <w:pPr>
        <w:pStyle w:val="98"/>
        <w:spacing w:line="360" w:lineRule="auto"/>
        <w:ind w:firstLine="1040"/>
        <w:jc w:val="center"/>
        <w:rPr>
          <w:rFonts w:ascii="宋体" w:hAnsi="宋体" w:eastAsia="宋体" w:cs="宋体"/>
          <w:color w:val="auto"/>
          <w:sz w:val="52"/>
          <w:szCs w:val="52"/>
          <w:highlight w:val="none"/>
        </w:rPr>
      </w:pPr>
    </w:p>
    <w:p w14:paraId="10DAACB1">
      <w:pPr>
        <w:pStyle w:val="98"/>
        <w:spacing w:line="360" w:lineRule="auto"/>
        <w:ind w:firstLine="1040"/>
        <w:jc w:val="center"/>
        <w:rPr>
          <w:rFonts w:ascii="宋体" w:hAnsi="宋体" w:eastAsia="宋体" w:cs="宋体"/>
          <w:color w:val="auto"/>
          <w:sz w:val="52"/>
          <w:szCs w:val="52"/>
          <w:highlight w:val="none"/>
        </w:rPr>
      </w:pPr>
    </w:p>
    <w:p w14:paraId="319F64D4">
      <w:pPr>
        <w:pStyle w:val="98"/>
        <w:spacing w:line="360" w:lineRule="auto"/>
        <w:ind w:firstLine="1040"/>
        <w:jc w:val="center"/>
        <w:rPr>
          <w:rFonts w:ascii="宋体" w:hAnsi="宋体" w:eastAsia="宋体" w:cs="宋体"/>
          <w:color w:val="auto"/>
          <w:sz w:val="52"/>
          <w:szCs w:val="52"/>
          <w:highlight w:val="none"/>
        </w:rPr>
      </w:pPr>
    </w:p>
    <w:p w14:paraId="793823FA">
      <w:pPr>
        <w:pStyle w:val="98"/>
        <w:spacing w:line="360" w:lineRule="auto"/>
        <w:ind w:firstLine="482"/>
        <w:rPr>
          <w:rFonts w:ascii="宋体" w:hAnsi="宋体" w:eastAsia="宋体" w:cs="宋体"/>
          <w:b/>
          <w:bCs/>
          <w:color w:val="auto"/>
          <w:highlight w:val="none"/>
          <w:lang w:val="zh-CN"/>
        </w:rPr>
      </w:pPr>
      <w:r>
        <w:rPr>
          <w:rFonts w:hint="eastAsia" w:ascii="宋体" w:hAnsi="宋体" w:eastAsia="宋体" w:cs="宋体"/>
          <w:b/>
          <w:bCs/>
          <w:color w:val="auto"/>
          <w:highlight w:val="none"/>
        </w:rPr>
        <w:t>一、需求偏离表</w:t>
      </w:r>
    </w:p>
    <w:p w14:paraId="1AFCFF68">
      <w:pPr>
        <w:spacing w:line="360" w:lineRule="auto"/>
        <w:contextualSpacing/>
        <w:rPr>
          <w:rFonts w:ascii="宋体" w:hAnsi="宋体" w:cs="仿宋_GB2312"/>
          <w:color w:val="auto"/>
          <w:sz w:val="24"/>
          <w:highlight w:val="none"/>
          <w:u w:val="single"/>
        </w:rPr>
      </w:pPr>
      <w:r>
        <w:rPr>
          <w:rFonts w:hint="eastAsia" w:ascii="宋体" w:hAnsi="宋体" w:cs="仿宋_GB2312"/>
          <w:color w:val="auto"/>
          <w:sz w:val="24"/>
          <w:highlight w:val="none"/>
        </w:rPr>
        <w:t>采购项目编号：</w:t>
      </w:r>
    </w:p>
    <w:p w14:paraId="44A99D15">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采购项目名称：</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00"/>
        <w:gridCol w:w="900"/>
        <w:gridCol w:w="2989"/>
        <w:gridCol w:w="2690"/>
        <w:gridCol w:w="1467"/>
      </w:tblGrid>
      <w:tr w14:paraId="39DE97A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00" w:type="dxa"/>
            <w:vAlign w:val="center"/>
          </w:tcPr>
          <w:p w14:paraId="5EDB5DC4">
            <w:pPr>
              <w:spacing w:line="360" w:lineRule="auto"/>
              <w:contextualSpacing/>
              <w:jc w:val="center"/>
              <w:rPr>
                <w:rFonts w:ascii="宋体" w:hAnsi="宋体" w:cs="仿宋_GB2312"/>
                <w:color w:val="auto"/>
                <w:sz w:val="24"/>
                <w:highlight w:val="none"/>
              </w:rPr>
            </w:pPr>
            <w:bookmarkStart w:id="80" w:name="_Toc173066401"/>
            <w:bookmarkStart w:id="81" w:name="_Toc295404981"/>
            <w:bookmarkStart w:id="82" w:name="_Toc383699906"/>
            <w:bookmarkStart w:id="83" w:name="_Toc173211900"/>
            <w:bookmarkStart w:id="84" w:name="_Toc301781611"/>
            <w:bookmarkStart w:id="85" w:name="_Toc373333689"/>
            <w:bookmarkStart w:id="86" w:name="_Toc297193185"/>
            <w:bookmarkStart w:id="87" w:name="_Toc254970729"/>
            <w:bookmarkStart w:id="88" w:name="_Toc254970588"/>
            <w:r>
              <w:rPr>
                <w:rFonts w:hint="eastAsia" w:ascii="宋体" w:hAnsi="宋体" w:cs="仿宋_GB2312"/>
                <w:color w:val="auto"/>
                <w:sz w:val="24"/>
                <w:highlight w:val="none"/>
              </w:rPr>
              <w:t>序号</w:t>
            </w:r>
            <w:bookmarkEnd w:id="80"/>
            <w:bookmarkEnd w:id="81"/>
            <w:bookmarkEnd w:id="82"/>
            <w:bookmarkEnd w:id="83"/>
            <w:bookmarkEnd w:id="84"/>
            <w:bookmarkEnd w:id="85"/>
            <w:bookmarkEnd w:id="86"/>
            <w:bookmarkEnd w:id="87"/>
            <w:bookmarkEnd w:id="88"/>
          </w:p>
        </w:tc>
        <w:tc>
          <w:tcPr>
            <w:tcW w:w="900" w:type="dxa"/>
            <w:tcBorders>
              <w:right w:val="single" w:color="auto" w:sz="4" w:space="0"/>
            </w:tcBorders>
            <w:vAlign w:val="center"/>
          </w:tcPr>
          <w:p w14:paraId="00E5039F">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名称</w:t>
            </w:r>
          </w:p>
        </w:tc>
        <w:tc>
          <w:tcPr>
            <w:tcW w:w="2989" w:type="dxa"/>
            <w:tcBorders>
              <w:left w:val="single" w:color="auto" w:sz="4" w:space="0"/>
            </w:tcBorders>
            <w:vAlign w:val="center"/>
          </w:tcPr>
          <w:p w14:paraId="19F8E0CC">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磋商文件服务需求</w:t>
            </w:r>
          </w:p>
        </w:tc>
        <w:tc>
          <w:tcPr>
            <w:tcW w:w="2690" w:type="dxa"/>
            <w:vAlign w:val="center"/>
          </w:tcPr>
          <w:p w14:paraId="631A6736">
            <w:pPr>
              <w:spacing w:line="360" w:lineRule="auto"/>
              <w:contextualSpacing/>
              <w:jc w:val="center"/>
              <w:rPr>
                <w:rFonts w:ascii="宋体" w:hAnsi="宋体" w:cs="仿宋_GB2312"/>
                <w:color w:val="auto"/>
                <w:sz w:val="24"/>
                <w:highlight w:val="none"/>
              </w:rPr>
            </w:pPr>
            <w:bookmarkStart w:id="89" w:name="_Toc301781613"/>
            <w:bookmarkStart w:id="90" w:name="_Toc383699908"/>
            <w:bookmarkStart w:id="91" w:name="_Toc254970590"/>
            <w:bookmarkStart w:id="92" w:name="_Toc295404983"/>
            <w:bookmarkStart w:id="93" w:name="_Toc254970731"/>
            <w:bookmarkStart w:id="94" w:name="_Toc173211902"/>
            <w:bookmarkStart w:id="95" w:name="_Toc297193187"/>
            <w:bookmarkStart w:id="96" w:name="_Toc173066403"/>
            <w:bookmarkStart w:id="97" w:name="_Toc373333691"/>
            <w:r>
              <w:rPr>
                <w:rFonts w:hint="eastAsia" w:ascii="宋体" w:hAnsi="宋体" w:cs="仿宋_GB2312"/>
                <w:color w:val="auto"/>
                <w:sz w:val="24"/>
                <w:highlight w:val="none"/>
              </w:rPr>
              <w:t>竞标响应</w:t>
            </w:r>
            <w:bookmarkEnd w:id="89"/>
            <w:bookmarkEnd w:id="90"/>
            <w:bookmarkEnd w:id="91"/>
            <w:bookmarkEnd w:id="92"/>
            <w:bookmarkEnd w:id="93"/>
            <w:bookmarkEnd w:id="94"/>
            <w:bookmarkEnd w:id="95"/>
            <w:bookmarkEnd w:id="96"/>
            <w:bookmarkEnd w:id="97"/>
          </w:p>
        </w:tc>
        <w:tc>
          <w:tcPr>
            <w:tcW w:w="1467" w:type="dxa"/>
            <w:vAlign w:val="center"/>
          </w:tcPr>
          <w:p w14:paraId="78BF2BB7">
            <w:pPr>
              <w:spacing w:line="360" w:lineRule="auto"/>
              <w:contextualSpacing/>
              <w:jc w:val="center"/>
              <w:rPr>
                <w:rFonts w:ascii="宋体" w:hAnsi="宋体" w:cs="仿宋_GB2312"/>
                <w:color w:val="auto"/>
                <w:sz w:val="24"/>
                <w:highlight w:val="none"/>
              </w:rPr>
            </w:pPr>
            <w:bookmarkStart w:id="98" w:name="_Toc373333692"/>
            <w:bookmarkStart w:id="99" w:name="_Toc254970732"/>
            <w:bookmarkStart w:id="100" w:name="_Toc301781614"/>
            <w:bookmarkStart w:id="101" w:name="_Toc254970591"/>
            <w:bookmarkStart w:id="102" w:name="_Toc383699909"/>
            <w:bookmarkStart w:id="103" w:name="_Toc173211903"/>
            <w:bookmarkStart w:id="104" w:name="_Toc297193188"/>
            <w:bookmarkStart w:id="105" w:name="_Toc173066404"/>
            <w:bookmarkStart w:id="106" w:name="_Toc295404984"/>
            <w:r>
              <w:rPr>
                <w:rFonts w:hint="eastAsia" w:ascii="宋体" w:hAnsi="宋体" w:cs="仿宋_GB2312"/>
                <w:color w:val="auto"/>
                <w:sz w:val="24"/>
                <w:highlight w:val="none"/>
              </w:rPr>
              <w:t>偏离</w:t>
            </w:r>
            <w:bookmarkEnd w:id="98"/>
            <w:bookmarkEnd w:id="99"/>
            <w:bookmarkEnd w:id="100"/>
            <w:bookmarkEnd w:id="101"/>
            <w:bookmarkEnd w:id="102"/>
            <w:bookmarkEnd w:id="103"/>
            <w:bookmarkEnd w:id="104"/>
            <w:bookmarkEnd w:id="105"/>
            <w:bookmarkEnd w:id="106"/>
            <w:bookmarkStart w:id="107" w:name="_Toc254970592"/>
            <w:bookmarkStart w:id="108" w:name="_Toc295404985"/>
            <w:bookmarkStart w:id="109" w:name="_Toc383699910"/>
            <w:bookmarkStart w:id="110" w:name="_Toc297193189"/>
            <w:bookmarkStart w:id="111" w:name="_Toc173066405"/>
            <w:bookmarkStart w:id="112" w:name="_Toc373333693"/>
            <w:bookmarkStart w:id="113" w:name="_Toc254970733"/>
            <w:bookmarkStart w:id="114" w:name="_Toc301781615"/>
            <w:bookmarkStart w:id="115" w:name="_Toc173211904"/>
            <w:r>
              <w:rPr>
                <w:rFonts w:hint="eastAsia" w:ascii="宋体" w:hAnsi="宋体" w:cs="仿宋_GB2312"/>
                <w:color w:val="auto"/>
                <w:sz w:val="24"/>
                <w:highlight w:val="none"/>
              </w:rPr>
              <w:t>说明</w:t>
            </w:r>
            <w:bookmarkEnd w:id="107"/>
            <w:bookmarkEnd w:id="108"/>
            <w:bookmarkEnd w:id="109"/>
            <w:bookmarkEnd w:id="110"/>
            <w:bookmarkEnd w:id="111"/>
            <w:bookmarkEnd w:id="112"/>
            <w:bookmarkEnd w:id="113"/>
            <w:bookmarkEnd w:id="114"/>
            <w:bookmarkEnd w:id="115"/>
          </w:p>
        </w:tc>
      </w:tr>
      <w:tr w14:paraId="3AADBB9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00" w:type="dxa"/>
            <w:vAlign w:val="center"/>
          </w:tcPr>
          <w:p w14:paraId="5ACE76D4">
            <w:pPr>
              <w:spacing w:line="360" w:lineRule="auto"/>
              <w:contextualSpacing/>
              <w:jc w:val="center"/>
              <w:rPr>
                <w:rFonts w:ascii="宋体" w:hAnsi="宋体" w:cs="仿宋_GB2312"/>
                <w:color w:val="auto"/>
                <w:sz w:val="24"/>
                <w:highlight w:val="none"/>
              </w:rPr>
            </w:pPr>
            <w:bookmarkStart w:id="116" w:name="_Toc173211905"/>
            <w:bookmarkStart w:id="117" w:name="_Toc254970734"/>
            <w:bookmarkStart w:id="118" w:name="_Toc297193190"/>
            <w:bookmarkStart w:id="119" w:name="_Toc295404986"/>
            <w:bookmarkStart w:id="120" w:name="_Toc173066406"/>
            <w:bookmarkStart w:id="121" w:name="_Toc301781616"/>
            <w:bookmarkStart w:id="122" w:name="_Toc254970593"/>
            <w:bookmarkStart w:id="123" w:name="_Toc373333694"/>
            <w:bookmarkStart w:id="124" w:name="_Toc383699911"/>
            <w:r>
              <w:rPr>
                <w:rFonts w:hint="eastAsia" w:ascii="宋体" w:hAnsi="宋体" w:cs="仿宋_GB2312"/>
                <w:color w:val="auto"/>
                <w:sz w:val="24"/>
                <w:highlight w:val="none"/>
              </w:rPr>
              <w:t>1</w:t>
            </w:r>
            <w:bookmarkEnd w:id="116"/>
            <w:bookmarkEnd w:id="117"/>
            <w:bookmarkEnd w:id="118"/>
            <w:bookmarkEnd w:id="119"/>
            <w:bookmarkEnd w:id="120"/>
            <w:bookmarkEnd w:id="121"/>
            <w:bookmarkEnd w:id="122"/>
            <w:bookmarkEnd w:id="123"/>
            <w:bookmarkEnd w:id="124"/>
          </w:p>
        </w:tc>
        <w:tc>
          <w:tcPr>
            <w:tcW w:w="900" w:type="dxa"/>
            <w:tcBorders>
              <w:right w:val="single" w:color="auto" w:sz="4" w:space="0"/>
            </w:tcBorders>
            <w:vAlign w:val="center"/>
          </w:tcPr>
          <w:p w14:paraId="136A0F19">
            <w:pPr>
              <w:spacing w:line="360" w:lineRule="auto"/>
              <w:contextualSpacing/>
              <w:jc w:val="center"/>
              <w:rPr>
                <w:rFonts w:ascii="宋体" w:hAnsi="宋体" w:cs="仿宋_GB2312"/>
                <w:color w:val="auto"/>
                <w:sz w:val="24"/>
                <w:highlight w:val="none"/>
              </w:rPr>
            </w:pPr>
          </w:p>
        </w:tc>
        <w:tc>
          <w:tcPr>
            <w:tcW w:w="2989" w:type="dxa"/>
            <w:tcBorders>
              <w:left w:val="single" w:color="auto" w:sz="4" w:space="0"/>
            </w:tcBorders>
            <w:vAlign w:val="center"/>
          </w:tcPr>
          <w:p w14:paraId="687FAE60">
            <w:pPr>
              <w:spacing w:line="360" w:lineRule="auto"/>
              <w:contextualSpacing/>
              <w:jc w:val="center"/>
              <w:rPr>
                <w:rFonts w:ascii="宋体" w:hAnsi="宋体" w:cs="仿宋_GB2312"/>
                <w:color w:val="auto"/>
                <w:sz w:val="24"/>
                <w:highlight w:val="none"/>
              </w:rPr>
            </w:pPr>
          </w:p>
        </w:tc>
        <w:tc>
          <w:tcPr>
            <w:tcW w:w="2690" w:type="dxa"/>
            <w:vAlign w:val="center"/>
          </w:tcPr>
          <w:p w14:paraId="0D6A1B96">
            <w:pPr>
              <w:spacing w:line="360" w:lineRule="auto"/>
              <w:contextualSpacing/>
              <w:jc w:val="center"/>
              <w:rPr>
                <w:rFonts w:ascii="宋体" w:hAnsi="宋体" w:cs="仿宋_GB2312"/>
                <w:color w:val="auto"/>
                <w:sz w:val="24"/>
                <w:highlight w:val="none"/>
              </w:rPr>
            </w:pPr>
          </w:p>
        </w:tc>
        <w:tc>
          <w:tcPr>
            <w:tcW w:w="1467" w:type="dxa"/>
            <w:vAlign w:val="center"/>
          </w:tcPr>
          <w:p w14:paraId="2AA231FA">
            <w:pPr>
              <w:spacing w:line="360" w:lineRule="auto"/>
              <w:contextualSpacing/>
              <w:jc w:val="center"/>
              <w:rPr>
                <w:rFonts w:ascii="宋体" w:hAnsi="宋体" w:cs="仿宋_GB2312"/>
                <w:color w:val="auto"/>
                <w:sz w:val="24"/>
                <w:highlight w:val="none"/>
              </w:rPr>
            </w:pPr>
          </w:p>
        </w:tc>
      </w:tr>
      <w:tr w14:paraId="511C49F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00" w:type="dxa"/>
            <w:vAlign w:val="center"/>
          </w:tcPr>
          <w:p w14:paraId="30D6FBC9">
            <w:pPr>
              <w:spacing w:line="360" w:lineRule="auto"/>
              <w:contextualSpacing/>
              <w:jc w:val="center"/>
              <w:rPr>
                <w:rFonts w:ascii="宋体" w:hAnsi="宋体" w:cs="仿宋_GB2312"/>
                <w:color w:val="auto"/>
                <w:sz w:val="24"/>
                <w:highlight w:val="none"/>
              </w:rPr>
            </w:pPr>
            <w:bookmarkStart w:id="125" w:name="_Toc383699912"/>
            <w:bookmarkStart w:id="126" w:name="_Toc173066407"/>
            <w:bookmarkStart w:id="127" w:name="_Toc254970594"/>
            <w:bookmarkStart w:id="128" w:name="_Toc254970735"/>
            <w:bookmarkStart w:id="129" w:name="_Toc301781617"/>
            <w:bookmarkStart w:id="130" w:name="_Toc373333695"/>
            <w:bookmarkStart w:id="131" w:name="_Toc297193191"/>
            <w:bookmarkStart w:id="132" w:name="_Toc295404987"/>
            <w:bookmarkStart w:id="133" w:name="_Toc173211906"/>
            <w:r>
              <w:rPr>
                <w:rFonts w:hint="eastAsia" w:ascii="宋体" w:hAnsi="宋体" w:cs="仿宋_GB2312"/>
                <w:color w:val="auto"/>
                <w:sz w:val="24"/>
                <w:highlight w:val="none"/>
              </w:rPr>
              <w:t>2</w:t>
            </w:r>
            <w:bookmarkEnd w:id="125"/>
            <w:bookmarkEnd w:id="126"/>
            <w:bookmarkEnd w:id="127"/>
            <w:bookmarkEnd w:id="128"/>
            <w:bookmarkEnd w:id="129"/>
            <w:bookmarkEnd w:id="130"/>
            <w:bookmarkEnd w:id="131"/>
            <w:bookmarkEnd w:id="132"/>
            <w:bookmarkEnd w:id="133"/>
          </w:p>
        </w:tc>
        <w:tc>
          <w:tcPr>
            <w:tcW w:w="900" w:type="dxa"/>
            <w:tcBorders>
              <w:right w:val="single" w:color="auto" w:sz="4" w:space="0"/>
            </w:tcBorders>
            <w:vAlign w:val="center"/>
          </w:tcPr>
          <w:p w14:paraId="2CEBB63F">
            <w:pPr>
              <w:spacing w:line="360" w:lineRule="auto"/>
              <w:contextualSpacing/>
              <w:jc w:val="center"/>
              <w:rPr>
                <w:rFonts w:ascii="宋体" w:hAnsi="宋体" w:cs="仿宋_GB2312"/>
                <w:color w:val="auto"/>
                <w:sz w:val="24"/>
                <w:highlight w:val="none"/>
              </w:rPr>
            </w:pPr>
          </w:p>
        </w:tc>
        <w:tc>
          <w:tcPr>
            <w:tcW w:w="2989" w:type="dxa"/>
            <w:tcBorders>
              <w:left w:val="single" w:color="auto" w:sz="4" w:space="0"/>
            </w:tcBorders>
            <w:vAlign w:val="center"/>
          </w:tcPr>
          <w:p w14:paraId="5949CF81">
            <w:pPr>
              <w:spacing w:line="360" w:lineRule="auto"/>
              <w:contextualSpacing/>
              <w:jc w:val="center"/>
              <w:rPr>
                <w:rFonts w:ascii="宋体" w:hAnsi="宋体" w:cs="仿宋_GB2312"/>
                <w:color w:val="auto"/>
                <w:sz w:val="24"/>
                <w:highlight w:val="none"/>
              </w:rPr>
            </w:pPr>
          </w:p>
        </w:tc>
        <w:tc>
          <w:tcPr>
            <w:tcW w:w="2690" w:type="dxa"/>
            <w:vAlign w:val="center"/>
          </w:tcPr>
          <w:p w14:paraId="0160AD13">
            <w:pPr>
              <w:spacing w:line="360" w:lineRule="auto"/>
              <w:contextualSpacing/>
              <w:jc w:val="center"/>
              <w:rPr>
                <w:rFonts w:ascii="宋体" w:hAnsi="宋体" w:cs="仿宋_GB2312"/>
                <w:color w:val="auto"/>
                <w:sz w:val="24"/>
                <w:highlight w:val="none"/>
              </w:rPr>
            </w:pPr>
          </w:p>
        </w:tc>
        <w:tc>
          <w:tcPr>
            <w:tcW w:w="1467" w:type="dxa"/>
            <w:vAlign w:val="center"/>
          </w:tcPr>
          <w:p w14:paraId="471C4581">
            <w:pPr>
              <w:spacing w:line="360" w:lineRule="auto"/>
              <w:contextualSpacing/>
              <w:jc w:val="center"/>
              <w:rPr>
                <w:rFonts w:ascii="宋体" w:hAnsi="宋体" w:cs="仿宋_GB2312"/>
                <w:color w:val="auto"/>
                <w:sz w:val="24"/>
                <w:highlight w:val="none"/>
              </w:rPr>
            </w:pPr>
          </w:p>
        </w:tc>
      </w:tr>
      <w:tr w14:paraId="5417D44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00" w:type="dxa"/>
            <w:vAlign w:val="center"/>
          </w:tcPr>
          <w:p w14:paraId="33545571">
            <w:pPr>
              <w:spacing w:line="360" w:lineRule="auto"/>
              <w:contextualSpacing/>
              <w:jc w:val="center"/>
              <w:rPr>
                <w:rFonts w:ascii="宋体" w:hAnsi="宋体" w:cs="仿宋_GB2312"/>
                <w:color w:val="auto"/>
                <w:sz w:val="24"/>
                <w:highlight w:val="none"/>
              </w:rPr>
            </w:pPr>
            <w:bookmarkStart w:id="134" w:name="_Toc295404988"/>
            <w:bookmarkStart w:id="135" w:name="_Toc173066408"/>
            <w:bookmarkStart w:id="136" w:name="_Toc373333696"/>
            <w:bookmarkStart w:id="137" w:name="_Toc297193192"/>
            <w:bookmarkStart w:id="138" w:name="_Toc254970736"/>
            <w:bookmarkStart w:id="139" w:name="_Toc254970595"/>
            <w:bookmarkStart w:id="140" w:name="_Toc301781618"/>
            <w:bookmarkStart w:id="141" w:name="_Toc173211907"/>
            <w:bookmarkStart w:id="142" w:name="_Toc383699913"/>
            <w:r>
              <w:rPr>
                <w:rFonts w:hint="eastAsia" w:ascii="宋体" w:hAnsi="宋体" w:cs="仿宋_GB2312"/>
                <w:color w:val="auto"/>
                <w:sz w:val="24"/>
                <w:highlight w:val="none"/>
              </w:rPr>
              <w:t>3</w:t>
            </w:r>
            <w:bookmarkEnd w:id="134"/>
            <w:bookmarkEnd w:id="135"/>
            <w:bookmarkEnd w:id="136"/>
            <w:bookmarkEnd w:id="137"/>
            <w:bookmarkEnd w:id="138"/>
            <w:bookmarkEnd w:id="139"/>
            <w:bookmarkEnd w:id="140"/>
            <w:bookmarkEnd w:id="141"/>
            <w:bookmarkEnd w:id="142"/>
          </w:p>
        </w:tc>
        <w:tc>
          <w:tcPr>
            <w:tcW w:w="900" w:type="dxa"/>
            <w:tcBorders>
              <w:right w:val="single" w:color="auto" w:sz="4" w:space="0"/>
            </w:tcBorders>
            <w:vAlign w:val="center"/>
          </w:tcPr>
          <w:p w14:paraId="58730E55">
            <w:pPr>
              <w:spacing w:line="360" w:lineRule="auto"/>
              <w:contextualSpacing/>
              <w:jc w:val="center"/>
              <w:rPr>
                <w:rFonts w:ascii="宋体" w:hAnsi="宋体" w:cs="仿宋_GB2312"/>
                <w:color w:val="auto"/>
                <w:sz w:val="24"/>
                <w:highlight w:val="none"/>
              </w:rPr>
            </w:pPr>
          </w:p>
        </w:tc>
        <w:tc>
          <w:tcPr>
            <w:tcW w:w="2989" w:type="dxa"/>
            <w:tcBorders>
              <w:left w:val="single" w:color="auto" w:sz="4" w:space="0"/>
            </w:tcBorders>
            <w:vAlign w:val="center"/>
          </w:tcPr>
          <w:p w14:paraId="3AE6532F">
            <w:pPr>
              <w:spacing w:line="360" w:lineRule="auto"/>
              <w:contextualSpacing/>
              <w:jc w:val="center"/>
              <w:rPr>
                <w:rFonts w:ascii="宋体" w:hAnsi="宋体" w:cs="仿宋_GB2312"/>
                <w:color w:val="auto"/>
                <w:sz w:val="24"/>
                <w:highlight w:val="none"/>
              </w:rPr>
            </w:pPr>
          </w:p>
        </w:tc>
        <w:tc>
          <w:tcPr>
            <w:tcW w:w="2690" w:type="dxa"/>
            <w:vAlign w:val="center"/>
          </w:tcPr>
          <w:p w14:paraId="376902A7">
            <w:pPr>
              <w:spacing w:line="360" w:lineRule="auto"/>
              <w:contextualSpacing/>
              <w:jc w:val="center"/>
              <w:rPr>
                <w:rFonts w:ascii="宋体" w:hAnsi="宋体" w:cs="仿宋_GB2312"/>
                <w:color w:val="auto"/>
                <w:sz w:val="24"/>
                <w:highlight w:val="none"/>
              </w:rPr>
            </w:pPr>
          </w:p>
        </w:tc>
        <w:tc>
          <w:tcPr>
            <w:tcW w:w="1467" w:type="dxa"/>
            <w:vAlign w:val="center"/>
          </w:tcPr>
          <w:p w14:paraId="3672BD67">
            <w:pPr>
              <w:spacing w:line="360" w:lineRule="auto"/>
              <w:contextualSpacing/>
              <w:jc w:val="center"/>
              <w:rPr>
                <w:rFonts w:ascii="宋体" w:hAnsi="宋体" w:cs="仿宋_GB2312"/>
                <w:color w:val="auto"/>
                <w:sz w:val="24"/>
                <w:highlight w:val="none"/>
              </w:rPr>
            </w:pPr>
          </w:p>
        </w:tc>
      </w:tr>
      <w:tr w14:paraId="43E4E45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00" w:type="dxa"/>
            <w:vAlign w:val="center"/>
          </w:tcPr>
          <w:p w14:paraId="5096D671">
            <w:pPr>
              <w:spacing w:line="360" w:lineRule="auto"/>
              <w:contextualSpacing/>
              <w:jc w:val="center"/>
              <w:rPr>
                <w:rFonts w:ascii="宋体" w:hAnsi="宋体" w:cs="仿宋_GB2312"/>
                <w:color w:val="auto"/>
                <w:sz w:val="24"/>
                <w:highlight w:val="none"/>
              </w:rPr>
            </w:pPr>
            <w:bookmarkStart w:id="143" w:name="_Toc173066409"/>
            <w:bookmarkStart w:id="144" w:name="_Toc254970596"/>
            <w:bookmarkStart w:id="145" w:name="_Toc297193193"/>
            <w:bookmarkStart w:id="146" w:name="_Toc373333697"/>
            <w:bookmarkStart w:id="147" w:name="_Toc295404989"/>
            <w:bookmarkStart w:id="148" w:name="_Toc301781619"/>
            <w:bookmarkStart w:id="149" w:name="_Toc254970737"/>
            <w:bookmarkStart w:id="150" w:name="_Toc383699914"/>
            <w:bookmarkStart w:id="151" w:name="_Toc173211908"/>
            <w:r>
              <w:rPr>
                <w:rFonts w:hint="eastAsia" w:ascii="宋体" w:hAnsi="宋体" w:cs="仿宋_GB2312"/>
                <w:color w:val="auto"/>
                <w:sz w:val="24"/>
                <w:highlight w:val="none"/>
              </w:rPr>
              <w:t>4</w:t>
            </w:r>
            <w:bookmarkEnd w:id="143"/>
            <w:bookmarkEnd w:id="144"/>
            <w:bookmarkEnd w:id="145"/>
            <w:bookmarkEnd w:id="146"/>
            <w:bookmarkEnd w:id="147"/>
            <w:bookmarkEnd w:id="148"/>
            <w:bookmarkEnd w:id="149"/>
            <w:bookmarkEnd w:id="150"/>
            <w:bookmarkEnd w:id="151"/>
          </w:p>
        </w:tc>
        <w:tc>
          <w:tcPr>
            <w:tcW w:w="900" w:type="dxa"/>
            <w:tcBorders>
              <w:right w:val="single" w:color="auto" w:sz="4" w:space="0"/>
            </w:tcBorders>
            <w:vAlign w:val="center"/>
          </w:tcPr>
          <w:p w14:paraId="104AABF1">
            <w:pPr>
              <w:spacing w:line="360" w:lineRule="auto"/>
              <w:contextualSpacing/>
              <w:jc w:val="center"/>
              <w:rPr>
                <w:rFonts w:ascii="宋体" w:hAnsi="宋体" w:cs="仿宋_GB2312"/>
                <w:color w:val="auto"/>
                <w:sz w:val="24"/>
                <w:highlight w:val="none"/>
              </w:rPr>
            </w:pPr>
          </w:p>
        </w:tc>
        <w:tc>
          <w:tcPr>
            <w:tcW w:w="2989" w:type="dxa"/>
            <w:tcBorders>
              <w:left w:val="single" w:color="auto" w:sz="4" w:space="0"/>
            </w:tcBorders>
            <w:vAlign w:val="center"/>
          </w:tcPr>
          <w:p w14:paraId="77C93F31">
            <w:pPr>
              <w:spacing w:line="360" w:lineRule="auto"/>
              <w:contextualSpacing/>
              <w:jc w:val="center"/>
              <w:rPr>
                <w:rFonts w:ascii="宋体" w:hAnsi="宋体" w:cs="仿宋_GB2312"/>
                <w:color w:val="auto"/>
                <w:sz w:val="24"/>
                <w:highlight w:val="none"/>
              </w:rPr>
            </w:pPr>
          </w:p>
        </w:tc>
        <w:tc>
          <w:tcPr>
            <w:tcW w:w="2690" w:type="dxa"/>
            <w:vAlign w:val="center"/>
          </w:tcPr>
          <w:p w14:paraId="39002B0D">
            <w:pPr>
              <w:spacing w:line="360" w:lineRule="auto"/>
              <w:contextualSpacing/>
              <w:jc w:val="center"/>
              <w:rPr>
                <w:rFonts w:ascii="宋体" w:hAnsi="宋体" w:cs="仿宋_GB2312"/>
                <w:color w:val="auto"/>
                <w:sz w:val="24"/>
                <w:highlight w:val="none"/>
              </w:rPr>
            </w:pPr>
          </w:p>
        </w:tc>
        <w:tc>
          <w:tcPr>
            <w:tcW w:w="1467" w:type="dxa"/>
            <w:vAlign w:val="center"/>
          </w:tcPr>
          <w:p w14:paraId="117932E3">
            <w:pPr>
              <w:spacing w:line="360" w:lineRule="auto"/>
              <w:contextualSpacing/>
              <w:jc w:val="center"/>
              <w:rPr>
                <w:rFonts w:ascii="宋体" w:hAnsi="宋体" w:cs="仿宋_GB2312"/>
                <w:color w:val="auto"/>
                <w:sz w:val="24"/>
                <w:highlight w:val="none"/>
              </w:rPr>
            </w:pPr>
          </w:p>
        </w:tc>
      </w:tr>
      <w:tr w14:paraId="4AD1023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00" w:type="dxa"/>
            <w:vAlign w:val="center"/>
          </w:tcPr>
          <w:p w14:paraId="31C42100">
            <w:pPr>
              <w:spacing w:line="360" w:lineRule="auto"/>
              <w:contextualSpacing/>
              <w:jc w:val="center"/>
              <w:rPr>
                <w:rFonts w:ascii="宋体" w:hAnsi="宋体" w:cs="仿宋_GB2312"/>
                <w:color w:val="auto"/>
                <w:sz w:val="24"/>
                <w:highlight w:val="none"/>
              </w:rPr>
            </w:pPr>
            <w:bookmarkStart w:id="152" w:name="_Toc295404990"/>
            <w:bookmarkStart w:id="153" w:name="_Toc173211909"/>
            <w:bookmarkStart w:id="154" w:name="_Toc383699915"/>
            <w:bookmarkStart w:id="155" w:name="_Toc254970738"/>
            <w:bookmarkStart w:id="156" w:name="_Toc373333698"/>
            <w:bookmarkStart w:id="157" w:name="_Toc297193194"/>
            <w:bookmarkStart w:id="158" w:name="_Toc301781620"/>
            <w:bookmarkStart w:id="159" w:name="_Toc254970597"/>
            <w:bookmarkStart w:id="160" w:name="_Toc173066410"/>
            <w:r>
              <w:rPr>
                <w:rFonts w:hint="eastAsia" w:ascii="宋体" w:hAnsi="宋体" w:cs="仿宋_GB2312"/>
                <w:color w:val="auto"/>
                <w:sz w:val="24"/>
                <w:highlight w:val="none"/>
              </w:rPr>
              <w:t>5</w:t>
            </w:r>
            <w:bookmarkEnd w:id="152"/>
            <w:bookmarkEnd w:id="153"/>
            <w:bookmarkEnd w:id="154"/>
            <w:bookmarkEnd w:id="155"/>
            <w:bookmarkEnd w:id="156"/>
            <w:bookmarkEnd w:id="157"/>
            <w:bookmarkEnd w:id="158"/>
            <w:bookmarkEnd w:id="159"/>
            <w:bookmarkEnd w:id="160"/>
          </w:p>
        </w:tc>
        <w:tc>
          <w:tcPr>
            <w:tcW w:w="900" w:type="dxa"/>
            <w:tcBorders>
              <w:right w:val="single" w:color="auto" w:sz="4" w:space="0"/>
            </w:tcBorders>
            <w:vAlign w:val="center"/>
          </w:tcPr>
          <w:p w14:paraId="0EC6F264">
            <w:pPr>
              <w:spacing w:line="360" w:lineRule="auto"/>
              <w:contextualSpacing/>
              <w:jc w:val="center"/>
              <w:rPr>
                <w:rFonts w:ascii="宋体" w:hAnsi="宋体" w:cs="仿宋_GB2312"/>
                <w:color w:val="auto"/>
                <w:sz w:val="24"/>
                <w:highlight w:val="none"/>
              </w:rPr>
            </w:pPr>
          </w:p>
        </w:tc>
        <w:tc>
          <w:tcPr>
            <w:tcW w:w="2989" w:type="dxa"/>
            <w:tcBorders>
              <w:left w:val="single" w:color="auto" w:sz="4" w:space="0"/>
            </w:tcBorders>
            <w:vAlign w:val="center"/>
          </w:tcPr>
          <w:p w14:paraId="06325CA2">
            <w:pPr>
              <w:spacing w:line="360" w:lineRule="auto"/>
              <w:contextualSpacing/>
              <w:jc w:val="center"/>
              <w:rPr>
                <w:rFonts w:ascii="宋体" w:hAnsi="宋体" w:cs="仿宋_GB2312"/>
                <w:color w:val="auto"/>
                <w:sz w:val="24"/>
                <w:highlight w:val="none"/>
              </w:rPr>
            </w:pPr>
          </w:p>
        </w:tc>
        <w:tc>
          <w:tcPr>
            <w:tcW w:w="2690" w:type="dxa"/>
            <w:vAlign w:val="center"/>
          </w:tcPr>
          <w:p w14:paraId="32D3B6CE">
            <w:pPr>
              <w:spacing w:line="360" w:lineRule="auto"/>
              <w:contextualSpacing/>
              <w:jc w:val="center"/>
              <w:rPr>
                <w:rFonts w:ascii="宋体" w:hAnsi="宋体" w:cs="仿宋_GB2312"/>
                <w:color w:val="auto"/>
                <w:sz w:val="24"/>
                <w:highlight w:val="none"/>
              </w:rPr>
            </w:pPr>
          </w:p>
        </w:tc>
        <w:tc>
          <w:tcPr>
            <w:tcW w:w="1467" w:type="dxa"/>
            <w:vAlign w:val="center"/>
          </w:tcPr>
          <w:p w14:paraId="0441BB6E">
            <w:pPr>
              <w:spacing w:line="360" w:lineRule="auto"/>
              <w:contextualSpacing/>
              <w:jc w:val="center"/>
              <w:rPr>
                <w:rFonts w:ascii="宋体" w:hAnsi="宋体" w:cs="仿宋_GB2312"/>
                <w:color w:val="auto"/>
                <w:sz w:val="24"/>
                <w:highlight w:val="none"/>
              </w:rPr>
            </w:pPr>
          </w:p>
        </w:tc>
      </w:tr>
      <w:tr w14:paraId="4352301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900" w:type="dxa"/>
            <w:vAlign w:val="center"/>
          </w:tcPr>
          <w:p w14:paraId="3C45440D">
            <w:pPr>
              <w:spacing w:line="360" w:lineRule="auto"/>
              <w:contextualSpacing/>
              <w:jc w:val="center"/>
              <w:rPr>
                <w:rFonts w:ascii="宋体" w:hAnsi="宋体" w:cs="仿宋_GB2312"/>
                <w:color w:val="auto"/>
                <w:sz w:val="24"/>
                <w:highlight w:val="none"/>
              </w:rPr>
            </w:pPr>
            <w:bookmarkStart w:id="161" w:name="_Toc297193195"/>
            <w:bookmarkStart w:id="162" w:name="_Toc173211914"/>
            <w:bookmarkStart w:id="163" w:name="_Toc295404991"/>
            <w:bookmarkStart w:id="164" w:name="_Toc383699916"/>
            <w:bookmarkStart w:id="165" w:name="_Toc173066415"/>
            <w:bookmarkStart w:id="166" w:name="_Toc301781621"/>
            <w:bookmarkStart w:id="167" w:name="_Toc254970602"/>
            <w:bookmarkStart w:id="168" w:name="_Toc254970743"/>
            <w:bookmarkStart w:id="169" w:name="_Toc373333699"/>
            <w:r>
              <w:rPr>
                <w:rFonts w:hint="eastAsia" w:ascii="宋体" w:hAnsi="宋体" w:cs="仿宋_GB2312"/>
                <w:color w:val="auto"/>
                <w:sz w:val="24"/>
                <w:highlight w:val="none"/>
              </w:rPr>
              <w:t>…</w:t>
            </w:r>
            <w:bookmarkEnd w:id="161"/>
            <w:bookmarkEnd w:id="162"/>
            <w:bookmarkEnd w:id="163"/>
            <w:bookmarkEnd w:id="164"/>
            <w:bookmarkEnd w:id="165"/>
            <w:bookmarkEnd w:id="166"/>
            <w:bookmarkEnd w:id="167"/>
            <w:bookmarkEnd w:id="168"/>
            <w:bookmarkEnd w:id="169"/>
          </w:p>
        </w:tc>
        <w:tc>
          <w:tcPr>
            <w:tcW w:w="900" w:type="dxa"/>
            <w:tcBorders>
              <w:right w:val="single" w:color="auto" w:sz="4" w:space="0"/>
            </w:tcBorders>
            <w:vAlign w:val="center"/>
          </w:tcPr>
          <w:p w14:paraId="18CFE0E6">
            <w:pPr>
              <w:spacing w:line="360" w:lineRule="auto"/>
              <w:contextualSpacing/>
              <w:jc w:val="center"/>
              <w:rPr>
                <w:rFonts w:ascii="宋体" w:hAnsi="宋体" w:cs="仿宋_GB2312"/>
                <w:color w:val="auto"/>
                <w:sz w:val="24"/>
                <w:highlight w:val="none"/>
              </w:rPr>
            </w:pPr>
          </w:p>
        </w:tc>
        <w:tc>
          <w:tcPr>
            <w:tcW w:w="2989" w:type="dxa"/>
            <w:tcBorders>
              <w:left w:val="single" w:color="auto" w:sz="4" w:space="0"/>
            </w:tcBorders>
            <w:vAlign w:val="center"/>
          </w:tcPr>
          <w:p w14:paraId="4288FE60">
            <w:pPr>
              <w:spacing w:line="360" w:lineRule="auto"/>
              <w:contextualSpacing/>
              <w:jc w:val="center"/>
              <w:rPr>
                <w:rFonts w:ascii="宋体" w:hAnsi="宋体" w:cs="仿宋_GB2312"/>
                <w:color w:val="auto"/>
                <w:sz w:val="24"/>
                <w:highlight w:val="none"/>
              </w:rPr>
            </w:pPr>
          </w:p>
        </w:tc>
        <w:tc>
          <w:tcPr>
            <w:tcW w:w="2690" w:type="dxa"/>
            <w:vAlign w:val="center"/>
          </w:tcPr>
          <w:p w14:paraId="55548180">
            <w:pPr>
              <w:spacing w:line="360" w:lineRule="auto"/>
              <w:contextualSpacing/>
              <w:jc w:val="center"/>
              <w:rPr>
                <w:rFonts w:ascii="宋体" w:hAnsi="宋体" w:cs="仿宋_GB2312"/>
                <w:color w:val="auto"/>
                <w:sz w:val="24"/>
                <w:highlight w:val="none"/>
              </w:rPr>
            </w:pPr>
          </w:p>
        </w:tc>
        <w:tc>
          <w:tcPr>
            <w:tcW w:w="1467" w:type="dxa"/>
            <w:tcBorders>
              <w:right w:val="single" w:color="auto" w:sz="4" w:space="0"/>
            </w:tcBorders>
            <w:vAlign w:val="center"/>
          </w:tcPr>
          <w:p w14:paraId="1F19EE18">
            <w:pPr>
              <w:spacing w:line="360" w:lineRule="auto"/>
              <w:contextualSpacing/>
              <w:jc w:val="center"/>
              <w:rPr>
                <w:rFonts w:ascii="宋体" w:hAnsi="宋体" w:cs="仿宋_GB2312"/>
                <w:color w:val="auto"/>
                <w:sz w:val="24"/>
                <w:highlight w:val="none"/>
              </w:rPr>
            </w:pPr>
          </w:p>
        </w:tc>
      </w:tr>
    </w:tbl>
    <w:p w14:paraId="1583356B">
      <w:pPr>
        <w:adjustRightInd w:val="0"/>
        <w:spacing w:line="360" w:lineRule="auto"/>
        <w:contextualSpacing/>
        <w:rPr>
          <w:rFonts w:ascii="宋体" w:hAnsi="宋体" w:cs="仿宋_GB2312"/>
          <w:color w:val="auto"/>
          <w:sz w:val="24"/>
          <w:highlight w:val="none"/>
        </w:rPr>
      </w:pPr>
    </w:p>
    <w:p w14:paraId="6D35B929">
      <w:pPr>
        <w:spacing w:line="360" w:lineRule="auto"/>
        <w:contextualSpacing/>
        <w:rPr>
          <w:rFonts w:ascii="宋体" w:hAnsi="宋体" w:cs="仿宋_GB2312"/>
          <w:color w:val="auto"/>
          <w:kern w:val="0"/>
          <w:sz w:val="24"/>
          <w:highlight w:val="none"/>
        </w:rPr>
      </w:pPr>
      <w:r>
        <w:rPr>
          <w:rFonts w:hint="eastAsia" w:ascii="宋体" w:hAnsi="宋体" w:cs="仿宋_GB2312"/>
          <w:color w:val="auto"/>
          <w:kern w:val="0"/>
          <w:sz w:val="24"/>
          <w:highlight w:val="none"/>
        </w:rPr>
        <w:t>注：</w:t>
      </w:r>
    </w:p>
    <w:p w14:paraId="6240A525">
      <w:pPr>
        <w:spacing w:line="360" w:lineRule="auto"/>
        <w:ind w:firstLine="480" w:firstLineChars="200"/>
        <w:contextualSpacing/>
        <w:rPr>
          <w:rFonts w:ascii="宋体" w:hAnsi="宋体" w:cs="仿宋_GB2312"/>
          <w:color w:val="auto"/>
          <w:kern w:val="0"/>
          <w:sz w:val="24"/>
          <w:highlight w:val="none"/>
        </w:rPr>
      </w:pPr>
      <w:r>
        <w:rPr>
          <w:rFonts w:hint="eastAsia" w:ascii="宋体" w:hAnsi="宋体" w:cs="仿宋_GB2312"/>
          <w:color w:val="auto"/>
          <w:kern w:val="0"/>
          <w:sz w:val="24"/>
          <w:highlight w:val="none"/>
        </w:rPr>
        <w:t>1.说明：应对照磋商文件“采购需求”中的服务需求逐条作出明确响应，并作出偏离说明。</w:t>
      </w:r>
    </w:p>
    <w:p w14:paraId="5ED20A6D">
      <w:pPr>
        <w:spacing w:line="360" w:lineRule="auto"/>
        <w:ind w:firstLine="480" w:firstLineChars="200"/>
        <w:contextualSpacing/>
        <w:rPr>
          <w:rFonts w:ascii="宋体" w:hAnsi="宋体" w:cs="仿宋_GB2312"/>
          <w:color w:val="auto"/>
          <w:kern w:val="0"/>
          <w:sz w:val="24"/>
          <w:highlight w:val="none"/>
        </w:rPr>
      </w:pPr>
      <w:r>
        <w:rPr>
          <w:rFonts w:hint="eastAsia" w:ascii="宋体" w:hAnsi="宋体" w:cs="仿宋_GB2312"/>
          <w:color w:val="auto"/>
          <w:kern w:val="0"/>
          <w:sz w:val="24"/>
          <w:highlight w:val="none"/>
        </w:rPr>
        <w:t>2.供应商应根据自身的承诺，对照磋商文件要求，在“偏离说明”中注明“正偏离”、“负偏离”或者“无偏离”。既不属于“正偏离”也不属于“负偏离”即为“无偏离”。</w:t>
      </w:r>
    </w:p>
    <w:p w14:paraId="6B391029">
      <w:pPr>
        <w:spacing w:line="360" w:lineRule="auto"/>
        <w:ind w:firstLine="480" w:firstLineChars="200"/>
        <w:contextualSpacing/>
        <w:rPr>
          <w:rFonts w:ascii="宋体" w:hAnsi="宋体" w:cs="仿宋_GB2312"/>
          <w:color w:val="auto"/>
          <w:kern w:val="0"/>
          <w:sz w:val="24"/>
          <w:highlight w:val="none"/>
        </w:rPr>
      </w:pPr>
      <w:r>
        <w:rPr>
          <w:rFonts w:hint="eastAsia" w:ascii="宋体" w:hAnsi="宋体" w:cs="仿宋_GB2312"/>
          <w:color w:val="auto"/>
          <w:kern w:val="0"/>
          <w:sz w:val="24"/>
          <w:highlight w:val="none"/>
        </w:rPr>
        <w:t>3.表格内容均需按要求填写并盖章，不得留空，否则按竞标无效处理。</w:t>
      </w:r>
    </w:p>
    <w:p w14:paraId="659D6A18">
      <w:pPr>
        <w:spacing w:line="360" w:lineRule="auto"/>
        <w:ind w:firstLine="480" w:firstLineChars="200"/>
        <w:contextualSpacing/>
        <w:rPr>
          <w:rFonts w:ascii="宋体" w:hAnsi="宋体" w:cs="仿宋_GB2312"/>
          <w:color w:val="auto"/>
          <w:kern w:val="0"/>
          <w:sz w:val="24"/>
          <w:highlight w:val="none"/>
        </w:rPr>
      </w:pPr>
      <w:r>
        <w:rPr>
          <w:rFonts w:hint="eastAsia" w:ascii="宋体" w:hAnsi="宋体" w:cs="仿宋_GB2312"/>
          <w:color w:val="auto"/>
          <w:kern w:val="0"/>
          <w:sz w:val="24"/>
          <w:highlight w:val="none"/>
        </w:rPr>
        <w:t>4.如果采购需求为小于、小于等于、大于或大于等于某个数值标准时，响应文件承诺不得直接复制采购需求，响应文件承诺内容应当写明竞标货物具体参数或商务响应承诺的具体数值，否则按竞标无效处理。如该采购需求属于不能明确具体数值的，采购人应在此采购需求的数值后标注◆号，对标注◆号的采购需求不适用上述“竞标无效”条款。</w:t>
      </w:r>
    </w:p>
    <w:p w14:paraId="6D0528D3">
      <w:pPr>
        <w:spacing w:line="360" w:lineRule="auto"/>
        <w:ind w:right="-817" w:rightChars="-389"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5.如技术偏离表中的竞标响应与佐证材料不一致的，以佐证材料为准。</w:t>
      </w:r>
    </w:p>
    <w:p w14:paraId="5B46193E">
      <w:pPr>
        <w:spacing w:line="360" w:lineRule="auto"/>
        <w:ind w:right="-817" w:rightChars="-389" w:firstLine="960" w:firstLineChars="400"/>
        <w:contextualSpacing/>
        <w:rPr>
          <w:rFonts w:ascii="宋体" w:hAnsi="宋体" w:cs="仿宋_GB2312"/>
          <w:color w:val="auto"/>
          <w:sz w:val="24"/>
          <w:highlight w:val="none"/>
        </w:rPr>
      </w:pPr>
    </w:p>
    <w:p w14:paraId="5D41D59D">
      <w:pPr>
        <w:spacing w:line="360" w:lineRule="auto"/>
        <w:ind w:right="-817" w:rightChars="-389" w:firstLine="960" w:firstLineChars="400"/>
        <w:contextualSpacing/>
        <w:rPr>
          <w:rFonts w:ascii="宋体" w:hAnsi="宋体" w:cs="仿宋_GB2312"/>
          <w:color w:val="auto"/>
          <w:sz w:val="24"/>
          <w:highlight w:val="none"/>
        </w:rPr>
      </w:pPr>
      <w:r>
        <w:rPr>
          <w:rFonts w:hint="eastAsia" w:ascii="宋体" w:hAnsi="宋体" w:cs="仿宋_GB2312"/>
          <w:color w:val="auto"/>
          <w:sz w:val="24"/>
          <w:highlight w:val="none"/>
        </w:rPr>
        <w:t>法定代表人或者委托代理人（签字</w:t>
      </w:r>
      <w:r>
        <w:rPr>
          <w:rFonts w:hint="eastAsia" w:ascii="宋体" w:hAnsi="宋体" w:cs="宋体"/>
          <w:color w:val="auto"/>
          <w:sz w:val="24"/>
          <w:highlight w:val="none"/>
        </w:rPr>
        <w:t>或电子签名</w:t>
      </w:r>
      <w:r>
        <w:rPr>
          <w:rFonts w:hint="eastAsia" w:ascii="宋体" w:hAnsi="宋体" w:cs="仿宋_GB2312"/>
          <w:color w:val="auto"/>
          <w:sz w:val="24"/>
          <w:highlight w:val="none"/>
        </w:rPr>
        <w:t xml:space="preserve">）：                    </w:t>
      </w:r>
    </w:p>
    <w:p w14:paraId="02B103C7">
      <w:pPr>
        <w:spacing w:line="360" w:lineRule="auto"/>
        <w:ind w:right="-817" w:rightChars="-389" w:firstLine="2640" w:firstLineChars="1100"/>
        <w:contextualSpacing/>
        <w:rPr>
          <w:rFonts w:ascii="宋体" w:hAnsi="宋体" w:cs="仿宋_GB2312"/>
          <w:color w:val="auto"/>
          <w:sz w:val="24"/>
          <w:highlight w:val="none"/>
        </w:rPr>
      </w:pPr>
      <w:r>
        <w:rPr>
          <w:rFonts w:hint="eastAsia" w:ascii="宋体" w:hAnsi="宋体" w:cs="仿宋_GB2312"/>
          <w:color w:val="auto"/>
          <w:sz w:val="24"/>
          <w:highlight w:val="none"/>
        </w:rPr>
        <w:t>供应商（</w:t>
      </w:r>
      <w:r>
        <w:rPr>
          <w:rFonts w:hint="eastAsia" w:ascii="宋体" w:hAnsi="宋体"/>
          <w:color w:val="auto"/>
          <w:sz w:val="24"/>
          <w:highlight w:val="none"/>
        </w:rPr>
        <w:t>电子签章</w:t>
      </w:r>
      <w:r>
        <w:rPr>
          <w:rFonts w:hint="eastAsia" w:ascii="宋体" w:hAnsi="宋体" w:cs="仿宋_GB2312"/>
          <w:color w:val="auto"/>
          <w:sz w:val="24"/>
          <w:highlight w:val="none"/>
        </w:rPr>
        <w:t xml:space="preserve">）：      </w:t>
      </w:r>
    </w:p>
    <w:p w14:paraId="311EE117">
      <w:pPr>
        <w:pStyle w:val="98"/>
        <w:spacing w:line="360" w:lineRule="auto"/>
        <w:rPr>
          <w:rFonts w:ascii="宋体" w:hAnsi="宋体" w:eastAsia="宋体" w:cs="宋体"/>
          <w:color w:val="auto"/>
          <w:highlight w:val="none"/>
          <w:lang w:val="zh-CN"/>
        </w:rPr>
      </w:pPr>
      <w:r>
        <w:rPr>
          <w:rFonts w:hint="eastAsia" w:ascii="宋体" w:hAnsi="宋体" w:eastAsia="宋体" w:cs="仿宋_GB2312"/>
          <w:color w:val="auto"/>
          <w:highlight w:val="none"/>
        </w:rPr>
        <w:t>日期：   年   月   日</w:t>
      </w:r>
    </w:p>
    <w:p w14:paraId="3DAF6728">
      <w:pPr>
        <w:pStyle w:val="98"/>
        <w:spacing w:line="360" w:lineRule="auto"/>
        <w:rPr>
          <w:rFonts w:ascii="宋体" w:hAnsi="宋体" w:eastAsia="宋体" w:cs="宋体"/>
          <w:color w:val="auto"/>
          <w:highlight w:val="none"/>
          <w:lang w:val="zh-CN"/>
        </w:rPr>
      </w:pPr>
    </w:p>
    <w:p w14:paraId="138BBA2F">
      <w:pPr>
        <w:pStyle w:val="98"/>
        <w:spacing w:line="360" w:lineRule="auto"/>
        <w:rPr>
          <w:rFonts w:ascii="宋体" w:hAnsi="宋体" w:eastAsia="宋体" w:cs="宋体"/>
          <w:color w:val="auto"/>
          <w:highlight w:val="none"/>
          <w:lang w:val="zh-CN"/>
        </w:rPr>
      </w:pPr>
    </w:p>
    <w:p w14:paraId="1A9820FE">
      <w:pPr>
        <w:pStyle w:val="98"/>
        <w:spacing w:line="360" w:lineRule="auto"/>
        <w:rPr>
          <w:rFonts w:ascii="宋体" w:hAnsi="宋体" w:eastAsia="宋体" w:cs="宋体"/>
          <w:color w:val="auto"/>
          <w:highlight w:val="none"/>
          <w:lang w:val="zh-CN"/>
        </w:rPr>
      </w:pPr>
    </w:p>
    <w:p w14:paraId="143B1DC4">
      <w:pPr>
        <w:pStyle w:val="98"/>
        <w:spacing w:line="360" w:lineRule="auto"/>
        <w:rPr>
          <w:rFonts w:ascii="宋体" w:hAnsi="宋体" w:eastAsia="宋体" w:cs="宋体"/>
          <w:color w:val="auto"/>
          <w:highlight w:val="none"/>
          <w:lang w:val="zh-CN"/>
        </w:rPr>
      </w:pPr>
    </w:p>
    <w:p w14:paraId="526AEB6D">
      <w:pPr>
        <w:pStyle w:val="98"/>
        <w:spacing w:line="360" w:lineRule="auto"/>
        <w:rPr>
          <w:rFonts w:ascii="宋体" w:hAnsi="宋体" w:eastAsia="宋体" w:cs="宋体"/>
          <w:color w:val="auto"/>
          <w:highlight w:val="none"/>
          <w:lang w:val="zh-CN"/>
        </w:rPr>
      </w:pPr>
    </w:p>
    <w:p w14:paraId="6751B0E1">
      <w:pPr>
        <w:pStyle w:val="98"/>
        <w:spacing w:line="360" w:lineRule="auto"/>
        <w:ind w:left="0" w:firstLine="0" w:firstLineChars="0"/>
        <w:rPr>
          <w:rFonts w:ascii="宋体" w:hAnsi="宋体" w:eastAsia="宋体" w:cs="宋体"/>
          <w:color w:val="auto"/>
          <w:highlight w:val="none"/>
        </w:rPr>
      </w:pPr>
    </w:p>
    <w:p w14:paraId="53BEB89B">
      <w:pPr>
        <w:pStyle w:val="98"/>
        <w:spacing w:line="360" w:lineRule="auto"/>
        <w:ind w:firstLine="482"/>
        <w:rPr>
          <w:rFonts w:ascii="宋体" w:hAnsi="宋体" w:eastAsia="宋体" w:cs="宋体"/>
          <w:b/>
          <w:bCs/>
          <w:color w:val="auto"/>
          <w:highlight w:val="none"/>
        </w:rPr>
      </w:pPr>
      <w:r>
        <w:rPr>
          <w:rFonts w:hint="eastAsia" w:ascii="宋体" w:hAnsi="宋体" w:eastAsia="宋体" w:cs="宋体"/>
          <w:b/>
          <w:bCs/>
          <w:color w:val="auto"/>
          <w:highlight w:val="none"/>
        </w:rPr>
        <w:t>二、项目实施方案及项目实施人员一览表</w:t>
      </w:r>
    </w:p>
    <w:p w14:paraId="0825B0ED">
      <w:pPr>
        <w:pStyle w:val="98"/>
        <w:spacing w:line="360" w:lineRule="auto"/>
        <w:rPr>
          <w:rFonts w:ascii="宋体" w:hAnsi="宋体" w:eastAsia="宋体" w:cs="宋体"/>
          <w:color w:val="auto"/>
          <w:highlight w:val="none"/>
        </w:rPr>
      </w:pPr>
    </w:p>
    <w:p w14:paraId="25DEE3D6">
      <w:pPr>
        <w:spacing w:line="360" w:lineRule="auto"/>
        <w:contextualSpacing/>
        <w:rPr>
          <w:rFonts w:ascii="宋体" w:hAnsi="宋体" w:cs="仿宋_GB2312"/>
          <w:color w:val="auto"/>
          <w:sz w:val="24"/>
          <w:highlight w:val="none"/>
          <w:u w:val="single"/>
        </w:rPr>
      </w:pPr>
      <w:r>
        <w:rPr>
          <w:rFonts w:hint="eastAsia" w:ascii="宋体" w:hAnsi="宋体" w:cs="仿宋_GB2312"/>
          <w:color w:val="auto"/>
          <w:sz w:val="24"/>
          <w:highlight w:val="none"/>
        </w:rPr>
        <w:t>采购项目编号：</w:t>
      </w:r>
    </w:p>
    <w:p w14:paraId="33FA54AC">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采购项目名称：</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
        <w:gridCol w:w="788"/>
        <w:gridCol w:w="2815"/>
        <w:gridCol w:w="1335"/>
        <w:gridCol w:w="1920"/>
        <w:gridCol w:w="1329"/>
      </w:tblGrid>
      <w:tr w14:paraId="5A00C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8" w:type="dxa"/>
            <w:vAlign w:val="center"/>
          </w:tcPr>
          <w:p w14:paraId="559CB004">
            <w:pPr>
              <w:spacing w:line="360" w:lineRule="auto"/>
              <w:contextualSpacing/>
              <w:jc w:val="center"/>
              <w:rPr>
                <w:rFonts w:ascii="宋体" w:hAnsi="宋体"/>
                <w:color w:val="auto"/>
                <w:sz w:val="24"/>
                <w:szCs w:val="20"/>
                <w:highlight w:val="none"/>
              </w:rPr>
            </w:pPr>
            <w:r>
              <w:rPr>
                <w:rFonts w:hint="eastAsia" w:ascii="宋体" w:hAnsi="宋体"/>
                <w:color w:val="auto"/>
                <w:sz w:val="24"/>
                <w:szCs w:val="20"/>
                <w:highlight w:val="none"/>
              </w:rPr>
              <w:t>姓名</w:t>
            </w:r>
          </w:p>
        </w:tc>
        <w:tc>
          <w:tcPr>
            <w:tcW w:w="788" w:type="dxa"/>
            <w:vAlign w:val="center"/>
          </w:tcPr>
          <w:p w14:paraId="5B9F0052">
            <w:pPr>
              <w:spacing w:line="360" w:lineRule="auto"/>
              <w:contextualSpacing/>
              <w:jc w:val="center"/>
              <w:rPr>
                <w:rFonts w:ascii="宋体" w:hAnsi="宋体"/>
                <w:color w:val="auto"/>
                <w:sz w:val="24"/>
                <w:szCs w:val="20"/>
                <w:highlight w:val="none"/>
              </w:rPr>
            </w:pPr>
            <w:r>
              <w:rPr>
                <w:rFonts w:hint="eastAsia" w:ascii="宋体" w:hAnsi="宋体"/>
                <w:color w:val="auto"/>
                <w:sz w:val="24"/>
                <w:szCs w:val="20"/>
                <w:highlight w:val="none"/>
              </w:rPr>
              <w:t>职务</w:t>
            </w:r>
          </w:p>
        </w:tc>
        <w:tc>
          <w:tcPr>
            <w:tcW w:w="2815" w:type="dxa"/>
            <w:vAlign w:val="center"/>
          </w:tcPr>
          <w:p w14:paraId="2CCD58AC">
            <w:pPr>
              <w:spacing w:line="360" w:lineRule="auto"/>
              <w:contextualSpacing/>
              <w:jc w:val="center"/>
              <w:rPr>
                <w:rFonts w:ascii="宋体" w:hAnsi="宋体"/>
                <w:color w:val="auto"/>
                <w:sz w:val="24"/>
                <w:szCs w:val="20"/>
                <w:highlight w:val="none"/>
              </w:rPr>
            </w:pPr>
            <w:r>
              <w:rPr>
                <w:rFonts w:hint="eastAsia" w:ascii="宋体" w:hAnsi="宋体"/>
                <w:color w:val="auto"/>
                <w:sz w:val="24"/>
                <w:szCs w:val="20"/>
                <w:highlight w:val="none"/>
              </w:rPr>
              <w:t>专业技术资格（职称）或者职业资格或者执业资格证或者其他证书</w:t>
            </w:r>
          </w:p>
        </w:tc>
        <w:tc>
          <w:tcPr>
            <w:tcW w:w="1335" w:type="dxa"/>
            <w:vAlign w:val="center"/>
          </w:tcPr>
          <w:p w14:paraId="475408D7">
            <w:pPr>
              <w:spacing w:line="360" w:lineRule="auto"/>
              <w:contextualSpacing/>
              <w:jc w:val="center"/>
              <w:rPr>
                <w:rFonts w:ascii="宋体" w:hAnsi="宋体"/>
                <w:color w:val="auto"/>
                <w:sz w:val="24"/>
                <w:szCs w:val="20"/>
                <w:highlight w:val="none"/>
              </w:rPr>
            </w:pPr>
            <w:r>
              <w:rPr>
                <w:rFonts w:hint="eastAsia" w:ascii="宋体" w:hAnsi="宋体"/>
                <w:color w:val="auto"/>
                <w:sz w:val="24"/>
                <w:szCs w:val="20"/>
                <w:highlight w:val="none"/>
              </w:rPr>
              <w:t>证书编号</w:t>
            </w:r>
          </w:p>
        </w:tc>
        <w:tc>
          <w:tcPr>
            <w:tcW w:w="1920" w:type="dxa"/>
            <w:vAlign w:val="center"/>
          </w:tcPr>
          <w:p w14:paraId="0B17857F">
            <w:pPr>
              <w:spacing w:line="360" w:lineRule="auto"/>
              <w:contextualSpacing/>
              <w:jc w:val="center"/>
              <w:rPr>
                <w:rFonts w:ascii="宋体" w:hAnsi="宋体"/>
                <w:color w:val="auto"/>
                <w:sz w:val="24"/>
                <w:szCs w:val="20"/>
                <w:highlight w:val="none"/>
              </w:rPr>
            </w:pPr>
            <w:r>
              <w:rPr>
                <w:rFonts w:hint="eastAsia" w:ascii="宋体" w:hAnsi="宋体"/>
                <w:color w:val="auto"/>
                <w:sz w:val="24"/>
                <w:szCs w:val="20"/>
                <w:highlight w:val="none"/>
              </w:rPr>
              <w:t>参加本单位</w:t>
            </w:r>
          </w:p>
          <w:p w14:paraId="38E9438D">
            <w:pPr>
              <w:spacing w:line="360" w:lineRule="auto"/>
              <w:contextualSpacing/>
              <w:jc w:val="center"/>
              <w:rPr>
                <w:rFonts w:ascii="宋体" w:hAnsi="宋体"/>
                <w:color w:val="auto"/>
                <w:sz w:val="24"/>
                <w:szCs w:val="20"/>
                <w:highlight w:val="none"/>
              </w:rPr>
            </w:pPr>
            <w:r>
              <w:rPr>
                <w:rFonts w:hint="eastAsia" w:ascii="宋体" w:hAnsi="宋体"/>
                <w:color w:val="auto"/>
                <w:sz w:val="24"/>
                <w:szCs w:val="20"/>
                <w:highlight w:val="none"/>
              </w:rPr>
              <w:t>工作时间</w:t>
            </w:r>
          </w:p>
        </w:tc>
        <w:tc>
          <w:tcPr>
            <w:tcW w:w="1329" w:type="dxa"/>
            <w:vAlign w:val="center"/>
          </w:tcPr>
          <w:p w14:paraId="54836612">
            <w:pPr>
              <w:spacing w:line="360" w:lineRule="auto"/>
              <w:contextualSpacing/>
              <w:jc w:val="center"/>
              <w:rPr>
                <w:rFonts w:ascii="宋体" w:hAnsi="宋体"/>
                <w:color w:val="auto"/>
                <w:sz w:val="24"/>
                <w:szCs w:val="20"/>
                <w:highlight w:val="none"/>
              </w:rPr>
            </w:pPr>
            <w:r>
              <w:rPr>
                <w:rFonts w:hint="eastAsia" w:ascii="宋体" w:hAnsi="宋体"/>
                <w:color w:val="auto"/>
                <w:sz w:val="24"/>
                <w:szCs w:val="20"/>
                <w:highlight w:val="none"/>
              </w:rPr>
              <w:t>劳动合同编号</w:t>
            </w:r>
          </w:p>
        </w:tc>
      </w:tr>
      <w:tr w14:paraId="03501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8" w:type="dxa"/>
            <w:vAlign w:val="center"/>
          </w:tcPr>
          <w:p w14:paraId="301AA605">
            <w:pPr>
              <w:spacing w:line="360" w:lineRule="auto"/>
              <w:contextualSpacing/>
              <w:jc w:val="center"/>
              <w:rPr>
                <w:rFonts w:ascii="宋体" w:hAnsi="宋体"/>
                <w:color w:val="auto"/>
                <w:sz w:val="24"/>
                <w:szCs w:val="20"/>
                <w:highlight w:val="none"/>
              </w:rPr>
            </w:pPr>
          </w:p>
        </w:tc>
        <w:tc>
          <w:tcPr>
            <w:tcW w:w="788" w:type="dxa"/>
            <w:vAlign w:val="center"/>
          </w:tcPr>
          <w:p w14:paraId="1F09AD0B">
            <w:pPr>
              <w:spacing w:line="360" w:lineRule="auto"/>
              <w:contextualSpacing/>
              <w:jc w:val="center"/>
              <w:rPr>
                <w:rFonts w:ascii="宋体" w:hAnsi="宋体"/>
                <w:color w:val="auto"/>
                <w:sz w:val="24"/>
                <w:szCs w:val="20"/>
                <w:highlight w:val="none"/>
              </w:rPr>
            </w:pPr>
          </w:p>
        </w:tc>
        <w:tc>
          <w:tcPr>
            <w:tcW w:w="2815" w:type="dxa"/>
            <w:vAlign w:val="center"/>
          </w:tcPr>
          <w:p w14:paraId="44D8E610">
            <w:pPr>
              <w:spacing w:line="360" w:lineRule="auto"/>
              <w:contextualSpacing/>
              <w:jc w:val="center"/>
              <w:rPr>
                <w:rFonts w:ascii="宋体" w:hAnsi="宋体"/>
                <w:color w:val="auto"/>
                <w:sz w:val="24"/>
                <w:szCs w:val="20"/>
                <w:highlight w:val="none"/>
              </w:rPr>
            </w:pPr>
          </w:p>
        </w:tc>
        <w:tc>
          <w:tcPr>
            <w:tcW w:w="1335" w:type="dxa"/>
            <w:vAlign w:val="center"/>
          </w:tcPr>
          <w:p w14:paraId="0B22EE90">
            <w:pPr>
              <w:spacing w:line="360" w:lineRule="auto"/>
              <w:contextualSpacing/>
              <w:jc w:val="center"/>
              <w:rPr>
                <w:rFonts w:ascii="宋体" w:hAnsi="宋体"/>
                <w:color w:val="auto"/>
                <w:sz w:val="24"/>
                <w:szCs w:val="20"/>
                <w:highlight w:val="none"/>
              </w:rPr>
            </w:pPr>
          </w:p>
        </w:tc>
        <w:tc>
          <w:tcPr>
            <w:tcW w:w="1920" w:type="dxa"/>
            <w:vAlign w:val="center"/>
          </w:tcPr>
          <w:p w14:paraId="0793AD80">
            <w:pPr>
              <w:spacing w:line="360" w:lineRule="auto"/>
              <w:contextualSpacing/>
              <w:jc w:val="center"/>
              <w:rPr>
                <w:rFonts w:ascii="宋体" w:hAnsi="宋体"/>
                <w:color w:val="auto"/>
                <w:sz w:val="24"/>
                <w:szCs w:val="20"/>
                <w:highlight w:val="none"/>
              </w:rPr>
            </w:pPr>
          </w:p>
        </w:tc>
        <w:tc>
          <w:tcPr>
            <w:tcW w:w="1329" w:type="dxa"/>
            <w:vAlign w:val="center"/>
          </w:tcPr>
          <w:p w14:paraId="4AC50E4A">
            <w:pPr>
              <w:spacing w:line="360" w:lineRule="auto"/>
              <w:contextualSpacing/>
              <w:jc w:val="center"/>
              <w:rPr>
                <w:rFonts w:ascii="宋体" w:hAnsi="宋体"/>
                <w:color w:val="auto"/>
                <w:sz w:val="24"/>
                <w:szCs w:val="20"/>
                <w:highlight w:val="none"/>
              </w:rPr>
            </w:pPr>
          </w:p>
        </w:tc>
      </w:tr>
      <w:tr w14:paraId="16D40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8" w:type="dxa"/>
            <w:vAlign w:val="center"/>
          </w:tcPr>
          <w:p w14:paraId="7701CEDA">
            <w:pPr>
              <w:spacing w:line="360" w:lineRule="auto"/>
              <w:contextualSpacing/>
              <w:jc w:val="center"/>
              <w:rPr>
                <w:rFonts w:ascii="宋体" w:hAnsi="宋体"/>
                <w:color w:val="auto"/>
                <w:sz w:val="24"/>
                <w:szCs w:val="20"/>
                <w:highlight w:val="none"/>
              </w:rPr>
            </w:pPr>
          </w:p>
        </w:tc>
        <w:tc>
          <w:tcPr>
            <w:tcW w:w="788" w:type="dxa"/>
            <w:vAlign w:val="center"/>
          </w:tcPr>
          <w:p w14:paraId="3B16CE98">
            <w:pPr>
              <w:spacing w:line="360" w:lineRule="auto"/>
              <w:contextualSpacing/>
              <w:jc w:val="center"/>
              <w:rPr>
                <w:rFonts w:ascii="宋体" w:hAnsi="宋体"/>
                <w:color w:val="auto"/>
                <w:sz w:val="24"/>
                <w:szCs w:val="20"/>
                <w:highlight w:val="none"/>
              </w:rPr>
            </w:pPr>
          </w:p>
        </w:tc>
        <w:tc>
          <w:tcPr>
            <w:tcW w:w="2815" w:type="dxa"/>
            <w:vAlign w:val="center"/>
          </w:tcPr>
          <w:p w14:paraId="2A26FB11">
            <w:pPr>
              <w:spacing w:line="360" w:lineRule="auto"/>
              <w:contextualSpacing/>
              <w:jc w:val="center"/>
              <w:rPr>
                <w:rFonts w:ascii="宋体" w:hAnsi="宋体"/>
                <w:color w:val="auto"/>
                <w:sz w:val="24"/>
                <w:szCs w:val="20"/>
                <w:highlight w:val="none"/>
              </w:rPr>
            </w:pPr>
          </w:p>
        </w:tc>
        <w:tc>
          <w:tcPr>
            <w:tcW w:w="1335" w:type="dxa"/>
            <w:vAlign w:val="center"/>
          </w:tcPr>
          <w:p w14:paraId="3DC32F2E">
            <w:pPr>
              <w:spacing w:line="360" w:lineRule="auto"/>
              <w:contextualSpacing/>
              <w:jc w:val="center"/>
              <w:rPr>
                <w:rFonts w:ascii="宋体" w:hAnsi="宋体"/>
                <w:color w:val="auto"/>
                <w:sz w:val="24"/>
                <w:szCs w:val="20"/>
                <w:highlight w:val="none"/>
              </w:rPr>
            </w:pPr>
          </w:p>
        </w:tc>
        <w:tc>
          <w:tcPr>
            <w:tcW w:w="1920" w:type="dxa"/>
            <w:vAlign w:val="center"/>
          </w:tcPr>
          <w:p w14:paraId="707AC0C1">
            <w:pPr>
              <w:spacing w:line="360" w:lineRule="auto"/>
              <w:contextualSpacing/>
              <w:jc w:val="center"/>
              <w:rPr>
                <w:rFonts w:ascii="宋体" w:hAnsi="宋体"/>
                <w:color w:val="auto"/>
                <w:sz w:val="24"/>
                <w:szCs w:val="20"/>
                <w:highlight w:val="none"/>
              </w:rPr>
            </w:pPr>
          </w:p>
        </w:tc>
        <w:tc>
          <w:tcPr>
            <w:tcW w:w="1329" w:type="dxa"/>
            <w:vAlign w:val="center"/>
          </w:tcPr>
          <w:p w14:paraId="2A8B4BA1">
            <w:pPr>
              <w:spacing w:line="360" w:lineRule="auto"/>
              <w:contextualSpacing/>
              <w:jc w:val="center"/>
              <w:rPr>
                <w:rFonts w:ascii="宋体" w:hAnsi="宋体"/>
                <w:color w:val="auto"/>
                <w:sz w:val="24"/>
                <w:szCs w:val="20"/>
                <w:highlight w:val="none"/>
              </w:rPr>
            </w:pPr>
          </w:p>
        </w:tc>
      </w:tr>
      <w:tr w14:paraId="14467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8" w:type="dxa"/>
            <w:vAlign w:val="center"/>
          </w:tcPr>
          <w:p w14:paraId="24B49490">
            <w:pPr>
              <w:spacing w:line="360" w:lineRule="auto"/>
              <w:contextualSpacing/>
              <w:jc w:val="center"/>
              <w:rPr>
                <w:rFonts w:ascii="宋体" w:hAnsi="宋体"/>
                <w:color w:val="auto"/>
                <w:sz w:val="24"/>
                <w:szCs w:val="20"/>
                <w:highlight w:val="none"/>
              </w:rPr>
            </w:pPr>
          </w:p>
        </w:tc>
        <w:tc>
          <w:tcPr>
            <w:tcW w:w="788" w:type="dxa"/>
            <w:vAlign w:val="center"/>
          </w:tcPr>
          <w:p w14:paraId="1B686267">
            <w:pPr>
              <w:spacing w:line="360" w:lineRule="auto"/>
              <w:contextualSpacing/>
              <w:jc w:val="center"/>
              <w:rPr>
                <w:rFonts w:ascii="宋体" w:hAnsi="宋体"/>
                <w:color w:val="auto"/>
                <w:sz w:val="24"/>
                <w:szCs w:val="20"/>
                <w:highlight w:val="none"/>
              </w:rPr>
            </w:pPr>
          </w:p>
        </w:tc>
        <w:tc>
          <w:tcPr>
            <w:tcW w:w="2815" w:type="dxa"/>
            <w:vAlign w:val="center"/>
          </w:tcPr>
          <w:p w14:paraId="6AC93D49">
            <w:pPr>
              <w:spacing w:line="360" w:lineRule="auto"/>
              <w:contextualSpacing/>
              <w:jc w:val="center"/>
              <w:rPr>
                <w:rFonts w:ascii="宋体" w:hAnsi="宋体"/>
                <w:color w:val="auto"/>
                <w:sz w:val="24"/>
                <w:szCs w:val="20"/>
                <w:highlight w:val="none"/>
              </w:rPr>
            </w:pPr>
          </w:p>
        </w:tc>
        <w:tc>
          <w:tcPr>
            <w:tcW w:w="1335" w:type="dxa"/>
            <w:vAlign w:val="center"/>
          </w:tcPr>
          <w:p w14:paraId="620B5B13">
            <w:pPr>
              <w:spacing w:line="360" w:lineRule="auto"/>
              <w:contextualSpacing/>
              <w:jc w:val="center"/>
              <w:rPr>
                <w:rFonts w:ascii="宋体" w:hAnsi="宋体"/>
                <w:color w:val="auto"/>
                <w:sz w:val="24"/>
                <w:szCs w:val="20"/>
                <w:highlight w:val="none"/>
              </w:rPr>
            </w:pPr>
          </w:p>
        </w:tc>
        <w:tc>
          <w:tcPr>
            <w:tcW w:w="1920" w:type="dxa"/>
            <w:vAlign w:val="center"/>
          </w:tcPr>
          <w:p w14:paraId="2FA93C34">
            <w:pPr>
              <w:spacing w:line="360" w:lineRule="auto"/>
              <w:contextualSpacing/>
              <w:jc w:val="center"/>
              <w:rPr>
                <w:rFonts w:ascii="宋体" w:hAnsi="宋体"/>
                <w:color w:val="auto"/>
                <w:sz w:val="24"/>
                <w:szCs w:val="20"/>
                <w:highlight w:val="none"/>
              </w:rPr>
            </w:pPr>
          </w:p>
        </w:tc>
        <w:tc>
          <w:tcPr>
            <w:tcW w:w="1329" w:type="dxa"/>
            <w:vAlign w:val="center"/>
          </w:tcPr>
          <w:p w14:paraId="2232DFBB">
            <w:pPr>
              <w:spacing w:line="360" w:lineRule="auto"/>
              <w:contextualSpacing/>
              <w:jc w:val="center"/>
              <w:rPr>
                <w:rFonts w:ascii="宋体" w:hAnsi="宋体"/>
                <w:color w:val="auto"/>
                <w:sz w:val="24"/>
                <w:szCs w:val="20"/>
                <w:highlight w:val="none"/>
              </w:rPr>
            </w:pPr>
          </w:p>
        </w:tc>
      </w:tr>
    </w:tbl>
    <w:p w14:paraId="1B0B832A">
      <w:pPr>
        <w:spacing w:line="360" w:lineRule="auto"/>
        <w:contextualSpacing/>
        <w:jc w:val="left"/>
        <w:rPr>
          <w:rFonts w:ascii="宋体" w:hAnsi="宋体"/>
          <w:color w:val="auto"/>
          <w:sz w:val="24"/>
          <w:szCs w:val="20"/>
          <w:highlight w:val="none"/>
        </w:rPr>
      </w:pPr>
      <w:r>
        <w:rPr>
          <w:rFonts w:hint="eastAsia" w:ascii="宋体" w:hAnsi="宋体"/>
          <w:color w:val="auto"/>
          <w:sz w:val="24"/>
          <w:szCs w:val="20"/>
          <w:highlight w:val="none"/>
        </w:rPr>
        <w:t>注：在填写时，如本表格不适合供应商的实际情况，可根据本表格式自行制表填写。</w:t>
      </w:r>
    </w:p>
    <w:p w14:paraId="79A6D1C7">
      <w:pPr>
        <w:spacing w:line="360" w:lineRule="auto"/>
        <w:contextualSpacing/>
        <w:jc w:val="right"/>
        <w:rPr>
          <w:rFonts w:ascii="宋体" w:hAnsi="宋体"/>
          <w:color w:val="auto"/>
          <w:sz w:val="24"/>
          <w:highlight w:val="none"/>
        </w:rPr>
      </w:pPr>
    </w:p>
    <w:p w14:paraId="14DEAB10">
      <w:pPr>
        <w:spacing w:line="360" w:lineRule="auto"/>
        <w:contextualSpacing/>
        <w:jc w:val="center"/>
        <w:rPr>
          <w:rFonts w:ascii="宋体" w:hAnsi="宋体"/>
          <w:color w:val="auto"/>
          <w:spacing w:val="20"/>
          <w:sz w:val="24"/>
          <w:szCs w:val="20"/>
          <w:highlight w:val="none"/>
          <w:u w:val="single"/>
        </w:rPr>
      </w:pPr>
      <w:r>
        <w:rPr>
          <w:rFonts w:hint="eastAsia" w:ascii="宋体" w:hAnsi="宋体"/>
          <w:color w:val="auto"/>
          <w:sz w:val="24"/>
          <w:highlight w:val="none"/>
        </w:rPr>
        <w:t xml:space="preserve">                  法定代表人或者委托代理人（</w:t>
      </w:r>
      <w:r>
        <w:rPr>
          <w:rFonts w:hint="eastAsia" w:ascii="宋体" w:hAnsi="宋体"/>
          <w:color w:val="auto"/>
          <w:spacing w:val="20"/>
          <w:sz w:val="24"/>
          <w:highlight w:val="none"/>
        </w:rPr>
        <w:t>签字</w:t>
      </w:r>
      <w:r>
        <w:rPr>
          <w:rFonts w:hint="eastAsia" w:ascii="宋体" w:hAnsi="宋体" w:cs="宋体"/>
          <w:color w:val="auto"/>
          <w:sz w:val="24"/>
          <w:highlight w:val="none"/>
        </w:rPr>
        <w:t>或电子签名</w:t>
      </w:r>
      <w:r>
        <w:rPr>
          <w:rFonts w:hint="eastAsia" w:ascii="宋体" w:hAnsi="宋体"/>
          <w:color w:val="auto"/>
          <w:sz w:val="24"/>
          <w:highlight w:val="none"/>
        </w:rPr>
        <w:t>）</w:t>
      </w:r>
      <w:r>
        <w:rPr>
          <w:rFonts w:hint="eastAsia" w:ascii="宋体" w:hAnsi="宋体"/>
          <w:color w:val="auto"/>
          <w:spacing w:val="20"/>
          <w:sz w:val="24"/>
          <w:highlight w:val="none"/>
        </w:rPr>
        <w:t>：</w:t>
      </w:r>
    </w:p>
    <w:p w14:paraId="28F40874">
      <w:pPr>
        <w:spacing w:line="360" w:lineRule="auto"/>
        <w:contextualSpacing/>
        <w:jc w:val="center"/>
        <w:rPr>
          <w:rFonts w:ascii="宋体" w:hAnsi="宋体"/>
          <w:color w:val="auto"/>
          <w:spacing w:val="20"/>
          <w:sz w:val="24"/>
          <w:highlight w:val="none"/>
        </w:rPr>
      </w:pPr>
      <w:r>
        <w:rPr>
          <w:rFonts w:hint="eastAsia" w:ascii="宋体" w:hAnsi="宋体"/>
          <w:color w:val="auto"/>
          <w:spacing w:val="20"/>
          <w:sz w:val="24"/>
          <w:highlight w:val="none"/>
        </w:rPr>
        <w:t>供应商（</w:t>
      </w:r>
      <w:bookmarkStart w:id="170" w:name="_Hlk111061648"/>
      <w:r>
        <w:rPr>
          <w:rFonts w:hint="eastAsia" w:ascii="宋体" w:hAnsi="宋体"/>
          <w:color w:val="auto"/>
          <w:sz w:val="24"/>
          <w:highlight w:val="none"/>
        </w:rPr>
        <w:t>电子签章</w:t>
      </w:r>
      <w:bookmarkEnd w:id="170"/>
      <w:r>
        <w:rPr>
          <w:rFonts w:hint="eastAsia" w:ascii="宋体" w:hAnsi="宋体"/>
          <w:color w:val="auto"/>
          <w:spacing w:val="20"/>
          <w:sz w:val="24"/>
          <w:highlight w:val="none"/>
        </w:rPr>
        <w:t>）：</w:t>
      </w:r>
    </w:p>
    <w:p w14:paraId="10D88341">
      <w:pPr>
        <w:pStyle w:val="98"/>
        <w:spacing w:line="360" w:lineRule="auto"/>
        <w:ind w:firstLine="560"/>
        <w:jc w:val="center"/>
        <w:rPr>
          <w:rFonts w:ascii="宋体" w:hAnsi="宋体" w:eastAsia="宋体" w:cs="宋体"/>
          <w:color w:val="auto"/>
          <w:highlight w:val="none"/>
        </w:rPr>
      </w:pPr>
      <w:r>
        <w:rPr>
          <w:rFonts w:hint="eastAsia" w:ascii="宋体" w:hAnsi="宋体" w:eastAsia="宋体"/>
          <w:color w:val="auto"/>
          <w:spacing w:val="20"/>
          <w:highlight w:val="none"/>
        </w:rPr>
        <w:t>日 期：</w:t>
      </w:r>
    </w:p>
    <w:p w14:paraId="2C19590E">
      <w:pPr>
        <w:pStyle w:val="98"/>
        <w:spacing w:line="360" w:lineRule="auto"/>
        <w:rPr>
          <w:rFonts w:ascii="宋体" w:hAnsi="宋体" w:eastAsia="宋体" w:cs="宋体"/>
          <w:color w:val="auto"/>
          <w:highlight w:val="none"/>
        </w:rPr>
      </w:pPr>
    </w:p>
    <w:p w14:paraId="207F4E13">
      <w:pPr>
        <w:pStyle w:val="98"/>
        <w:spacing w:line="360" w:lineRule="auto"/>
        <w:rPr>
          <w:rFonts w:ascii="宋体" w:hAnsi="宋体" w:eastAsia="宋体" w:cs="宋体"/>
          <w:color w:val="auto"/>
          <w:highlight w:val="none"/>
          <w:lang w:val="zh-CN"/>
        </w:rPr>
      </w:pPr>
    </w:p>
    <w:p w14:paraId="091666D6">
      <w:pPr>
        <w:pStyle w:val="98"/>
        <w:spacing w:line="360" w:lineRule="auto"/>
        <w:rPr>
          <w:rFonts w:ascii="宋体" w:hAnsi="宋体" w:eastAsia="宋体" w:cs="宋体"/>
          <w:color w:val="auto"/>
          <w:highlight w:val="none"/>
          <w:lang w:val="zh-CN"/>
        </w:rPr>
      </w:pPr>
    </w:p>
    <w:p w14:paraId="78AAB0AE">
      <w:pPr>
        <w:pStyle w:val="98"/>
        <w:spacing w:line="360" w:lineRule="auto"/>
        <w:rPr>
          <w:rFonts w:ascii="宋体" w:hAnsi="宋体" w:eastAsia="宋体" w:cs="宋体"/>
          <w:color w:val="auto"/>
          <w:highlight w:val="none"/>
          <w:lang w:val="zh-CN"/>
        </w:rPr>
      </w:pPr>
    </w:p>
    <w:p w14:paraId="314359F6">
      <w:pPr>
        <w:pStyle w:val="98"/>
        <w:spacing w:line="360" w:lineRule="auto"/>
        <w:rPr>
          <w:rFonts w:ascii="宋体" w:hAnsi="宋体" w:eastAsia="宋体" w:cs="宋体"/>
          <w:color w:val="auto"/>
          <w:highlight w:val="none"/>
          <w:lang w:val="zh-CN"/>
        </w:rPr>
      </w:pPr>
    </w:p>
    <w:p w14:paraId="0C119C24">
      <w:pPr>
        <w:pStyle w:val="98"/>
        <w:spacing w:line="360" w:lineRule="auto"/>
        <w:rPr>
          <w:rFonts w:ascii="宋体" w:hAnsi="宋体" w:eastAsia="宋体" w:cs="宋体"/>
          <w:color w:val="auto"/>
          <w:highlight w:val="none"/>
          <w:lang w:val="zh-CN"/>
        </w:rPr>
      </w:pPr>
    </w:p>
    <w:p w14:paraId="5D658E2D">
      <w:pPr>
        <w:pStyle w:val="98"/>
        <w:spacing w:line="360" w:lineRule="auto"/>
        <w:ind w:left="0" w:firstLine="482"/>
        <w:jc w:val="left"/>
        <w:rPr>
          <w:rFonts w:ascii="宋体" w:hAnsi="宋体" w:eastAsia="宋体" w:cs="宋体"/>
          <w:b/>
          <w:bCs/>
          <w:color w:val="auto"/>
          <w:highlight w:val="none"/>
          <w:lang w:val="zh-CN"/>
        </w:rPr>
      </w:pPr>
      <w:r>
        <w:rPr>
          <w:rFonts w:hint="eastAsia" w:ascii="宋体" w:hAnsi="宋体" w:eastAsia="宋体" w:cs="宋体"/>
          <w:b/>
          <w:bCs/>
          <w:color w:val="auto"/>
          <w:highlight w:val="none"/>
        </w:rPr>
        <w:t>二、技术服务方案</w:t>
      </w:r>
    </w:p>
    <w:p w14:paraId="47B428E2">
      <w:pPr>
        <w:pStyle w:val="98"/>
        <w:spacing w:line="360" w:lineRule="auto"/>
        <w:jc w:val="center"/>
        <w:rPr>
          <w:rFonts w:ascii="宋体" w:hAnsi="宋体" w:eastAsia="宋体" w:cs="宋体"/>
          <w:color w:val="auto"/>
          <w:highlight w:val="none"/>
          <w:lang w:val="zh-CN"/>
        </w:rPr>
      </w:pPr>
      <w:r>
        <w:rPr>
          <w:rFonts w:hint="eastAsia" w:ascii="宋体" w:hAnsi="宋体" w:eastAsia="宋体" w:cs="宋体"/>
          <w:color w:val="auto"/>
          <w:highlight w:val="none"/>
          <w:lang w:val="zh-CN"/>
        </w:rPr>
        <w:t>根据第二章</w:t>
      </w:r>
      <w:r>
        <w:rPr>
          <w:rFonts w:hint="eastAsia" w:ascii="宋体" w:hAnsi="宋体" w:eastAsia="宋体" w:cs="宋体"/>
          <w:color w:val="auto"/>
          <w:highlight w:val="none"/>
        </w:rPr>
        <w:t xml:space="preserve"> </w:t>
      </w:r>
      <w:r>
        <w:rPr>
          <w:rFonts w:hint="eastAsia" w:ascii="宋体" w:hAnsi="宋体" w:eastAsia="宋体" w:cs="宋体"/>
          <w:color w:val="auto"/>
          <w:highlight w:val="none"/>
          <w:lang w:val="zh-CN"/>
        </w:rPr>
        <w:t>采购需求及第四章 评审程序、评审方法和成交标准的内容进行编制，格式自拟。</w:t>
      </w:r>
    </w:p>
    <w:p w14:paraId="77C90636">
      <w:pPr>
        <w:pStyle w:val="98"/>
        <w:spacing w:line="360" w:lineRule="auto"/>
        <w:rPr>
          <w:rFonts w:ascii="宋体" w:hAnsi="宋体" w:eastAsia="宋体" w:cs="宋体"/>
          <w:color w:val="auto"/>
          <w:highlight w:val="none"/>
          <w:lang w:val="zh-CN"/>
        </w:rPr>
      </w:pPr>
    </w:p>
    <w:p w14:paraId="776F3CE2">
      <w:pPr>
        <w:pStyle w:val="98"/>
        <w:spacing w:line="360" w:lineRule="auto"/>
        <w:rPr>
          <w:rFonts w:ascii="宋体" w:hAnsi="宋体" w:eastAsia="宋体" w:cs="宋体"/>
          <w:color w:val="auto"/>
          <w:highlight w:val="none"/>
          <w:lang w:val="zh-CN"/>
        </w:rPr>
      </w:pPr>
    </w:p>
    <w:p w14:paraId="12603E27">
      <w:pPr>
        <w:pStyle w:val="98"/>
        <w:spacing w:line="360" w:lineRule="auto"/>
        <w:rPr>
          <w:rFonts w:ascii="宋体" w:hAnsi="宋体" w:eastAsia="宋体" w:cs="宋体"/>
          <w:color w:val="auto"/>
          <w:highlight w:val="none"/>
          <w:lang w:val="zh-CN"/>
        </w:rPr>
      </w:pPr>
    </w:p>
    <w:p w14:paraId="0F863A9A">
      <w:pPr>
        <w:pStyle w:val="98"/>
        <w:spacing w:line="360" w:lineRule="auto"/>
        <w:rPr>
          <w:rFonts w:ascii="宋体" w:hAnsi="宋体" w:eastAsia="宋体" w:cs="宋体"/>
          <w:color w:val="auto"/>
          <w:highlight w:val="none"/>
          <w:lang w:val="zh-CN"/>
        </w:rPr>
      </w:pPr>
    </w:p>
    <w:p w14:paraId="630542AE">
      <w:pPr>
        <w:pStyle w:val="98"/>
        <w:spacing w:line="360" w:lineRule="auto"/>
        <w:rPr>
          <w:rFonts w:ascii="宋体" w:hAnsi="宋体" w:eastAsia="宋体" w:cs="宋体"/>
          <w:color w:val="auto"/>
          <w:highlight w:val="none"/>
          <w:lang w:val="zh-CN"/>
        </w:rPr>
      </w:pPr>
    </w:p>
    <w:p w14:paraId="6578803C">
      <w:pPr>
        <w:pStyle w:val="98"/>
        <w:spacing w:line="360" w:lineRule="auto"/>
        <w:rPr>
          <w:rFonts w:ascii="宋体" w:hAnsi="宋体" w:eastAsia="宋体" w:cs="宋体"/>
          <w:color w:val="auto"/>
          <w:highlight w:val="none"/>
          <w:lang w:val="zh-CN"/>
        </w:rPr>
      </w:pPr>
    </w:p>
    <w:p w14:paraId="6BC1FB2E">
      <w:pPr>
        <w:pStyle w:val="98"/>
        <w:spacing w:line="360" w:lineRule="auto"/>
        <w:rPr>
          <w:rFonts w:ascii="宋体" w:hAnsi="宋体" w:eastAsia="宋体" w:cs="宋体"/>
          <w:color w:val="auto"/>
          <w:highlight w:val="none"/>
          <w:lang w:val="zh-CN"/>
        </w:rPr>
      </w:pPr>
    </w:p>
    <w:p w14:paraId="63AA2AE0">
      <w:pPr>
        <w:pStyle w:val="98"/>
        <w:spacing w:line="360" w:lineRule="auto"/>
        <w:rPr>
          <w:rFonts w:ascii="宋体" w:hAnsi="宋体" w:eastAsia="宋体" w:cs="宋体"/>
          <w:color w:val="auto"/>
          <w:highlight w:val="none"/>
          <w:lang w:val="zh-CN"/>
        </w:rPr>
      </w:pPr>
    </w:p>
    <w:p w14:paraId="1C77CFE3">
      <w:pPr>
        <w:pStyle w:val="98"/>
        <w:spacing w:line="360" w:lineRule="auto"/>
        <w:ind w:left="0" w:firstLine="482"/>
        <w:jc w:val="left"/>
        <w:rPr>
          <w:rFonts w:ascii="宋体" w:hAnsi="宋体" w:eastAsia="宋体" w:cs="宋体"/>
          <w:b/>
          <w:bCs/>
          <w:color w:val="auto"/>
          <w:highlight w:val="none"/>
          <w:lang w:val="zh-CN"/>
        </w:rPr>
      </w:pPr>
      <w:r>
        <w:rPr>
          <w:rFonts w:hint="eastAsia" w:ascii="宋体" w:hAnsi="宋体" w:eastAsia="宋体" w:cs="宋体"/>
          <w:b/>
          <w:bCs/>
          <w:color w:val="auto"/>
          <w:highlight w:val="none"/>
        </w:rPr>
        <w:t>四、售后服务承诺</w:t>
      </w:r>
    </w:p>
    <w:p w14:paraId="571E41D4">
      <w:pPr>
        <w:pStyle w:val="98"/>
        <w:spacing w:line="360" w:lineRule="auto"/>
        <w:jc w:val="center"/>
        <w:rPr>
          <w:rFonts w:ascii="宋体" w:hAnsi="宋体" w:eastAsia="宋体" w:cs="宋体"/>
          <w:color w:val="auto"/>
          <w:highlight w:val="none"/>
          <w:lang w:val="zh-CN"/>
        </w:rPr>
      </w:pPr>
      <w:r>
        <w:rPr>
          <w:rFonts w:hint="eastAsia" w:ascii="宋体" w:hAnsi="宋体" w:eastAsia="宋体" w:cs="宋体"/>
          <w:color w:val="auto"/>
          <w:highlight w:val="none"/>
          <w:lang w:val="zh-CN"/>
        </w:rPr>
        <w:t>根据第二章</w:t>
      </w:r>
      <w:r>
        <w:rPr>
          <w:rFonts w:hint="eastAsia" w:ascii="宋体" w:hAnsi="宋体" w:eastAsia="宋体" w:cs="宋体"/>
          <w:color w:val="auto"/>
          <w:highlight w:val="none"/>
        </w:rPr>
        <w:t xml:space="preserve"> </w:t>
      </w:r>
      <w:r>
        <w:rPr>
          <w:rFonts w:hint="eastAsia" w:ascii="宋体" w:hAnsi="宋体" w:eastAsia="宋体" w:cs="宋体"/>
          <w:color w:val="auto"/>
          <w:highlight w:val="none"/>
          <w:lang w:val="zh-CN"/>
        </w:rPr>
        <w:t>采购需求及第四章 评审程序、评审方法和成交标准的内容进行编制，格式自拟。</w:t>
      </w:r>
    </w:p>
    <w:p w14:paraId="53B7016E">
      <w:pPr>
        <w:pStyle w:val="98"/>
        <w:spacing w:line="360" w:lineRule="auto"/>
        <w:rPr>
          <w:rFonts w:ascii="宋体" w:hAnsi="宋体" w:eastAsia="宋体" w:cs="宋体"/>
          <w:color w:val="auto"/>
          <w:highlight w:val="none"/>
          <w:lang w:val="zh-CN"/>
        </w:rPr>
      </w:pPr>
    </w:p>
    <w:p w14:paraId="156B6F0A">
      <w:pPr>
        <w:pStyle w:val="98"/>
        <w:spacing w:line="360" w:lineRule="auto"/>
        <w:rPr>
          <w:rFonts w:ascii="宋体" w:hAnsi="宋体" w:eastAsia="宋体" w:cs="宋体"/>
          <w:color w:val="auto"/>
          <w:highlight w:val="none"/>
          <w:lang w:val="zh-CN"/>
        </w:rPr>
      </w:pPr>
    </w:p>
    <w:p w14:paraId="69B5CFCA">
      <w:pPr>
        <w:pStyle w:val="98"/>
        <w:spacing w:line="360" w:lineRule="auto"/>
        <w:rPr>
          <w:rFonts w:ascii="宋体" w:hAnsi="宋体" w:eastAsia="宋体" w:cs="宋体"/>
          <w:color w:val="auto"/>
          <w:highlight w:val="none"/>
          <w:lang w:val="zh-CN"/>
        </w:rPr>
      </w:pPr>
    </w:p>
    <w:p w14:paraId="79D53BA6">
      <w:pPr>
        <w:pStyle w:val="98"/>
        <w:spacing w:line="360" w:lineRule="auto"/>
        <w:rPr>
          <w:rFonts w:ascii="宋体" w:hAnsi="宋体" w:eastAsia="宋体" w:cs="宋体"/>
          <w:color w:val="auto"/>
          <w:highlight w:val="none"/>
          <w:lang w:val="zh-CN"/>
        </w:rPr>
      </w:pPr>
    </w:p>
    <w:p w14:paraId="6D57F816">
      <w:pPr>
        <w:pStyle w:val="98"/>
        <w:spacing w:line="360" w:lineRule="auto"/>
        <w:rPr>
          <w:rFonts w:ascii="宋体" w:hAnsi="宋体" w:eastAsia="宋体" w:cs="宋体"/>
          <w:color w:val="auto"/>
          <w:highlight w:val="none"/>
          <w:lang w:val="zh-CN"/>
        </w:rPr>
      </w:pPr>
    </w:p>
    <w:p w14:paraId="56098547">
      <w:pPr>
        <w:pStyle w:val="98"/>
        <w:spacing w:line="360" w:lineRule="auto"/>
        <w:rPr>
          <w:rFonts w:ascii="宋体" w:hAnsi="宋体" w:eastAsia="宋体" w:cs="宋体"/>
          <w:color w:val="auto"/>
          <w:highlight w:val="none"/>
          <w:lang w:val="zh-CN"/>
        </w:rPr>
      </w:pPr>
    </w:p>
    <w:p w14:paraId="2C380EAC">
      <w:pPr>
        <w:pStyle w:val="98"/>
        <w:spacing w:line="360" w:lineRule="auto"/>
        <w:rPr>
          <w:rFonts w:ascii="宋体" w:hAnsi="宋体" w:eastAsia="宋体" w:cs="宋体"/>
          <w:color w:val="auto"/>
          <w:highlight w:val="none"/>
          <w:lang w:val="zh-CN"/>
        </w:rPr>
      </w:pPr>
    </w:p>
    <w:p w14:paraId="13516D1B">
      <w:pPr>
        <w:pStyle w:val="98"/>
        <w:spacing w:line="360" w:lineRule="auto"/>
        <w:ind w:firstLine="482"/>
        <w:rPr>
          <w:rFonts w:ascii="宋体" w:hAnsi="宋体" w:eastAsia="宋体" w:cs="宋体"/>
          <w:b/>
          <w:bCs/>
          <w:color w:val="auto"/>
          <w:highlight w:val="none"/>
        </w:rPr>
      </w:pPr>
      <w:r>
        <w:rPr>
          <w:rFonts w:hint="eastAsia" w:ascii="宋体" w:hAnsi="宋体" w:eastAsia="宋体" w:cs="宋体"/>
          <w:b/>
          <w:bCs/>
          <w:color w:val="auto"/>
          <w:highlight w:val="none"/>
        </w:rPr>
        <w:t>五、供应商认为需要提供的其他有关资料</w:t>
      </w:r>
    </w:p>
    <w:p w14:paraId="7A4DD990">
      <w:pPr>
        <w:pStyle w:val="98"/>
        <w:spacing w:line="360" w:lineRule="auto"/>
        <w:rPr>
          <w:rFonts w:ascii="宋体" w:hAnsi="宋体" w:eastAsia="宋体" w:cs="宋体"/>
          <w:color w:val="auto"/>
          <w:highlight w:val="none"/>
          <w:lang w:val="zh-CN"/>
        </w:rPr>
      </w:pPr>
    </w:p>
    <w:p w14:paraId="0BA996A3">
      <w:pPr>
        <w:pStyle w:val="98"/>
        <w:spacing w:line="360" w:lineRule="auto"/>
        <w:rPr>
          <w:rFonts w:ascii="宋体" w:hAnsi="宋体" w:eastAsia="宋体" w:cs="宋体"/>
          <w:color w:val="auto"/>
          <w:highlight w:val="none"/>
          <w:lang w:val="zh-CN"/>
        </w:rPr>
      </w:pPr>
    </w:p>
    <w:p w14:paraId="421A9913">
      <w:pPr>
        <w:pStyle w:val="98"/>
        <w:spacing w:line="360" w:lineRule="auto"/>
        <w:rPr>
          <w:rFonts w:ascii="宋体" w:hAnsi="宋体" w:eastAsia="宋体" w:cs="宋体"/>
          <w:color w:val="auto"/>
          <w:highlight w:val="none"/>
          <w:lang w:val="zh-CN"/>
        </w:rPr>
      </w:pPr>
    </w:p>
    <w:p w14:paraId="7D159A6E">
      <w:pPr>
        <w:pStyle w:val="98"/>
        <w:spacing w:line="360" w:lineRule="auto"/>
        <w:rPr>
          <w:rFonts w:ascii="宋体" w:hAnsi="宋体" w:eastAsia="宋体" w:cs="宋体"/>
          <w:color w:val="auto"/>
          <w:highlight w:val="none"/>
          <w:lang w:val="zh-CN"/>
        </w:rPr>
      </w:pPr>
    </w:p>
    <w:p w14:paraId="6F8DE944">
      <w:pPr>
        <w:pStyle w:val="98"/>
        <w:spacing w:line="360" w:lineRule="auto"/>
        <w:rPr>
          <w:rFonts w:ascii="宋体" w:hAnsi="宋体" w:eastAsia="宋体" w:cs="宋体"/>
          <w:color w:val="auto"/>
          <w:highlight w:val="none"/>
          <w:lang w:val="zh-CN"/>
        </w:rPr>
      </w:pPr>
    </w:p>
    <w:p w14:paraId="06F72A40">
      <w:pPr>
        <w:pStyle w:val="98"/>
        <w:spacing w:line="360" w:lineRule="auto"/>
        <w:rPr>
          <w:rFonts w:ascii="宋体" w:hAnsi="宋体" w:eastAsia="宋体" w:cs="宋体"/>
          <w:color w:val="auto"/>
          <w:highlight w:val="none"/>
          <w:lang w:val="zh-CN"/>
        </w:rPr>
      </w:pPr>
    </w:p>
    <w:p w14:paraId="24FC7ADA">
      <w:pPr>
        <w:pStyle w:val="98"/>
        <w:spacing w:line="360" w:lineRule="auto"/>
        <w:rPr>
          <w:rFonts w:ascii="宋体" w:hAnsi="宋体" w:eastAsia="宋体" w:cs="宋体"/>
          <w:color w:val="auto"/>
          <w:highlight w:val="none"/>
          <w:lang w:val="zh-CN"/>
        </w:rPr>
      </w:pPr>
    </w:p>
    <w:p w14:paraId="483D24EB">
      <w:pPr>
        <w:pStyle w:val="98"/>
        <w:spacing w:line="360" w:lineRule="auto"/>
        <w:rPr>
          <w:rFonts w:ascii="宋体" w:hAnsi="宋体" w:eastAsia="宋体" w:cs="宋体"/>
          <w:color w:val="auto"/>
          <w:highlight w:val="none"/>
        </w:rPr>
      </w:pPr>
    </w:p>
    <w:p w14:paraId="797723D8">
      <w:pPr>
        <w:pStyle w:val="98"/>
        <w:spacing w:line="360" w:lineRule="auto"/>
        <w:rPr>
          <w:rFonts w:ascii="宋体" w:hAnsi="宋体" w:eastAsia="宋体" w:cs="宋体"/>
          <w:color w:val="auto"/>
          <w:highlight w:val="none"/>
        </w:rPr>
      </w:pPr>
    </w:p>
    <w:p w14:paraId="313D1E52">
      <w:pPr>
        <w:pStyle w:val="98"/>
        <w:spacing w:line="360" w:lineRule="auto"/>
        <w:rPr>
          <w:rFonts w:ascii="宋体" w:hAnsi="宋体" w:eastAsia="宋体" w:cs="宋体"/>
          <w:color w:val="auto"/>
          <w:highlight w:val="none"/>
        </w:rPr>
      </w:pPr>
    </w:p>
    <w:p w14:paraId="0716A42F">
      <w:pPr>
        <w:pStyle w:val="98"/>
        <w:spacing w:line="360" w:lineRule="auto"/>
        <w:rPr>
          <w:rFonts w:ascii="宋体" w:hAnsi="宋体" w:eastAsia="宋体" w:cs="宋体"/>
          <w:color w:val="auto"/>
          <w:highlight w:val="none"/>
        </w:rPr>
      </w:pPr>
    </w:p>
    <w:p w14:paraId="1545964F">
      <w:pPr>
        <w:pStyle w:val="98"/>
        <w:spacing w:line="360" w:lineRule="auto"/>
        <w:rPr>
          <w:rFonts w:ascii="宋体" w:hAnsi="宋体" w:eastAsia="宋体" w:cs="宋体"/>
          <w:color w:val="auto"/>
          <w:highlight w:val="none"/>
        </w:rPr>
      </w:pPr>
    </w:p>
    <w:p w14:paraId="505F7BE7">
      <w:pPr>
        <w:pStyle w:val="98"/>
        <w:spacing w:line="360" w:lineRule="auto"/>
        <w:rPr>
          <w:rFonts w:ascii="宋体" w:hAnsi="宋体" w:eastAsia="宋体" w:cs="宋体"/>
          <w:color w:val="auto"/>
          <w:highlight w:val="none"/>
        </w:rPr>
      </w:pPr>
    </w:p>
    <w:p w14:paraId="4275C7BF">
      <w:pPr>
        <w:pStyle w:val="98"/>
        <w:spacing w:line="360" w:lineRule="auto"/>
        <w:rPr>
          <w:rFonts w:ascii="宋体" w:hAnsi="宋体" w:eastAsia="宋体" w:cs="宋体"/>
          <w:color w:val="auto"/>
          <w:highlight w:val="none"/>
        </w:rPr>
      </w:pPr>
    </w:p>
    <w:p w14:paraId="6094E871">
      <w:pPr>
        <w:pStyle w:val="98"/>
        <w:spacing w:line="360" w:lineRule="auto"/>
        <w:rPr>
          <w:rFonts w:ascii="宋体" w:hAnsi="宋体" w:eastAsia="宋体" w:cs="宋体"/>
          <w:color w:val="auto"/>
          <w:highlight w:val="none"/>
        </w:rPr>
      </w:pPr>
    </w:p>
    <w:p w14:paraId="79110370">
      <w:pPr>
        <w:pStyle w:val="98"/>
        <w:spacing w:line="360" w:lineRule="auto"/>
        <w:rPr>
          <w:rFonts w:ascii="宋体" w:hAnsi="宋体" w:eastAsia="宋体" w:cs="宋体"/>
          <w:color w:val="auto"/>
          <w:highlight w:val="none"/>
        </w:rPr>
      </w:pPr>
    </w:p>
    <w:p w14:paraId="5CB3EB09">
      <w:pPr>
        <w:pStyle w:val="98"/>
        <w:spacing w:line="360" w:lineRule="auto"/>
        <w:rPr>
          <w:rFonts w:ascii="宋体" w:hAnsi="宋体" w:eastAsia="宋体" w:cs="宋体"/>
          <w:color w:val="auto"/>
          <w:highlight w:val="none"/>
        </w:rPr>
      </w:pPr>
    </w:p>
    <w:p w14:paraId="426DFFFA">
      <w:pPr>
        <w:pStyle w:val="98"/>
        <w:spacing w:line="360" w:lineRule="auto"/>
        <w:rPr>
          <w:rFonts w:ascii="宋体" w:hAnsi="宋体" w:eastAsia="宋体" w:cs="宋体"/>
          <w:color w:val="auto"/>
          <w:highlight w:val="none"/>
        </w:rPr>
      </w:pPr>
    </w:p>
    <w:p w14:paraId="268DF2B9">
      <w:pPr>
        <w:adjustRightInd w:val="0"/>
        <w:snapToGrid w:val="0"/>
        <w:spacing w:line="300" w:lineRule="auto"/>
        <w:rPr>
          <w:rFonts w:ascii="宋体" w:hAnsi="宋体" w:cs="宋体"/>
          <w:color w:val="auto"/>
          <w:szCs w:val="21"/>
          <w:highlight w:val="none"/>
          <w:u w:val="single"/>
        </w:rPr>
      </w:pPr>
    </w:p>
    <w:p w14:paraId="507E0730">
      <w:pPr>
        <w:pStyle w:val="4"/>
        <w:jc w:val="center"/>
        <w:rPr>
          <w:rFonts w:ascii="宋体" w:hAnsi="宋体" w:cs="宋体"/>
          <w:color w:val="auto"/>
          <w:highlight w:val="none"/>
        </w:rPr>
      </w:pPr>
      <w:bookmarkStart w:id="171" w:name="_Toc28459"/>
      <w:r>
        <w:rPr>
          <w:rFonts w:hint="eastAsia" w:ascii="宋体" w:hAnsi="宋体" w:cs="宋体"/>
          <w:color w:val="auto"/>
          <w:highlight w:val="none"/>
        </w:rPr>
        <w:t>第四节 报价文件格式</w:t>
      </w:r>
      <w:bookmarkEnd w:id="171"/>
    </w:p>
    <w:p w14:paraId="5377643E">
      <w:pPr>
        <w:snapToGrid w:val="0"/>
        <w:spacing w:before="120" w:beforeLines="50" w:after="50"/>
        <w:rPr>
          <w:rFonts w:ascii="宋体" w:hAnsi="宋体" w:cs="宋体"/>
          <w:bCs/>
          <w:color w:val="auto"/>
          <w:sz w:val="32"/>
          <w:szCs w:val="20"/>
          <w:highlight w:val="none"/>
        </w:rPr>
      </w:pPr>
      <w:r>
        <w:rPr>
          <w:rFonts w:hint="eastAsia" w:ascii="宋体" w:hAnsi="宋体" w:cs="宋体"/>
          <w:bCs/>
          <w:color w:val="auto"/>
          <w:highlight w:val="none"/>
        </w:rPr>
        <w:t>全流程电子文件</w:t>
      </w:r>
    </w:p>
    <w:p w14:paraId="08E92935">
      <w:pPr>
        <w:snapToGrid w:val="0"/>
        <w:spacing w:before="120" w:beforeLines="50" w:after="50"/>
        <w:rPr>
          <w:rFonts w:ascii="宋体" w:hAnsi="宋体" w:cs="宋体"/>
          <w:color w:val="auto"/>
          <w:sz w:val="24"/>
          <w:szCs w:val="20"/>
          <w:highlight w:val="none"/>
        </w:rPr>
      </w:pPr>
    </w:p>
    <w:p w14:paraId="1F7432F6">
      <w:pPr>
        <w:snapToGrid w:val="0"/>
        <w:spacing w:before="120" w:beforeLines="50" w:after="50"/>
        <w:rPr>
          <w:rFonts w:ascii="宋体" w:hAnsi="宋体" w:cs="宋体"/>
          <w:color w:val="auto"/>
          <w:sz w:val="24"/>
          <w:szCs w:val="20"/>
          <w:highlight w:val="none"/>
        </w:rPr>
      </w:pPr>
    </w:p>
    <w:p w14:paraId="4D7ABA6A">
      <w:pPr>
        <w:snapToGrid w:val="0"/>
        <w:spacing w:before="120" w:beforeLines="50" w:after="50"/>
        <w:rPr>
          <w:rFonts w:ascii="宋体" w:hAnsi="宋体" w:cs="宋体"/>
          <w:color w:val="auto"/>
          <w:sz w:val="24"/>
          <w:szCs w:val="20"/>
          <w:highlight w:val="none"/>
        </w:rPr>
      </w:pPr>
    </w:p>
    <w:p w14:paraId="70E60762">
      <w:pPr>
        <w:snapToGrid w:val="0"/>
        <w:spacing w:before="120" w:beforeLines="50" w:after="50"/>
        <w:jc w:val="center"/>
        <w:rPr>
          <w:rFonts w:ascii="宋体" w:hAnsi="宋体" w:cs="宋体"/>
          <w:bCs/>
          <w:color w:val="auto"/>
          <w:sz w:val="44"/>
          <w:szCs w:val="44"/>
          <w:highlight w:val="none"/>
        </w:rPr>
      </w:pPr>
      <w:r>
        <w:rPr>
          <w:rFonts w:hint="eastAsia" w:ascii="宋体" w:hAnsi="宋体" w:cs="宋体"/>
          <w:bCs/>
          <w:color w:val="auto"/>
          <w:sz w:val="44"/>
          <w:szCs w:val="44"/>
          <w:highlight w:val="none"/>
        </w:rPr>
        <w:t>报  价  文  件（封面）</w:t>
      </w:r>
    </w:p>
    <w:p w14:paraId="3FB2C8FE">
      <w:pPr>
        <w:snapToGrid w:val="0"/>
        <w:spacing w:before="120" w:beforeLines="50" w:after="50"/>
        <w:rPr>
          <w:rFonts w:ascii="宋体" w:hAnsi="宋体" w:cs="宋体"/>
          <w:bCs/>
          <w:color w:val="auto"/>
          <w:sz w:val="24"/>
          <w:szCs w:val="20"/>
          <w:highlight w:val="none"/>
        </w:rPr>
      </w:pPr>
    </w:p>
    <w:p w14:paraId="0D21883A">
      <w:pPr>
        <w:snapToGrid w:val="0"/>
        <w:spacing w:before="120" w:beforeLines="50" w:after="50"/>
        <w:rPr>
          <w:rFonts w:ascii="宋体" w:hAnsi="宋体" w:cs="宋体"/>
          <w:bCs/>
          <w:color w:val="auto"/>
          <w:sz w:val="24"/>
          <w:szCs w:val="20"/>
          <w:highlight w:val="none"/>
        </w:rPr>
      </w:pPr>
    </w:p>
    <w:p w14:paraId="370F18AB">
      <w:pPr>
        <w:snapToGrid w:val="0"/>
        <w:spacing w:before="120" w:beforeLines="50" w:after="50"/>
        <w:rPr>
          <w:rFonts w:ascii="宋体" w:hAnsi="宋体" w:cs="宋体"/>
          <w:bCs/>
          <w:color w:val="auto"/>
          <w:sz w:val="24"/>
          <w:szCs w:val="20"/>
          <w:highlight w:val="none"/>
        </w:rPr>
      </w:pPr>
    </w:p>
    <w:p w14:paraId="3570F40E">
      <w:pPr>
        <w:snapToGrid w:val="0"/>
        <w:spacing w:before="120" w:beforeLines="50" w:after="50"/>
        <w:rPr>
          <w:rFonts w:ascii="宋体" w:hAnsi="宋体" w:cs="宋体"/>
          <w:bCs/>
          <w:color w:val="auto"/>
          <w:sz w:val="24"/>
          <w:szCs w:val="20"/>
          <w:highlight w:val="none"/>
        </w:rPr>
      </w:pPr>
    </w:p>
    <w:p w14:paraId="0B851B38">
      <w:pPr>
        <w:snapToGrid w:val="0"/>
        <w:spacing w:before="120" w:beforeLines="50" w:after="50"/>
        <w:rPr>
          <w:rFonts w:ascii="宋体" w:hAnsi="宋体" w:cs="宋体"/>
          <w:bCs/>
          <w:color w:val="auto"/>
          <w:sz w:val="24"/>
          <w:szCs w:val="20"/>
          <w:highlight w:val="none"/>
        </w:rPr>
      </w:pPr>
    </w:p>
    <w:p w14:paraId="56EB7A6A">
      <w:pPr>
        <w:snapToGrid w:val="0"/>
        <w:spacing w:before="120" w:beforeLines="50" w:after="50"/>
        <w:ind w:firstLine="640" w:firstLineChars="200"/>
        <w:rPr>
          <w:rFonts w:ascii="宋体" w:hAnsi="宋体" w:cs="宋体"/>
          <w:bCs/>
          <w:color w:val="auto"/>
          <w:sz w:val="32"/>
          <w:szCs w:val="32"/>
          <w:highlight w:val="none"/>
        </w:rPr>
      </w:pPr>
      <w:r>
        <w:rPr>
          <w:rFonts w:hint="eastAsia" w:ascii="宋体" w:hAnsi="宋体" w:cs="宋体"/>
          <w:bCs/>
          <w:color w:val="auto"/>
          <w:sz w:val="32"/>
          <w:szCs w:val="32"/>
          <w:highlight w:val="none"/>
        </w:rPr>
        <w:t>项目名称：</w:t>
      </w:r>
    </w:p>
    <w:p w14:paraId="32245B8C">
      <w:pPr>
        <w:snapToGrid w:val="0"/>
        <w:spacing w:before="120" w:beforeLines="50" w:after="50"/>
        <w:ind w:firstLine="720" w:firstLineChars="225"/>
        <w:rPr>
          <w:rFonts w:ascii="宋体" w:hAnsi="宋体" w:cs="宋体"/>
          <w:bCs/>
          <w:color w:val="auto"/>
          <w:sz w:val="32"/>
          <w:szCs w:val="32"/>
          <w:highlight w:val="none"/>
        </w:rPr>
      </w:pPr>
    </w:p>
    <w:p w14:paraId="5A9F5D93">
      <w:pPr>
        <w:snapToGrid w:val="0"/>
        <w:spacing w:before="120" w:beforeLines="50" w:after="50"/>
        <w:ind w:firstLine="640" w:firstLineChars="200"/>
        <w:rPr>
          <w:rFonts w:ascii="宋体" w:hAnsi="宋体" w:cs="宋体"/>
          <w:bCs/>
          <w:color w:val="auto"/>
          <w:sz w:val="32"/>
          <w:szCs w:val="32"/>
          <w:highlight w:val="none"/>
        </w:rPr>
      </w:pPr>
      <w:r>
        <w:rPr>
          <w:rFonts w:hint="eastAsia" w:ascii="宋体" w:hAnsi="宋体" w:cs="宋体"/>
          <w:bCs/>
          <w:color w:val="auto"/>
          <w:sz w:val="32"/>
          <w:szCs w:val="32"/>
          <w:highlight w:val="none"/>
        </w:rPr>
        <w:t>项目编号：</w:t>
      </w:r>
    </w:p>
    <w:p w14:paraId="5F7D291F">
      <w:pPr>
        <w:snapToGrid w:val="0"/>
        <w:spacing w:before="120" w:beforeLines="50" w:after="50"/>
        <w:ind w:firstLine="720" w:firstLineChars="225"/>
        <w:rPr>
          <w:rFonts w:ascii="宋体" w:hAnsi="宋体" w:cs="宋体"/>
          <w:bCs/>
          <w:color w:val="auto"/>
          <w:sz w:val="32"/>
          <w:szCs w:val="32"/>
          <w:highlight w:val="none"/>
        </w:rPr>
      </w:pPr>
    </w:p>
    <w:p w14:paraId="30DF96DC">
      <w:pPr>
        <w:snapToGrid w:val="0"/>
        <w:spacing w:before="120" w:beforeLines="50" w:after="50"/>
        <w:ind w:firstLine="640" w:firstLineChars="200"/>
        <w:rPr>
          <w:rFonts w:ascii="宋体" w:hAnsi="宋体" w:cs="宋体"/>
          <w:bCs/>
          <w:color w:val="auto"/>
          <w:sz w:val="32"/>
          <w:szCs w:val="32"/>
          <w:highlight w:val="none"/>
        </w:rPr>
      </w:pPr>
      <w:r>
        <w:rPr>
          <w:rFonts w:hint="eastAsia" w:ascii="宋体" w:hAnsi="宋体" w:cs="宋体"/>
          <w:bCs/>
          <w:color w:val="auto"/>
          <w:sz w:val="32"/>
          <w:szCs w:val="32"/>
          <w:highlight w:val="none"/>
        </w:rPr>
        <w:t>所竞分标（如有则填写，无分标时填写“无”或者留空）：</w:t>
      </w:r>
    </w:p>
    <w:p w14:paraId="2BB96A29">
      <w:pPr>
        <w:snapToGrid w:val="0"/>
        <w:spacing w:before="120" w:beforeLines="50" w:after="50"/>
        <w:ind w:firstLine="720" w:firstLineChars="225"/>
        <w:rPr>
          <w:rFonts w:ascii="宋体" w:hAnsi="宋体" w:cs="宋体"/>
          <w:bCs/>
          <w:color w:val="auto"/>
          <w:sz w:val="32"/>
          <w:szCs w:val="32"/>
          <w:highlight w:val="none"/>
        </w:rPr>
      </w:pPr>
    </w:p>
    <w:p w14:paraId="550CB355">
      <w:pPr>
        <w:pStyle w:val="7"/>
        <w:snapToGrid w:val="0"/>
        <w:spacing w:before="50" w:after="50"/>
        <w:ind w:firstLine="640" w:firstLineChars="200"/>
        <w:rPr>
          <w:rFonts w:ascii="宋体" w:hAnsi="宋体" w:cs="宋体"/>
          <w:bCs/>
          <w:color w:val="auto"/>
          <w:sz w:val="32"/>
          <w:szCs w:val="32"/>
          <w:highlight w:val="none"/>
        </w:rPr>
      </w:pPr>
      <w:r>
        <w:rPr>
          <w:rFonts w:hint="eastAsia" w:ascii="宋体" w:hAnsi="宋体" w:cs="宋体"/>
          <w:bCs/>
          <w:color w:val="auto"/>
          <w:sz w:val="32"/>
          <w:szCs w:val="32"/>
          <w:highlight w:val="none"/>
        </w:rPr>
        <w:t>供应商名称：</w:t>
      </w:r>
    </w:p>
    <w:p w14:paraId="635615CC">
      <w:pPr>
        <w:pStyle w:val="7"/>
        <w:snapToGrid w:val="0"/>
        <w:spacing w:before="50" w:after="50"/>
        <w:ind w:firstLine="720" w:firstLineChars="225"/>
        <w:rPr>
          <w:rFonts w:ascii="宋体" w:hAnsi="宋体" w:cs="宋体"/>
          <w:bCs/>
          <w:color w:val="auto"/>
          <w:sz w:val="32"/>
          <w:szCs w:val="32"/>
          <w:highlight w:val="none"/>
        </w:rPr>
      </w:pPr>
    </w:p>
    <w:p w14:paraId="244528B3">
      <w:pPr>
        <w:pStyle w:val="7"/>
        <w:snapToGrid w:val="0"/>
        <w:spacing w:before="50" w:after="50"/>
        <w:ind w:firstLine="720" w:firstLineChars="225"/>
        <w:rPr>
          <w:rFonts w:ascii="宋体" w:hAnsi="宋体" w:cs="宋体"/>
          <w:bCs/>
          <w:color w:val="auto"/>
          <w:sz w:val="32"/>
          <w:szCs w:val="32"/>
          <w:highlight w:val="none"/>
        </w:rPr>
      </w:pPr>
    </w:p>
    <w:p w14:paraId="70C357E5">
      <w:pPr>
        <w:pStyle w:val="7"/>
        <w:snapToGrid w:val="0"/>
        <w:spacing w:before="50" w:after="50"/>
        <w:ind w:firstLine="1280" w:firstLineChars="400"/>
        <w:rPr>
          <w:rFonts w:ascii="宋体" w:hAnsi="宋体" w:cs="宋体"/>
          <w:bCs/>
          <w:color w:val="auto"/>
          <w:sz w:val="32"/>
          <w:szCs w:val="32"/>
          <w:highlight w:val="none"/>
        </w:rPr>
      </w:pPr>
    </w:p>
    <w:p w14:paraId="1B1C8557">
      <w:pPr>
        <w:snapToGrid w:val="0"/>
        <w:spacing w:before="120" w:beforeLines="50" w:after="50"/>
        <w:jc w:val="center"/>
        <w:rPr>
          <w:rFonts w:ascii="宋体" w:hAnsi="宋体" w:cs="宋体"/>
          <w:color w:val="auto"/>
          <w:sz w:val="32"/>
          <w:szCs w:val="32"/>
          <w:highlight w:val="none"/>
        </w:rPr>
      </w:pPr>
      <w:r>
        <w:rPr>
          <w:rFonts w:hint="eastAsia" w:ascii="宋体" w:hAnsi="宋体" w:cs="宋体"/>
          <w:color w:val="auto"/>
          <w:sz w:val="32"/>
          <w:szCs w:val="32"/>
          <w:highlight w:val="none"/>
        </w:rPr>
        <w:t>年    月    日</w:t>
      </w:r>
    </w:p>
    <w:p w14:paraId="741B1DF0">
      <w:pPr>
        <w:snapToGrid w:val="0"/>
        <w:spacing w:before="120" w:beforeLines="50" w:after="50" w:line="400" w:lineRule="exact"/>
        <w:jc w:val="center"/>
        <w:rPr>
          <w:rFonts w:ascii="宋体" w:hAnsi="宋体" w:cs="宋体"/>
          <w:b/>
          <w:bCs/>
          <w:color w:val="auto"/>
          <w:sz w:val="32"/>
          <w:szCs w:val="32"/>
          <w:highlight w:val="none"/>
        </w:rPr>
      </w:pPr>
      <w:r>
        <w:rPr>
          <w:rFonts w:hint="eastAsia" w:ascii="宋体" w:hAnsi="宋体" w:cs="宋体"/>
          <w:color w:val="auto"/>
          <w:sz w:val="24"/>
          <w:highlight w:val="none"/>
        </w:rPr>
        <w:br w:type="page"/>
      </w:r>
      <w:r>
        <w:rPr>
          <w:rFonts w:hint="eastAsia" w:ascii="宋体" w:hAnsi="宋体" w:cs="宋体"/>
          <w:b/>
          <w:bCs/>
          <w:color w:val="auto"/>
          <w:sz w:val="32"/>
          <w:szCs w:val="32"/>
          <w:highlight w:val="none"/>
        </w:rPr>
        <w:t>报价文件目录</w:t>
      </w:r>
    </w:p>
    <w:p w14:paraId="097554B0">
      <w:pPr>
        <w:rPr>
          <w:rFonts w:ascii="宋体" w:hAnsi="宋体" w:cs="宋体"/>
          <w:color w:val="auto"/>
          <w:highlight w:val="none"/>
        </w:rPr>
      </w:pPr>
    </w:p>
    <w:p w14:paraId="6F7C5734">
      <w:pPr>
        <w:rPr>
          <w:rFonts w:ascii="宋体" w:hAnsi="宋体" w:cs="宋体"/>
          <w:color w:val="auto"/>
          <w:kern w:val="0"/>
          <w:sz w:val="24"/>
          <w:highlight w:val="none"/>
        </w:rPr>
      </w:pPr>
      <w:r>
        <w:rPr>
          <w:rFonts w:hint="eastAsia" w:ascii="宋体" w:hAnsi="宋体" w:cs="宋体"/>
          <w:color w:val="auto"/>
          <w:kern w:val="0"/>
          <w:sz w:val="24"/>
          <w:highlight w:val="none"/>
        </w:rPr>
        <w:t>一、响应函………………………………………………………（页码）</w:t>
      </w:r>
    </w:p>
    <w:p w14:paraId="6C86080E">
      <w:pPr>
        <w:rPr>
          <w:rFonts w:ascii="宋体" w:hAnsi="宋体" w:cs="宋体"/>
          <w:color w:val="auto"/>
          <w:kern w:val="0"/>
          <w:sz w:val="24"/>
          <w:highlight w:val="none"/>
        </w:rPr>
      </w:pPr>
      <w:r>
        <w:rPr>
          <w:rFonts w:hint="eastAsia" w:ascii="宋体" w:hAnsi="宋体" w:cs="宋体"/>
          <w:color w:val="auto"/>
          <w:kern w:val="0"/>
          <w:sz w:val="24"/>
          <w:highlight w:val="none"/>
        </w:rPr>
        <w:t>二、响应报价表…………………………………………………（页码）</w:t>
      </w:r>
    </w:p>
    <w:p w14:paraId="7811B40A">
      <w:pPr>
        <w:spacing w:line="360" w:lineRule="auto"/>
        <w:rPr>
          <w:rFonts w:ascii="宋体" w:hAnsi="宋体" w:cs="宋体"/>
          <w:color w:val="auto"/>
          <w:sz w:val="24"/>
          <w:highlight w:val="none"/>
        </w:rPr>
      </w:pPr>
      <w:r>
        <w:rPr>
          <w:rFonts w:hint="eastAsia" w:ascii="宋体" w:hAnsi="宋体" w:cs="宋体"/>
          <w:color w:val="auto"/>
          <w:kern w:val="0"/>
          <w:sz w:val="24"/>
          <w:highlight w:val="none"/>
        </w:rPr>
        <w:t>三、中小企业声明函……………………………………………（页码）</w:t>
      </w:r>
    </w:p>
    <w:p w14:paraId="7637F831">
      <w:pPr>
        <w:snapToGrid w:val="0"/>
        <w:spacing w:before="120" w:beforeLines="50" w:after="50" w:line="360" w:lineRule="auto"/>
        <w:ind w:left="142" w:firstLine="640" w:firstLineChars="200"/>
        <w:jc w:val="left"/>
        <w:rPr>
          <w:rFonts w:ascii="宋体" w:hAnsi="宋体" w:cs="宋体"/>
          <w:color w:val="auto"/>
          <w:sz w:val="32"/>
          <w:szCs w:val="32"/>
          <w:highlight w:val="none"/>
        </w:rPr>
      </w:pPr>
    </w:p>
    <w:p w14:paraId="3A484A29">
      <w:pPr>
        <w:pStyle w:val="20"/>
        <w:spacing w:line="500" w:lineRule="exact"/>
        <w:ind w:firstLine="480" w:firstLineChars="200"/>
        <w:rPr>
          <w:rFonts w:hAnsi="宋体" w:cs="宋体"/>
          <w:color w:val="auto"/>
          <w:sz w:val="24"/>
          <w:highlight w:val="none"/>
        </w:rPr>
      </w:pPr>
      <w:r>
        <w:rPr>
          <w:rFonts w:hint="eastAsia" w:hAnsi="宋体" w:cs="宋体"/>
          <w:color w:val="auto"/>
          <w:sz w:val="24"/>
          <w:highlight w:val="none"/>
        </w:rPr>
        <w:br w:type="page"/>
      </w:r>
      <w:r>
        <w:rPr>
          <w:rFonts w:hint="eastAsia" w:hAnsi="宋体" w:cs="宋体"/>
          <w:b/>
          <w:color w:val="auto"/>
          <w:sz w:val="30"/>
          <w:szCs w:val="30"/>
          <w:highlight w:val="none"/>
        </w:rPr>
        <w:t>一、响应函</w:t>
      </w:r>
    </w:p>
    <w:p w14:paraId="4FDA4840">
      <w:pPr>
        <w:pStyle w:val="20"/>
        <w:spacing w:line="500" w:lineRule="exact"/>
        <w:jc w:val="center"/>
        <w:rPr>
          <w:rFonts w:hAnsi="宋体" w:cs="宋体"/>
          <w:b/>
          <w:bCs/>
          <w:color w:val="auto"/>
          <w:sz w:val="30"/>
          <w:szCs w:val="30"/>
          <w:highlight w:val="none"/>
        </w:rPr>
      </w:pPr>
      <w:r>
        <w:rPr>
          <w:rFonts w:hint="eastAsia" w:hAnsi="宋体" w:cs="宋体"/>
          <w:b/>
          <w:bCs/>
          <w:color w:val="auto"/>
          <w:sz w:val="30"/>
          <w:szCs w:val="30"/>
          <w:highlight w:val="none"/>
        </w:rPr>
        <w:t>响应函</w:t>
      </w:r>
    </w:p>
    <w:p w14:paraId="5B1B70C2">
      <w:pPr>
        <w:pStyle w:val="20"/>
        <w:spacing w:line="500" w:lineRule="exact"/>
        <w:rPr>
          <w:rFonts w:hAnsi="宋体" w:cs="宋体"/>
          <w:color w:val="auto"/>
          <w:sz w:val="32"/>
          <w:highlight w:val="none"/>
        </w:rPr>
      </w:pPr>
    </w:p>
    <w:p w14:paraId="0480A502">
      <w:pPr>
        <w:spacing w:line="360" w:lineRule="auto"/>
        <w:contextualSpacing/>
        <w:jc w:val="left"/>
        <w:rPr>
          <w:rFonts w:ascii="宋体" w:hAnsi="宋体" w:cs="宋体"/>
          <w:color w:val="auto"/>
          <w:szCs w:val="21"/>
          <w:highlight w:val="none"/>
        </w:rPr>
      </w:pPr>
      <w:r>
        <w:rPr>
          <w:rFonts w:hint="eastAsia" w:ascii="宋体" w:hAnsi="宋体" w:cs="宋体"/>
          <w:color w:val="auto"/>
          <w:szCs w:val="21"/>
          <w:highlight w:val="none"/>
        </w:rPr>
        <w:t>致：</w:t>
      </w:r>
      <w:r>
        <w:rPr>
          <w:rFonts w:hint="eastAsia" w:ascii="宋体" w:hAnsi="宋体" w:cs="宋体"/>
          <w:color w:val="auto"/>
          <w:szCs w:val="21"/>
          <w:highlight w:val="none"/>
          <w:u w:val="single"/>
        </w:rPr>
        <w:t xml:space="preserve"> [采购组织机构]：</w:t>
      </w:r>
    </w:p>
    <w:p w14:paraId="1EE9F3D5">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我方已仔细阅读了贵方组织的</w:t>
      </w:r>
      <w:r>
        <w:rPr>
          <w:rFonts w:hint="eastAsia" w:ascii="宋体" w:hAnsi="宋体" w:cs="宋体"/>
          <w:color w:val="auto"/>
          <w:szCs w:val="21"/>
          <w:highlight w:val="none"/>
          <w:u w:val="single"/>
        </w:rPr>
        <w:t xml:space="preserve"> [项目名称] </w:t>
      </w:r>
      <w:r>
        <w:rPr>
          <w:rFonts w:hint="eastAsia" w:ascii="宋体" w:hAnsi="宋体" w:cs="宋体"/>
          <w:color w:val="auto"/>
          <w:szCs w:val="21"/>
          <w:highlight w:val="none"/>
        </w:rPr>
        <w:t>项目</w:t>
      </w:r>
      <w:r>
        <w:rPr>
          <w:rFonts w:hint="eastAsia" w:ascii="宋体" w:hAnsi="宋体" w:cs="宋体"/>
          <w:color w:val="auto"/>
          <w:szCs w:val="21"/>
          <w:highlight w:val="none"/>
          <w:u w:val="single"/>
        </w:rPr>
        <w:t>（项目编号）</w:t>
      </w:r>
      <w:r>
        <w:rPr>
          <w:rFonts w:hint="eastAsia" w:ascii="宋体" w:hAnsi="宋体" w:cs="宋体"/>
          <w:color w:val="auto"/>
          <w:szCs w:val="21"/>
          <w:highlight w:val="none"/>
        </w:rPr>
        <w:t>的竞争性磋商采购文件的全部内容，现正式递交下述文件参加贵方组织的本次政府采购活动：</w:t>
      </w:r>
    </w:p>
    <w:p w14:paraId="46E1AC97">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一、首次报价文件电子版份（包含按“第三章 供应商须知”提交的全部文件）；</w:t>
      </w:r>
    </w:p>
    <w:p w14:paraId="5061FB21">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二、技术文件电子版份（包含按“第三章 供应商须知”提交的全部文件）；商务文件电子版份（包含按“第三章 供应商须知”提交的全部文件）；（商务技术文件已合并装订成册）</w:t>
      </w:r>
    </w:p>
    <w:p w14:paraId="12796212">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三、资格证明文件电子版（包含按“第三章供应商须知”提交的全部文件）；</w:t>
      </w:r>
    </w:p>
    <w:p w14:paraId="619575DD">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据此函，签字人兹宣布：</w:t>
      </w:r>
    </w:p>
    <w:p w14:paraId="26150305">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1、我方愿意以</w:t>
      </w:r>
      <w:r>
        <w:rPr>
          <w:rFonts w:hint="eastAsia" w:ascii="宋体" w:hAnsi="宋体" w:cs="宋体"/>
          <w:color w:val="auto"/>
          <w:szCs w:val="21"/>
          <w:highlight w:val="none"/>
          <w:lang w:val="en-US" w:eastAsia="zh-CN"/>
        </w:rPr>
        <w:t>人民币</w:t>
      </w:r>
      <w:r>
        <w:rPr>
          <w:rFonts w:hint="eastAsia" w:ascii="宋体" w:hAnsi="宋体" w:cs="宋体"/>
          <w:color w:val="auto"/>
          <w:szCs w:val="21"/>
          <w:highlight w:val="none"/>
          <w:u w:val="single"/>
          <w:lang w:val="en-US" w:eastAsia="zh-CN"/>
        </w:rPr>
        <w:t>大写：           （小写：￥   ）</w:t>
      </w:r>
      <w:r>
        <w:rPr>
          <w:rFonts w:hint="eastAsia" w:ascii="宋体" w:hAnsi="宋体" w:cs="宋体"/>
          <w:color w:val="auto"/>
          <w:szCs w:val="21"/>
          <w:highlight w:val="none"/>
        </w:rPr>
        <w:t>的竞标总报价，服务期限（无分标时填写）： ，提供本项目竞争性磋商采购文件第二章“</w:t>
      </w:r>
      <w:r>
        <w:rPr>
          <w:rFonts w:hint="eastAsia" w:ascii="宋体" w:hAnsi="宋体" w:cs="宋体"/>
          <w:color w:val="auto"/>
          <w:szCs w:val="21"/>
          <w:highlight w:val="none"/>
          <w:lang w:val="en-US" w:eastAsia="zh-CN"/>
        </w:rPr>
        <w:t>采购需求</w:t>
      </w:r>
      <w:r>
        <w:rPr>
          <w:rFonts w:hint="eastAsia" w:ascii="宋体" w:hAnsi="宋体" w:cs="宋体"/>
          <w:color w:val="auto"/>
          <w:szCs w:val="21"/>
          <w:highlight w:val="none"/>
        </w:rPr>
        <w:t>”中相应的采购内容。</w:t>
      </w:r>
    </w:p>
    <w:p w14:paraId="50D41477">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2、我方同意自本项目竞争性磋商采购文件采购公告规定的递交响应文件截止时间起遵循本响应函，并承诺在“第三章 供应商须知”规定的响应有效期内不修改、撤销响应文件。</w:t>
      </w:r>
    </w:p>
    <w:p w14:paraId="089EB623">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3、我方在此声明，所递交的响应文件及有关资料内容完整、真实和准确。</w:t>
      </w:r>
    </w:p>
    <w:p w14:paraId="625AE0FA">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4、如本项目采购内容涉及须符合国家强制规定的，我方承诺我方本次竞标均符合国家有关强制规定。</w:t>
      </w:r>
    </w:p>
    <w:p w14:paraId="51E3889D">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5、如我方成交，我方承诺在收到成交通知书后，在成交通知书规定的期限内，根据竞争性磋商采购文件、我方的响应文件及有关澄清承诺书的要求按第六章“合同文本”与采购人订立书面合同，并按照合同约定承担完成合同的责任和义务。</w:t>
      </w:r>
    </w:p>
    <w:p w14:paraId="22276F97">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6、我方已详细审核竞争性磋商采购文件，我方知道必须放弃提出含糊不清或误解问题的权利。</w:t>
      </w:r>
    </w:p>
    <w:p w14:paraId="5D0F8C0A">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7、我方承诺满足竞争性磋商采购文件第六章“合同文本”的条款，承担完成合同的责任和义务。</w:t>
      </w:r>
    </w:p>
    <w:p w14:paraId="5A5FAC51">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8、我方同意应贵方要求提供与本竞标有关的任何数据或资料。若贵方需要，我方愿意提供我方作出的一切承诺的证明材料。</w:t>
      </w:r>
    </w:p>
    <w:p w14:paraId="63755940">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9、我方完全理解贵方不一定接受响应报价最低的竞标人为成交供应商的行为。</w:t>
      </w:r>
    </w:p>
    <w:p w14:paraId="671D7B6A">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10、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5907C40B">
      <w:pPr>
        <w:spacing w:line="360" w:lineRule="auto"/>
        <w:ind w:firstLine="420" w:firstLineChars="200"/>
        <w:contextualSpacing/>
        <w:rPr>
          <w:rFonts w:ascii="宋体" w:hAnsi="宋体" w:cs="宋体"/>
          <w:color w:val="auto"/>
          <w:szCs w:val="21"/>
          <w:highlight w:val="none"/>
        </w:rPr>
      </w:pPr>
    </w:p>
    <w:p w14:paraId="32A89556">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（1） 提供虚假材料谋取中标、成交的；</w:t>
      </w:r>
    </w:p>
    <w:p w14:paraId="777C1064">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（1） 采取不正当手段诋毁、排挤其他供应商的；</w:t>
      </w:r>
    </w:p>
    <w:p w14:paraId="5493FF49">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（2） 与采购人、其他供应商或者采购代理机构恶意串通的；</w:t>
      </w:r>
    </w:p>
    <w:p w14:paraId="222DB103">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（3） 向采购人、采购代理机构行贿或者提供其他不正当利益的；</w:t>
      </w:r>
    </w:p>
    <w:p w14:paraId="7A2AB44D">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（4） 在采购过程中与采购人进行协商磋商的；</w:t>
      </w:r>
    </w:p>
    <w:p w14:paraId="65EE9E58">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（5） 拒绝有关部门监督检查或提供虚假情况的。</w:t>
      </w:r>
    </w:p>
    <w:p w14:paraId="01668499">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11.与本磋商有关的一切正式往来信函请寄：</w:t>
      </w:r>
    </w:p>
    <w:p w14:paraId="59AE7BC2">
      <w:pPr>
        <w:pStyle w:val="20"/>
        <w:spacing w:line="360" w:lineRule="auto"/>
        <w:ind w:firstLine="420"/>
        <w:rPr>
          <w:rFonts w:hAnsi="宋体" w:cs="宋体"/>
          <w:color w:val="auto"/>
          <w:highlight w:val="none"/>
        </w:rPr>
      </w:pPr>
      <w:r>
        <w:rPr>
          <w:rFonts w:hint="eastAsia" w:hAnsi="宋体" w:cs="宋体"/>
          <w:color w:val="auto"/>
          <w:highlight w:val="none"/>
        </w:rPr>
        <w:t>地址：</w:t>
      </w:r>
    </w:p>
    <w:p w14:paraId="55D54A43">
      <w:pPr>
        <w:pStyle w:val="20"/>
        <w:spacing w:line="360" w:lineRule="auto"/>
        <w:ind w:firstLine="420"/>
        <w:rPr>
          <w:rFonts w:hAnsi="宋体" w:cs="宋体"/>
          <w:color w:val="auto"/>
          <w:highlight w:val="none"/>
          <w:u w:val="single"/>
        </w:rPr>
      </w:pPr>
      <w:r>
        <w:rPr>
          <w:rFonts w:hint="eastAsia" w:hAnsi="宋体" w:cs="宋体"/>
          <w:color w:val="auto"/>
          <w:highlight w:val="none"/>
        </w:rPr>
        <w:t>电话：</w:t>
      </w:r>
      <w:r>
        <w:rPr>
          <w:rFonts w:hint="eastAsia" w:hAnsi="宋体" w:cs="宋体"/>
          <w:color w:val="auto"/>
          <w:highlight w:val="none"/>
          <w:u w:val="single"/>
        </w:rPr>
        <w:t xml:space="preserve">                                      　　　　　　　　　</w:t>
      </w:r>
    </w:p>
    <w:p w14:paraId="4C0C4A2C">
      <w:pPr>
        <w:pStyle w:val="20"/>
        <w:spacing w:line="360" w:lineRule="auto"/>
        <w:ind w:firstLine="420"/>
        <w:rPr>
          <w:rFonts w:hAnsi="宋体" w:cs="宋体"/>
          <w:color w:val="auto"/>
          <w:highlight w:val="none"/>
        </w:rPr>
      </w:pPr>
      <w:r>
        <w:rPr>
          <w:rFonts w:hint="eastAsia" w:hAnsi="宋体" w:cs="宋体"/>
          <w:color w:val="auto"/>
          <w:highlight w:val="none"/>
        </w:rPr>
        <w:t>传真：</w:t>
      </w:r>
      <w:r>
        <w:rPr>
          <w:rFonts w:hint="eastAsia" w:hAnsi="宋体" w:cs="宋体"/>
          <w:color w:val="auto"/>
          <w:highlight w:val="none"/>
          <w:u w:val="single"/>
        </w:rPr>
        <w:t>　　　　　　　　　　　　　　　　　　　　　　　　　　　　</w:t>
      </w:r>
    </w:p>
    <w:p w14:paraId="1E165EEB">
      <w:pPr>
        <w:pStyle w:val="20"/>
        <w:spacing w:line="360" w:lineRule="auto"/>
        <w:ind w:firstLine="420"/>
        <w:rPr>
          <w:rFonts w:hAnsi="宋体" w:cs="宋体"/>
          <w:color w:val="auto"/>
          <w:highlight w:val="none"/>
          <w:u w:val="single"/>
        </w:rPr>
      </w:pPr>
      <w:r>
        <w:rPr>
          <w:rFonts w:hint="eastAsia" w:hAnsi="宋体" w:cs="宋体"/>
          <w:color w:val="auto"/>
          <w:highlight w:val="none"/>
        </w:rPr>
        <w:t>邮政编码：</w:t>
      </w:r>
    </w:p>
    <w:p w14:paraId="7BF7EB65">
      <w:pPr>
        <w:pStyle w:val="20"/>
        <w:spacing w:line="360" w:lineRule="auto"/>
        <w:ind w:firstLine="420"/>
        <w:rPr>
          <w:rFonts w:hAnsi="宋体" w:cs="宋体"/>
          <w:color w:val="auto"/>
          <w:highlight w:val="none"/>
          <w:u w:val="single"/>
        </w:rPr>
      </w:pPr>
      <w:r>
        <w:rPr>
          <w:rFonts w:hint="eastAsia" w:hAnsi="宋体" w:cs="宋体"/>
          <w:color w:val="auto"/>
          <w:highlight w:val="none"/>
        </w:rPr>
        <w:t>开户名称：</w:t>
      </w:r>
    </w:p>
    <w:p w14:paraId="5628FD97">
      <w:pPr>
        <w:pStyle w:val="20"/>
        <w:spacing w:line="360" w:lineRule="auto"/>
        <w:ind w:firstLine="420"/>
        <w:rPr>
          <w:rFonts w:hAnsi="宋体" w:cs="宋体"/>
          <w:color w:val="auto"/>
          <w:highlight w:val="none"/>
          <w:u w:val="single"/>
        </w:rPr>
      </w:pPr>
      <w:r>
        <w:rPr>
          <w:rFonts w:hint="eastAsia" w:hAnsi="宋体" w:cs="宋体"/>
          <w:color w:val="auto"/>
          <w:highlight w:val="none"/>
        </w:rPr>
        <w:t>开户银行：</w:t>
      </w:r>
    </w:p>
    <w:p w14:paraId="7E771795">
      <w:pPr>
        <w:pStyle w:val="20"/>
        <w:spacing w:line="360" w:lineRule="auto"/>
        <w:ind w:firstLine="420"/>
        <w:rPr>
          <w:rFonts w:hAnsi="宋体" w:cs="宋体"/>
          <w:color w:val="auto"/>
          <w:highlight w:val="none"/>
          <w:u w:val="single"/>
        </w:rPr>
      </w:pPr>
      <w:r>
        <w:rPr>
          <w:rFonts w:hint="eastAsia" w:hAnsi="宋体" w:cs="宋体"/>
          <w:color w:val="auto"/>
          <w:highlight w:val="none"/>
        </w:rPr>
        <w:t>银行账号：</w:t>
      </w:r>
    </w:p>
    <w:p w14:paraId="0C430471">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特此承诺。</w:t>
      </w:r>
    </w:p>
    <w:p w14:paraId="08920E6E">
      <w:pPr>
        <w:spacing w:line="360" w:lineRule="auto"/>
        <w:ind w:firstLine="420" w:firstLineChars="200"/>
        <w:contextualSpacing/>
        <w:rPr>
          <w:rFonts w:ascii="宋体" w:hAnsi="宋体" w:cs="宋体"/>
          <w:color w:val="auto"/>
          <w:szCs w:val="21"/>
          <w:highlight w:val="none"/>
        </w:rPr>
      </w:pPr>
    </w:p>
    <w:p w14:paraId="37461888">
      <w:pPr>
        <w:spacing w:line="360" w:lineRule="auto"/>
        <w:ind w:firstLine="5880" w:firstLineChars="2800"/>
        <w:contextualSpacing/>
        <w:rPr>
          <w:rFonts w:ascii="宋体" w:hAnsi="宋体" w:cs="宋体"/>
          <w:color w:val="auto"/>
          <w:szCs w:val="21"/>
          <w:highlight w:val="none"/>
        </w:rPr>
      </w:pPr>
      <w:r>
        <w:rPr>
          <w:rFonts w:hint="eastAsia" w:ascii="宋体" w:hAnsi="宋体" w:cs="宋体"/>
          <w:color w:val="auto"/>
          <w:szCs w:val="21"/>
          <w:highlight w:val="none"/>
        </w:rPr>
        <w:t>供应商名称（电子签章）：</w:t>
      </w:r>
    </w:p>
    <w:p w14:paraId="71DF4136">
      <w:pPr>
        <w:spacing w:line="360" w:lineRule="auto"/>
        <w:ind w:firstLine="6300" w:firstLineChars="3000"/>
        <w:contextualSpacing/>
        <w:rPr>
          <w:rFonts w:ascii="宋体" w:hAnsi="宋体" w:cs="宋体"/>
          <w:color w:val="auto"/>
          <w:szCs w:val="21"/>
          <w:highlight w:val="none"/>
        </w:rPr>
      </w:pPr>
      <w:r>
        <w:rPr>
          <w:rFonts w:hint="eastAsia" w:ascii="宋体" w:hAnsi="宋体" w:cs="宋体"/>
          <w:color w:val="auto"/>
          <w:szCs w:val="21"/>
          <w:highlight w:val="none"/>
        </w:rPr>
        <w:t>日期：   年  月   日</w:t>
      </w:r>
    </w:p>
    <w:p w14:paraId="276FC53D">
      <w:pPr>
        <w:pStyle w:val="20"/>
        <w:spacing w:line="360" w:lineRule="auto"/>
        <w:ind w:firstLine="420"/>
        <w:rPr>
          <w:rFonts w:hAnsi="宋体" w:cs="宋体"/>
          <w:color w:val="auto"/>
          <w:highlight w:val="none"/>
        </w:rPr>
      </w:pPr>
    </w:p>
    <w:p w14:paraId="1DA1F966">
      <w:pPr>
        <w:spacing w:line="520" w:lineRule="exact"/>
        <w:ind w:firstLine="420" w:firstLineChars="200"/>
        <w:rPr>
          <w:rFonts w:ascii="宋体" w:hAnsi="宋体" w:cs="宋体"/>
          <w:color w:val="auto"/>
          <w:highlight w:val="none"/>
        </w:rPr>
        <w:sectPr>
          <w:pgSz w:w="11910" w:h="16840"/>
          <w:pgMar w:top="1134" w:right="1134" w:bottom="1134" w:left="1134" w:header="720" w:footer="720" w:gutter="0"/>
          <w:cols w:space="720" w:num="1"/>
        </w:sectPr>
      </w:pPr>
    </w:p>
    <w:p w14:paraId="4F415E18">
      <w:pPr>
        <w:pStyle w:val="20"/>
        <w:spacing w:line="500" w:lineRule="exact"/>
        <w:ind w:firstLine="602" w:firstLineChars="200"/>
        <w:rPr>
          <w:rFonts w:hAnsi="宋体" w:cs="宋体"/>
          <w:b/>
          <w:color w:val="auto"/>
          <w:sz w:val="30"/>
          <w:szCs w:val="30"/>
          <w:highlight w:val="none"/>
        </w:rPr>
      </w:pPr>
      <w:r>
        <w:rPr>
          <w:rFonts w:hint="eastAsia" w:hAnsi="宋体" w:cs="宋体"/>
          <w:b/>
          <w:color w:val="auto"/>
          <w:sz w:val="30"/>
          <w:szCs w:val="30"/>
          <w:highlight w:val="none"/>
        </w:rPr>
        <w:t xml:space="preserve">二、响应报价表 </w:t>
      </w:r>
    </w:p>
    <w:p w14:paraId="396CC434">
      <w:pPr>
        <w:snapToGrid w:val="0"/>
        <w:spacing w:before="50" w:after="50" w:line="360" w:lineRule="auto"/>
        <w:rPr>
          <w:rFonts w:ascii="宋体" w:hAnsi="宋体" w:cs="宋体"/>
          <w:color w:val="auto"/>
          <w:sz w:val="24"/>
          <w:highlight w:val="none"/>
          <w:u w:val="single"/>
        </w:rPr>
      </w:pPr>
      <w:r>
        <w:rPr>
          <w:rFonts w:hint="eastAsia" w:ascii="宋体" w:hAnsi="宋体" w:cs="宋体"/>
          <w:color w:val="auto"/>
          <w:sz w:val="24"/>
          <w:highlight w:val="none"/>
        </w:rPr>
        <w:t>项目名称：         项目编号：         分标：</w:t>
      </w:r>
    </w:p>
    <w:p w14:paraId="6F9E0CFC">
      <w:pPr>
        <w:snapToGrid w:val="0"/>
        <w:spacing w:before="50" w:after="50" w:line="360" w:lineRule="auto"/>
        <w:rPr>
          <w:rFonts w:ascii="宋体" w:hAnsi="宋体" w:cs="宋体"/>
          <w:color w:val="auto"/>
          <w:sz w:val="24"/>
          <w:highlight w:val="none"/>
        </w:rPr>
      </w:pPr>
    </w:p>
    <w:tbl>
      <w:tblPr>
        <w:tblStyle w:val="31"/>
        <w:tblpPr w:leftFromText="180" w:rightFromText="180" w:vertAnchor="text" w:horzAnchor="page" w:tblpX="1732" w:tblpY="228"/>
        <w:tblOverlap w:val="never"/>
        <w:tblW w:w="84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2626"/>
        <w:gridCol w:w="1035"/>
        <w:gridCol w:w="1025"/>
        <w:gridCol w:w="1593"/>
        <w:gridCol w:w="1488"/>
      </w:tblGrid>
      <w:tr w14:paraId="34936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dxa"/>
            <w:vAlign w:val="center"/>
          </w:tcPr>
          <w:p w14:paraId="3E4E81AC">
            <w:pPr>
              <w:spacing w:line="360" w:lineRule="auto"/>
              <w:jc w:val="center"/>
              <w:rPr>
                <w:rFonts w:ascii="Calibri" w:hAnsi="Calibri"/>
                <w:color w:val="auto"/>
                <w:szCs w:val="21"/>
                <w:highlight w:val="none"/>
              </w:rPr>
            </w:pPr>
            <w:r>
              <w:rPr>
                <w:rFonts w:hint="eastAsia" w:ascii="宋体" w:hAnsi="宋体" w:cs="宋体"/>
                <w:color w:val="auto"/>
                <w:szCs w:val="21"/>
                <w:highlight w:val="none"/>
              </w:rPr>
              <w:t>项号</w:t>
            </w:r>
          </w:p>
        </w:tc>
        <w:tc>
          <w:tcPr>
            <w:tcW w:w="2626" w:type="dxa"/>
            <w:vAlign w:val="center"/>
          </w:tcPr>
          <w:p w14:paraId="74DAF2C8">
            <w:pPr>
              <w:spacing w:line="360" w:lineRule="auto"/>
              <w:jc w:val="center"/>
              <w:rPr>
                <w:rFonts w:ascii="Calibri" w:hAnsi="Calibri"/>
                <w:color w:val="auto"/>
                <w:szCs w:val="21"/>
                <w:highlight w:val="none"/>
              </w:rPr>
            </w:pPr>
            <w:r>
              <w:rPr>
                <w:rFonts w:hint="eastAsia" w:ascii="Calibri" w:hAnsi="Calibri"/>
                <w:color w:val="auto"/>
                <w:szCs w:val="21"/>
                <w:highlight w:val="none"/>
              </w:rPr>
              <w:t>标的名称</w:t>
            </w:r>
          </w:p>
        </w:tc>
        <w:tc>
          <w:tcPr>
            <w:tcW w:w="1035" w:type="dxa"/>
            <w:vAlign w:val="center"/>
          </w:tcPr>
          <w:p w14:paraId="1BB43DC5">
            <w:pPr>
              <w:spacing w:line="360" w:lineRule="auto"/>
              <w:jc w:val="center"/>
              <w:rPr>
                <w:rFonts w:ascii="Calibri" w:hAnsi="Calibri"/>
                <w:color w:val="auto"/>
                <w:szCs w:val="21"/>
                <w:highlight w:val="none"/>
              </w:rPr>
            </w:pPr>
            <w:r>
              <w:rPr>
                <w:rFonts w:hint="eastAsia" w:ascii="Calibri" w:hAnsi="Calibri"/>
                <w:color w:val="auto"/>
                <w:szCs w:val="21"/>
                <w:highlight w:val="none"/>
              </w:rPr>
              <w:t>单位</w:t>
            </w:r>
          </w:p>
        </w:tc>
        <w:tc>
          <w:tcPr>
            <w:tcW w:w="1025" w:type="dxa"/>
            <w:vAlign w:val="center"/>
          </w:tcPr>
          <w:p w14:paraId="6C3DE5AB">
            <w:pPr>
              <w:spacing w:line="360" w:lineRule="auto"/>
              <w:jc w:val="center"/>
              <w:rPr>
                <w:rFonts w:ascii="宋体" w:hAnsi="Calibri"/>
                <w:color w:val="auto"/>
                <w:szCs w:val="21"/>
                <w:highlight w:val="none"/>
              </w:rPr>
            </w:pPr>
            <w:r>
              <w:rPr>
                <w:rFonts w:hint="eastAsia" w:ascii="宋体" w:hAnsi="Calibri"/>
                <w:color w:val="auto"/>
                <w:szCs w:val="21"/>
                <w:highlight w:val="none"/>
              </w:rPr>
              <w:t>数量①</w:t>
            </w:r>
          </w:p>
        </w:tc>
        <w:tc>
          <w:tcPr>
            <w:tcW w:w="1593" w:type="dxa"/>
            <w:vAlign w:val="center"/>
          </w:tcPr>
          <w:p w14:paraId="6D25A66E">
            <w:pPr>
              <w:spacing w:line="360" w:lineRule="auto"/>
              <w:jc w:val="center"/>
              <w:rPr>
                <w:color w:val="auto"/>
                <w:szCs w:val="21"/>
                <w:highlight w:val="none"/>
              </w:rPr>
            </w:pPr>
            <w:r>
              <w:rPr>
                <w:rFonts w:hint="eastAsia"/>
                <w:color w:val="auto"/>
                <w:szCs w:val="21"/>
                <w:highlight w:val="none"/>
              </w:rPr>
              <w:t>单 价</w:t>
            </w:r>
          </w:p>
          <w:p w14:paraId="060D20DC">
            <w:pPr>
              <w:spacing w:line="360" w:lineRule="auto"/>
              <w:jc w:val="center"/>
              <w:rPr>
                <w:color w:val="auto"/>
                <w:szCs w:val="21"/>
                <w:highlight w:val="none"/>
              </w:rPr>
            </w:pPr>
            <w:r>
              <w:rPr>
                <w:rFonts w:hint="eastAsia"/>
                <w:color w:val="auto"/>
                <w:szCs w:val="21"/>
                <w:highlight w:val="none"/>
              </w:rPr>
              <w:t>（元）②</w:t>
            </w:r>
          </w:p>
        </w:tc>
        <w:tc>
          <w:tcPr>
            <w:tcW w:w="1488" w:type="dxa"/>
            <w:vAlign w:val="center"/>
          </w:tcPr>
          <w:p w14:paraId="48D88BF1">
            <w:pPr>
              <w:spacing w:line="360" w:lineRule="auto"/>
              <w:jc w:val="center"/>
              <w:rPr>
                <w:color w:val="auto"/>
                <w:szCs w:val="21"/>
                <w:highlight w:val="none"/>
              </w:rPr>
            </w:pPr>
            <w:r>
              <w:rPr>
                <w:rFonts w:hint="eastAsia" w:cs="宋体"/>
                <w:color w:val="auto"/>
                <w:szCs w:val="21"/>
                <w:highlight w:val="none"/>
              </w:rPr>
              <w:t>总价</w:t>
            </w:r>
            <w:r>
              <w:rPr>
                <w:rFonts w:hint="eastAsia" w:ascii="宋体" w:hAnsi="宋体" w:cs="宋体"/>
                <w:color w:val="auto"/>
                <w:sz w:val="24"/>
                <w:highlight w:val="none"/>
              </w:rPr>
              <w:t>（元）</w:t>
            </w:r>
          </w:p>
        </w:tc>
      </w:tr>
      <w:tr w14:paraId="4F53B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dxa"/>
          </w:tcPr>
          <w:p w14:paraId="46B0CD68">
            <w:pPr>
              <w:spacing w:line="360" w:lineRule="auto"/>
              <w:rPr>
                <w:color w:val="auto"/>
                <w:szCs w:val="21"/>
                <w:highlight w:val="none"/>
              </w:rPr>
            </w:pPr>
          </w:p>
        </w:tc>
        <w:tc>
          <w:tcPr>
            <w:tcW w:w="2626" w:type="dxa"/>
          </w:tcPr>
          <w:p w14:paraId="24347402">
            <w:pPr>
              <w:spacing w:line="360" w:lineRule="auto"/>
              <w:rPr>
                <w:color w:val="auto"/>
                <w:szCs w:val="21"/>
                <w:highlight w:val="none"/>
              </w:rPr>
            </w:pPr>
          </w:p>
        </w:tc>
        <w:tc>
          <w:tcPr>
            <w:tcW w:w="1035" w:type="dxa"/>
          </w:tcPr>
          <w:p w14:paraId="00400089">
            <w:pPr>
              <w:spacing w:line="360" w:lineRule="auto"/>
              <w:rPr>
                <w:color w:val="auto"/>
                <w:szCs w:val="21"/>
                <w:highlight w:val="none"/>
              </w:rPr>
            </w:pPr>
          </w:p>
        </w:tc>
        <w:tc>
          <w:tcPr>
            <w:tcW w:w="1025" w:type="dxa"/>
          </w:tcPr>
          <w:p w14:paraId="4EAA3388">
            <w:pPr>
              <w:spacing w:line="360" w:lineRule="auto"/>
              <w:rPr>
                <w:color w:val="auto"/>
                <w:szCs w:val="21"/>
                <w:highlight w:val="none"/>
              </w:rPr>
            </w:pPr>
          </w:p>
        </w:tc>
        <w:tc>
          <w:tcPr>
            <w:tcW w:w="1593" w:type="dxa"/>
          </w:tcPr>
          <w:p w14:paraId="517C7B30">
            <w:pPr>
              <w:spacing w:line="360" w:lineRule="auto"/>
              <w:rPr>
                <w:color w:val="auto"/>
                <w:szCs w:val="21"/>
                <w:highlight w:val="none"/>
              </w:rPr>
            </w:pPr>
          </w:p>
        </w:tc>
        <w:tc>
          <w:tcPr>
            <w:tcW w:w="1488" w:type="dxa"/>
          </w:tcPr>
          <w:p w14:paraId="6EC32371">
            <w:pPr>
              <w:spacing w:line="360" w:lineRule="auto"/>
              <w:rPr>
                <w:color w:val="auto"/>
                <w:szCs w:val="21"/>
                <w:highlight w:val="none"/>
              </w:rPr>
            </w:pPr>
          </w:p>
        </w:tc>
      </w:tr>
      <w:tr w14:paraId="40B46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dxa"/>
          </w:tcPr>
          <w:p w14:paraId="31BD74AF">
            <w:pPr>
              <w:spacing w:line="360" w:lineRule="auto"/>
              <w:rPr>
                <w:color w:val="auto"/>
                <w:szCs w:val="21"/>
                <w:highlight w:val="none"/>
              </w:rPr>
            </w:pPr>
          </w:p>
        </w:tc>
        <w:tc>
          <w:tcPr>
            <w:tcW w:w="2626" w:type="dxa"/>
          </w:tcPr>
          <w:p w14:paraId="0FA78A72">
            <w:pPr>
              <w:spacing w:line="360" w:lineRule="auto"/>
              <w:rPr>
                <w:color w:val="auto"/>
                <w:szCs w:val="21"/>
                <w:highlight w:val="none"/>
              </w:rPr>
            </w:pPr>
          </w:p>
        </w:tc>
        <w:tc>
          <w:tcPr>
            <w:tcW w:w="1035" w:type="dxa"/>
          </w:tcPr>
          <w:p w14:paraId="34DD6B72">
            <w:pPr>
              <w:spacing w:line="360" w:lineRule="auto"/>
              <w:rPr>
                <w:color w:val="auto"/>
                <w:szCs w:val="21"/>
                <w:highlight w:val="none"/>
              </w:rPr>
            </w:pPr>
          </w:p>
        </w:tc>
        <w:tc>
          <w:tcPr>
            <w:tcW w:w="1025" w:type="dxa"/>
          </w:tcPr>
          <w:p w14:paraId="2EEBC951">
            <w:pPr>
              <w:spacing w:line="360" w:lineRule="auto"/>
              <w:rPr>
                <w:color w:val="auto"/>
                <w:szCs w:val="21"/>
                <w:highlight w:val="none"/>
              </w:rPr>
            </w:pPr>
          </w:p>
        </w:tc>
        <w:tc>
          <w:tcPr>
            <w:tcW w:w="1593" w:type="dxa"/>
          </w:tcPr>
          <w:p w14:paraId="1F2715D8">
            <w:pPr>
              <w:spacing w:line="360" w:lineRule="auto"/>
              <w:rPr>
                <w:color w:val="auto"/>
                <w:szCs w:val="21"/>
                <w:highlight w:val="none"/>
              </w:rPr>
            </w:pPr>
          </w:p>
        </w:tc>
        <w:tc>
          <w:tcPr>
            <w:tcW w:w="1488" w:type="dxa"/>
          </w:tcPr>
          <w:p w14:paraId="12DD4E5E">
            <w:pPr>
              <w:spacing w:line="360" w:lineRule="auto"/>
              <w:rPr>
                <w:color w:val="auto"/>
                <w:szCs w:val="21"/>
                <w:highlight w:val="none"/>
              </w:rPr>
            </w:pPr>
          </w:p>
        </w:tc>
      </w:tr>
      <w:tr w14:paraId="32B57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dxa"/>
          </w:tcPr>
          <w:p w14:paraId="72AB9C11">
            <w:pPr>
              <w:spacing w:line="360" w:lineRule="auto"/>
              <w:rPr>
                <w:color w:val="auto"/>
                <w:szCs w:val="21"/>
                <w:highlight w:val="none"/>
              </w:rPr>
            </w:pPr>
          </w:p>
        </w:tc>
        <w:tc>
          <w:tcPr>
            <w:tcW w:w="2626" w:type="dxa"/>
          </w:tcPr>
          <w:p w14:paraId="0F7F99E3">
            <w:pPr>
              <w:spacing w:line="360" w:lineRule="auto"/>
              <w:rPr>
                <w:color w:val="auto"/>
                <w:szCs w:val="21"/>
                <w:highlight w:val="none"/>
              </w:rPr>
            </w:pPr>
          </w:p>
        </w:tc>
        <w:tc>
          <w:tcPr>
            <w:tcW w:w="1035" w:type="dxa"/>
          </w:tcPr>
          <w:p w14:paraId="6FBD1C7B">
            <w:pPr>
              <w:spacing w:line="360" w:lineRule="auto"/>
              <w:rPr>
                <w:color w:val="auto"/>
                <w:szCs w:val="21"/>
                <w:highlight w:val="none"/>
              </w:rPr>
            </w:pPr>
          </w:p>
        </w:tc>
        <w:tc>
          <w:tcPr>
            <w:tcW w:w="1025" w:type="dxa"/>
          </w:tcPr>
          <w:p w14:paraId="5E2B2B19">
            <w:pPr>
              <w:spacing w:line="360" w:lineRule="auto"/>
              <w:rPr>
                <w:color w:val="auto"/>
                <w:szCs w:val="21"/>
                <w:highlight w:val="none"/>
              </w:rPr>
            </w:pPr>
          </w:p>
        </w:tc>
        <w:tc>
          <w:tcPr>
            <w:tcW w:w="1593" w:type="dxa"/>
          </w:tcPr>
          <w:p w14:paraId="4F17011A">
            <w:pPr>
              <w:spacing w:line="360" w:lineRule="auto"/>
              <w:rPr>
                <w:color w:val="auto"/>
                <w:szCs w:val="21"/>
                <w:highlight w:val="none"/>
              </w:rPr>
            </w:pPr>
          </w:p>
        </w:tc>
        <w:tc>
          <w:tcPr>
            <w:tcW w:w="1488" w:type="dxa"/>
          </w:tcPr>
          <w:p w14:paraId="04491681">
            <w:pPr>
              <w:spacing w:line="360" w:lineRule="auto"/>
              <w:rPr>
                <w:color w:val="auto"/>
                <w:szCs w:val="21"/>
                <w:highlight w:val="none"/>
              </w:rPr>
            </w:pPr>
          </w:p>
        </w:tc>
      </w:tr>
      <w:tr w14:paraId="47F7E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dxa"/>
          </w:tcPr>
          <w:p w14:paraId="7190C955">
            <w:pPr>
              <w:spacing w:line="360" w:lineRule="auto"/>
              <w:rPr>
                <w:color w:val="auto"/>
                <w:szCs w:val="21"/>
                <w:highlight w:val="none"/>
              </w:rPr>
            </w:pPr>
          </w:p>
        </w:tc>
        <w:tc>
          <w:tcPr>
            <w:tcW w:w="2626" w:type="dxa"/>
          </w:tcPr>
          <w:p w14:paraId="2C26EDF9">
            <w:pPr>
              <w:spacing w:line="360" w:lineRule="auto"/>
              <w:rPr>
                <w:color w:val="auto"/>
                <w:szCs w:val="21"/>
                <w:highlight w:val="none"/>
              </w:rPr>
            </w:pPr>
          </w:p>
        </w:tc>
        <w:tc>
          <w:tcPr>
            <w:tcW w:w="1035" w:type="dxa"/>
          </w:tcPr>
          <w:p w14:paraId="139DD4BA">
            <w:pPr>
              <w:spacing w:line="360" w:lineRule="auto"/>
              <w:rPr>
                <w:color w:val="auto"/>
                <w:szCs w:val="21"/>
                <w:highlight w:val="none"/>
              </w:rPr>
            </w:pPr>
          </w:p>
        </w:tc>
        <w:tc>
          <w:tcPr>
            <w:tcW w:w="1025" w:type="dxa"/>
          </w:tcPr>
          <w:p w14:paraId="59085C0A">
            <w:pPr>
              <w:spacing w:line="360" w:lineRule="auto"/>
              <w:rPr>
                <w:color w:val="auto"/>
                <w:szCs w:val="21"/>
                <w:highlight w:val="none"/>
              </w:rPr>
            </w:pPr>
          </w:p>
        </w:tc>
        <w:tc>
          <w:tcPr>
            <w:tcW w:w="1593" w:type="dxa"/>
          </w:tcPr>
          <w:p w14:paraId="768C89A0">
            <w:pPr>
              <w:spacing w:line="360" w:lineRule="auto"/>
              <w:rPr>
                <w:color w:val="auto"/>
                <w:szCs w:val="21"/>
                <w:highlight w:val="none"/>
              </w:rPr>
            </w:pPr>
          </w:p>
        </w:tc>
        <w:tc>
          <w:tcPr>
            <w:tcW w:w="1488" w:type="dxa"/>
          </w:tcPr>
          <w:p w14:paraId="74A7A474">
            <w:pPr>
              <w:spacing w:line="360" w:lineRule="auto"/>
              <w:rPr>
                <w:color w:val="auto"/>
                <w:szCs w:val="21"/>
                <w:highlight w:val="none"/>
              </w:rPr>
            </w:pPr>
          </w:p>
        </w:tc>
      </w:tr>
      <w:tr w14:paraId="21E90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dxa"/>
          </w:tcPr>
          <w:p w14:paraId="7C6E89F5">
            <w:pPr>
              <w:spacing w:line="360" w:lineRule="auto"/>
              <w:rPr>
                <w:color w:val="auto"/>
                <w:szCs w:val="21"/>
                <w:highlight w:val="none"/>
              </w:rPr>
            </w:pPr>
          </w:p>
        </w:tc>
        <w:tc>
          <w:tcPr>
            <w:tcW w:w="2626" w:type="dxa"/>
          </w:tcPr>
          <w:p w14:paraId="2D5381AC">
            <w:pPr>
              <w:spacing w:line="360" w:lineRule="auto"/>
              <w:rPr>
                <w:color w:val="auto"/>
                <w:szCs w:val="21"/>
                <w:highlight w:val="none"/>
              </w:rPr>
            </w:pPr>
          </w:p>
        </w:tc>
        <w:tc>
          <w:tcPr>
            <w:tcW w:w="1035" w:type="dxa"/>
          </w:tcPr>
          <w:p w14:paraId="0192482B">
            <w:pPr>
              <w:spacing w:line="360" w:lineRule="auto"/>
              <w:rPr>
                <w:color w:val="auto"/>
                <w:szCs w:val="21"/>
                <w:highlight w:val="none"/>
              </w:rPr>
            </w:pPr>
          </w:p>
        </w:tc>
        <w:tc>
          <w:tcPr>
            <w:tcW w:w="1025" w:type="dxa"/>
          </w:tcPr>
          <w:p w14:paraId="6AD53DF7">
            <w:pPr>
              <w:spacing w:line="360" w:lineRule="auto"/>
              <w:rPr>
                <w:color w:val="auto"/>
                <w:szCs w:val="21"/>
                <w:highlight w:val="none"/>
              </w:rPr>
            </w:pPr>
          </w:p>
        </w:tc>
        <w:tc>
          <w:tcPr>
            <w:tcW w:w="1593" w:type="dxa"/>
          </w:tcPr>
          <w:p w14:paraId="2B682C7C">
            <w:pPr>
              <w:spacing w:line="360" w:lineRule="auto"/>
              <w:rPr>
                <w:color w:val="auto"/>
                <w:szCs w:val="21"/>
                <w:highlight w:val="none"/>
              </w:rPr>
            </w:pPr>
          </w:p>
        </w:tc>
        <w:tc>
          <w:tcPr>
            <w:tcW w:w="1488" w:type="dxa"/>
          </w:tcPr>
          <w:p w14:paraId="76D4CF32">
            <w:pPr>
              <w:spacing w:line="360" w:lineRule="auto"/>
              <w:rPr>
                <w:color w:val="auto"/>
                <w:szCs w:val="21"/>
                <w:highlight w:val="none"/>
              </w:rPr>
            </w:pPr>
          </w:p>
        </w:tc>
      </w:tr>
      <w:tr w14:paraId="119B3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dxa"/>
          </w:tcPr>
          <w:p w14:paraId="4FF74954">
            <w:pPr>
              <w:spacing w:line="360" w:lineRule="auto"/>
              <w:rPr>
                <w:color w:val="auto"/>
                <w:szCs w:val="21"/>
                <w:highlight w:val="none"/>
              </w:rPr>
            </w:pPr>
          </w:p>
        </w:tc>
        <w:tc>
          <w:tcPr>
            <w:tcW w:w="2626" w:type="dxa"/>
          </w:tcPr>
          <w:p w14:paraId="2AAEA74F">
            <w:pPr>
              <w:spacing w:line="360" w:lineRule="auto"/>
              <w:rPr>
                <w:color w:val="auto"/>
                <w:szCs w:val="21"/>
                <w:highlight w:val="none"/>
              </w:rPr>
            </w:pPr>
          </w:p>
        </w:tc>
        <w:tc>
          <w:tcPr>
            <w:tcW w:w="1035" w:type="dxa"/>
          </w:tcPr>
          <w:p w14:paraId="13EE20CF">
            <w:pPr>
              <w:spacing w:line="360" w:lineRule="auto"/>
              <w:rPr>
                <w:color w:val="auto"/>
                <w:szCs w:val="21"/>
                <w:highlight w:val="none"/>
              </w:rPr>
            </w:pPr>
          </w:p>
        </w:tc>
        <w:tc>
          <w:tcPr>
            <w:tcW w:w="1025" w:type="dxa"/>
          </w:tcPr>
          <w:p w14:paraId="26BD862D">
            <w:pPr>
              <w:spacing w:line="360" w:lineRule="auto"/>
              <w:rPr>
                <w:color w:val="auto"/>
                <w:szCs w:val="21"/>
                <w:highlight w:val="none"/>
              </w:rPr>
            </w:pPr>
          </w:p>
        </w:tc>
        <w:tc>
          <w:tcPr>
            <w:tcW w:w="1593" w:type="dxa"/>
          </w:tcPr>
          <w:p w14:paraId="1C535D1B">
            <w:pPr>
              <w:spacing w:line="360" w:lineRule="auto"/>
              <w:rPr>
                <w:color w:val="auto"/>
                <w:szCs w:val="21"/>
                <w:highlight w:val="none"/>
              </w:rPr>
            </w:pPr>
          </w:p>
        </w:tc>
        <w:tc>
          <w:tcPr>
            <w:tcW w:w="1488" w:type="dxa"/>
          </w:tcPr>
          <w:p w14:paraId="0C4A5A74">
            <w:pPr>
              <w:spacing w:line="360" w:lineRule="auto"/>
              <w:rPr>
                <w:color w:val="auto"/>
                <w:szCs w:val="21"/>
                <w:highlight w:val="none"/>
              </w:rPr>
            </w:pPr>
          </w:p>
        </w:tc>
      </w:tr>
      <w:tr w14:paraId="15FD3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dxa"/>
          </w:tcPr>
          <w:p w14:paraId="117537C8">
            <w:pPr>
              <w:spacing w:line="360" w:lineRule="auto"/>
              <w:rPr>
                <w:color w:val="auto"/>
                <w:szCs w:val="21"/>
                <w:highlight w:val="none"/>
              </w:rPr>
            </w:pPr>
          </w:p>
        </w:tc>
        <w:tc>
          <w:tcPr>
            <w:tcW w:w="2626" w:type="dxa"/>
          </w:tcPr>
          <w:p w14:paraId="4783DE70">
            <w:pPr>
              <w:spacing w:line="360" w:lineRule="auto"/>
              <w:rPr>
                <w:color w:val="auto"/>
                <w:szCs w:val="21"/>
                <w:highlight w:val="none"/>
              </w:rPr>
            </w:pPr>
          </w:p>
        </w:tc>
        <w:tc>
          <w:tcPr>
            <w:tcW w:w="1035" w:type="dxa"/>
          </w:tcPr>
          <w:p w14:paraId="683126C7">
            <w:pPr>
              <w:spacing w:line="360" w:lineRule="auto"/>
              <w:rPr>
                <w:color w:val="auto"/>
                <w:szCs w:val="21"/>
                <w:highlight w:val="none"/>
              </w:rPr>
            </w:pPr>
          </w:p>
        </w:tc>
        <w:tc>
          <w:tcPr>
            <w:tcW w:w="1025" w:type="dxa"/>
          </w:tcPr>
          <w:p w14:paraId="510051DC">
            <w:pPr>
              <w:spacing w:line="360" w:lineRule="auto"/>
              <w:rPr>
                <w:color w:val="auto"/>
                <w:szCs w:val="21"/>
                <w:highlight w:val="none"/>
              </w:rPr>
            </w:pPr>
          </w:p>
        </w:tc>
        <w:tc>
          <w:tcPr>
            <w:tcW w:w="1593" w:type="dxa"/>
          </w:tcPr>
          <w:p w14:paraId="328DFB04">
            <w:pPr>
              <w:spacing w:line="360" w:lineRule="auto"/>
              <w:rPr>
                <w:color w:val="auto"/>
                <w:szCs w:val="21"/>
                <w:highlight w:val="none"/>
              </w:rPr>
            </w:pPr>
          </w:p>
        </w:tc>
        <w:tc>
          <w:tcPr>
            <w:tcW w:w="1488" w:type="dxa"/>
          </w:tcPr>
          <w:p w14:paraId="66A11859">
            <w:pPr>
              <w:spacing w:line="360" w:lineRule="auto"/>
              <w:rPr>
                <w:color w:val="auto"/>
                <w:szCs w:val="21"/>
                <w:highlight w:val="none"/>
              </w:rPr>
            </w:pPr>
          </w:p>
        </w:tc>
      </w:tr>
      <w:tr w14:paraId="5B4AE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dxa"/>
          </w:tcPr>
          <w:p w14:paraId="330173CB">
            <w:pPr>
              <w:spacing w:line="360" w:lineRule="auto"/>
              <w:rPr>
                <w:color w:val="auto"/>
                <w:szCs w:val="21"/>
                <w:highlight w:val="none"/>
              </w:rPr>
            </w:pPr>
          </w:p>
        </w:tc>
        <w:tc>
          <w:tcPr>
            <w:tcW w:w="2626" w:type="dxa"/>
          </w:tcPr>
          <w:p w14:paraId="7B80B32D">
            <w:pPr>
              <w:spacing w:line="360" w:lineRule="auto"/>
              <w:rPr>
                <w:color w:val="auto"/>
                <w:szCs w:val="21"/>
                <w:highlight w:val="none"/>
              </w:rPr>
            </w:pPr>
          </w:p>
        </w:tc>
        <w:tc>
          <w:tcPr>
            <w:tcW w:w="1035" w:type="dxa"/>
          </w:tcPr>
          <w:p w14:paraId="3C3A9C85">
            <w:pPr>
              <w:spacing w:line="360" w:lineRule="auto"/>
              <w:rPr>
                <w:color w:val="auto"/>
                <w:szCs w:val="21"/>
                <w:highlight w:val="none"/>
              </w:rPr>
            </w:pPr>
          </w:p>
        </w:tc>
        <w:tc>
          <w:tcPr>
            <w:tcW w:w="1025" w:type="dxa"/>
          </w:tcPr>
          <w:p w14:paraId="71916732">
            <w:pPr>
              <w:spacing w:line="360" w:lineRule="auto"/>
              <w:rPr>
                <w:color w:val="auto"/>
                <w:szCs w:val="21"/>
                <w:highlight w:val="none"/>
              </w:rPr>
            </w:pPr>
          </w:p>
        </w:tc>
        <w:tc>
          <w:tcPr>
            <w:tcW w:w="1593" w:type="dxa"/>
          </w:tcPr>
          <w:p w14:paraId="7DF2DAA1">
            <w:pPr>
              <w:spacing w:line="360" w:lineRule="auto"/>
              <w:rPr>
                <w:color w:val="auto"/>
                <w:szCs w:val="21"/>
                <w:highlight w:val="none"/>
              </w:rPr>
            </w:pPr>
          </w:p>
        </w:tc>
        <w:tc>
          <w:tcPr>
            <w:tcW w:w="1488" w:type="dxa"/>
          </w:tcPr>
          <w:p w14:paraId="7AB87103">
            <w:pPr>
              <w:spacing w:line="360" w:lineRule="auto"/>
              <w:rPr>
                <w:color w:val="auto"/>
                <w:szCs w:val="21"/>
                <w:highlight w:val="none"/>
              </w:rPr>
            </w:pPr>
          </w:p>
        </w:tc>
      </w:tr>
      <w:tr w14:paraId="330F1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dxa"/>
          </w:tcPr>
          <w:p w14:paraId="7D8EAA1F">
            <w:pPr>
              <w:spacing w:line="360" w:lineRule="auto"/>
              <w:rPr>
                <w:color w:val="auto"/>
                <w:szCs w:val="21"/>
                <w:highlight w:val="none"/>
              </w:rPr>
            </w:pPr>
          </w:p>
        </w:tc>
        <w:tc>
          <w:tcPr>
            <w:tcW w:w="2626" w:type="dxa"/>
          </w:tcPr>
          <w:p w14:paraId="091F2905">
            <w:pPr>
              <w:spacing w:line="360" w:lineRule="auto"/>
              <w:rPr>
                <w:color w:val="auto"/>
                <w:szCs w:val="21"/>
                <w:highlight w:val="none"/>
              </w:rPr>
            </w:pPr>
          </w:p>
        </w:tc>
        <w:tc>
          <w:tcPr>
            <w:tcW w:w="1035" w:type="dxa"/>
          </w:tcPr>
          <w:p w14:paraId="0A9DCE68">
            <w:pPr>
              <w:spacing w:line="360" w:lineRule="auto"/>
              <w:rPr>
                <w:color w:val="auto"/>
                <w:szCs w:val="21"/>
                <w:highlight w:val="none"/>
              </w:rPr>
            </w:pPr>
          </w:p>
        </w:tc>
        <w:tc>
          <w:tcPr>
            <w:tcW w:w="1025" w:type="dxa"/>
          </w:tcPr>
          <w:p w14:paraId="39D617A1">
            <w:pPr>
              <w:spacing w:line="360" w:lineRule="auto"/>
              <w:rPr>
                <w:color w:val="auto"/>
                <w:szCs w:val="21"/>
                <w:highlight w:val="none"/>
              </w:rPr>
            </w:pPr>
          </w:p>
        </w:tc>
        <w:tc>
          <w:tcPr>
            <w:tcW w:w="1593" w:type="dxa"/>
          </w:tcPr>
          <w:p w14:paraId="40B52C78">
            <w:pPr>
              <w:spacing w:line="360" w:lineRule="auto"/>
              <w:rPr>
                <w:color w:val="auto"/>
                <w:szCs w:val="21"/>
                <w:highlight w:val="none"/>
              </w:rPr>
            </w:pPr>
          </w:p>
        </w:tc>
        <w:tc>
          <w:tcPr>
            <w:tcW w:w="1488" w:type="dxa"/>
          </w:tcPr>
          <w:p w14:paraId="21C48244">
            <w:pPr>
              <w:spacing w:line="360" w:lineRule="auto"/>
              <w:rPr>
                <w:color w:val="auto"/>
                <w:szCs w:val="21"/>
                <w:highlight w:val="none"/>
              </w:rPr>
            </w:pPr>
          </w:p>
        </w:tc>
      </w:tr>
      <w:tr w14:paraId="41C45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8410" w:type="dxa"/>
            <w:gridSpan w:val="6"/>
          </w:tcPr>
          <w:p w14:paraId="4C3E17C0">
            <w:pPr>
              <w:spacing w:line="360" w:lineRule="auto"/>
              <w:rPr>
                <w:color w:val="auto"/>
                <w:szCs w:val="21"/>
                <w:highlight w:val="none"/>
              </w:rPr>
            </w:pPr>
          </w:p>
          <w:p w14:paraId="76CA44D3">
            <w:pPr>
              <w:spacing w:line="360" w:lineRule="auto"/>
              <w:rPr>
                <w:rFonts w:cs="宋体"/>
                <w:color w:val="auto"/>
                <w:szCs w:val="21"/>
                <w:highlight w:val="none"/>
              </w:rPr>
            </w:pPr>
            <w:r>
              <w:rPr>
                <w:rFonts w:hint="eastAsia" w:cs="宋体"/>
                <w:color w:val="auto"/>
                <w:szCs w:val="21"/>
                <w:highlight w:val="none"/>
              </w:rPr>
              <w:t>竞标总价：大写（小写）</w:t>
            </w:r>
          </w:p>
        </w:tc>
      </w:tr>
    </w:tbl>
    <w:p w14:paraId="39F832C6">
      <w:pPr>
        <w:snapToGrid w:val="0"/>
        <w:spacing w:before="50" w:after="50" w:line="360" w:lineRule="auto"/>
        <w:rPr>
          <w:rFonts w:ascii="宋体" w:hAnsi="宋体" w:cs="宋体"/>
          <w:color w:val="auto"/>
          <w:sz w:val="24"/>
          <w:highlight w:val="none"/>
        </w:rPr>
      </w:pPr>
    </w:p>
    <w:p w14:paraId="22D77E98">
      <w:pPr>
        <w:snapToGrid w:val="0"/>
        <w:spacing w:before="50" w:after="50"/>
        <w:ind w:firstLine="420" w:firstLineChars="200"/>
        <w:jc w:val="left"/>
        <w:rPr>
          <w:rFonts w:ascii="Arial" w:hAnsi="Arial" w:eastAsia="仿宋_GB2312" w:cs="Arial"/>
          <w:color w:val="auto"/>
          <w:szCs w:val="21"/>
          <w:highlight w:val="none"/>
          <w:lang w:val="zh-CN"/>
        </w:rPr>
      </w:pPr>
      <w:r>
        <w:rPr>
          <w:rFonts w:ascii="Arial" w:hAnsi="Arial" w:eastAsia="仿宋_GB2312" w:cs="Arial"/>
          <w:color w:val="auto"/>
          <w:szCs w:val="21"/>
          <w:highlight w:val="none"/>
          <w:lang w:val="zh-CN"/>
        </w:rPr>
        <w:t>注：</w:t>
      </w:r>
    </w:p>
    <w:p w14:paraId="0E8F8B75">
      <w:pPr>
        <w:snapToGrid w:val="0"/>
        <w:spacing w:before="50" w:after="50"/>
        <w:ind w:firstLine="420" w:firstLineChars="200"/>
        <w:jc w:val="left"/>
        <w:rPr>
          <w:rFonts w:ascii="Arial" w:hAnsi="Arial" w:eastAsia="仿宋_GB2312" w:cs="Arial"/>
          <w:color w:val="auto"/>
          <w:szCs w:val="21"/>
          <w:highlight w:val="none"/>
          <w:lang w:val="zh-CN"/>
        </w:rPr>
      </w:pPr>
      <w:r>
        <w:rPr>
          <w:rFonts w:ascii="Arial" w:hAnsi="Arial" w:eastAsia="仿宋_GB2312" w:cs="Arial"/>
          <w:color w:val="auto"/>
          <w:szCs w:val="21"/>
          <w:highlight w:val="none"/>
          <w:lang w:val="zh-CN"/>
        </w:rPr>
        <w:t>1、供应商需按本表格式填写，不得自行更改，也不得留空,如有多分标，按分标分别提供响应报价表</w:t>
      </w:r>
      <w:r>
        <w:rPr>
          <w:rFonts w:ascii="Arial" w:hAnsi="Arial" w:eastAsia="仿宋_GB2312" w:cs="Arial"/>
          <w:b/>
          <w:color w:val="auto"/>
          <w:szCs w:val="21"/>
          <w:highlight w:val="none"/>
          <w:lang w:val="zh-CN"/>
        </w:rPr>
        <w:t>。</w:t>
      </w:r>
    </w:p>
    <w:p w14:paraId="12C457F3">
      <w:pPr>
        <w:snapToGrid w:val="0"/>
        <w:spacing w:before="50" w:after="50"/>
        <w:ind w:firstLine="420" w:firstLineChars="200"/>
        <w:jc w:val="left"/>
        <w:rPr>
          <w:rFonts w:ascii="Arial" w:hAnsi="Arial" w:eastAsia="仿宋_GB2312" w:cs="Arial"/>
          <w:b/>
          <w:color w:val="auto"/>
          <w:szCs w:val="21"/>
          <w:highlight w:val="none"/>
          <w:lang w:val="zh-CN"/>
        </w:rPr>
      </w:pPr>
      <w:r>
        <w:rPr>
          <w:rFonts w:ascii="Arial" w:hAnsi="Arial" w:eastAsia="仿宋_GB2312" w:cs="Arial"/>
          <w:color w:val="auto"/>
          <w:szCs w:val="21"/>
          <w:highlight w:val="none"/>
          <w:lang w:val="zh-CN"/>
        </w:rPr>
        <w:t>2、如为联合体响应的，“供应商名称”处必须列明联合体各方名称，并标注联合体牵头人名称，且盖章处须加盖联合体各方公章，</w:t>
      </w:r>
      <w:r>
        <w:rPr>
          <w:rFonts w:ascii="Arial" w:hAnsi="Arial" w:eastAsia="仿宋_GB2312" w:cs="Arial"/>
          <w:b/>
          <w:color w:val="auto"/>
          <w:szCs w:val="21"/>
          <w:highlight w:val="none"/>
          <w:lang w:val="zh-CN"/>
        </w:rPr>
        <w:t>否则其响应作无效响应处理。</w:t>
      </w:r>
    </w:p>
    <w:p w14:paraId="78CE80CF">
      <w:pPr>
        <w:snapToGrid w:val="0"/>
        <w:spacing w:before="50" w:after="50"/>
        <w:ind w:firstLine="420" w:firstLineChars="200"/>
        <w:jc w:val="left"/>
        <w:rPr>
          <w:rFonts w:ascii="Arial" w:hAnsi="Arial" w:eastAsia="仿宋_GB2312" w:cs="Arial"/>
          <w:b/>
          <w:color w:val="auto"/>
          <w:szCs w:val="21"/>
          <w:highlight w:val="none"/>
          <w:lang w:val="zh-CN"/>
        </w:rPr>
      </w:pPr>
      <w:r>
        <w:rPr>
          <w:rFonts w:ascii="Arial" w:hAnsi="Arial" w:eastAsia="仿宋_GB2312" w:cs="Arial"/>
          <w:color w:val="auto"/>
          <w:szCs w:val="21"/>
          <w:highlight w:val="none"/>
          <w:lang w:val="zh-CN"/>
        </w:rPr>
        <w:t>3、以上表格要求细分项目及报价，在“</w:t>
      </w:r>
      <w:r>
        <w:rPr>
          <w:rFonts w:hint="eastAsia" w:ascii="Arial" w:hAnsi="Arial" w:eastAsia="仿宋_GB2312" w:cs="Arial"/>
          <w:color w:val="auto"/>
          <w:szCs w:val="21"/>
          <w:highlight w:val="none"/>
        </w:rPr>
        <w:t>标的名称</w:t>
      </w:r>
      <w:r>
        <w:rPr>
          <w:rFonts w:ascii="Arial" w:hAnsi="Arial" w:eastAsia="仿宋_GB2312" w:cs="Arial"/>
          <w:color w:val="auto"/>
          <w:szCs w:val="21"/>
          <w:highlight w:val="none"/>
          <w:lang w:val="zh-CN"/>
        </w:rPr>
        <w:t>”一栏中，填写具体</w:t>
      </w:r>
      <w:r>
        <w:rPr>
          <w:rFonts w:ascii="Arial" w:hAnsi="Arial" w:eastAsia="仿宋_GB2312" w:cs="Arial"/>
          <w:color w:val="auto"/>
          <w:szCs w:val="21"/>
          <w:highlight w:val="none"/>
        </w:rPr>
        <w:t>内容</w:t>
      </w:r>
      <w:r>
        <w:rPr>
          <w:rFonts w:ascii="Arial" w:hAnsi="Arial" w:eastAsia="仿宋_GB2312" w:cs="Arial"/>
          <w:color w:val="auto"/>
          <w:szCs w:val="21"/>
          <w:highlight w:val="none"/>
          <w:lang w:val="zh-CN"/>
        </w:rPr>
        <w:t>，</w:t>
      </w:r>
      <w:r>
        <w:rPr>
          <w:rFonts w:ascii="Arial" w:hAnsi="Arial" w:eastAsia="仿宋_GB2312" w:cs="Arial"/>
          <w:b/>
          <w:color w:val="auto"/>
          <w:szCs w:val="21"/>
          <w:highlight w:val="none"/>
          <w:lang w:val="zh-CN"/>
        </w:rPr>
        <w:t>否则其响应作无效响应处理。</w:t>
      </w:r>
    </w:p>
    <w:p w14:paraId="473F7A94">
      <w:pPr>
        <w:snapToGrid w:val="0"/>
        <w:ind w:firstLine="420" w:firstLineChars="200"/>
        <w:jc w:val="left"/>
        <w:rPr>
          <w:rFonts w:ascii="Arial" w:hAnsi="Arial" w:eastAsia="仿宋_GB2312" w:cs="Arial"/>
          <w:color w:val="auto"/>
          <w:szCs w:val="21"/>
          <w:highlight w:val="none"/>
          <w:lang w:val="zh-CN"/>
        </w:rPr>
      </w:pPr>
      <w:r>
        <w:rPr>
          <w:rFonts w:ascii="Arial" w:hAnsi="Arial" w:eastAsia="仿宋_GB2312" w:cs="Arial"/>
          <w:color w:val="auto"/>
          <w:szCs w:val="21"/>
          <w:highlight w:val="none"/>
          <w:lang w:val="zh-CN"/>
        </w:rPr>
        <w:t>4、特别提示：采购代理机构将对项目名称和项目编号，成交供应商名称、地址和成交金额，主要成交标的的名称、规格型号、数量、单价、服务要求等予以公示。</w:t>
      </w:r>
    </w:p>
    <w:p w14:paraId="613B8C3A">
      <w:pPr>
        <w:snapToGrid w:val="0"/>
        <w:ind w:firstLine="420" w:firstLineChars="200"/>
        <w:jc w:val="left"/>
        <w:rPr>
          <w:rFonts w:ascii="Arial" w:hAnsi="Arial" w:eastAsia="仿宋_GB2312" w:cs="Arial"/>
          <w:color w:val="auto"/>
          <w:szCs w:val="21"/>
          <w:highlight w:val="none"/>
          <w:lang w:val="zh-CN"/>
        </w:rPr>
      </w:pPr>
      <w:r>
        <w:rPr>
          <w:rFonts w:ascii="Arial" w:hAnsi="Arial" w:eastAsia="仿宋_GB2312" w:cs="Arial"/>
          <w:color w:val="auto"/>
          <w:szCs w:val="21"/>
          <w:highlight w:val="none"/>
          <w:lang w:val="zh-CN"/>
        </w:rPr>
        <w:t>5、符合采购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37C90FFE">
      <w:pPr>
        <w:snapToGrid w:val="0"/>
        <w:spacing w:before="50" w:after="50" w:line="360" w:lineRule="auto"/>
        <w:rPr>
          <w:rFonts w:ascii="宋体" w:hAnsi="宋体" w:cs="宋体"/>
          <w:color w:val="auto"/>
          <w:sz w:val="24"/>
          <w:highlight w:val="none"/>
        </w:rPr>
      </w:pPr>
    </w:p>
    <w:p w14:paraId="7E5D0A09">
      <w:pPr>
        <w:snapToGrid w:val="0"/>
        <w:spacing w:before="50" w:after="50" w:line="360" w:lineRule="auto"/>
        <w:rPr>
          <w:rFonts w:ascii="宋体" w:hAnsi="宋体" w:cs="宋体"/>
          <w:color w:val="auto"/>
          <w:sz w:val="24"/>
          <w:highlight w:val="none"/>
        </w:rPr>
      </w:pPr>
    </w:p>
    <w:p w14:paraId="6827987D">
      <w:pPr>
        <w:snapToGrid w:val="0"/>
        <w:spacing w:before="50" w:after="50" w:line="360" w:lineRule="auto"/>
        <w:jc w:val="right"/>
        <w:rPr>
          <w:rFonts w:ascii="宋体" w:hAnsi="宋体" w:cs="宋体"/>
          <w:color w:val="auto"/>
          <w:sz w:val="24"/>
          <w:highlight w:val="none"/>
        </w:rPr>
      </w:pPr>
      <w:r>
        <w:rPr>
          <w:rFonts w:hint="eastAsia" w:ascii="宋体" w:hAnsi="宋体" w:cs="宋体"/>
          <w:color w:val="auto"/>
          <w:sz w:val="24"/>
          <w:highlight w:val="none"/>
        </w:rPr>
        <w:t>供应商名称：</w:t>
      </w:r>
    </w:p>
    <w:p w14:paraId="5C6190F9">
      <w:pPr>
        <w:snapToGrid w:val="0"/>
        <w:spacing w:before="50" w:after="50" w:line="360" w:lineRule="auto"/>
        <w:jc w:val="right"/>
        <w:rPr>
          <w:rFonts w:ascii="宋体" w:hAnsi="宋体" w:cs="宋体"/>
          <w:color w:val="auto"/>
          <w:sz w:val="24"/>
          <w:highlight w:val="none"/>
          <w:u w:val="single"/>
        </w:rPr>
      </w:pPr>
      <w:r>
        <w:rPr>
          <w:rFonts w:hint="eastAsia" w:ascii="宋体" w:hAnsi="宋体" w:cs="宋体"/>
          <w:color w:val="auto"/>
          <w:sz w:val="24"/>
          <w:highlight w:val="none"/>
        </w:rPr>
        <w:t>日期：</w:t>
      </w:r>
    </w:p>
    <w:p w14:paraId="4213BF2C">
      <w:pPr>
        <w:spacing w:line="360" w:lineRule="auto"/>
        <w:ind w:right="-817" w:rightChars="-389" w:firstLine="5461" w:firstLineChars="1700"/>
        <w:contextualSpacing/>
        <w:rPr>
          <w:rFonts w:ascii="宋体" w:hAnsi="宋体" w:cs="宋体"/>
          <w:b/>
          <w:color w:val="auto"/>
          <w:sz w:val="32"/>
          <w:szCs w:val="32"/>
          <w:highlight w:val="none"/>
        </w:rPr>
      </w:pPr>
    </w:p>
    <w:p w14:paraId="2A8490CF">
      <w:pPr>
        <w:spacing w:line="360" w:lineRule="auto"/>
        <w:ind w:right="-817" w:rightChars="-389"/>
        <w:contextualSpacing/>
        <w:rPr>
          <w:rFonts w:ascii="宋体" w:hAnsi="宋体" w:cs="宋体"/>
          <w:b/>
          <w:color w:val="auto"/>
          <w:sz w:val="32"/>
          <w:szCs w:val="32"/>
          <w:highlight w:val="none"/>
        </w:rPr>
      </w:pPr>
    </w:p>
    <w:p w14:paraId="4558C6F4">
      <w:pPr>
        <w:pStyle w:val="20"/>
        <w:spacing w:line="500" w:lineRule="exact"/>
        <w:rPr>
          <w:rFonts w:hAnsi="宋体" w:cs="宋体"/>
          <w:b/>
          <w:color w:val="auto"/>
          <w:sz w:val="30"/>
          <w:szCs w:val="30"/>
          <w:highlight w:val="none"/>
        </w:rPr>
      </w:pPr>
      <w:r>
        <w:rPr>
          <w:rFonts w:hint="eastAsia" w:hAnsi="宋体" w:cs="宋体"/>
          <w:b/>
          <w:color w:val="auto"/>
          <w:sz w:val="30"/>
          <w:szCs w:val="30"/>
          <w:highlight w:val="none"/>
        </w:rPr>
        <w:t>三、中小企业声明函</w:t>
      </w:r>
    </w:p>
    <w:p w14:paraId="4536047B">
      <w:pPr>
        <w:spacing w:line="300" w:lineRule="auto"/>
        <w:ind w:firstLine="2200" w:firstLineChars="500"/>
        <w:rPr>
          <w:rFonts w:ascii="宋体" w:hAnsi="宋体" w:cs="宋体"/>
          <w:color w:val="auto"/>
          <w:sz w:val="44"/>
          <w:szCs w:val="44"/>
          <w:highlight w:val="none"/>
        </w:rPr>
      </w:pPr>
    </w:p>
    <w:p w14:paraId="3B75C588">
      <w:pPr>
        <w:spacing w:line="300" w:lineRule="auto"/>
        <w:ind w:firstLine="2200" w:firstLineChars="500"/>
        <w:rPr>
          <w:rFonts w:ascii="宋体" w:hAnsi="宋体" w:cs="宋体"/>
          <w:color w:val="auto"/>
          <w:sz w:val="44"/>
          <w:szCs w:val="44"/>
          <w:highlight w:val="none"/>
        </w:rPr>
      </w:pPr>
      <w:r>
        <w:rPr>
          <w:rFonts w:hint="eastAsia" w:ascii="宋体" w:hAnsi="宋体" w:cs="宋体"/>
          <w:color w:val="auto"/>
          <w:sz w:val="44"/>
          <w:szCs w:val="44"/>
          <w:highlight w:val="none"/>
        </w:rPr>
        <w:t>中小企业声明函</w:t>
      </w:r>
    </w:p>
    <w:p w14:paraId="7619779C">
      <w:pPr>
        <w:pStyle w:val="124"/>
        <w:shd w:val="clear" w:color="auto"/>
        <w:adjustRightInd w:val="0"/>
        <w:snapToGrid w:val="0"/>
        <w:spacing w:before="0" w:after="0" w:line="500" w:lineRule="exact"/>
        <w:ind w:firstLine="480" w:firstLineChars="200"/>
        <w:jc w:val="both"/>
        <w:rPr>
          <w:rFonts w:ascii="宋体" w:hAnsi="宋体" w:eastAsia="宋体" w:cs="宋体"/>
          <w:color w:val="auto"/>
          <w:spacing w:val="0"/>
          <w:kern w:val="2"/>
          <w:sz w:val="24"/>
          <w:szCs w:val="24"/>
          <w:highlight w:val="none"/>
        </w:rPr>
      </w:pPr>
      <w:r>
        <w:rPr>
          <w:rFonts w:hint="eastAsia" w:ascii="宋体" w:hAnsi="宋体" w:eastAsia="宋体" w:cs="宋体"/>
          <w:color w:val="auto"/>
          <w:spacing w:val="0"/>
          <w:kern w:val="2"/>
          <w:sz w:val="24"/>
          <w:szCs w:val="24"/>
          <w:highlight w:val="none"/>
        </w:rPr>
        <w:t>公司（联合体）郑重声明，根据《政府采购促进中小企业发展管理办法》（财库〔2020〕46号）的规定，本公司 (联合体）</w:t>
      </w:r>
      <w:r>
        <w:rPr>
          <w:rFonts w:hint="eastAsia" w:ascii="宋体" w:hAnsi="宋体" w:eastAsia="宋体" w:cs="宋体"/>
          <w:iCs/>
          <w:color w:val="auto"/>
          <w:kern w:val="2"/>
          <w:sz w:val="24"/>
          <w:szCs w:val="24"/>
          <w:highlight w:val="none"/>
        </w:rPr>
        <w:t>参加</w:t>
      </w:r>
      <w:r>
        <w:rPr>
          <w:rFonts w:hint="eastAsia" w:ascii="宋体" w:hAnsi="宋体" w:eastAsia="宋体" w:cs="宋体"/>
          <w:i/>
          <w:iCs/>
          <w:color w:val="auto"/>
          <w:kern w:val="2"/>
          <w:sz w:val="24"/>
          <w:szCs w:val="24"/>
          <w:highlight w:val="none"/>
          <w:u w:val="single"/>
        </w:rPr>
        <w:t>（单位名称）</w:t>
      </w:r>
      <w:r>
        <w:rPr>
          <w:rFonts w:hint="eastAsia" w:ascii="宋体" w:hAnsi="宋体" w:eastAsia="宋体" w:cs="宋体"/>
          <w:iCs/>
          <w:color w:val="auto"/>
          <w:kern w:val="2"/>
          <w:sz w:val="24"/>
          <w:szCs w:val="24"/>
          <w:highlight w:val="none"/>
        </w:rPr>
        <w:t>的</w:t>
      </w:r>
      <w:r>
        <w:rPr>
          <w:rFonts w:hint="eastAsia" w:ascii="宋体" w:hAnsi="宋体" w:eastAsia="宋体" w:cs="宋体"/>
          <w:i/>
          <w:iCs/>
          <w:color w:val="auto"/>
          <w:kern w:val="2"/>
          <w:sz w:val="24"/>
          <w:szCs w:val="24"/>
          <w:highlight w:val="none"/>
          <w:u w:val="single"/>
        </w:rPr>
        <w:t>（项目名称）</w:t>
      </w:r>
      <w:r>
        <w:rPr>
          <w:rFonts w:hint="eastAsia" w:ascii="宋体" w:hAnsi="宋体" w:eastAsia="宋体" w:cs="宋体"/>
          <w:iCs/>
          <w:color w:val="auto"/>
          <w:kern w:val="2"/>
          <w:sz w:val="24"/>
          <w:szCs w:val="24"/>
          <w:highlight w:val="none"/>
        </w:rPr>
        <w:t>采购活动</w:t>
      </w:r>
      <w:r>
        <w:rPr>
          <w:rFonts w:hint="eastAsia" w:ascii="宋体" w:hAnsi="宋体" w:eastAsia="宋体" w:cs="宋体"/>
          <w:i/>
          <w:iCs/>
          <w:color w:val="auto"/>
          <w:kern w:val="2"/>
          <w:sz w:val="24"/>
          <w:szCs w:val="24"/>
          <w:highlight w:val="none"/>
        </w:rPr>
        <w:t>,</w:t>
      </w:r>
      <w:r>
        <w:rPr>
          <w:rFonts w:hint="eastAsia" w:ascii="宋体" w:hAnsi="宋体" w:eastAsia="宋体" w:cs="宋体"/>
          <w:color w:val="auto"/>
          <w:spacing w:val="0"/>
          <w:kern w:val="2"/>
          <w:sz w:val="24"/>
          <w:szCs w:val="24"/>
          <w:highlight w:val="none"/>
        </w:rPr>
        <w:t>服务全部由符合政策要求的中小企业承接。相关企业（含联合体中的中小企业、签订分包意向协议的中小企业）的具体情况如下：</w:t>
      </w:r>
    </w:p>
    <w:p w14:paraId="6B6A5467">
      <w:pPr>
        <w:tabs>
          <w:tab w:val="left" w:leader="underscore" w:pos="6730"/>
        </w:tabs>
        <w:adjustRightInd w:val="0"/>
        <w:snapToGrid w:val="0"/>
        <w:spacing w:line="500" w:lineRule="exact"/>
        <w:ind w:firstLine="480" w:firstLineChars="200"/>
        <w:rPr>
          <w:rFonts w:ascii="宋体" w:hAnsi="宋体" w:cs="宋体"/>
          <w:b/>
          <w:bCs/>
          <w:color w:val="auto"/>
          <w:sz w:val="24"/>
          <w:highlight w:val="none"/>
        </w:rPr>
      </w:pPr>
      <w:r>
        <w:rPr>
          <w:rFonts w:hint="eastAsia" w:ascii="宋体" w:hAnsi="宋体" w:cs="宋体"/>
          <w:color w:val="auto"/>
          <w:sz w:val="24"/>
          <w:highlight w:val="none"/>
        </w:rPr>
        <w:t>1.</w:t>
      </w:r>
      <w:r>
        <w:rPr>
          <w:rFonts w:hint="eastAsia" w:ascii="宋体" w:hAnsi="宋体" w:cs="宋体"/>
          <w:i/>
          <w:color w:val="auto"/>
          <w:sz w:val="24"/>
          <w:highlight w:val="none"/>
          <w:u w:val="single"/>
        </w:rPr>
        <w:t>(标的名称)</w:t>
      </w:r>
      <w:r>
        <w:rPr>
          <w:rFonts w:hint="eastAsia" w:ascii="宋体" w:hAnsi="宋体" w:cs="宋体"/>
          <w:i/>
          <w:iCs/>
          <w:color w:val="auto"/>
          <w:sz w:val="24"/>
          <w:highlight w:val="none"/>
        </w:rPr>
        <w:t>，</w:t>
      </w:r>
      <w:r>
        <w:rPr>
          <w:rFonts w:hint="eastAsia" w:ascii="宋体" w:hAnsi="宋体" w:cs="宋体"/>
          <w:color w:val="auto"/>
          <w:sz w:val="24"/>
          <w:highlight w:val="none"/>
        </w:rPr>
        <w:t>属于</w:t>
      </w:r>
      <w:r>
        <w:rPr>
          <w:rFonts w:hint="eastAsia" w:ascii="宋体" w:hAnsi="宋体" w:cs="宋体"/>
          <w:i/>
          <w:color w:val="auto"/>
          <w:sz w:val="24"/>
          <w:highlight w:val="none"/>
          <w:u w:val="single"/>
        </w:rPr>
        <w:t>(采购文件中明确的所属行业)</w:t>
      </w:r>
      <w:r>
        <w:rPr>
          <w:rFonts w:hint="eastAsia" w:ascii="宋体" w:hAnsi="宋体" w:cs="宋体"/>
          <w:iCs/>
          <w:color w:val="auto"/>
          <w:sz w:val="24"/>
          <w:highlight w:val="none"/>
        </w:rPr>
        <w:t>；</w:t>
      </w:r>
      <w:r>
        <w:rPr>
          <w:rFonts w:hint="eastAsia" w:ascii="宋体" w:hAnsi="宋体" w:cs="宋体"/>
          <w:color w:val="auto"/>
          <w:sz w:val="24"/>
          <w:highlight w:val="none"/>
        </w:rPr>
        <w:t>承接企业为</w:t>
      </w:r>
      <w:r>
        <w:rPr>
          <w:rFonts w:hint="eastAsia" w:ascii="宋体" w:hAnsi="宋体" w:cs="宋体"/>
          <w:i/>
          <w:color w:val="auto"/>
          <w:sz w:val="24"/>
          <w:highlight w:val="none"/>
          <w:u w:val="single"/>
        </w:rPr>
        <w:t>（企业名称）</w:t>
      </w:r>
      <w:r>
        <w:rPr>
          <w:rFonts w:hint="eastAsia" w:ascii="宋体" w:hAnsi="宋体" w:cs="宋体"/>
          <w:color w:val="auto"/>
          <w:sz w:val="24"/>
          <w:highlight w:val="none"/>
        </w:rPr>
        <w:t>，从业人员人，营业收入为万元，资产总额为万元</w:t>
      </w:r>
      <w:r>
        <w:rPr>
          <w:rFonts w:hint="eastAsia" w:ascii="宋体" w:hAnsi="宋体" w:cs="宋体"/>
          <w:color w:val="auto"/>
          <w:sz w:val="24"/>
          <w:highlight w:val="none"/>
          <w:vertAlign w:val="superscript"/>
        </w:rPr>
        <w:t>1</w:t>
      </w:r>
      <w:r>
        <w:rPr>
          <w:rFonts w:hint="eastAsia" w:ascii="宋体" w:hAnsi="宋体" w:cs="宋体"/>
          <w:color w:val="auto"/>
          <w:sz w:val="24"/>
          <w:highlight w:val="none"/>
        </w:rPr>
        <w:t>，属于</w:t>
      </w:r>
      <w:r>
        <w:rPr>
          <w:rFonts w:hint="eastAsia" w:ascii="宋体" w:hAnsi="宋体" w:cs="宋体"/>
          <w:i/>
          <w:iCs/>
          <w:color w:val="auto"/>
          <w:sz w:val="24"/>
          <w:highlight w:val="none"/>
          <w:u w:val="single"/>
        </w:rPr>
        <w:t>（中型企业、小</w:t>
      </w:r>
      <w:r>
        <w:rPr>
          <w:rFonts w:hint="eastAsia" w:ascii="宋体" w:hAnsi="宋体" w:cs="宋体"/>
          <w:i/>
          <w:color w:val="auto"/>
          <w:sz w:val="24"/>
          <w:highlight w:val="none"/>
          <w:u w:val="single"/>
        </w:rPr>
        <w:t>型企业、微型企业</w:t>
      </w:r>
      <w:r>
        <w:rPr>
          <w:rFonts w:hint="eastAsia" w:ascii="宋体" w:hAnsi="宋体" w:cs="宋体"/>
          <w:b/>
          <w:bCs/>
          <w:i/>
          <w:color w:val="auto"/>
          <w:sz w:val="24"/>
          <w:highlight w:val="none"/>
          <w:u w:val="single"/>
        </w:rPr>
        <w:t>）</w:t>
      </w:r>
      <w:r>
        <w:rPr>
          <w:rFonts w:hint="eastAsia" w:ascii="宋体" w:hAnsi="宋体" w:cs="宋体"/>
          <w:b/>
          <w:bCs/>
          <w:color w:val="auto"/>
          <w:sz w:val="24"/>
          <w:highlight w:val="none"/>
        </w:rPr>
        <w:t>；</w:t>
      </w:r>
    </w:p>
    <w:p w14:paraId="31F87765">
      <w:pPr>
        <w:tabs>
          <w:tab w:val="left" w:leader="underscore" w:pos="6730"/>
        </w:tabs>
        <w:adjustRightInd w:val="0"/>
        <w:snapToGrid w:val="0"/>
        <w:spacing w:line="500" w:lineRule="exact"/>
        <w:ind w:firstLine="480" w:firstLineChars="200"/>
        <w:rPr>
          <w:rFonts w:ascii="宋体" w:hAnsi="宋体" w:cs="宋体"/>
          <w:b/>
          <w:bCs/>
          <w:color w:val="auto"/>
          <w:sz w:val="24"/>
          <w:highlight w:val="none"/>
        </w:rPr>
      </w:pPr>
      <w:r>
        <w:rPr>
          <w:rFonts w:hint="eastAsia" w:ascii="宋体" w:hAnsi="宋体" w:cs="宋体"/>
          <w:color w:val="auto"/>
          <w:sz w:val="24"/>
          <w:highlight w:val="none"/>
        </w:rPr>
        <w:t>2.</w:t>
      </w:r>
      <w:r>
        <w:rPr>
          <w:rFonts w:hint="eastAsia" w:ascii="宋体" w:hAnsi="宋体" w:cs="宋体"/>
          <w:i/>
          <w:color w:val="auto"/>
          <w:sz w:val="24"/>
          <w:highlight w:val="none"/>
          <w:u w:val="single"/>
        </w:rPr>
        <w:t>(标的名称)</w:t>
      </w:r>
      <w:r>
        <w:rPr>
          <w:rFonts w:hint="eastAsia" w:ascii="宋体" w:hAnsi="宋体" w:cs="宋体"/>
          <w:i/>
          <w:iCs/>
          <w:color w:val="auto"/>
          <w:sz w:val="24"/>
          <w:highlight w:val="none"/>
        </w:rPr>
        <w:t>，</w:t>
      </w:r>
      <w:r>
        <w:rPr>
          <w:rFonts w:hint="eastAsia" w:ascii="宋体" w:hAnsi="宋体" w:cs="宋体"/>
          <w:color w:val="auto"/>
          <w:sz w:val="24"/>
          <w:highlight w:val="none"/>
        </w:rPr>
        <w:t>属于</w:t>
      </w:r>
      <w:r>
        <w:rPr>
          <w:rFonts w:hint="eastAsia" w:ascii="宋体" w:hAnsi="宋体" w:cs="宋体"/>
          <w:i/>
          <w:color w:val="auto"/>
          <w:sz w:val="24"/>
          <w:highlight w:val="none"/>
          <w:u w:val="single"/>
        </w:rPr>
        <w:t>(采购文件中明确的所属行业)</w:t>
      </w:r>
      <w:r>
        <w:rPr>
          <w:rFonts w:hint="eastAsia" w:ascii="宋体" w:hAnsi="宋体" w:cs="宋体"/>
          <w:iCs/>
          <w:color w:val="auto"/>
          <w:sz w:val="24"/>
          <w:highlight w:val="none"/>
        </w:rPr>
        <w:t>；</w:t>
      </w:r>
      <w:r>
        <w:rPr>
          <w:rFonts w:hint="eastAsia" w:ascii="宋体" w:hAnsi="宋体" w:cs="宋体"/>
          <w:color w:val="auto"/>
          <w:sz w:val="24"/>
          <w:highlight w:val="none"/>
        </w:rPr>
        <w:t>承接企业为</w:t>
      </w:r>
      <w:r>
        <w:rPr>
          <w:rFonts w:hint="eastAsia" w:ascii="宋体" w:hAnsi="宋体" w:cs="宋体"/>
          <w:i/>
          <w:color w:val="auto"/>
          <w:sz w:val="24"/>
          <w:highlight w:val="none"/>
          <w:u w:val="single"/>
        </w:rPr>
        <w:t>（企业名称）</w:t>
      </w:r>
      <w:r>
        <w:rPr>
          <w:rFonts w:hint="eastAsia" w:ascii="宋体" w:hAnsi="宋体" w:cs="宋体"/>
          <w:color w:val="auto"/>
          <w:sz w:val="24"/>
          <w:highlight w:val="none"/>
        </w:rPr>
        <w:t>，从业人员人，营业收入为万元，资产总额为万元，属于</w:t>
      </w:r>
      <w:r>
        <w:rPr>
          <w:rFonts w:hint="eastAsia" w:ascii="宋体" w:hAnsi="宋体" w:cs="宋体"/>
          <w:i/>
          <w:iCs/>
          <w:color w:val="auto"/>
          <w:sz w:val="24"/>
          <w:highlight w:val="none"/>
          <w:u w:val="single"/>
        </w:rPr>
        <w:t>（中型企业、小</w:t>
      </w:r>
      <w:r>
        <w:rPr>
          <w:rFonts w:hint="eastAsia" w:ascii="宋体" w:hAnsi="宋体" w:cs="宋体"/>
          <w:i/>
          <w:color w:val="auto"/>
          <w:sz w:val="24"/>
          <w:highlight w:val="none"/>
          <w:u w:val="single"/>
        </w:rPr>
        <w:t>型企业、微型企业</w:t>
      </w:r>
      <w:r>
        <w:rPr>
          <w:rFonts w:hint="eastAsia" w:ascii="宋体" w:hAnsi="宋体" w:cs="宋体"/>
          <w:b/>
          <w:bCs/>
          <w:i/>
          <w:color w:val="auto"/>
          <w:sz w:val="24"/>
          <w:highlight w:val="none"/>
          <w:u w:val="single"/>
        </w:rPr>
        <w:t>）</w:t>
      </w:r>
      <w:r>
        <w:rPr>
          <w:rFonts w:hint="eastAsia" w:ascii="宋体" w:hAnsi="宋体" w:cs="宋体"/>
          <w:b/>
          <w:bCs/>
          <w:color w:val="auto"/>
          <w:sz w:val="24"/>
          <w:highlight w:val="none"/>
        </w:rPr>
        <w:t>；</w:t>
      </w:r>
    </w:p>
    <w:p w14:paraId="7A17B1D0">
      <w:pPr>
        <w:tabs>
          <w:tab w:val="left" w:leader="underscore" w:pos="6730"/>
        </w:tabs>
        <w:adjustRightInd w:val="0"/>
        <w:snapToGrid w:val="0"/>
        <w:spacing w:line="50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w:t>
      </w:r>
    </w:p>
    <w:p w14:paraId="44DEE078">
      <w:pPr>
        <w:tabs>
          <w:tab w:val="left" w:leader="underscore" w:pos="6730"/>
        </w:tabs>
        <w:adjustRightInd w:val="0"/>
        <w:snapToGrid w:val="0"/>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14:paraId="541EB28E">
      <w:pPr>
        <w:pStyle w:val="124"/>
        <w:shd w:val="clear" w:color="auto"/>
        <w:adjustRightInd w:val="0"/>
        <w:snapToGrid w:val="0"/>
        <w:spacing w:before="0" w:after="0" w:line="500" w:lineRule="exact"/>
        <w:ind w:firstLine="480" w:firstLineChars="200"/>
        <w:jc w:val="both"/>
        <w:rPr>
          <w:rFonts w:ascii="宋体" w:hAnsi="宋体" w:eastAsia="宋体" w:cs="宋体"/>
          <w:color w:val="auto"/>
          <w:spacing w:val="0"/>
          <w:kern w:val="2"/>
          <w:sz w:val="24"/>
          <w:szCs w:val="24"/>
          <w:highlight w:val="none"/>
        </w:rPr>
      </w:pPr>
      <w:r>
        <w:rPr>
          <w:rFonts w:hint="eastAsia" w:ascii="宋体" w:hAnsi="宋体" w:eastAsia="宋体" w:cs="宋体"/>
          <w:color w:val="auto"/>
          <w:spacing w:val="0"/>
          <w:kern w:val="2"/>
          <w:sz w:val="24"/>
          <w:szCs w:val="24"/>
          <w:highlight w:val="none"/>
        </w:rPr>
        <w:t>本企业对上述声明内容的真实性负责。如有虚假，将依法承担相应责任。</w:t>
      </w:r>
    </w:p>
    <w:p w14:paraId="3E028048">
      <w:pPr>
        <w:autoSpaceDE w:val="0"/>
        <w:autoSpaceDN w:val="0"/>
        <w:spacing w:line="360" w:lineRule="auto"/>
        <w:ind w:left="4335" w:leftChars="1950" w:hanging="240" w:hangingChars="100"/>
        <w:rPr>
          <w:rFonts w:ascii="宋体" w:hAnsi="宋体" w:cs="宋体"/>
          <w:color w:val="auto"/>
          <w:kern w:val="0"/>
          <w:sz w:val="24"/>
          <w:highlight w:val="none"/>
        </w:rPr>
      </w:pPr>
      <w:r>
        <w:rPr>
          <w:rFonts w:hint="eastAsia" w:ascii="宋体" w:hAnsi="宋体" w:cs="宋体"/>
          <w:color w:val="auto"/>
          <w:kern w:val="0"/>
          <w:sz w:val="24"/>
          <w:highlight w:val="none"/>
        </w:rPr>
        <w:t>供应商名称（电子签章）：</w:t>
      </w:r>
    </w:p>
    <w:p w14:paraId="4E2844E2">
      <w:pPr>
        <w:autoSpaceDE w:val="0"/>
        <w:autoSpaceDN w:val="0"/>
        <w:spacing w:line="360" w:lineRule="auto"/>
        <w:ind w:firstLine="6480" w:firstLineChars="27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00858860">
      <w:pPr>
        <w:pStyle w:val="16"/>
        <w:spacing w:after="0" w:line="360" w:lineRule="auto"/>
        <w:ind w:left="3960" w:right="1808"/>
        <w:contextualSpacing/>
        <w:rPr>
          <w:rFonts w:ascii="宋体" w:hAnsi="宋体" w:cs="宋体"/>
          <w:color w:val="auto"/>
          <w:highlight w:val="none"/>
        </w:rPr>
      </w:pPr>
    </w:p>
    <w:p w14:paraId="37B0FC69">
      <w:pPr>
        <w:spacing w:line="360" w:lineRule="auto"/>
        <w:contextualSpacing/>
        <w:jc w:val="left"/>
        <w:rPr>
          <w:rFonts w:ascii="宋体" w:hAnsi="宋体" w:cs="宋体"/>
          <w:color w:val="auto"/>
          <w:sz w:val="24"/>
          <w:highlight w:val="none"/>
        </w:rPr>
      </w:pPr>
      <w:r>
        <w:rPr>
          <w:rFonts w:hint="eastAsia" w:ascii="宋体" w:hAnsi="宋体" w:cs="宋体"/>
          <w:color w:val="auto"/>
          <w:sz w:val="24"/>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7FEFD749">
      <w:pPr>
        <w:pStyle w:val="4"/>
        <w:jc w:val="center"/>
        <w:rPr>
          <w:rFonts w:ascii="宋体" w:hAnsi="宋体" w:cs="宋体"/>
          <w:b w:val="0"/>
          <w:color w:val="auto"/>
          <w:highlight w:val="none"/>
        </w:rPr>
      </w:pPr>
      <w:r>
        <w:rPr>
          <w:rFonts w:hint="eastAsia" w:ascii="宋体" w:hAnsi="宋体" w:cs="宋体"/>
          <w:color w:val="auto"/>
          <w:sz w:val="24"/>
          <w:highlight w:val="none"/>
        </w:rPr>
        <w:br w:type="page"/>
      </w:r>
      <w:bookmarkStart w:id="172" w:name="_Toc14892"/>
      <w:r>
        <w:rPr>
          <w:rFonts w:hint="eastAsia" w:ascii="宋体" w:hAnsi="宋体" w:cs="宋体"/>
          <w:color w:val="auto"/>
          <w:highlight w:val="none"/>
        </w:rPr>
        <w:t>第五节 其他文书、文件格式</w:t>
      </w:r>
      <w:bookmarkEnd w:id="172"/>
    </w:p>
    <w:p w14:paraId="57C14E45">
      <w:pPr>
        <w:spacing w:line="520" w:lineRule="exact"/>
        <w:rPr>
          <w:rFonts w:ascii="宋体" w:hAnsi="宋体" w:cs="宋体"/>
          <w:color w:val="auto"/>
          <w:sz w:val="24"/>
          <w:highlight w:val="none"/>
        </w:rPr>
      </w:pPr>
    </w:p>
    <w:p w14:paraId="5665875E">
      <w:pPr>
        <w:spacing w:line="520" w:lineRule="exact"/>
        <w:jc w:val="center"/>
        <w:rPr>
          <w:rFonts w:ascii="宋体" w:hAnsi="宋体" w:cs="宋体"/>
          <w:color w:val="auto"/>
          <w:sz w:val="32"/>
          <w:szCs w:val="32"/>
          <w:highlight w:val="none"/>
        </w:rPr>
      </w:pPr>
      <w:r>
        <w:rPr>
          <w:rFonts w:hint="eastAsia" w:ascii="宋体" w:hAnsi="宋体" w:cs="宋体"/>
          <w:color w:val="auto"/>
          <w:sz w:val="44"/>
          <w:szCs w:val="44"/>
          <w:highlight w:val="none"/>
        </w:rPr>
        <w:t>残疾人福利性单位声明函</w:t>
      </w:r>
    </w:p>
    <w:p w14:paraId="49AC1EC7">
      <w:pPr>
        <w:spacing w:line="520" w:lineRule="exact"/>
        <w:rPr>
          <w:rFonts w:ascii="宋体" w:hAnsi="宋体" w:cs="宋体"/>
          <w:color w:val="auto"/>
          <w:sz w:val="32"/>
          <w:szCs w:val="32"/>
          <w:highlight w:val="none"/>
        </w:rPr>
      </w:pPr>
    </w:p>
    <w:p w14:paraId="307B2CE9">
      <w:pPr>
        <w:spacing w:line="360" w:lineRule="auto"/>
        <w:ind w:firstLine="720" w:firstLineChars="300"/>
        <w:contextualSpacing/>
        <w:rPr>
          <w:rFonts w:ascii="宋体" w:hAnsi="宋体" w:cs="宋体"/>
          <w:color w:val="auto"/>
          <w:sz w:val="24"/>
          <w:highlight w:val="none"/>
        </w:rPr>
      </w:pPr>
      <w:r>
        <w:rPr>
          <w:rFonts w:hint="eastAsia" w:ascii="宋体" w:hAnsi="宋体" w:cs="宋体"/>
          <w:color w:val="auto"/>
          <w:sz w:val="24"/>
          <w:highlight w:val="none"/>
        </w:rPr>
        <w:t xml:space="preserve">本单位郑重声明，根据《财政部民政部中国残疾人联合会关于促进残疾人就业政府采购政策的通知》（财库〔2017〕141 号）的规定，本单位为符合条件的残疾人福利性单位，且本单位参加单位的项目采购活动提供本单位制造的货物（由本单位承担工程/提供服务），或者提供其他残疾人福利性单位制造的货物 （不包括使用非残疾人福利性单位注册商标的货物）。 </w:t>
      </w:r>
    </w:p>
    <w:p w14:paraId="21B46E33">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本公司对上述声明的真实性负责。如有虚假，将依法承担相应责任</w:t>
      </w:r>
    </w:p>
    <w:p w14:paraId="01215B03">
      <w:pPr>
        <w:spacing w:line="360" w:lineRule="auto"/>
        <w:contextualSpacing/>
        <w:rPr>
          <w:rFonts w:ascii="宋体" w:hAnsi="宋体" w:cs="宋体"/>
          <w:color w:val="auto"/>
          <w:sz w:val="24"/>
          <w:highlight w:val="none"/>
        </w:rPr>
      </w:pPr>
    </w:p>
    <w:p w14:paraId="38F4F487">
      <w:pPr>
        <w:spacing w:line="360" w:lineRule="auto"/>
        <w:contextualSpacing/>
        <w:rPr>
          <w:rFonts w:ascii="宋体" w:hAnsi="宋体" w:cs="宋体"/>
          <w:color w:val="auto"/>
          <w:sz w:val="24"/>
          <w:highlight w:val="none"/>
        </w:rPr>
      </w:pPr>
    </w:p>
    <w:p w14:paraId="259FE9A3">
      <w:pPr>
        <w:spacing w:line="360" w:lineRule="auto"/>
        <w:contextualSpacing/>
        <w:rPr>
          <w:rFonts w:ascii="宋体" w:hAnsi="宋体" w:cs="宋体"/>
          <w:color w:val="auto"/>
          <w:sz w:val="24"/>
          <w:highlight w:val="none"/>
        </w:rPr>
      </w:pPr>
    </w:p>
    <w:p w14:paraId="386CD84B">
      <w:pPr>
        <w:spacing w:line="360" w:lineRule="auto"/>
        <w:ind w:firstLine="2400" w:firstLineChars="1000"/>
        <w:contextualSpacing/>
        <w:rPr>
          <w:rFonts w:ascii="宋体" w:hAnsi="宋体" w:cs="宋体"/>
          <w:color w:val="auto"/>
          <w:sz w:val="24"/>
          <w:highlight w:val="none"/>
        </w:rPr>
      </w:pPr>
      <w:r>
        <w:rPr>
          <w:rFonts w:hint="eastAsia" w:ascii="宋体" w:hAnsi="宋体" w:cs="宋体"/>
          <w:color w:val="auto"/>
          <w:sz w:val="24"/>
          <w:highlight w:val="none"/>
        </w:rPr>
        <w:t>供应商名称（电子签章）：</w:t>
      </w:r>
    </w:p>
    <w:p w14:paraId="7D2B662F">
      <w:pPr>
        <w:spacing w:line="360" w:lineRule="auto"/>
        <w:ind w:firstLine="4320" w:firstLineChars="1800"/>
        <w:contextualSpacing/>
        <w:rPr>
          <w:rFonts w:ascii="宋体" w:hAnsi="宋体" w:cs="宋体"/>
          <w:color w:val="auto"/>
          <w:sz w:val="24"/>
          <w:highlight w:val="none"/>
        </w:rPr>
      </w:pPr>
      <w:r>
        <w:rPr>
          <w:rFonts w:hint="eastAsia" w:ascii="宋体" w:hAnsi="宋体" w:cs="宋体"/>
          <w:color w:val="auto"/>
          <w:sz w:val="24"/>
          <w:highlight w:val="none"/>
        </w:rPr>
        <w:t>日  期：     年   月   日</w:t>
      </w:r>
    </w:p>
    <w:p w14:paraId="0ECF5F14">
      <w:pPr>
        <w:spacing w:line="360" w:lineRule="auto"/>
        <w:contextualSpacing/>
        <w:rPr>
          <w:rFonts w:ascii="宋体" w:hAnsi="宋体" w:cs="宋体"/>
          <w:color w:val="auto"/>
          <w:sz w:val="24"/>
          <w:highlight w:val="none"/>
        </w:rPr>
      </w:pPr>
    </w:p>
    <w:p w14:paraId="0C8DC300">
      <w:pPr>
        <w:spacing w:line="360" w:lineRule="auto"/>
        <w:contextualSpacing/>
        <w:rPr>
          <w:rFonts w:ascii="宋体" w:hAnsi="宋体" w:cs="宋体"/>
          <w:color w:val="auto"/>
          <w:sz w:val="24"/>
          <w:highlight w:val="none"/>
        </w:rPr>
      </w:pPr>
    </w:p>
    <w:p w14:paraId="6925F54F">
      <w:pPr>
        <w:spacing w:line="360" w:lineRule="auto"/>
        <w:contextualSpacing/>
        <w:rPr>
          <w:rFonts w:ascii="宋体" w:hAnsi="宋体" w:cs="宋体"/>
          <w:color w:val="auto"/>
          <w:sz w:val="24"/>
          <w:highlight w:val="none"/>
        </w:rPr>
      </w:pPr>
    </w:p>
    <w:p w14:paraId="1E9086CE">
      <w:pPr>
        <w:spacing w:line="360" w:lineRule="auto"/>
        <w:contextualSpacing/>
        <w:rPr>
          <w:rFonts w:ascii="宋体" w:hAnsi="宋体" w:cs="宋体"/>
          <w:color w:val="auto"/>
          <w:sz w:val="24"/>
          <w:highlight w:val="none"/>
        </w:rPr>
      </w:pPr>
      <w:r>
        <w:rPr>
          <w:rFonts w:hint="eastAsia" w:ascii="宋体" w:hAnsi="宋体" w:cs="宋体"/>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w:t>
      </w:r>
    </w:p>
    <w:p w14:paraId="1BC6476F">
      <w:pPr>
        <w:spacing w:line="520" w:lineRule="exact"/>
        <w:jc w:val="center"/>
        <w:rPr>
          <w:rFonts w:ascii="宋体" w:hAnsi="宋体" w:cs="宋体"/>
          <w:color w:val="auto"/>
          <w:sz w:val="24"/>
          <w:highlight w:val="none"/>
        </w:rPr>
      </w:pPr>
    </w:p>
    <w:p w14:paraId="45043277">
      <w:pPr>
        <w:spacing w:line="520" w:lineRule="exact"/>
        <w:jc w:val="center"/>
        <w:rPr>
          <w:rFonts w:ascii="宋体" w:hAnsi="宋体" w:cs="宋体"/>
          <w:color w:val="auto"/>
          <w:sz w:val="24"/>
          <w:highlight w:val="none"/>
        </w:rPr>
      </w:pPr>
    </w:p>
    <w:p w14:paraId="243EDCD7">
      <w:pPr>
        <w:spacing w:line="520" w:lineRule="exact"/>
        <w:jc w:val="center"/>
        <w:rPr>
          <w:rFonts w:ascii="宋体" w:hAnsi="宋体" w:cs="宋体"/>
          <w:color w:val="auto"/>
          <w:sz w:val="24"/>
          <w:highlight w:val="none"/>
        </w:rPr>
      </w:pPr>
    </w:p>
    <w:p w14:paraId="0186B593">
      <w:pPr>
        <w:spacing w:line="520" w:lineRule="exact"/>
        <w:jc w:val="center"/>
        <w:rPr>
          <w:rFonts w:ascii="宋体" w:hAnsi="宋体" w:cs="宋体"/>
          <w:color w:val="auto"/>
          <w:sz w:val="24"/>
          <w:highlight w:val="none"/>
        </w:rPr>
      </w:pPr>
    </w:p>
    <w:p w14:paraId="56D67137">
      <w:pPr>
        <w:spacing w:line="520" w:lineRule="exact"/>
        <w:jc w:val="center"/>
        <w:rPr>
          <w:rFonts w:ascii="宋体" w:hAnsi="宋体" w:cs="宋体"/>
          <w:color w:val="auto"/>
          <w:sz w:val="24"/>
          <w:highlight w:val="none"/>
        </w:rPr>
      </w:pPr>
    </w:p>
    <w:p w14:paraId="239CEAA2">
      <w:pPr>
        <w:spacing w:line="520" w:lineRule="exact"/>
        <w:rPr>
          <w:rFonts w:ascii="宋体" w:hAnsi="宋体" w:cs="宋体"/>
          <w:color w:val="auto"/>
          <w:sz w:val="24"/>
          <w:highlight w:val="none"/>
        </w:rPr>
      </w:pPr>
    </w:p>
    <w:p w14:paraId="61DC91FA">
      <w:pPr>
        <w:jc w:val="center"/>
        <w:rPr>
          <w:rFonts w:ascii="宋体" w:cs="宋体"/>
          <w:b/>
          <w:bCs/>
          <w:color w:val="auto"/>
          <w:sz w:val="32"/>
          <w:szCs w:val="32"/>
          <w:highlight w:val="none"/>
        </w:rPr>
      </w:pPr>
    </w:p>
    <w:p w14:paraId="65DDB523">
      <w:pPr>
        <w:jc w:val="center"/>
        <w:rPr>
          <w:rFonts w:ascii="宋体" w:cs="宋体"/>
          <w:b/>
          <w:bCs/>
          <w:color w:val="auto"/>
          <w:sz w:val="32"/>
          <w:szCs w:val="32"/>
          <w:highlight w:val="none"/>
        </w:rPr>
      </w:pPr>
    </w:p>
    <w:p w14:paraId="2A077543">
      <w:pPr>
        <w:jc w:val="center"/>
        <w:rPr>
          <w:rFonts w:ascii="宋体" w:cs="宋体"/>
          <w:b/>
          <w:bCs/>
          <w:color w:val="auto"/>
          <w:sz w:val="32"/>
          <w:szCs w:val="32"/>
          <w:highlight w:val="none"/>
        </w:rPr>
      </w:pPr>
      <w:r>
        <w:rPr>
          <w:rFonts w:hint="eastAsia" w:ascii="宋体" w:cs="宋体"/>
          <w:b/>
          <w:bCs/>
          <w:color w:val="auto"/>
          <w:sz w:val="32"/>
          <w:szCs w:val="32"/>
          <w:highlight w:val="none"/>
        </w:rPr>
        <w:t>知识产权合规性声明</w:t>
      </w:r>
    </w:p>
    <w:p w14:paraId="2553EF10">
      <w:pPr>
        <w:ind w:firstLine="600" w:firstLineChars="200"/>
        <w:rPr>
          <w:rFonts w:ascii="仿宋_GB2312" w:eastAsia="仿宋_GB2312" w:cs="仿宋_GB2312"/>
          <w:color w:val="auto"/>
          <w:sz w:val="30"/>
          <w:szCs w:val="30"/>
          <w:highlight w:val="none"/>
        </w:rPr>
      </w:pPr>
    </w:p>
    <w:p w14:paraId="312E9CEB">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本企业（单位）自愿参与政府投资政府采购的项目，在此郑重承诺：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14:paraId="20E440D9">
      <w:pPr>
        <w:spacing w:line="360" w:lineRule="auto"/>
        <w:jc w:val="center"/>
        <w:rPr>
          <w:rFonts w:ascii="宋体" w:hAnsi="宋体" w:cs="宋体"/>
          <w:b/>
          <w:bCs/>
          <w:color w:val="auto"/>
          <w:sz w:val="44"/>
          <w:szCs w:val="44"/>
          <w:highlight w:val="none"/>
        </w:rPr>
      </w:pPr>
    </w:p>
    <w:p w14:paraId="0D19D5C9">
      <w:pPr>
        <w:spacing w:line="360" w:lineRule="auto"/>
        <w:contextualSpacing/>
        <w:rPr>
          <w:rFonts w:ascii="宋体" w:hAnsi="宋体" w:cs="宋体"/>
          <w:color w:val="auto"/>
          <w:sz w:val="24"/>
          <w:highlight w:val="none"/>
        </w:rPr>
      </w:pPr>
    </w:p>
    <w:p w14:paraId="73FD0113">
      <w:pPr>
        <w:spacing w:line="360" w:lineRule="auto"/>
        <w:ind w:firstLine="2400" w:firstLineChars="1000"/>
        <w:contextualSpacing/>
        <w:rPr>
          <w:rFonts w:ascii="宋体" w:hAnsi="宋体" w:cs="宋体"/>
          <w:color w:val="auto"/>
          <w:sz w:val="24"/>
          <w:highlight w:val="none"/>
        </w:rPr>
      </w:pPr>
      <w:r>
        <w:rPr>
          <w:rFonts w:hint="eastAsia" w:ascii="宋体" w:hAnsi="宋体" w:cs="宋体"/>
          <w:color w:val="auto"/>
          <w:sz w:val="24"/>
          <w:highlight w:val="none"/>
        </w:rPr>
        <w:t>供应商名称（电子签章）：</w:t>
      </w:r>
    </w:p>
    <w:p w14:paraId="534EAB11">
      <w:pPr>
        <w:spacing w:line="360" w:lineRule="auto"/>
        <w:ind w:firstLine="4320" w:firstLineChars="1800"/>
        <w:contextualSpacing/>
        <w:rPr>
          <w:rFonts w:ascii="宋体" w:hAnsi="宋体" w:cs="宋体"/>
          <w:color w:val="auto"/>
          <w:sz w:val="24"/>
          <w:highlight w:val="none"/>
        </w:rPr>
      </w:pPr>
      <w:r>
        <w:rPr>
          <w:rFonts w:hint="eastAsia" w:ascii="宋体" w:hAnsi="宋体" w:cs="宋体"/>
          <w:color w:val="auto"/>
          <w:sz w:val="24"/>
          <w:highlight w:val="none"/>
        </w:rPr>
        <w:t>日  期：     年   月   日</w:t>
      </w:r>
    </w:p>
    <w:p w14:paraId="2877B1C1">
      <w:pPr>
        <w:pStyle w:val="20"/>
        <w:spacing w:line="360" w:lineRule="auto"/>
        <w:jc w:val="center"/>
        <w:rPr>
          <w:rFonts w:ascii="仿宋_GB2312" w:eastAsia="仿宋_GB2312" w:cs="仿宋_GB2312"/>
          <w:color w:val="auto"/>
          <w:sz w:val="24"/>
          <w:highlight w:val="none"/>
        </w:rPr>
      </w:pPr>
    </w:p>
    <w:p w14:paraId="34DDA596">
      <w:pPr>
        <w:spacing w:line="360" w:lineRule="auto"/>
        <w:jc w:val="center"/>
        <w:rPr>
          <w:rFonts w:ascii="宋体" w:hAnsi="宋体" w:cs="宋体"/>
          <w:b/>
          <w:bCs/>
          <w:color w:val="auto"/>
          <w:sz w:val="44"/>
          <w:szCs w:val="44"/>
          <w:highlight w:val="none"/>
        </w:rPr>
      </w:pPr>
    </w:p>
    <w:p w14:paraId="2205B0C1">
      <w:pPr>
        <w:spacing w:line="360" w:lineRule="auto"/>
        <w:jc w:val="center"/>
        <w:rPr>
          <w:rFonts w:ascii="宋体" w:hAnsi="宋体" w:cs="宋体"/>
          <w:b/>
          <w:bCs/>
          <w:color w:val="auto"/>
          <w:sz w:val="44"/>
          <w:szCs w:val="44"/>
          <w:highlight w:val="none"/>
        </w:rPr>
      </w:pPr>
    </w:p>
    <w:p w14:paraId="4329F5E4">
      <w:pPr>
        <w:spacing w:line="360" w:lineRule="auto"/>
        <w:jc w:val="center"/>
        <w:rPr>
          <w:rFonts w:ascii="宋体" w:hAnsi="宋体" w:cs="宋体"/>
          <w:b/>
          <w:bCs/>
          <w:color w:val="auto"/>
          <w:sz w:val="44"/>
          <w:szCs w:val="44"/>
          <w:highlight w:val="none"/>
        </w:rPr>
      </w:pPr>
    </w:p>
    <w:p w14:paraId="64B95D27">
      <w:pPr>
        <w:spacing w:line="360" w:lineRule="auto"/>
        <w:jc w:val="center"/>
        <w:rPr>
          <w:rFonts w:ascii="宋体" w:hAnsi="宋体" w:cs="宋体"/>
          <w:b/>
          <w:bCs/>
          <w:color w:val="auto"/>
          <w:sz w:val="44"/>
          <w:szCs w:val="44"/>
          <w:highlight w:val="none"/>
        </w:rPr>
      </w:pPr>
    </w:p>
    <w:p w14:paraId="69F98EA7">
      <w:pPr>
        <w:spacing w:line="360" w:lineRule="auto"/>
        <w:jc w:val="center"/>
        <w:rPr>
          <w:rFonts w:ascii="宋体" w:hAnsi="宋体" w:cs="宋体"/>
          <w:b/>
          <w:bCs/>
          <w:color w:val="auto"/>
          <w:sz w:val="44"/>
          <w:szCs w:val="44"/>
          <w:highlight w:val="none"/>
        </w:rPr>
      </w:pPr>
    </w:p>
    <w:p w14:paraId="530B2B33">
      <w:pPr>
        <w:pStyle w:val="97"/>
        <w:rPr>
          <w:rFonts w:ascii="宋体" w:hAnsi="宋体" w:cs="宋体"/>
          <w:b/>
          <w:bCs/>
          <w:color w:val="auto"/>
          <w:sz w:val="44"/>
          <w:szCs w:val="44"/>
          <w:highlight w:val="none"/>
        </w:rPr>
      </w:pPr>
    </w:p>
    <w:p w14:paraId="0D07400B">
      <w:pPr>
        <w:pStyle w:val="16"/>
        <w:rPr>
          <w:rFonts w:ascii="宋体" w:hAnsi="宋体" w:cs="宋体"/>
          <w:b/>
          <w:bCs/>
          <w:color w:val="auto"/>
          <w:sz w:val="44"/>
          <w:szCs w:val="44"/>
          <w:highlight w:val="none"/>
        </w:rPr>
      </w:pPr>
    </w:p>
    <w:p w14:paraId="4CCBB632">
      <w:pPr>
        <w:rPr>
          <w:rFonts w:ascii="宋体" w:hAnsi="宋体" w:cs="宋体"/>
          <w:b/>
          <w:bCs/>
          <w:color w:val="auto"/>
          <w:sz w:val="44"/>
          <w:szCs w:val="44"/>
          <w:highlight w:val="none"/>
        </w:rPr>
      </w:pPr>
    </w:p>
    <w:p w14:paraId="453E349D">
      <w:pPr>
        <w:pStyle w:val="97"/>
        <w:rPr>
          <w:rFonts w:ascii="宋体" w:hAnsi="宋体" w:cs="宋体"/>
          <w:b/>
          <w:bCs/>
          <w:color w:val="auto"/>
          <w:sz w:val="44"/>
          <w:szCs w:val="44"/>
          <w:highlight w:val="none"/>
        </w:rPr>
      </w:pPr>
    </w:p>
    <w:p w14:paraId="24E4BFC0">
      <w:pPr>
        <w:rPr>
          <w:color w:val="auto"/>
          <w:highlight w:val="none"/>
        </w:rPr>
      </w:pPr>
    </w:p>
    <w:p w14:paraId="751589C1">
      <w:pPr>
        <w:rPr>
          <w:color w:val="auto"/>
          <w:highlight w:val="none"/>
        </w:rPr>
      </w:pPr>
    </w:p>
    <w:p w14:paraId="36599BFE">
      <w:pPr>
        <w:rPr>
          <w:color w:val="auto"/>
          <w:highlight w:val="none"/>
        </w:rPr>
      </w:pPr>
    </w:p>
    <w:p w14:paraId="3E31BF77">
      <w:pPr>
        <w:rPr>
          <w:color w:val="auto"/>
          <w:highlight w:val="none"/>
        </w:rPr>
      </w:pPr>
    </w:p>
    <w:p w14:paraId="03EC9CA0">
      <w:pPr>
        <w:pStyle w:val="2"/>
        <w:rPr>
          <w:color w:val="auto"/>
          <w:highlight w:val="none"/>
        </w:rPr>
      </w:pPr>
    </w:p>
    <w:p w14:paraId="7DDB79DF">
      <w:pPr>
        <w:rPr>
          <w:color w:val="auto"/>
          <w:highlight w:val="none"/>
        </w:rPr>
      </w:pPr>
    </w:p>
    <w:p w14:paraId="2C779C6A">
      <w:pPr>
        <w:pStyle w:val="2"/>
        <w:rPr>
          <w:color w:val="auto"/>
          <w:highlight w:val="none"/>
        </w:rPr>
      </w:pPr>
    </w:p>
    <w:p w14:paraId="1B1BA743">
      <w:pPr>
        <w:rPr>
          <w:color w:val="auto"/>
          <w:highlight w:val="none"/>
        </w:rPr>
      </w:pPr>
    </w:p>
    <w:p w14:paraId="1F7A5B27">
      <w:pPr>
        <w:pStyle w:val="2"/>
        <w:rPr>
          <w:color w:val="auto"/>
          <w:highlight w:val="none"/>
        </w:rPr>
      </w:pPr>
    </w:p>
    <w:p w14:paraId="41FF972D">
      <w:pPr>
        <w:rPr>
          <w:color w:val="auto"/>
          <w:highlight w:val="none"/>
        </w:rPr>
      </w:pPr>
    </w:p>
    <w:p w14:paraId="38CC6C54">
      <w:pPr>
        <w:pStyle w:val="2"/>
        <w:rPr>
          <w:color w:val="auto"/>
          <w:highlight w:val="none"/>
        </w:rPr>
      </w:pPr>
    </w:p>
    <w:p w14:paraId="27496850">
      <w:pPr>
        <w:rPr>
          <w:color w:val="auto"/>
          <w:highlight w:val="none"/>
        </w:rPr>
      </w:pPr>
    </w:p>
    <w:p w14:paraId="3F74B95A">
      <w:pPr>
        <w:pStyle w:val="2"/>
        <w:rPr>
          <w:color w:val="auto"/>
          <w:highlight w:val="none"/>
        </w:rPr>
      </w:pPr>
    </w:p>
    <w:p w14:paraId="27C7F4B9">
      <w:pPr>
        <w:rPr>
          <w:color w:val="auto"/>
          <w:highlight w:val="none"/>
        </w:rPr>
      </w:pPr>
    </w:p>
    <w:p w14:paraId="1CA95642">
      <w:pPr>
        <w:pStyle w:val="2"/>
        <w:rPr>
          <w:color w:val="auto"/>
          <w:highlight w:val="none"/>
        </w:rPr>
      </w:pPr>
    </w:p>
    <w:p w14:paraId="1B79A20B">
      <w:pPr>
        <w:rPr>
          <w:color w:val="auto"/>
          <w:highlight w:val="none"/>
        </w:rPr>
      </w:pPr>
    </w:p>
    <w:p w14:paraId="0E057A2B">
      <w:pPr>
        <w:pStyle w:val="2"/>
        <w:rPr>
          <w:color w:val="auto"/>
          <w:highlight w:val="none"/>
        </w:rPr>
      </w:pPr>
    </w:p>
    <w:p w14:paraId="48056411">
      <w:pPr>
        <w:rPr>
          <w:color w:val="auto"/>
          <w:highlight w:val="none"/>
        </w:rPr>
      </w:pPr>
    </w:p>
    <w:p w14:paraId="54EC7A53">
      <w:pPr>
        <w:pStyle w:val="2"/>
        <w:rPr>
          <w:color w:val="auto"/>
          <w:highlight w:val="none"/>
        </w:rPr>
      </w:pPr>
    </w:p>
    <w:p w14:paraId="3476A8D1">
      <w:pPr>
        <w:rPr>
          <w:color w:val="auto"/>
          <w:highlight w:val="none"/>
        </w:rPr>
      </w:pPr>
    </w:p>
    <w:p w14:paraId="619253F3">
      <w:pPr>
        <w:pStyle w:val="2"/>
        <w:rPr>
          <w:color w:val="auto"/>
          <w:highlight w:val="none"/>
        </w:rPr>
      </w:pPr>
    </w:p>
    <w:p w14:paraId="72A1741D">
      <w:pPr>
        <w:rPr>
          <w:color w:val="auto"/>
          <w:highlight w:val="none"/>
        </w:rPr>
      </w:pPr>
    </w:p>
    <w:p w14:paraId="1A4264B1">
      <w:pPr>
        <w:pStyle w:val="2"/>
        <w:rPr>
          <w:color w:val="auto"/>
          <w:highlight w:val="none"/>
        </w:rPr>
      </w:pPr>
    </w:p>
    <w:p w14:paraId="2CD98DE0">
      <w:pPr>
        <w:rPr>
          <w:color w:val="auto"/>
          <w:highlight w:val="none"/>
        </w:rPr>
      </w:pPr>
    </w:p>
    <w:p w14:paraId="07563494">
      <w:pPr>
        <w:pStyle w:val="2"/>
        <w:rPr>
          <w:color w:val="auto"/>
          <w:highlight w:val="none"/>
        </w:rPr>
      </w:pPr>
    </w:p>
    <w:p w14:paraId="7CAE6B02">
      <w:pPr>
        <w:rPr>
          <w:color w:val="auto"/>
          <w:highlight w:val="none"/>
        </w:rPr>
      </w:pPr>
    </w:p>
    <w:p w14:paraId="3749F27E">
      <w:pPr>
        <w:pStyle w:val="2"/>
        <w:rPr>
          <w:color w:val="auto"/>
          <w:highlight w:val="none"/>
        </w:rPr>
      </w:pPr>
    </w:p>
    <w:p w14:paraId="2B530EF0">
      <w:pPr>
        <w:rPr>
          <w:color w:val="auto"/>
          <w:highlight w:val="none"/>
        </w:rPr>
      </w:pPr>
    </w:p>
    <w:p w14:paraId="5F1E15EC">
      <w:pPr>
        <w:pStyle w:val="2"/>
        <w:rPr>
          <w:color w:val="auto"/>
          <w:highlight w:val="none"/>
        </w:rPr>
      </w:pPr>
    </w:p>
    <w:p w14:paraId="11B73FE2">
      <w:pPr>
        <w:rPr>
          <w:color w:val="auto"/>
          <w:highlight w:val="none"/>
        </w:rPr>
      </w:pPr>
    </w:p>
    <w:p w14:paraId="50763678">
      <w:pPr>
        <w:pStyle w:val="2"/>
        <w:rPr>
          <w:color w:val="auto"/>
          <w:highlight w:val="none"/>
        </w:rPr>
      </w:pPr>
    </w:p>
    <w:p w14:paraId="1C9A5C0D">
      <w:pPr>
        <w:pStyle w:val="3"/>
        <w:jc w:val="center"/>
        <w:rPr>
          <w:rFonts w:ascii="宋体" w:hAnsi="宋体" w:cs="宋体"/>
          <w:b w:val="0"/>
          <w:bCs w:val="0"/>
          <w:color w:val="auto"/>
          <w:highlight w:val="none"/>
        </w:rPr>
        <w:sectPr>
          <w:pgSz w:w="11910" w:h="16840"/>
          <w:pgMar w:top="1340" w:right="1500" w:bottom="280" w:left="1680" w:header="720" w:footer="720" w:gutter="0"/>
          <w:cols w:space="720" w:num="1"/>
        </w:sectPr>
      </w:pPr>
      <w:bookmarkStart w:id="173" w:name="_Toc27743"/>
      <w:r>
        <w:rPr>
          <w:rFonts w:hint="eastAsia" w:ascii="宋体" w:hAnsi="宋体" w:cs="宋体"/>
          <w:color w:val="auto"/>
          <w:highlight w:val="none"/>
        </w:rPr>
        <w:t>第六章  合同文本</w:t>
      </w:r>
      <w:bookmarkEnd w:id="173"/>
    </w:p>
    <w:p w14:paraId="1BA9A871">
      <w:pPr>
        <w:snapToGrid w:val="0"/>
        <w:spacing w:line="360" w:lineRule="auto"/>
        <w:jc w:val="center"/>
        <w:rPr>
          <w:rFonts w:ascii="宋体" w:hAnsi="Calibri"/>
          <w:b/>
          <w:bCs/>
          <w:color w:val="auto"/>
          <w:sz w:val="28"/>
          <w:szCs w:val="28"/>
          <w:highlight w:val="none"/>
        </w:rPr>
      </w:pPr>
      <w:r>
        <w:rPr>
          <w:rFonts w:hint="eastAsia" w:ascii="宋体" w:hAnsi="宋体" w:cs="宋体"/>
          <w:b/>
          <w:bCs/>
          <w:color w:val="auto"/>
          <w:sz w:val="28"/>
          <w:szCs w:val="28"/>
          <w:highlight w:val="none"/>
        </w:rPr>
        <w:t>广西壮族自治区政府采购合同</w:t>
      </w:r>
    </w:p>
    <w:p w14:paraId="68571E1C">
      <w:pPr>
        <w:snapToGrid w:val="0"/>
        <w:spacing w:line="360" w:lineRule="auto"/>
        <w:rPr>
          <w:rFonts w:ascii="宋体" w:hAnsi="Calibri"/>
          <w:b/>
          <w:bCs/>
          <w:color w:val="auto"/>
          <w:sz w:val="28"/>
          <w:szCs w:val="28"/>
          <w:highlight w:val="none"/>
        </w:rPr>
      </w:pPr>
    </w:p>
    <w:p w14:paraId="52EDFF45">
      <w:pPr>
        <w:snapToGrid w:val="0"/>
        <w:spacing w:line="360" w:lineRule="auto"/>
        <w:ind w:firstLine="5938" w:firstLineChars="2828"/>
        <w:rPr>
          <w:rFonts w:ascii="宋体" w:hAnsi="Calibri"/>
          <w:b/>
          <w:bCs/>
          <w:color w:val="auto"/>
          <w:sz w:val="28"/>
          <w:szCs w:val="28"/>
          <w:highlight w:val="none"/>
        </w:rPr>
      </w:pPr>
      <w:r>
        <w:rPr>
          <w:rFonts w:hint="eastAsia" w:ascii="宋体" w:hAnsi="宋体" w:cs="宋体"/>
          <w:color w:val="auto"/>
          <w:szCs w:val="21"/>
          <w:highlight w:val="none"/>
        </w:rPr>
        <w:t>合同编号：</w:t>
      </w:r>
    </w:p>
    <w:p w14:paraId="4B580472">
      <w:pPr>
        <w:snapToGrid w:val="0"/>
        <w:spacing w:line="360" w:lineRule="auto"/>
        <w:rPr>
          <w:rFonts w:ascii="宋体" w:hAnsi="Calibri"/>
          <w:color w:val="auto"/>
          <w:szCs w:val="21"/>
          <w:highlight w:val="none"/>
        </w:rPr>
      </w:pPr>
      <w:r>
        <w:rPr>
          <w:rFonts w:hint="eastAsia" w:ascii="宋体" w:hAnsi="宋体" w:cs="宋体"/>
          <w:color w:val="auto"/>
          <w:szCs w:val="21"/>
          <w:highlight w:val="none"/>
        </w:rPr>
        <w:t>采购单位（甲方）</w:t>
      </w:r>
      <w:r>
        <w:rPr>
          <w:rFonts w:hint="eastAsia" w:ascii="宋体" w:hAnsi="宋体" w:cs="宋体"/>
          <w:color w:val="auto"/>
          <w:spacing w:val="-20"/>
          <w:szCs w:val="21"/>
          <w:highlight w:val="none"/>
        </w:rPr>
        <w:t>采购计划号：</w:t>
      </w:r>
    </w:p>
    <w:p w14:paraId="281694DD">
      <w:pPr>
        <w:snapToGrid w:val="0"/>
        <w:spacing w:line="360" w:lineRule="auto"/>
        <w:rPr>
          <w:rFonts w:ascii="宋体" w:hAnsi="Calibri"/>
          <w:color w:val="auto"/>
          <w:szCs w:val="21"/>
          <w:highlight w:val="none"/>
          <w:u w:val="single"/>
        </w:rPr>
      </w:pPr>
      <w:r>
        <w:rPr>
          <w:rFonts w:hint="eastAsia" w:ascii="宋体" w:hAnsi="宋体" w:cs="宋体"/>
          <w:color w:val="auto"/>
          <w:szCs w:val="21"/>
          <w:highlight w:val="none"/>
        </w:rPr>
        <w:t>供应商（乙方）</w:t>
      </w:r>
      <w:r>
        <w:rPr>
          <w:rFonts w:hint="eastAsia" w:ascii="宋体" w:hAnsi="宋体" w:cs="宋体"/>
          <w:color w:val="auto"/>
          <w:spacing w:val="-20"/>
          <w:szCs w:val="21"/>
          <w:highlight w:val="none"/>
        </w:rPr>
        <w:t>采购编号：</w:t>
      </w:r>
    </w:p>
    <w:p w14:paraId="6C029CF3">
      <w:pPr>
        <w:snapToGrid w:val="0"/>
        <w:spacing w:line="360" w:lineRule="auto"/>
        <w:rPr>
          <w:rFonts w:ascii="宋体" w:hAnsi="Calibri"/>
          <w:color w:val="auto"/>
          <w:szCs w:val="21"/>
          <w:highlight w:val="none"/>
          <w:u w:val="single"/>
        </w:rPr>
      </w:pPr>
      <w:r>
        <w:rPr>
          <w:rFonts w:hint="eastAsia" w:ascii="宋体" w:hAnsi="宋体" w:cs="宋体"/>
          <w:color w:val="auto"/>
          <w:szCs w:val="21"/>
          <w:highlight w:val="none"/>
        </w:rPr>
        <w:t>签订地点</w:t>
      </w:r>
      <w:r>
        <w:rPr>
          <w:rFonts w:hint="eastAsia" w:ascii="宋体" w:hAnsi="宋体" w:cs="宋体"/>
          <w:color w:val="auto"/>
          <w:szCs w:val="21"/>
          <w:highlight w:val="none"/>
          <w:u w:val="single"/>
        </w:rPr>
        <w:t>采购单位所在地</w:t>
      </w:r>
      <w:r>
        <w:rPr>
          <w:rFonts w:hint="eastAsia" w:ascii="宋体" w:hAnsi="宋体" w:cs="宋体"/>
          <w:color w:val="auto"/>
          <w:szCs w:val="21"/>
          <w:highlight w:val="none"/>
        </w:rPr>
        <w:t>签订时间</w:t>
      </w:r>
    </w:p>
    <w:p w14:paraId="085DD4FB">
      <w:pPr>
        <w:snapToGrid w:val="0"/>
        <w:spacing w:line="360" w:lineRule="auto"/>
        <w:rPr>
          <w:rFonts w:ascii="宋体" w:hAnsi="Calibri"/>
          <w:color w:val="auto"/>
          <w:szCs w:val="21"/>
          <w:highlight w:val="none"/>
        </w:rPr>
      </w:pPr>
      <w:r>
        <w:rPr>
          <w:rFonts w:hint="eastAsia" w:ascii="宋体" w:hAnsi="宋体" w:cs="宋体"/>
          <w:color w:val="auto"/>
          <w:szCs w:val="21"/>
          <w:highlight w:val="none"/>
        </w:rPr>
        <w:t>项目名称：</w:t>
      </w:r>
    </w:p>
    <w:p w14:paraId="3F2BBF4A">
      <w:pPr>
        <w:snapToGrid w:val="0"/>
        <w:spacing w:line="360" w:lineRule="auto"/>
        <w:ind w:firstLine="420" w:firstLineChars="200"/>
        <w:rPr>
          <w:rFonts w:ascii="宋体" w:hAnsi="Calibri"/>
          <w:color w:val="auto"/>
          <w:szCs w:val="21"/>
          <w:highlight w:val="none"/>
        </w:rPr>
      </w:pPr>
      <w:r>
        <w:rPr>
          <w:rFonts w:hint="eastAsia" w:ascii="宋体" w:hAnsi="宋体" w:cs="宋体"/>
          <w:color w:val="auto"/>
          <w:szCs w:val="21"/>
          <w:highlight w:val="none"/>
        </w:rPr>
        <w:t>根据《中华人民共和国政府采购法》、《中华人民共和国民法典》等法律、法规规定，按照磋商文件规定条款和成交供应商承诺，甲乙双方签订本合同。</w:t>
      </w:r>
    </w:p>
    <w:p w14:paraId="287BB316">
      <w:pPr>
        <w:numPr>
          <w:ilvl w:val="0"/>
          <w:numId w:val="1"/>
        </w:numPr>
        <w:tabs>
          <w:tab w:val="left" w:pos="876"/>
        </w:tabs>
        <w:adjustRightInd w:val="0"/>
        <w:snapToGrid w:val="0"/>
        <w:spacing w:line="360" w:lineRule="auto"/>
        <w:ind w:left="233" w:leftChars="111" w:firstLine="162" w:firstLineChars="77"/>
        <w:rPr>
          <w:rFonts w:ascii="宋体" w:hAnsi="Calibri"/>
          <w:b/>
          <w:bCs/>
          <w:color w:val="auto"/>
          <w:szCs w:val="21"/>
          <w:highlight w:val="none"/>
        </w:rPr>
      </w:pPr>
      <w:r>
        <w:rPr>
          <w:rFonts w:hint="eastAsia" w:ascii="宋体" w:hAnsi="宋体" w:cs="宋体"/>
          <w:b/>
          <w:bCs/>
          <w:color w:val="auto"/>
          <w:szCs w:val="21"/>
          <w:highlight w:val="none"/>
        </w:rPr>
        <w:t>合同标的及价款：</w:t>
      </w:r>
    </w:p>
    <w:p w14:paraId="336B6D56">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1.本合同标的物及金额明细详见附件《响应报价表》。合同总金额为￥元，大写：人民币元整。</w:t>
      </w:r>
    </w:p>
    <w:p w14:paraId="7384ECF8">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合同合计金额包括完成本项目采购要求、人员要求所产生的全部费用：（1）服务的价格；（2）实施和完成本项目全部服务工作所需的设备、劳务、技术服务费、交通、通讯、办公场地、税费和利润等与咨询服务业务有关一切费用和政策性文件规定及合同包含的所有风险、责任等各项应有的费用，除非上述费用在合同中另有说明，否则合同期内，费用不再调整。（3）本项目所产生的采购代理服务费；（4）必要的保险费用和各项税金；（5）若所提供的服务需要乙方整改完善甚至返工的，乙方应在指定时限内须予以配合，所产生的费用包含在乙方的报价中，甲方不再另行支付任何费用。如磋商文件、响应文件对其另有规定的，从其规定。</w:t>
      </w:r>
    </w:p>
    <w:p w14:paraId="21582FCC">
      <w:pPr>
        <w:numPr>
          <w:ilvl w:val="0"/>
          <w:numId w:val="1"/>
        </w:numPr>
        <w:tabs>
          <w:tab w:val="left" w:pos="876"/>
        </w:tabs>
        <w:adjustRightInd w:val="0"/>
        <w:snapToGrid w:val="0"/>
        <w:spacing w:line="360" w:lineRule="auto"/>
        <w:ind w:left="233" w:leftChars="111" w:firstLine="162" w:firstLineChars="77"/>
        <w:rPr>
          <w:rFonts w:ascii="宋体" w:hAnsi="Calibri"/>
          <w:b/>
          <w:bCs/>
          <w:color w:val="auto"/>
          <w:szCs w:val="21"/>
          <w:highlight w:val="none"/>
        </w:rPr>
      </w:pPr>
      <w:r>
        <w:rPr>
          <w:rFonts w:hint="eastAsia" w:ascii="宋体" w:hAnsi="宋体" w:cs="宋体"/>
          <w:b/>
          <w:bCs/>
          <w:color w:val="auto"/>
          <w:szCs w:val="21"/>
          <w:highlight w:val="none"/>
        </w:rPr>
        <w:t>质量：</w:t>
      </w:r>
    </w:p>
    <w:p w14:paraId="2D454592">
      <w:pPr>
        <w:adjustRightInd w:val="0"/>
        <w:snapToGrid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乙方所提供的服务内容、技术规格、技术参数等必须与磋商文件、响应文件和承诺相一致。乙方所提供的服务质量应达到采购文件及响应文件要求和承诺的质量要求。经乙方安装调试完毕的产品，应满足甲方需求、合同目的，能够正常实现磋商响应文件中要求的功能、参数。乙方提供的节能和环保产品必须是列入品目清单的产品。</w:t>
      </w:r>
    </w:p>
    <w:p w14:paraId="635ABC00">
      <w:pPr>
        <w:adjustRightInd w:val="0"/>
        <w:snapToGrid w:val="0"/>
        <w:spacing w:line="360" w:lineRule="auto"/>
        <w:ind w:firstLine="420" w:firstLineChars="200"/>
        <w:rPr>
          <w:rFonts w:ascii="宋体" w:hAnsi="Calibri"/>
          <w:color w:val="auto"/>
          <w:kern w:val="0"/>
          <w:szCs w:val="21"/>
          <w:highlight w:val="none"/>
        </w:rPr>
      </w:pPr>
      <w:r>
        <w:rPr>
          <w:rFonts w:hint="eastAsia" w:ascii="宋体" w:hAnsi="宋体" w:cs="宋体"/>
          <w:color w:val="auto"/>
          <w:kern w:val="0"/>
          <w:szCs w:val="21"/>
          <w:highlight w:val="none"/>
        </w:rPr>
        <w:t>2</w:t>
      </w:r>
      <w:r>
        <w:rPr>
          <w:rFonts w:ascii="宋体" w:hAnsi="宋体" w:cs="宋体"/>
          <w:color w:val="auto"/>
          <w:kern w:val="0"/>
          <w:szCs w:val="21"/>
          <w:highlight w:val="none"/>
        </w:rPr>
        <w:t>.</w:t>
      </w:r>
      <w:r>
        <w:rPr>
          <w:rFonts w:hint="eastAsia" w:ascii="宋体" w:hAnsi="宋体" w:cs="宋体"/>
          <w:color w:val="auto"/>
          <w:kern w:val="0"/>
          <w:szCs w:val="21"/>
          <w:highlight w:val="none"/>
        </w:rPr>
        <w:t>本合同项下乙方提供的任何资料、文件、信息和产品，乙方均具有合法的全部版权，其产品不会侵犯、导致或引起侵犯第三方的知识产权及其它合法权益。并承诺合同标的物为可执行的产品，未在其中设置任何妨碍产品正常运行的限制措施，</w:t>
      </w:r>
      <w:r>
        <w:rPr>
          <w:rFonts w:hint="eastAsia" w:ascii="宋体" w:hAnsi="宋体"/>
          <w:color w:val="auto"/>
          <w:szCs w:val="21"/>
          <w:highlight w:val="none"/>
        </w:rPr>
        <w:t>甲方有权不受限制地使用。若因违反本款约定引起的第三方权利纠纷的由乙方负责解决，包括甲方使用该产品所需的授权费以及解决争议发生的一切费用均由乙方承担。如果不能取得使用许可需要另行购买产品的，所需费用由乙方承担，并赔偿甲方因此受到的损失。</w:t>
      </w:r>
    </w:p>
    <w:p w14:paraId="068264CE">
      <w:pPr>
        <w:adjustRightInd w:val="0"/>
        <w:snapToGrid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w:t>
      </w:r>
      <w:r>
        <w:rPr>
          <w:rFonts w:ascii="宋体" w:hAnsi="宋体" w:cs="宋体"/>
          <w:color w:val="auto"/>
          <w:kern w:val="0"/>
          <w:szCs w:val="21"/>
          <w:highlight w:val="none"/>
        </w:rPr>
        <w:t>乙方应按</w:t>
      </w:r>
      <w:r>
        <w:rPr>
          <w:rFonts w:hint="eastAsia" w:ascii="宋体" w:hAnsi="宋体" w:cs="宋体"/>
          <w:color w:val="auto"/>
          <w:kern w:val="0"/>
          <w:szCs w:val="21"/>
          <w:highlight w:val="none"/>
        </w:rPr>
        <w:t>磋商</w:t>
      </w:r>
      <w:r>
        <w:rPr>
          <w:rFonts w:ascii="宋体" w:hAnsi="宋体" w:cs="宋体"/>
          <w:color w:val="auto"/>
          <w:kern w:val="0"/>
          <w:szCs w:val="21"/>
          <w:highlight w:val="none"/>
        </w:rPr>
        <w:t>文件规定的时间或响应文件承诺的时间向甲方提供使用</w:t>
      </w:r>
      <w:r>
        <w:rPr>
          <w:rFonts w:hint="eastAsia" w:ascii="宋体" w:hAnsi="宋体" w:cs="宋体"/>
          <w:color w:val="auto"/>
          <w:kern w:val="0"/>
          <w:szCs w:val="21"/>
          <w:highlight w:val="none"/>
        </w:rPr>
        <w:t>服务</w:t>
      </w:r>
      <w:r>
        <w:rPr>
          <w:rFonts w:ascii="宋体" w:hAnsi="宋体" w:cs="宋体"/>
          <w:color w:val="auto"/>
          <w:kern w:val="0"/>
          <w:szCs w:val="21"/>
          <w:highlight w:val="none"/>
        </w:rPr>
        <w:t>的有关技术资料。</w:t>
      </w:r>
    </w:p>
    <w:p w14:paraId="0DF793D8">
      <w:pPr>
        <w:adjustRightInd w:val="0"/>
        <w:snapToGrid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4</w:t>
      </w:r>
      <w:r>
        <w:rPr>
          <w:rFonts w:ascii="宋体" w:hAnsi="宋体" w:cs="宋体"/>
          <w:color w:val="auto"/>
          <w:kern w:val="0"/>
          <w:szCs w:val="21"/>
          <w:highlight w:val="none"/>
        </w:rPr>
        <w:t>.</w:t>
      </w:r>
      <w:r>
        <w:rPr>
          <w:rFonts w:hint="eastAsia" w:ascii="宋体" w:hAnsi="宋体" w:cs="宋体"/>
          <w:color w:val="auto"/>
          <w:kern w:val="0"/>
          <w:szCs w:val="21"/>
          <w:highlight w:val="none"/>
        </w:rPr>
        <w:t>乙方承诺所提供产品为由其研发生产且未经使用的全新产品，产品的质量及包装符合乙方标准规定的质量、规格、性能的要求及国家有关的标准。</w:t>
      </w:r>
    </w:p>
    <w:p w14:paraId="34969A5F">
      <w:pPr>
        <w:adjustRightInd w:val="0"/>
        <w:snapToGrid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5.乙方以及乙方安排完成合同项目的工作人员，应当确保具备与本合同约定所要求相符合的资质与条件，具备相应的工作经验，乙方须完全符合并遵守本合同所涉及的相关法律、法规、规范性文件的规定，确保可以依法开展合同约定的事项。</w:t>
      </w:r>
    </w:p>
    <w:p w14:paraId="7C800549">
      <w:pPr>
        <w:adjustRightInd w:val="0"/>
        <w:snapToGrid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6.因服务质量问题发生争议的，应邀请国家认可的质量检测机构对服务质量进行鉴定。服务符合标准的，鉴定费由甲方承担；服务不符合标准的，鉴定费由乙方承担。</w:t>
      </w:r>
    </w:p>
    <w:p w14:paraId="6E51B2BC">
      <w:pPr>
        <w:numPr>
          <w:ilvl w:val="0"/>
          <w:numId w:val="1"/>
        </w:numPr>
        <w:tabs>
          <w:tab w:val="left" w:pos="876"/>
        </w:tabs>
        <w:adjustRightInd w:val="0"/>
        <w:snapToGrid w:val="0"/>
        <w:spacing w:line="360" w:lineRule="auto"/>
        <w:ind w:left="233" w:leftChars="111" w:firstLine="162" w:firstLineChars="77"/>
        <w:rPr>
          <w:rFonts w:ascii="宋体" w:hAnsi="Calibri"/>
          <w:b/>
          <w:bCs/>
          <w:color w:val="auto"/>
          <w:szCs w:val="21"/>
          <w:highlight w:val="none"/>
        </w:rPr>
      </w:pPr>
      <w:r>
        <w:rPr>
          <w:rFonts w:hint="eastAsia" w:ascii="宋体" w:hAnsi="宋体" w:cs="宋体"/>
          <w:b/>
          <w:bCs/>
          <w:color w:val="auto"/>
          <w:szCs w:val="21"/>
          <w:highlight w:val="none"/>
        </w:rPr>
        <w:t>付款规定：</w:t>
      </w:r>
    </w:p>
    <w:p w14:paraId="77689307">
      <w:pPr>
        <w:spacing w:line="400" w:lineRule="exact"/>
        <w:ind w:firstLine="420" w:firstLineChars="200"/>
        <w:contextualSpacing/>
        <w:rPr>
          <w:rFonts w:ascii="宋体" w:hAnsi="宋体" w:cs="宋体"/>
          <w:color w:val="auto"/>
          <w:kern w:val="0"/>
          <w:szCs w:val="21"/>
          <w:highlight w:val="none"/>
        </w:rPr>
      </w:pPr>
      <w:r>
        <w:rPr>
          <w:rFonts w:hint="eastAsia" w:ascii="宋体" w:hAnsi="宋体" w:cs="宋体"/>
          <w:color w:val="auto"/>
          <w:kern w:val="0"/>
          <w:szCs w:val="21"/>
          <w:highlight w:val="none"/>
        </w:rPr>
        <w:t>1.资金性质；</w:t>
      </w:r>
      <w:r>
        <w:rPr>
          <w:rFonts w:hint="eastAsia" w:ascii="宋体" w:hAnsi="宋体" w:cs="宋体"/>
          <w:color w:val="auto"/>
          <w:kern w:val="0"/>
          <w:szCs w:val="21"/>
          <w:highlight w:val="none"/>
          <w:u w:val="single"/>
        </w:rPr>
        <w:t>财政性资金</w:t>
      </w:r>
      <w:r>
        <w:rPr>
          <w:rFonts w:hint="eastAsia" w:ascii="宋体" w:hAnsi="宋体" w:cs="宋体"/>
          <w:color w:val="auto"/>
          <w:kern w:val="0"/>
          <w:szCs w:val="21"/>
          <w:highlight w:val="none"/>
        </w:rPr>
        <w:t>。</w:t>
      </w:r>
    </w:p>
    <w:p w14:paraId="13E042C9">
      <w:pPr>
        <w:spacing w:line="400" w:lineRule="exact"/>
        <w:ind w:firstLine="420" w:firstLineChars="200"/>
        <w:contextualSpacing/>
        <w:rPr>
          <w:rFonts w:ascii="宋体" w:hAnsi="宋体" w:cs="宋体"/>
          <w:color w:val="auto"/>
          <w:kern w:val="0"/>
          <w:szCs w:val="21"/>
          <w:highlight w:val="none"/>
        </w:rPr>
      </w:pPr>
      <w:r>
        <w:rPr>
          <w:rFonts w:hint="eastAsia" w:ascii="宋体" w:hAnsi="宋体" w:cs="宋体"/>
          <w:color w:val="auto"/>
          <w:kern w:val="0"/>
          <w:szCs w:val="21"/>
          <w:highlight w:val="none"/>
        </w:rPr>
        <w:t>2.付款方式（分批付款方式以最终双方商议结果为准）：</w:t>
      </w:r>
    </w:p>
    <w:p w14:paraId="5786C61B">
      <w:pPr>
        <w:spacing w:line="400" w:lineRule="exact"/>
        <w:ind w:firstLine="420" w:firstLineChars="200"/>
        <w:contextualSpacing/>
        <w:rPr>
          <w:rFonts w:ascii="宋体" w:hAnsi="宋体" w:cs="宋体"/>
          <w:color w:val="auto"/>
          <w:kern w:val="0"/>
          <w:szCs w:val="21"/>
          <w:highlight w:val="none"/>
        </w:rPr>
      </w:pPr>
      <w:r>
        <w:rPr>
          <w:rFonts w:hint="eastAsia" w:ascii="宋体" w:hAnsi="宋体" w:cs="宋体"/>
          <w:color w:val="auto"/>
          <w:kern w:val="0"/>
          <w:szCs w:val="21"/>
          <w:highlight w:val="none"/>
        </w:rPr>
        <w:t>（1）合同签订并缴纳项目履约保证金后15个工作日内向乙方支付合同金额的45%做为预付款；</w:t>
      </w:r>
    </w:p>
    <w:p w14:paraId="387324F4">
      <w:pPr>
        <w:spacing w:line="400" w:lineRule="exact"/>
        <w:ind w:firstLine="420" w:firstLineChars="200"/>
        <w:contextualSpacing/>
        <w:rPr>
          <w:rFonts w:ascii="宋体" w:hAnsi="宋体" w:cs="宋体"/>
          <w:color w:val="auto"/>
          <w:kern w:val="0"/>
          <w:szCs w:val="21"/>
          <w:highlight w:val="none"/>
        </w:rPr>
      </w:pPr>
      <w:r>
        <w:rPr>
          <w:rFonts w:hint="eastAsia" w:ascii="宋体" w:hAnsi="宋体" w:cs="宋体"/>
          <w:color w:val="auto"/>
          <w:kern w:val="0"/>
          <w:szCs w:val="21"/>
          <w:highlight w:val="none"/>
        </w:rPr>
        <w:t>（2）完成项目需求调研并经甲方确认同意后，甲方自收到乙方书面申请之日起15个工作日内，甲方向乙方支付合同金额25%的进度款；</w:t>
      </w:r>
    </w:p>
    <w:p w14:paraId="70FB3D56">
      <w:pPr>
        <w:spacing w:line="400" w:lineRule="exact"/>
        <w:ind w:firstLine="420" w:firstLineChars="200"/>
        <w:contextualSpacing/>
        <w:rPr>
          <w:rFonts w:ascii="宋体" w:hAnsi="宋体" w:cs="宋体"/>
          <w:color w:val="auto"/>
          <w:kern w:val="0"/>
          <w:szCs w:val="21"/>
          <w:highlight w:val="none"/>
        </w:rPr>
      </w:pPr>
      <w:r>
        <w:rPr>
          <w:rFonts w:hint="eastAsia" w:ascii="宋体" w:hAnsi="宋体" w:cs="宋体"/>
          <w:color w:val="auto"/>
          <w:kern w:val="0"/>
          <w:szCs w:val="21"/>
          <w:highlight w:val="none"/>
        </w:rPr>
        <w:t>（3）完成项目检务综合平台部署上线及验收交付后，甲方自收到乙方书面申请之日起15个工作日内，甲方向乙方支付合同金额15%的进度款。</w:t>
      </w:r>
    </w:p>
    <w:p w14:paraId="345CD006">
      <w:pPr>
        <w:spacing w:line="400" w:lineRule="exact"/>
        <w:ind w:firstLine="420" w:firstLineChars="200"/>
        <w:contextualSpacing/>
        <w:rPr>
          <w:rFonts w:ascii="宋体" w:hAnsi="宋体" w:cs="宋体"/>
          <w:color w:val="auto"/>
          <w:kern w:val="0"/>
          <w:szCs w:val="21"/>
          <w:highlight w:val="none"/>
        </w:rPr>
      </w:pPr>
      <w:r>
        <w:rPr>
          <w:rFonts w:hint="eastAsia" w:ascii="宋体" w:hAnsi="宋体" w:cs="宋体"/>
          <w:color w:val="auto"/>
          <w:kern w:val="0"/>
          <w:szCs w:val="21"/>
          <w:highlight w:val="none"/>
        </w:rPr>
        <w:t>（4）完成本项目要求的2025年等级保护测评工作，并完成测评报告备案后，甲方自收到乙方书面申请之日起15个工作日内，甲方向乙方支付合同金额5%的进度款。</w:t>
      </w:r>
    </w:p>
    <w:p w14:paraId="15393106">
      <w:pPr>
        <w:spacing w:line="400" w:lineRule="exact"/>
        <w:ind w:firstLine="420" w:firstLineChars="200"/>
        <w:contextualSpacing/>
        <w:rPr>
          <w:rFonts w:ascii="宋体" w:hAnsi="宋体" w:cs="宋体"/>
          <w:color w:val="auto"/>
          <w:kern w:val="0"/>
          <w:szCs w:val="21"/>
          <w:highlight w:val="none"/>
        </w:rPr>
      </w:pPr>
      <w:r>
        <w:rPr>
          <w:rFonts w:hint="eastAsia" w:ascii="宋体" w:hAnsi="宋体" w:cs="宋体"/>
          <w:color w:val="auto"/>
          <w:kern w:val="0"/>
          <w:szCs w:val="21"/>
          <w:highlight w:val="none"/>
        </w:rPr>
        <w:t>（5）完成本项目要求的2026年等级保护测评工作，并完成测评报告备案后，甲方自收到乙方书面申请之日起15个工作日内，甲方向乙方支付合同金额5%的进度款。</w:t>
      </w:r>
    </w:p>
    <w:p w14:paraId="7177D8C2">
      <w:pPr>
        <w:spacing w:line="400" w:lineRule="exact"/>
        <w:ind w:firstLine="420" w:firstLineChars="200"/>
        <w:contextualSpacing/>
        <w:rPr>
          <w:rFonts w:ascii="宋体" w:hAnsi="宋体" w:cs="宋体"/>
          <w:color w:val="auto"/>
          <w:kern w:val="0"/>
          <w:szCs w:val="21"/>
          <w:highlight w:val="none"/>
        </w:rPr>
      </w:pPr>
      <w:r>
        <w:rPr>
          <w:rFonts w:hint="eastAsia" w:ascii="宋体" w:hAnsi="宋体" w:cs="宋体"/>
          <w:color w:val="auto"/>
          <w:kern w:val="0"/>
          <w:szCs w:val="21"/>
          <w:highlight w:val="none"/>
        </w:rPr>
        <w:t>（6）完成本项目要求的2027年等级保护测评工作，并完成测评报告备案后，甲方自收到乙方书面申请之日起15个工作日内，甲方向乙方支付合同金额5%的进度款。</w:t>
      </w:r>
    </w:p>
    <w:p w14:paraId="37361C8F">
      <w:pPr>
        <w:spacing w:line="400" w:lineRule="exact"/>
        <w:ind w:firstLine="420" w:firstLineChars="200"/>
        <w:contextualSpacing/>
        <w:rPr>
          <w:rFonts w:ascii="宋体" w:hAnsi="宋体" w:cs="宋体"/>
          <w:color w:val="auto"/>
          <w:kern w:val="0"/>
          <w:szCs w:val="21"/>
          <w:highlight w:val="none"/>
        </w:rPr>
      </w:pPr>
      <w:r>
        <w:rPr>
          <w:rFonts w:hint="eastAsia" w:ascii="宋体" w:hAnsi="宋体" w:cs="宋体"/>
          <w:color w:val="auto"/>
          <w:kern w:val="0"/>
          <w:szCs w:val="21"/>
          <w:highlight w:val="none"/>
        </w:rPr>
        <w:t>（7）整体项目免费质保期结束后，甲方收到乙方书面申请之日起15个工作日内，双方根据服务质量及履约情况结算扣除款项，再由甲方一次性无息返还结余的履约保证金给乙方（项目履约保证金见“履约保证金”说明）。</w:t>
      </w:r>
    </w:p>
    <w:p w14:paraId="5DC80E17">
      <w:pPr>
        <w:spacing w:line="400" w:lineRule="exact"/>
        <w:ind w:firstLine="420" w:firstLineChars="200"/>
        <w:contextualSpacing/>
        <w:rPr>
          <w:rFonts w:ascii="宋体" w:hAnsi="宋体" w:cs="宋体"/>
          <w:color w:val="auto"/>
          <w:kern w:val="0"/>
          <w:szCs w:val="21"/>
          <w:highlight w:val="none"/>
        </w:rPr>
      </w:pPr>
      <w:r>
        <w:rPr>
          <w:rFonts w:hint="eastAsia" w:ascii="宋体" w:hAnsi="宋体" w:cs="宋体"/>
          <w:color w:val="auto"/>
          <w:kern w:val="0"/>
          <w:szCs w:val="21"/>
          <w:highlight w:val="none"/>
        </w:rPr>
        <w:t>（8）</w:t>
      </w:r>
      <w:r>
        <w:rPr>
          <w:rFonts w:hint="eastAsia" w:ascii="宋体" w:hAnsi="宋体" w:cs="宋体"/>
          <w:color w:val="auto"/>
          <w:kern w:val="0"/>
          <w:szCs w:val="21"/>
          <w:highlight w:val="none"/>
          <w:lang w:val="en-US" w:eastAsia="zh-CN"/>
        </w:rPr>
        <w:t>乙方</w:t>
      </w:r>
      <w:r>
        <w:rPr>
          <w:rFonts w:hint="eastAsia" w:ascii="宋体" w:hAnsi="宋体" w:cs="宋体"/>
          <w:color w:val="auto"/>
          <w:kern w:val="0"/>
          <w:szCs w:val="21"/>
          <w:highlight w:val="none"/>
          <w:lang w:eastAsia="zh-CN"/>
        </w:rPr>
        <w:t>每次收到</w:t>
      </w:r>
      <w:r>
        <w:rPr>
          <w:rFonts w:hint="eastAsia" w:ascii="宋体" w:hAnsi="宋体" w:cs="宋体"/>
          <w:color w:val="auto"/>
          <w:kern w:val="0"/>
          <w:szCs w:val="21"/>
          <w:highlight w:val="none"/>
          <w:lang w:val="en-US" w:eastAsia="zh-CN"/>
        </w:rPr>
        <w:t>甲方</w:t>
      </w:r>
      <w:r>
        <w:rPr>
          <w:rFonts w:hint="eastAsia" w:ascii="宋体" w:hAnsi="宋体" w:cs="宋体"/>
          <w:color w:val="auto"/>
          <w:kern w:val="0"/>
          <w:szCs w:val="21"/>
          <w:highlight w:val="none"/>
          <w:lang w:eastAsia="zh-CN"/>
        </w:rPr>
        <w:t>支付的合同款项前必须开具等额的发票和请款函等材料给</w:t>
      </w:r>
      <w:r>
        <w:rPr>
          <w:rFonts w:hint="eastAsia" w:ascii="宋体" w:hAnsi="宋体" w:cs="宋体"/>
          <w:color w:val="auto"/>
          <w:kern w:val="0"/>
          <w:szCs w:val="21"/>
          <w:highlight w:val="none"/>
          <w:lang w:val="en-US" w:eastAsia="zh-CN"/>
        </w:rPr>
        <w:t>甲方</w:t>
      </w:r>
      <w:r>
        <w:rPr>
          <w:rFonts w:hint="eastAsia" w:ascii="宋体" w:hAnsi="宋体" w:cs="宋体"/>
          <w:color w:val="auto"/>
          <w:kern w:val="0"/>
          <w:szCs w:val="21"/>
          <w:highlight w:val="none"/>
          <w:lang w:eastAsia="zh-CN"/>
        </w:rPr>
        <w:t>，否则</w:t>
      </w:r>
      <w:r>
        <w:rPr>
          <w:rFonts w:hint="eastAsia" w:ascii="宋体" w:hAnsi="宋体" w:cs="宋体"/>
          <w:color w:val="auto"/>
          <w:kern w:val="0"/>
          <w:szCs w:val="21"/>
          <w:highlight w:val="none"/>
          <w:lang w:val="en-US" w:eastAsia="zh-CN"/>
        </w:rPr>
        <w:t>甲方</w:t>
      </w:r>
      <w:r>
        <w:rPr>
          <w:rFonts w:hint="eastAsia" w:ascii="宋体" w:hAnsi="宋体" w:cs="宋体"/>
          <w:color w:val="auto"/>
          <w:kern w:val="0"/>
          <w:szCs w:val="21"/>
          <w:highlight w:val="none"/>
          <w:lang w:eastAsia="zh-CN"/>
        </w:rPr>
        <w:t>有权延缓支付当次及后续的合同款项</w:t>
      </w:r>
      <w:r>
        <w:rPr>
          <w:rFonts w:hint="eastAsia" w:ascii="宋体" w:hAnsi="宋体" w:cs="宋体"/>
          <w:color w:val="auto"/>
          <w:kern w:val="0"/>
          <w:szCs w:val="21"/>
          <w:highlight w:val="none"/>
        </w:rPr>
        <w:t>。</w:t>
      </w:r>
    </w:p>
    <w:p w14:paraId="4DE55F82">
      <w:pPr>
        <w:spacing w:line="400" w:lineRule="exact"/>
        <w:ind w:firstLine="420" w:firstLineChars="200"/>
        <w:contextualSpacing/>
        <w:rPr>
          <w:rFonts w:ascii="宋体" w:hAnsi="宋体" w:cs="宋体"/>
          <w:color w:val="auto"/>
          <w:kern w:val="0"/>
          <w:szCs w:val="21"/>
          <w:highlight w:val="none"/>
        </w:rPr>
      </w:pPr>
      <w:r>
        <w:rPr>
          <w:rFonts w:hint="eastAsia" w:ascii="宋体" w:hAnsi="宋体" w:cs="宋体"/>
          <w:color w:val="auto"/>
          <w:kern w:val="0"/>
          <w:szCs w:val="21"/>
          <w:highlight w:val="none"/>
        </w:rPr>
        <w:t>（</w:t>
      </w:r>
      <w:r>
        <w:rPr>
          <w:rFonts w:ascii="宋体" w:hAnsi="宋体" w:cs="宋体"/>
          <w:color w:val="auto"/>
          <w:kern w:val="0"/>
          <w:szCs w:val="21"/>
          <w:highlight w:val="none"/>
        </w:rPr>
        <w:t>9</w:t>
      </w:r>
      <w:r>
        <w:rPr>
          <w:rFonts w:hint="eastAsia" w:ascii="宋体" w:hAnsi="宋体" w:cs="宋体"/>
          <w:color w:val="auto"/>
          <w:kern w:val="0"/>
          <w:szCs w:val="21"/>
          <w:highlight w:val="none"/>
        </w:rPr>
        <w:t>）乙方收款账户信息：</w:t>
      </w:r>
    </w:p>
    <w:p w14:paraId="7CDB8FBA">
      <w:pPr>
        <w:spacing w:line="400" w:lineRule="exact"/>
        <w:ind w:firstLine="420" w:firstLineChars="200"/>
        <w:contextualSpacing/>
        <w:rPr>
          <w:rFonts w:ascii="宋体" w:hAnsi="宋体" w:cs="宋体"/>
          <w:color w:val="auto"/>
          <w:kern w:val="0"/>
          <w:szCs w:val="21"/>
          <w:highlight w:val="none"/>
        </w:rPr>
      </w:pPr>
      <w:r>
        <w:rPr>
          <w:rFonts w:hint="eastAsia" w:ascii="宋体" w:hAnsi="宋体" w:cs="宋体"/>
          <w:color w:val="auto"/>
          <w:kern w:val="0"/>
          <w:szCs w:val="21"/>
          <w:highlight w:val="none"/>
        </w:rPr>
        <w:t>开户名称：</w:t>
      </w:r>
    </w:p>
    <w:p w14:paraId="6838D162">
      <w:pPr>
        <w:spacing w:line="400" w:lineRule="exact"/>
        <w:ind w:firstLine="420" w:firstLineChars="200"/>
        <w:contextualSpacing/>
        <w:rPr>
          <w:rFonts w:ascii="宋体" w:hAnsi="宋体" w:cs="宋体"/>
          <w:color w:val="auto"/>
          <w:kern w:val="0"/>
          <w:szCs w:val="21"/>
          <w:highlight w:val="none"/>
        </w:rPr>
      </w:pPr>
      <w:r>
        <w:rPr>
          <w:rFonts w:hint="eastAsia" w:ascii="宋体" w:hAnsi="宋体" w:cs="宋体"/>
          <w:color w:val="auto"/>
          <w:kern w:val="0"/>
          <w:szCs w:val="21"/>
          <w:highlight w:val="none"/>
        </w:rPr>
        <w:t>开户银行：</w:t>
      </w:r>
    </w:p>
    <w:p w14:paraId="121B0125">
      <w:pPr>
        <w:spacing w:line="400" w:lineRule="exact"/>
        <w:ind w:firstLine="420" w:firstLineChars="200"/>
        <w:contextualSpacing/>
        <w:rPr>
          <w:color w:val="auto"/>
          <w:highlight w:val="none"/>
        </w:rPr>
      </w:pPr>
      <w:r>
        <w:rPr>
          <w:rFonts w:hint="eastAsia" w:ascii="宋体" w:hAnsi="宋体" w:cs="宋体"/>
          <w:color w:val="auto"/>
          <w:kern w:val="0"/>
          <w:szCs w:val="21"/>
          <w:highlight w:val="none"/>
        </w:rPr>
        <w:t>账 号：</w:t>
      </w:r>
    </w:p>
    <w:p w14:paraId="22404392">
      <w:pPr>
        <w:spacing w:line="400" w:lineRule="exact"/>
        <w:ind w:firstLine="420" w:firstLineChars="200"/>
        <w:contextualSpacing/>
        <w:rPr>
          <w:rFonts w:ascii="宋体" w:hAnsi="宋体" w:cs="宋体"/>
          <w:color w:val="auto"/>
          <w:kern w:val="0"/>
          <w:szCs w:val="21"/>
          <w:highlight w:val="none"/>
        </w:rPr>
      </w:pPr>
      <w:r>
        <w:rPr>
          <w:rFonts w:hint="eastAsia" w:ascii="宋体" w:hAnsi="宋体" w:cs="宋体"/>
          <w:color w:val="auto"/>
          <w:kern w:val="0"/>
          <w:szCs w:val="21"/>
          <w:highlight w:val="none"/>
        </w:rPr>
        <w:t>（</w:t>
      </w:r>
      <w:r>
        <w:rPr>
          <w:rFonts w:ascii="宋体" w:hAnsi="宋体" w:cs="宋体"/>
          <w:color w:val="auto"/>
          <w:kern w:val="0"/>
          <w:szCs w:val="21"/>
          <w:highlight w:val="none"/>
        </w:rPr>
        <w:t>10</w:t>
      </w:r>
      <w:r>
        <w:rPr>
          <w:rFonts w:hint="eastAsia" w:ascii="宋体" w:hAnsi="宋体" w:cs="宋体"/>
          <w:color w:val="auto"/>
          <w:kern w:val="0"/>
          <w:szCs w:val="21"/>
          <w:highlight w:val="none"/>
        </w:rPr>
        <w:t>）甲方开发票信息：</w:t>
      </w:r>
    </w:p>
    <w:p w14:paraId="3AD949AA">
      <w:pPr>
        <w:spacing w:line="400" w:lineRule="exact"/>
        <w:ind w:firstLine="420" w:firstLineChars="200"/>
        <w:contextualSpacing/>
        <w:rPr>
          <w:rFonts w:ascii="宋体" w:hAnsi="宋体" w:cs="宋体"/>
          <w:color w:val="auto"/>
          <w:kern w:val="0"/>
          <w:szCs w:val="21"/>
          <w:highlight w:val="none"/>
        </w:rPr>
      </w:pPr>
      <w:r>
        <w:rPr>
          <w:rFonts w:hint="eastAsia" w:ascii="宋体" w:hAnsi="宋体" w:cs="宋体"/>
          <w:color w:val="auto"/>
          <w:kern w:val="0"/>
          <w:szCs w:val="21"/>
          <w:highlight w:val="none"/>
        </w:rPr>
        <w:t>甲方名称</w:t>
      </w:r>
      <w:r>
        <w:rPr>
          <w:rFonts w:hint="eastAsia" w:ascii="宋体" w:hAnsi="宋体" w:cs="宋体"/>
          <w:color w:val="auto"/>
          <w:kern w:val="0"/>
          <w:szCs w:val="21"/>
          <w:highlight w:val="none"/>
          <w:u w:val="single"/>
        </w:rPr>
        <w:t>：广西壮族自治区人民检察院</w:t>
      </w:r>
    </w:p>
    <w:p w14:paraId="1BF81516">
      <w:pPr>
        <w:spacing w:line="400" w:lineRule="exact"/>
        <w:ind w:firstLine="420" w:firstLineChars="200"/>
        <w:contextualSpacing/>
        <w:rPr>
          <w:rFonts w:ascii="宋体" w:hAnsi="宋体" w:cs="宋体"/>
          <w:color w:val="auto"/>
          <w:kern w:val="0"/>
          <w:szCs w:val="21"/>
          <w:highlight w:val="none"/>
        </w:rPr>
      </w:pPr>
      <w:r>
        <w:rPr>
          <w:rFonts w:hint="eastAsia" w:ascii="宋体" w:hAnsi="宋体" w:cs="宋体"/>
          <w:color w:val="auto"/>
          <w:kern w:val="0"/>
          <w:szCs w:val="21"/>
          <w:highlight w:val="none"/>
        </w:rPr>
        <w:t>统一</w:t>
      </w:r>
      <w:r>
        <w:rPr>
          <w:rFonts w:ascii="宋体" w:hAnsi="宋体" w:cs="宋体"/>
          <w:color w:val="auto"/>
          <w:kern w:val="0"/>
          <w:szCs w:val="21"/>
          <w:highlight w:val="none"/>
        </w:rPr>
        <w:t>社会信</w:t>
      </w:r>
      <w:r>
        <w:rPr>
          <w:rFonts w:hint="eastAsia" w:ascii="宋体" w:hAnsi="宋体" w:cs="宋体"/>
          <w:color w:val="auto"/>
          <w:kern w:val="0"/>
          <w:szCs w:val="21"/>
          <w:highlight w:val="none"/>
        </w:rPr>
        <w:t>用</w:t>
      </w:r>
      <w:r>
        <w:rPr>
          <w:rFonts w:ascii="宋体" w:hAnsi="宋体" w:cs="宋体"/>
          <w:color w:val="auto"/>
          <w:kern w:val="0"/>
          <w:szCs w:val="21"/>
          <w:highlight w:val="none"/>
        </w:rPr>
        <w:t>代码：</w:t>
      </w:r>
      <w:r>
        <w:rPr>
          <w:rFonts w:hint="eastAsia" w:ascii="宋体" w:hAnsi="宋体" w:cs="宋体"/>
          <w:color w:val="auto"/>
          <w:kern w:val="0"/>
          <w:szCs w:val="21"/>
          <w:highlight w:val="none"/>
          <w:u w:val="single"/>
        </w:rPr>
        <w:t>11450000007565485</w:t>
      </w:r>
      <w:r>
        <w:rPr>
          <w:rFonts w:ascii="宋体" w:hAnsi="宋体" w:cs="宋体"/>
          <w:color w:val="auto"/>
          <w:kern w:val="0"/>
          <w:szCs w:val="21"/>
          <w:highlight w:val="none"/>
          <w:u w:val="single"/>
        </w:rPr>
        <w:t>L</w:t>
      </w:r>
    </w:p>
    <w:p w14:paraId="6AB26DCA">
      <w:pPr>
        <w:spacing w:line="400" w:lineRule="exact"/>
        <w:ind w:firstLine="420" w:firstLineChars="200"/>
        <w:contextualSpacing/>
        <w:rPr>
          <w:rFonts w:ascii="宋体" w:hAnsi="宋体" w:cs="宋体"/>
          <w:color w:val="auto"/>
          <w:kern w:val="0"/>
          <w:szCs w:val="21"/>
          <w:highlight w:val="none"/>
        </w:rPr>
      </w:pPr>
      <w:r>
        <w:rPr>
          <w:rFonts w:hint="eastAsia" w:ascii="宋体" w:hAnsi="宋体" w:cs="宋体"/>
          <w:color w:val="auto"/>
          <w:kern w:val="0"/>
          <w:szCs w:val="21"/>
          <w:highlight w:val="none"/>
        </w:rPr>
        <w:t>地址</w:t>
      </w:r>
      <w:r>
        <w:rPr>
          <w:rFonts w:ascii="宋体" w:hAnsi="宋体" w:cs="宋体"/>
          <w:color w:val="auto"/>
          <w:kern w:val="0"/>
          <w:szCs w:val="21"/>
          <w:highlight w:val="none"/>
        </w:rPr>
        <w:t>：</w:t>
      </w:r>
      <w:r>
        <w:rPr>
          <w:rFonts w:ascii="宋体" w:hAnsi="宋体" w:cs="宋体"/>
          <w:color w:val="auto"/>
          <w:kern w:val="0"/>
          <w:szCs w:val="21"/>
          <w:highlight w:val="none"/>
          <w:u w:val="single"/>
        </w:rPr>
        <w:t>南宁市凤翔路</w:t>
      </w:r>
      <w:r>
        <w:rPr>
          <w:rFonts w:hint="eastAsia" w:ascii="宋体" w:hAnsi="宋体" w:cs="宋体"/>
          <w:color w:val="auto"/>
          <w:kern w:val="0"/>
          <w:szCs w:val="21"/>
          <w:highlight w:val="none"/>
          <w:u w:val="single"/>
        </w:rPr>
        <w:t xml:space="preserve">3号 </w:t>
      </w:r>
    </w:p>
    <w:p w14:paraId="5EEFAEB0">
      <w:pPr>
        <w:spacing w:line="400" w:lineRule="exact"/>
        <w:ind w:firstLine="420" w:firstLineChars="200"/>
        <w:contextualSpacing/>
        <w:rPr>
          <w:rFonts w:ascii="宋体" w:hAnsi="宋体" w:cs="宋体"/>
          <w:color w:val="auto"/>
          <w:kern w:val="0"/>
          <w:szCs w:val="21"/>
          <w:highlight w:val="none"/>
        </w:rPr>
      </w:pPr>
      <w:r>
        <w:rPr>
          <w:rFonts w:hint="eastAsia" w:ascii="宋体" w:hAnsi="宋体" w:cs="宋体"/>
          <w:color w:val="auto"/>
          <w:kern w:val="0"/>
          <w:szCs w:val="21"/>
          <w:highlight w:val="none"/>
        </w:rPr>
        <w:t>电话</w:t>
      </w:r>
      <w:r>
        <w:rPr>
          <w:rFonts w:ascii="宋体" w:hAnsi="宋体" w:cs="宋体"/>
          <w:color w:val="auto"/>
          <w:kern w:val="0"/>
          <w:szCs w:val="21"/>
          <w:highlight w:val="none"/>
        </w:rPr>
        <w:t>：</w:t>
      </w:r>
      <w:r>
        <w:rPr>
          <w:rFonts w:hint="eastAsia" w:ascii="宋体" w:hAnsi="宋体" w:cs="宋体"/>
          <w:color w:val="auto"/>
          <w:kern w:val="0"/>
          <w:szCs w:val="21"/>
          <w:highlight w:val="none"/>
          <w:u w:val="single"/>
        </w:rPr>
        <w:t>0771</w:t>
      </w:r>
      <w:r>
        <w:rPr>
          <w:rFonts w:ascii="宋体" w:hAnsi="宋体" w:cs="宋体"/>
          <w:color w:val="auto"/>
          <w:kern w:val="0"/>
          <w:szCs w:val="21"/>
          <w:highlight w:val="none"/>
          <w:u w:val="single"/>
        </w:rPr>
        <w:t>-</w:t>
      </w:r>
      <w:r>
        <w:rPr>
          <w:rFonts w:hint="eastAsia" w:ascii="宋体" w:hAnsi="宋体" w:cs="宋体"/>
          <w:color w:val="auto"/>
          <w:kern w:val="0"/>
          <w:szCs w:val="21"/>
          <w:highlight w:val="none"/>
          <w:u w:val="single"/>
        </w:rPr>
        <w:t>5506029</w:t>
      </w:r>
    </w:p>
    <w:p w14:paraId="7C1A4AAD">
      <w:pPr>
        <w:numPr>
          <w:ilvl w:val="0"/>
          <w:numId w:val="1"/>
        </w:numPr>
        <w:tabs>
          <w:tab w:val="left" w:pos="876"/>
        </w:tabs>
        <w:adjustRightInd w:val="0"/>
        <w:snapToGrid w:val="0"/>
        <w:spacing w:line="360" w:lineRule="auto"/>
        <w:ind w:left="233" w:leftChars="111" w:firstLine="162" w:firstLineChars="77"/>
        <w:rPr>
          <w:rFonts w:ascii="宋体" w:hAnsi="Calibri"/>
          <w:b/>
          <w:bCs/>
          <w:color w:val="auto"/>
          <w:szCs w:val="21"/>
          <w:highlight w:val="none"/>
        </w:rPr>
      </w:pPr>
      <w:r>
        <w:rPr>
          <w:rFonts w:hint="eastAsia" w:ascii="宋体" w:hAnsi="宋体" w:cs="宋体"/>
          <w:b/>
          <w:bCs/>
          <w:color w:val="auto"/>
          <w:szCs w:val="21"/>
          <w:highlight w:val="none"/>
        </w:rPr>
        <w:t>交付条件：</w:t>
      </w:r>
    </w:p>
    <w:p w14:paraId="034641ED">
      <w:pPr>
        <w:adjustRightInd w:val="0"/>
        <w:snapToGrid w:val="0"/>
        <w:spacing w:line="360" w:lineRule="auto"/>
        <w:ind w:firstLine="420" w:firstLineChars="200"/>
        <w:rPr>
          <w:rFonts w:ascii="宋体" w:hAnsi="Calibri"/>
          <w:color w:val="auto"/>
          <w:kern w:val="0"/>
          <w:szCs w:val="21"/>
          <w:highlight w:val="none"/>
        </w:rPr>
      </w:pPr>
      <w:r>
        <w:rPr>
          <w:rFonts w:ascii="宋体" w:hAnsi="宋体" w:cs="宋体"/>
          <w:color w:val="auto"/>
          <w:kern w:val="0"/>
          <w:szCs w:val="21"/>
          <w:highlight w:val="none"/>
        </w:rPr>
        <w:t>1.</w:t>
      </w:r>
      <w:r>
        <w:rPr>
          <w:rFonts w:hint="eastAsia" w:ascii="宋体" w:hAnsi="宋体" w:cs="宋体"/>
          <w:color w:val="auto"/>
          <w:kern w:val="0"/>
          <w:szCs w:val="21"/>
          <w:highlight w:val="none"/>
        </w:rPr>
        <w:t>交付地点：乙方交付。交付地点为：广西壮族自治区人民检察院。甲方可根据实际需要变更、调整乙方交付时间和地点，以最新通知指定时间、地点为准。</w:t>
      </w:r>
    </w:p>
    <w:p w14:paraId="0672BCAD">
      <w:pPr>
        <w:adjustRightInd w:val="0"/>
        <w:snapToGrid w:val="0"/>
        <w:spacing w:line="360" w:lineRule="auto"/>
        <w:ind w:firstLine="420" w:firstLineChars="200"/>
        <w:rPr>
          <w:rFonts w:ascii="宋体" w:hAnsi="Calibri"/>
          <w:color w:val="auto"/>
          <w:kern w:val="0"/>
          <w:szCs w:val="21"/>
          <w:highlight w:val="none"/>
        </w:rPr>
      </w:pPr>
      <w:r>
        <w:rPr>
          <w:rFonts w:ascii="宋体" w:hAnsi="宋体" w:cs="宋体"/>
          <w:color w:val="auto"/>
          <w:kern w:val="0"/>
          <w:szCs w:val="21"/>
          <w:highlight w:val="none"/>
        </w:rPr>
        <w:t>2.</w:t>
      </w:r>
      <w:r>
        <w:rPr>
          <w:rFonts w:hint="eastAsia" w:ascii="宋体" w:hAnsi="宋体" w:cs="宋体"/>
          <w:color w:val="auto"/>
          <w:kern w:val="0"/>
          <w:szCs w:val="21"/>
          <w:highlight w:val="none"/>
        </w:rPr>
        <w:t>服务期限：按</w:t>
      </w:r>
      <w:r>
        <w:rPr>
          <w:rFonts w:ascii="宋体" w:hAnsi="宋体" w:cs="宋体"/>
          <w:color w:val="auto"/>
          <w:kern w:val="0"/>
          <w:szCs w:val="21"/>
          <w:highlight w:val="none"/>
        </w:rPr>
        <w:t>投标响应期限提供服务</w:t>
      </w:r>
      <w:r>
        <w:rPr>
          <w:rFonts w:hint="eastAsia" w:ascii="宋体" w:hAnsi="宋体" w:cs="宋体"/>
          <w:color w:val="auto"/>
          <w:kern w:val="0"/>
          <w:szCs w:val="21"/>
          <w:highlight w:val="none"/>
        </w:rPr>
        <w:t>。</w:t>
      </w:r>
    </w:p>
    <w:p w14:paraId="0BECC15F">
      <w:pPr>
        <w:adjustRightInd w:val="0"/>
        <w:snapToGrid w:val="0"/>
        <w:spacing w:line="360" w:lineRule="auto"/>
        <w:ind w:firstLine="420" w:firstLineChars="200"/>
        <w:rPr>
          <w:rFonts w:ascii="宋体" w:hAnsi="Calibri"/>
          <w:color w:val="auto"/>
          <w:kern w:val="0"/>
          <w:szCs w:val="21"/>
          <w:highlight w:val="none"/>
        </w:rPr>
      </w:pPr>
      <w:r>
        <w:rPr>
          <w:rFonts w:ascii="宋体" w:hAnsi="宋体" w:cs="宋体"/>
          <w:color w:val="auto"/>
          <w:kern w:val="0"/>
          <w:szCs w:val="21"/>
          <w:highlight w:val="none"/>
        </w:rPr>
        <w:t>3.</w:t>
      </w:r>
      <w:r>
        <w:rPr>
          <w:rFonts w:hint="eastAsia" w:ascii="宋体" w:hAnsi="宋体" w:cs="宋体"/>
          <w:color w:val="auto"/>
          <w:kern w:val="0"/>
          <w:szCs w:val="21"/>
          <w:highlight w:val="none"/>
        </w:rPr>
        <w:t>交付方式：一次性交付。</w:t>
      </w:r>
    </w:p>
    <w:p w14:paraId="2AC32291">
      <w:pPr>
        <w:numPr>
          <w:ilvl w:val="0"/>
          <w:numId w:val="1"/>
        </w:numPr>
        <w:tabs>
          <w:tab w:val="left" w:pos="876"/>
        </w:tabs>
        <w:adjustRightInd w:val="0"/>
        <w:snapToGrid w:val="0"/>
        <w:spacing w:line="360" w:lineRule="auto"/>
        <w:ind w:left="233" w:leftChars="111" w:firstLine="162" w:firstLineChars="77"/>
        <w:rPr>
          <w:rFonts w:ascii="宋体" w:hAnsi="Calibri"/>
          <w:b/>
          <w:bCs/>
          <w:color w:val="auto"/>
          <w:szCs w:val="21"/>
          <w:highlight w:val="none"/>
        </w:rPr>
      </w:pPr>
      <w:r>
        <w:rPr>
          <w:rFonts w:hint="eastAsia" w:ascii="宋体" w:hAnsi="宋体" w:cs="宋体"/>
          <w:b/>
          <w:bCs/>
          <w:color w:val="auto"/>
          <w:szCs w:val="21"/>
          <w:highlight w:val="none"/>
        </w:rPr>
        <w:t>验收规定：</w:t>
      </w:r>
      <w:r>
        <w:rPr>
          <w:rFonts w:ascii="宋体" w:hAnsi="Calibri"/>
          <w:b/>
          <w:bCs/>
          <w:color w:val="auto"/>
          <w:szCs w:val="21"/>
          <w:highlight w:val="none"/>
        </w:rPr>
        <w:tab/>
      </w:r>
    </w:p>
    <w:p w14:paraId="4F63610D">
      <w:pPr>
        <w:adjustRightInd w:val="0"/>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1.乙方提供不符合磋商文件、响应文件和本合同规定的服务，甲方有权拒绝接受。</w:t>
      </w:r>
    </w:p>
    <w:p w14:paraId="2C475452">
      <w:pPr>
        <w:adjustRightInd w:val="0"/>
        <w:snapToGrid w:val="0"/>
        <w:spacing w:line="360" w:lineRule="auto"/>
        <w:ind w:firstLine="420" w:firstLineChars="200"/>
        <w:rPr>
          <w:rFonts w:ascii="宋体" w:hAnsi="Calibri"/>
          <w:color w:val="auto"/>
          <w:kern w:val="0"/>
          <w:szCs w:val="21"/>
          <w:highlight w:val="none"/>
        </w:rPr>
      </w:pPr>
      <w:r>
        <w:rPr>
          <w:rFonts w:hint="eastAsia" w:ascii="宋体" w:hAnsi="宋体" w:cs="宋体"/>
          <w:color w:val="auto"/>
          <w:kern w:val="0"/>
          <w:szCs w:val="21"/>
          <w:highlight w:val="none"/>
        </w:rPr>
        <w:t>2</w:t>
      </w:r>
      <w:r>
        <w:rPr>
          <w:rFonts w:ascii="宋体" w:hAnsi="宋体" w:cs="宋体"/>
          <w:color w:val="auto"/>
          <w:kern w:val="0"/>
          <w:szCs w:val="21"/>
          <w:highlight w:val="none"/>
        </w:rPr>
        <w:t>.</w:t>
      </w:r>
      <w:r>
        <w:rPr>
          <w:rFonts w:hint="eastAsia" w:ascii="宋体" w:hAnsi="宋体" w:cs="宋体"/>
          <w:color w:val="auto"/>
          <w:kern w:val="0"/>
          <w:szCs w:val="21"/>
          <w:highlight w:val="none"/>
        </w:rPr>
        <w:t>交付时甲方应检查产品各项标识、单据、数量等，若发现与合同规定不符或缺失，乙方</w:t>
      </w:r>
      <w:r>
        <w:rPr>
          <w:rFonts w:hint="eastAsia" w:ascii="宋体" w:hAnsi="宋体"/>
          <w:color w:val="auto"/>
          <w:szCs w:val="21"/>
          <w:highlight w:val="none"/>
        </w:rPr>
        <w:t>应及时整改或补齐，否则视为逾期交付。</w:t>
      </w:r>
      <w:r>
        <w:rPr>
          <w:rFonts w:hint="eastAsia" w:ascii="宋体" w:hAnsi="宋体" w:cs="宋体"/>
          <w:color w:val="auto"/>
          <w:kern w:val="0"/>
          <w:szCs w:val="21"/>
          <w:highlight w:val="none"/>
        </w:rPr>
        <w:t>签收产品时应在签收单上加注，否则视为乙方所交产品在上述方面符合合同规定。</w:t>
      </w:r>
    </w:p>
    <w:p w14:paraId="47E8C276">
      <w:pPr>
        <w:adjustRightInd w:val="0"/>
        <w:snapToGrid w:val="0"/>
        <w:spacing w:line="360" w:lineRule="auto"/>
        <w:ind w:firstLine="420" w:firstLineChars="200"/>
        <w:rPr>
          <w:rFonts w:ascii="宋体" w:hAnsi="Calibri"/>
          <w:color w:val="auto"/>
          <w:kern w:val="0"/>
          <w:szCs w:val="21"/>
          <w:highlight w:val="none"/>
        </w:rPr>
      </w:pPr>
      <w:r>
        <w:rPr>
          <w:rFonts w:hint="eastAsia" w:ascii="宋体" w:hAnsi="宋体" w:cs="宋体"/>
          <w:color w:val="auto"/>
          <w:kern w:val="0"/>
          <w:szCs w:val="21"/>
          <w:highlight w:val="none"/>
        </w:rPr>
        <w:t>3</w:t>
      </w:r>
      <w:r>
        <w:rPr>
          <w:rFonts w:ascii="宋体" w:hAnsi="宋体" w:cs="宋体"/>
          <w:color w:val="auto"/>
          <w:kern w:val="0"/>
          <w:szCs w:val="21"/>
          <w:highlight w:val="none"/>
        </w:rPr>
        <w:t>.</w:t>
      </w:r>
      <w:r>
        <w:rPr>
          <w:rFonts w:hint="eastAsia" w:ascii="宋体" w:hAnsi="宋体" w:cs="宋体"/>
          <w:color w:val="auto"/>
          <w:kern w:val="0"/>
          <w:szCs w:val="21"/>
          <w:highlight w:val="none"/>
        </w:rPr>
        <w:t>产品的安装调试、师资培训由乙方负责，乙方在收到甲方通知的关于安装调试培训的完整信息后</w:t>
      </w:r>
      <w:r>
        <w:rPr>
          <w:rFonts w:ascii="宋体" w:hAnsi="宋体" w:cs="宋体"/>
          <w:color w:val="auto"/>
          <w:kern w:val="0"/>
          <w:szCs w:val="21"/>
          <w:highlight w:val="none"/>
          <w:u w:val="single"/>
        </w:rPr>
        <w:t>10</w:t>
      </w:r>
      <w:r>
        <w:rPr>
          <w:rFonts w:hint="eastAsia" w:ascii="宋体" w:hAnsi="宋体" w:cs="宋体"/>
          <w:color w:val="auto"/>
          <w:kern w:val="0"/>
          <w:szCs w:val="21"/>
          <w:highlight w:val="none"/>
        </w:rPr>
        <w:t>个工作日内到达最终用户使用处，进行安装培训工作。</w:t>
      </w:r>
    </w:p>
    <w:p w14:paraId="16761A15">
      <w:pPr>
        <w:adjustRightInd w:val="0"/>
        <w:snapToGrid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4</w:t>
      </w:r>
      <w:r>
        <w:rPr>
          <w:rFonts w:ascii="宋体" w:hAnsi="宋体" w:cs="宋体"/>
          <w:color w:val="auto"/>
          <w:kern w:val="0"/>
          <w:szCs w:val="21"/>
          <w:highlight w:val="none"/>
        </w:rPr>
        <w:t>.</w:t>
      </w:r>
      <w:r>
        <w:rPr>
          <w:rFonts w:hint="eastAsia" w:ascii="宋体" w:hAnsi="宋体" w:cs="宋体"/>
          <w:color w:val="auto"/>
          <w:kern w:val="0"/>
          <w:szCs w:val="21"/>
          <w:highlight w:val="none"/>
        </w:rPr>
        <w:t>按照提交的产品说明书描述的正式版功能，甲乙双方共同验收后由甲方出具验收文件；验收地点在设备安装地；验收时间为货到安装调试、师资培训完毕后</w:t>
      </w:r>
      <w:r>
        <w:rPr>
          <w:rFonts w:ascii="宋体" w:hAnsi="宋体" w:cs="宋体"/>
          <w:color w:val="auto"/>
          <w:kern w:val="0"/>
          <w:szCs w:val="21"/>
          <w:highlight w:val="none"/>
          <w:u w:val="single"/>
        </w:rPr>
        <w:t>7</w:t>
      </w:r>
      <w:r>
        <w:rPr>
          <w:rFonts w:hint="eastAsia" w:ascii="宋体" w:hAnsi="宋体" w:cs="宋体"/>
          <w:color w:val="auto"/>
          <w:kern w:val="0"/>
          <w:szCs w:val="21"/>
          <w:highlight w:val="none"/>
        </w:rPr>
        <w:t>日内，逾期视为验收合格。验收合格后由甲乙双方签署服务验收单并加盖甲方公章，甲乙双方各执一份。</w:t>
      </w:r>
    </w:p>
    <w:p w14:paraId="454667AE">
      <w:pPr>
        <w:adjustRightInd w:val="0"/>
        <w:snapToGrid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5.甲方委托采购代理机构组织的验收项目，其验收时间以该项目验收方案确定的验收时间为准，验收结果以该项目验收报告结论为准。在验收过程中发现乙方有违约问题，可暂缓资金结算，待违约问题解决后，方可办理资金结算事宜。</w:t>
      </w:r>
    </w:p>
    <w:p w14:paraId="5D998F4F">
      <w:pPr>
        <w:adjustRightInd w:val="0"/>
        <w:snapToGrid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6.对技术复杂的服务，甲方应请国家认可的专业检测机构参与初步验收及最终验收，并由其出具质量检测报告。</w:t>
      </w:r>
    </w:p>
    <w:p w14:paraId="6D499A76">
      <w:pPr>
        <w:adjustRightInd w:val="0"/>
        <w:snapToGrid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7.验收时乙方必须在现场，验收完毕后作出验收结果报告；验收费用由乙方负责。</w:t>
      </w:r>
    </w:p>
    <w:p w14:paraId="5D779F84">
      <w:pPr>
        <w:adjustRightInd w:val="0"/>
        <w:snapToGrid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8.甲方对验收有异议的，在验收后五个工作日内以书面形式向乙方提出，乙方应自收到甲方书面异议后</w:t>
      </w:r>
      <w:r>
        <w:rPr>
          <w:rFonts w:hint="eastAsia" w:ascii="宋体" w:hAnsi="宋体" w:cs="宋体"/>
          <w:color w:val="auto"/>
          <w:kern w:val="0"/>
          <w:szCs w:val="21"/>
          <w:highlight w:val="none"/>
          <w:u w:val="single"/>
        </w:rPr>
        <w:t xml:space="preserve"> 5 </w:t>
      </w:r>
      <w:r>
        <w:rPr>
          <w:rFonts w:hint="eastAsia" w:ascii="宋体" w:hAnsi="宋体" w:cs="宋体"/>
          <w:color w:val="auto"/>
          <w:kern w:val="0"/>
          <w:szCs w:val="21"/>
          <w:highlight w:val="none"/>
        </w:rPr>
        <w:t>日内及时予以解决。</w:t>
      </w:r>
    </w:p>
    <w:p w14:paraId="702EB169">
      <w:pPr>
        <w:numPr>
          <w:ilvl w:val="0"/>
          <w:numId w:val="1"/>
        </w:numPr>
        <w:tabs>
          <w:tab w:val="left" w:pos="876"/>
        </w:tabs>
        <w:adjustRightInd w:val="0"/>
        <w:snapToGrid w:val="0"/>
        <w:spacing w:line="360" w:lineRule="auto"/>
        <w:ind w:left="233" w:leftChars="111" w:firstLine="162" w:firstLineChars="77"/>
        <w:rPr>
          <w:rFonts w:ascii="宋体" w:hAnsi="Calibri"/>
          <w:b/>
          <w:bCs/>
          <w:color w:val="auto"/>
          <w:szCs w:val="21"/>
          <w:highlight w:val="none"/>
        </w:rPr>
      </w:pPr>
      <w:r>
        <w:rPr>
          <w:rFonts w:hint="eastAsia" w:ascii="宋体" w:hAnsi="宋体" w:cs="宋体"/>
          <w:b/>
          <w:bCs/>
          <w:color w:val="auto"/>
          <w:szCs w:val="21"/>
          <w:highlight w:val="none"/>
        </w:rPr>
        <w:t>保修期和售后服务：</w:t>
      </w:r>
    </w:p>
    <w:p w14:paraId="17767DD0">
      <w:pPr>
        <w:adjustRightInd w:val="0"/>
        <w:snapToGrid w:val="0"/>
        <w:spacing w:line="360" w:lineRule="auto"/>
        <w:ind w:firstLine="420" w:firstLineChars="200"/>
        <w:rPr>
          <w:rFonts w:ascii="宋体" w:hAnsi="Calibri"/>
          <w:color w:val="auto"/>
          <w:kern w:val="0"/>
          <w:szCs w:val="21"/>
          <w:highlight w:val="none"/>
        </w:rPr>
      </w:pPr>
      <w:r>
        <w:rPr>
          <w:rFonts w:ascii="宋体" w:hAnsi="宋体" w:cs="宋体"/>
          <w:color w:val="auto"/>
          <w:kern w:val="0"/>
          <w:szCs w:val="21"/>
          <w:highlight w:val="none"/>
        </w:rPr>
        <w:t>1.</w:t>
      </w:r>
      <w:r>
        <w:rPr>
          <w:rFonts w:hint="eastAsia" w:ascii="宋体" w:hAnsi="宋体" w:cs="宋体"/>
          <w:color w:val="auto"/>
          <w:kern w:val="0"/>
          <w:szCs w:val="21"/>
          <w:highlight w:val="none"/>
        </w:rPr>
        <w:t>乙方向甲方提供售后服务项下的保修服务，本产品保修期为</w:t>
      </w:r>
      <w:r>
        <w:rPr>
          <w:rFonts w:hint="eastAsia" w:ascii="宋体" w:hAnsi="宋体" w:cs="宋体"/>
          <w:color w:val="auto"/>
          <w:kern w:val="0"/>
          <w:szCs w:val="21"/>
          <w:highlight w:val="none"/>
          <w:u w:val="single"/>
        </w:rPr>
        <w:t>壹</w:t>
      </w:r>
      <w:r>
        <w:rPr>
          <w:rFonts w:hint="eastAsia" w:ascii="宋体" w:hAnsi="宋体" w:cs="宋体"/>
          <w:color w:val="auto"/>
          <w:kern w:val="0"/>
          <w:szCs w:val="21"/>
          <w:highlight w:val="none"/>
        </w:rPr>
        <w:t>年（验收合格之日起算）。保修期内，乙方应提供免费升级及维护服务。超过保修期的，如果甲方要求上门进行同版本售后服务，需向乙方提供材料费和差旅费。如果甲方要求版本升级，乙方收取版本差价。甲方在使用乙方产品过程中，如遇部分备品备件遗失，乙方只收取成本费。</w:t>
      </w:r>
    </w:p>
    <w:p w14:paraId="1E316727">
      <w:pPr>
        <w:adjustRightInd w:val="0"/>
        <w:snapToGrid w:val="0"/>
        <w:spacing w:line="360" w:lineRule="auto"/>
        <w:ind w:firstLine="420" w:firstLineChars="200"/>
        <w:rPr>
          <w:rFonts w:ascii="宋体" w:hAnsi="Calibri"/>
          <w:color w:val="auto"/>
          <w:kern w:val="0"/>
          <w:szCs w:val="21"/>
          <w:highlight w:val="none"/>
        </w:rPr>
      </w:pPr>
      <w:r>
        <w:rPr>
          <w:rFonts w:ascii="宋体" w:hAnsi="宋体" w:cs="宋体"/>
          <w:color w:val="auto"/>
          <w:kern w:val="0"/>
          <w:szCs w:val="21"/>
          <w:highlight w:val="none"/>
        </w:rPr>
        <w:t>2.</w:t>
      </w:r>
      <w:r>
        <w:rPr>
          <w:rFonts w:hint="eastAsia" w:ascii="宋体" w:hAnsi="宋体" w:cs="宋体"/>
          <w:color w:val="auto"/>
          <w:kern w:val="0"/>
          <w:szCs w:val="21"/>
          <w:highlight w:val="none"/>
        </w:rPr>
        <w:t>乙方对保修期和售后服务另有承诺的，应当另行书面约定，作为本合同的附件，否则适用上款。</w:t>
      </w:r>
    </w:p>
    <w:p w14:paraId="7D8E547D">
      <w:pPr>
        <w:adjustRightInd w:val="0"/>
        <w:snapToGrid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3.乙方提供的服务在质量保证期内，因设计、工艺或材料的缺陷和其它质量原因造成的问题，由乙方负责。</w:t>
      </w:r>
    </w:p>
    <w:p w14:paraId="77570647">
      <w:pPr>
        <w:adjustRightInd w:val="0"/>
        <w:snapToGrid w:val="0"/>
        <w:spacing w:line="360" w:lineRule="auto"/>
        <w:ind w:firstLine="420" w:firstLineChars="200"/>
        <w:rPr>
          <w:rFonts w:ascii="宋体" w:hAnsi="Calibri"/>
          <w:color w:val="auto"/>
          <w:kern w:val="0"/>
          <w:szCs w:val="21"/>
          <w:highlight w:val="none"/>
        </w:rPr>
      </w:pPr>
      <w:r>
        <w:rPr>
          <w:rFonts w:hint="eastAsia" w:ascii="宋体" w:hAnsi="宋体" w:cs="宋体"/>
          <w:color w:val="auto"/>
          <w:kern w:val="0"/>
          <w:szCs w:val="21"/>
          <w:highlight w:val="none"/>
        </w:rPr>
        <w:t>4</w:t>
      </w:r>
      <w:r>
        <w:rPr>
          <w:rFonts w:ascii="宋体" w:hAnsi="宋体" w:cs="宋体"/>
          <w:color w:val="auto"/>
          <w:kern w:val="0"/>
          <w:szCs w:val="21"/>
          <w:highlight w:val="none"/>
        </w:rPr>
        <w:t>.</w:t>
      </w:r>
      <w:r>
        <w:rPr>
          <w:rFonts w:hint="eastAsia" w:ascii="宋体" w:hAnsi="宋体" w:cs="宋体"/>
          <w:color w:val="auto"/>
          <w:kern w:val="0"/>
          <w:szCs w:val="21"/>
          <w:highlight w:val="none"/>
        </w:rPr>
        <w:t>除双方另有约定外，甲方在保修期内，因</w:t>
      </w:r>
      <w:bookmarkStart w:id="174" w:name="OLE_LINK1"/>
      <w:r>
        <w:rPr>
          <w:rFonts w:hint="eastAsia" w:ascii="宋体" w:hAnsi="宋体" w:cs="宋体"/>
          <w:color w:val="auto"/>
          <w:kern w:val="0"/>
          <w:szCs w:val="21"/>
          <w:highlight w:val="none"/>
        </w:rPr>
        <w:t>人为原因或者不可抗力等非正常使用造成损失的不予保修。</w:t>
      </w:r>
      <w:bookmarkEnd w:id="174"/>
    </w:p>
    <w:p w14:paraId="0489F885">
      <w:pPr>
        <w:adjustRightInd w:val="0"/>
        <w:snapToGrid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5.如甲方在质保期内对产品存在异议，乙方需在</w:t>
      </w:r>
      <w:r>
        <w:rPr>
          <w:rFonts w:hint="eastAsia" w:ascii="宋体" w:hAnsi="宋体" w:cs="宋体"/>
          <w:color w:val="auto"/>
          <w:kern w:val="0"/>
          <w:szCs w:val="21"/>
          <w:highlight w:val="none"/>
          <w:u w:val="single"/>
        </w:rPr>
        <w:t xml:space="preserve">    年   月   日</w:t>
      </w:r>
      <w:r>
        <w:rPr>
          <w:rFonts w:hint="eastAsia" w:ascii="宋体" w:hAnsi="宋体" w:cs="宋体"/>
          <w:color w:val="auto"/>
          <w:kern w:val="0"/>
          <w:szCs w:val="21"/>
          <w:highlight w:val="none"/>
        </w:rPr>
        <w:t>前完成整改，保证达到甲方预期。</w:t>
      </w:r>
    </w:p>
    <w:p w14:paraId="08F8A92A">
      <w:pPr>
        <w:adjustRightInd w:val="0"/>
        <w:snapToGrid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6.在保证期内因服务本身的质量问题发生故障，乙方应负责免费修理调整和更换。对达不到技术要求者，根据实际情况，经双方协商，可按以下办法处理：</w:t>
      </w:r>
    </w:p>
    <w:p w14:paraId="6AA7D0A4">
      <w:pPr>
        <w:adjustRightInd w:val="0"/>
        <w:snapToGrid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  （1）更换：由乙方承担所发生的全部费用。</w:t>
      </w:r>
    </w:p>
    <w:p w14:paraId="5AA4E266">
      <w:pPr>
        <w:adjustRightInd w:val="0"/>
        <w:snapToGrid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  （2）贬值处理：由甲乙双方合议定价。</w:t>
      </w:r>
    </w:p>
    <w:p w14:paraId="14F21232">
      <w:pPr>
        <w:adjustRightInd w:val="0"/>
        <w:snapToGrid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  （3）退款处理：乙方应退还甲方支付的合同款，同时应承担该服务的直接费用（运输、保险、检验、货款利息及银行手续费等）。</w:t>
      </w:r>
    </w:p>
    <w:p w14:paraId="1E62B1C4">
      <w:pPr>
        <w:adjustRightInd w:val="0"/>
        <w:snapToGrid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7.项目售后服务人员必须以甲方为核心，为用户提供7×24小时的应急响应及技术支持服务，接到用户故障报修请求时，必须即可组织人员响应并进行故障处理，对于本项目建设网络平台、基础运行环境、软件平台、系统纠正错误数据类请求，解决时间不能超过2小时；在应用系统软件发生故障时，中断时间不允许超过4小时。如果实在无法按时解决系统故障，则必须向用户书面说明原因，并在12小时内组织售后服务工程师到达现场进行故障处理，清除故障，确保系统故障尽快排除，恢复正常使用。乙方在接到甲方通知后拒不响应或解决故障的，甲方有权聘请第三方进行维修，由此产生的费用由乙方承担。经过甲方或第三人维修、更换后的产品，乙方继续按本合同约定承担质量保修责任。乙方未及时履行保修义务导致的损失均由乙方承担。乙方完成相应维修后，须提供维护维修报告。维护维修更换零配件的应提供使用原厂、全新零配件并经甲方确认。本条时间、日期的约定不受法定节假日影响。</w:t>
      </w:r>
    </w:p>
    <w:p w14:paraId="275C1960">
      <w:pPr>
        <w:adjustRightInd w:val="0"/>
        <w:snapToGrid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8.在质保期内，乙方应对服务出现的质量及安全问题负责处理解决并承担一切费用。</w:t>
      </w:r>
    </w:p>
    <w:p w14:paraId="7F421B15">
      <w:pPr>
        <w:adjustRightInd w:val="0"/>
        <w:snapToGrid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9.在售后免费保修期内，因人为因素出现的故障不在免费保修范围内。超过保修期的机器设备，终生维修，维修时只收部件成本费。</w:t>
      </w:r>
    </w:p>
    <w:p w14:paraId="0072AC02">
      <w:pPr>
        <w:adjustRightInd w:val="0"/>
        <w:snapToGrid w:val="0"/>
        <w:spacing w:line="360" w:lineRule="auto"/>
        <w:ind w:firstLine="420" w:firstLineChars="200"/>
        <w:rPr>
          <w:rFonts w:ascii="宋体" w:hAnsi="宋体" w:cs="宋体"/>
          <w:color w:val="auto"/>
          <w:kern w:val="0"/>
          <w:szCs w:val="21"/>
          <w:highlight w:val="none"/>
        </w:rPr>
      </w:pPr>
      <w:bookmarkStart w:id="175" w:name="_Hlk148991585"/>
      <w:r>
        <w:rPr>
          <w:rFonts w:hint="eastAsia" w:ascii="宋体" w:hAnsi="宋体" w:cs="宋体"/>
          <w:color w:val="auto"/>
          <w:kern w:val="0"/>
          <w:szCs w:val="21"/>
          <w:highlight w:val="none"/>
        </w:rPr>
        <w:t>10.在质量保证期内，如发生重要或核心部件贰次及以上故障，或相同故障经叁次维修不能解决的，甲方有权要求乙方无条件退款退货并赔偿损失。</w:t>
      </w:r>
    </w:p>
    <w:p w14:paraId="4F46543F">
      <w:pPr>
        <w:adjustRightInd w:val="0"/>
        <w:snapToGrid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11.产品重要或核心零部件经过维修后，自维修合格之日起，</w:t>
      </w:r>
      <w:bookmarkStart w:id="176" w:name="_Hlk148991133"/>
      <w:r>
        <w:rPr>
          <w:rFonts w:hint="eastAsia" w:ascii="宋体" w:hAnsi="宋体" w:cs="宋体"/>
          <w:color w:val="auto"/>
          <w:kern w:val="0"/>
          <w:szCs w:val="21"/>
          <w:highlight w:val="none"/>
        </w:rPr>
        <w:t>质量保证期重新开始计算</w:t>
      </w:r>
      <w:bookmarkEnd w:id="176"/>
      <w:r>
        <w:rPr>
          <w:rFonts w:hint="eastAsia" w:ascii="宋体" w:hAnsi="宋体" w:cs="宋体"/>
          <w:color w:val="auto"/>
          <w:kern w:val="0"/>
          <w:szCs w:val="21"/>
          <w:highlight w:val="none"/>
        </w:rPr>
        <w:t>。磋商响应文件及乙方在质量保证或售后服务承诺中对质量保修及售后服务有其它约定及有更高要求的以其约定为准。乙方质保、维修后交付的设备以及设备内的各项零件均须符合国家、行业各项法律、法规以及标准规范，如存在多个标准规范的，以最高要求的标准规范为准。</w:t>
      </w:r>
      <w:bookmarkEnd w:id="175"/>
    </w:p>
    <w:p w14:paraId="22C950B2">
      <w:pPr>
        <w:numPr>
          <w:ilvl w:val="0"/>
          <w:numId w:val="1"/>
        </w:numPr>
        <w:tabs>
          <w:tab w:val="left" w:pos="876"/>
        </w:tabs>
        <w:adjustRightInd w:val="0"/>
        <w:snapToGrid w:val="0"/>
        <w:spacing w:line="360" w:lineRule="auto"/>
        <w:ind w:left="233" w:leftChars="111" w:firstLine="162" w:firstLineChars="77"/>
        <w:rPr>
          <w:rFonts w:ascii="宋体" w:hAnsi="Calibri"/>
          <w:b/>
          <w:bCs/>
          <w:color w:val="auto"/>
          <w:szCs w:val="21"/>
          <w:highlight w:val="none"/>
        </w:rPr>
      </w:pPr>
      <w:r>
        <w:rPr>
          <w:rFonts w:hint="eastAsia" w:ascii="宋体" w:hAnsi="宋体" w:cs="宋体"/>
          <w:b/>
          <w:bCs/>
          <w:color w:val="auto"/>
          <w:szCs w:val="21"/>
          <w:highlight w:val="none"/>
        </w:rPr>
        <w:t>风险转移：</w:t>
      </w:r>
    </w:p>
    <w:p w14:paraId="070BB87C">
      <w:pPr>
        <w:adjustRightInd w:val="0"/>
        <w:snapToGrid w:val="0"/>
        <w:spacing w:line="360" w:lineRule="auto"/>
        <w:ind w:firstLine="420" w:firstLineChars="200"/>
        <w:rPr>
          <w:rFonts w:ascii="宋体" w:hAnsi="Calibri"/>
          <w:color w:val="auto"/>
          <w:kern w:val="0"/>
          <w:szCs w:val="21"/>
          <w:highlight w:val="none"/>
        </w:rPr>
      </w:pPr>
      <w:r>
        <w:rPr>
          <w:rFonts w:hint="eastAsia" w:ascii="宋体" w:hAnsi="宋体" w:cs="宋体"/>
          <w:color w:val="auto"/>
          <w:kern w:val="0"/>
          <w:szCs w:val="21"/>
          <w:highlight w:val="none"/>
        </w:rPr>
        <w:t>产品的风险责任自乙方产品交付甲方之日起，转移至甲方承担。乙方按照本合同约定将产品置于交付地点，甲方违反约定没有收取的，产品毁损、灭失的风险自违反约定之日起由甲方承担。</w:t>
      </w:r>
    </w:p>
    <w:p w14:paraId="1869DAAE">
      <w:pPr>
        <w:numPr>
          <w:ilvl w:val="0"/>
          <w:numId w:val="1"/>
        </w:numPr>
        <w:tabs>
          <w:tab w:val="left" w:pos="876"/>
        </w:tabs>
        <w:adjustRightInd w:val="0"/>
        <w:snapToGrid w:val="0"/>
        <w:spacing w:line="360" w:lineRule="auto"/>
        <w:ind w:left="233" w:leftChars="111" w:firstLine="162" w:firstLineChars="77"/>
        <w:rPr>
          <w:rFonts w:ascii="宋体" w:hAnsi="Calibri"/>
          <w:b/>
          <w:bCs/>
          <w:color w:val="auto"/>
          <w:szCs w:val="21"/>
          <w:highlight w:val="none"/>
        </w:rPr>
      </w:pPr>
      <w:r>
        <w:rPr>
          <w:rFonts w:hint="eastAsia" w:ascii="宋体" w:hAnsi="宋体" w:cs="宋体"/>
          <w:b/>
          <w:bCs/>
          <w:color w:val="auto"/>
          <w:szCs w:val="21"/>
          <w:highlight w:val="none"/>
        </w:rPr>
        <w:t>保密条款及知识产权要求：</w:t>
      </w:r>
    </w:p>
    <w:p w14:paraId="4E582AFC">
      <w:pPr>
        <w:adjustRightInd w:val="0"/>
        <w:snapToGrid w:val="0"/>
        <w:spacing w:line="360" w:lineRule="auto"/>
        <w:ind w:firstLine="420" w:firstLineChars="200"/>
        <w:rPr>
          <w:rFonts w:ascii="宋体" w:hAnsi="Calibri"/>
          <w:color w:val="auto"/>
          <w:kern w:val="0"/>
          <w:szCs w:val="21"/>
          <w:highlight w:val="none"/>
        </w:rPr>
      </w:pPr>
      <w:r>
        <w:rPr>
          <w:rFonts w:ascii="宋体" w:hAnsi="宋体" w:cs="宋体"/>
          <w:color w:val="auto"/>
          <w:kern w:val="0"/>
          <w:szCs w:val="21"/>
          <w:highlight w:val="none"/>
        </w:rPr>
        <w:t>1.</w:t>
      </w:r>
      <w:r>
        <w:rPr>
          <w:rFonts w:hint="eastAsia" w:ascii="宋体" w:hAnsi="宋体" w:cs="宋体"/>
          <w:color w:val="auto"/>
          <w:kern w:val="0"/>
          <w:szCs w:val="21"/>
          <w:highlight w:val="none"/>
        </w:rPr>
        <w:t>甲乙双方应当对本合同的内容、因签署本合同或在本合同执行期间获得的或收到的对方的商务、财务、技术、产品的信息、用户资料或其他标明保密的文件或信息的内容</w:t>
      </w:r>
      <w:r>
        <w:rPr>
          <w:rFonts w:ascii="宋体" w:hAnsi="宋体" w:cs="宋体"/>
          <w:color w:val="auto"/>
          <w:kern w:val="0"/>
          <w:szCs w:val="21"/>
          <w:highlight w:val="none"/>
        </w:rPr>
        <w:t>(</w:t>
      </w:r>
      <w:r>
        <w:rPr>
          <w:rFonts w:hint="eastAsia" w:ascii="宋体" w:hAnsi="宋体" w:cs="宋体"/>
          <w:color w:val="auto"/>
          <w:kern w:val="0"/>
          <w:szCs w:val="21"/>
          <w:highlight w:val="none"/>
        </w:rPr>
        <w:t>简称“保密资料”</w:t>
      </w:r>
      <w:r>
        <w:rPr>
          <w:rFonts w:ascii="宋体" w:hAnsi="宋体" w:cs="宋体"/>
          <w:color w:val="auto"/>
          <w:kern w:val="0"/>
          <w:szCs w:val="21"/>
          <w:highlight w:val="none"/>
        </w:rPr>
        <w:t>)</w:t>
      </w:r>
      <w:r>
        <w:rPr>
          <w:rFonts w:hint="eastAsia" w:ascii="宋体" w:hAnsi="宋体" w:cs="宋体"/>
          <w:color w:val="auto"/>
          <w:kern w:val="0"/>
          <w:szCs w:val="21"/>
          <w:highlight w:val="none"/>
        </w:rPr>
        <w:t>保守秘密，未经对方书面同意，不得向本合同以外的任何第三方披露。资料接受方可仅为本合同目的向其确有知悉必要的雇员披露对方提供的保密资料，但同时须告知其雇员遵守本条规定的保密及非经对方同意不得擅自披露的义务。双方应仅为本合同目的而复制和使用保密资料。</w:t>
      </w:r>
    </w:p>
    <w:p w14:paraId="66F2CEFD">
      <w:pPr>
        <w:adjustRightInd w:val="0"/>
        <w:snapToGrid w:val="0"/>
        <w:spacing w:line="360" w:lineRule="auto"/>
        <w:ind w:firstLine="420" w:firstLineChars="200"/>
        <w:rPr>
          <w:rFonts w:ascii="宋体" w:hAnsi="Calibri"/>
          <w:color w:val="auto"/>
          <w:kern w:val="0"/>
          <w:szCs w:val="21"/>
          <w:highlight w:val="none"/>
        </w:rPr>
      </w:pPr>
      <w:r>
        <w:rPr>
          <w:rFonts w:ascii="宋体" w:hAnsi="宋体" w:cs="宋体"/>
          <w:color w:val="auto"/>
          <w:kern w:val="0"/>
          <w:szCs w:val="21"/>
          <w:highlight w:val="none"/>
        </w:rPr>
        <w:t>2.</w:t>
      </w:r>
      <w:r>
        <w:rPr>
          <w:rFonts w:hint="eastAsia" w:ascii="宋体" w:hAnsi="宋体" w:cs="宋体"/>
          <w:color w:val="auto"/>
          <w:kern w:val="0"/>
          <w:szCs w:val="21"/>
          <w:highlight w:val="none"/>
        </w:rPr>
        <w:t>本项目属于委托建设，项目建设软件知识版权归甲方所有，未经甲方书面授权同意，乙方不得擅自将项目建设相关的文档资料、软件平台、数据资源、软件源码等用于商业销售或授权第三方使用，也不能与任何形式提供给其他人或对外发布。</w:t>
      </w:r>
    </w:p>
    <w:p w14:paraId="04673463">
      <w:pPr>
        <w:adjustRightInd w:val="0"/>
        <w:snapToGrid w:val="0"/>
        <w:spacing w:line="360" w:lineRule="auto"/>
        <w:ind w:firstLine="420" w:firstLineChars="200"/>
        <w:rPr>
          <w:rFonts w:ascii="宋体" w:hAnsi="Calibri"/>
          <w:color w:val="auto"/>
          <w:kern w:val="0"/>
          <w:szCs w:val="21"/>
          <w:highlight w:val="none"/>
        </w:rPr>
      </w:pPr>
      <w:r>
        <w:rPr>
          <w:rFonts w:ascii="宋体" w:hAnsi="宋体" w:cs="宋体"/>
          <w:color w:val="auto"/>
          <w:kern w:val="0"/>
          <w:szCs w:val="21"/>
          <w:highlight w:val="none"/>
        </w:rPr>
        <w:t>3.</w:t>
      </w:r>
      <w:r>
        <w:rPr>
          <w:rFonts w:hint="eastAsia" w:ascii="宋体" w:hAnsi="宋体" w:cs="宋体"/>
          <w:color w:val="auto"/>
          <w:kern w:val="0"/>
          <w:szCs w:val="21"/>
          <w:highlight w:val="none"/>
        </w:rPr>
        <w:t>.乙方在项目交付时，必须给甲方提供项目最终实施部署软件的程序代码，并允许甲方利用程序代码升级软件。乙方提供的程序代码不能以二进制的动态库、中间件、系统组件、JAVA包等方式编译或加密，如项目建设的软件的确使用到第三方动态库、系统组件、中间件、JAVA包的，需提供这些第三方产品的软件开发白皮书或程序开发技术规范</w:t>
      </w:r>
      <w:r>
        <w:rPr>
          <w:rFonts w:hint="eastAsia" w:ascii="Calibri" w:hAnsi="宋体" w:cs="宋体"/>
          <w:color w:val="auto"/>
          <w:szCs w:val="21"/>
          <w:highlight w:val="none"/>
        </w:rPr>
        <w:t>。</w:t>
      </w:r>
    </w:p>
    <w:p w14:paraId="609DDD1D">
      <w:pPr>
        <w:numPr>
          <w:ilvl w:val="0"/>
          <w:numId w:val="1"/>
        </w:numPr>
        <w:tabs>
          <w:tab w:val="left" w:pos="876"/>
        </w:tabs>
        <w:adjustRightInd w:val="0"/>
        <w:snapToGrid w:val="0"/>
        <w:spacing w:line="360" w:lineRule="auto"/>
        <w:ind w:left="233" w:leftChars="111" w:firstLine="162" w:firstLineChars="77"/>
        <w:rPr>
          <w:rFonts w:ascii="宋体" w:hAnsi="Calibri"/>
          <w:b/>
          <w:bCs/>
          <w:color w:val="auto"/>
          <w:szCs w:val="21"/>
          <w:highlight w:val="none"/>
        </w:rPr>
      </w:pPr>
      <w:r>
        <w:rPr>
          <w:rFonts w:hint="eastAsia" w:ascii="宋体" w:hAnsi="宋体" w:cs="宋体"/>
          <w:b/>
          <w:color w:val="auto"/>
          <w:szCs w:val="21"/>
          <w:highlight w:val="none"/>
        </w:rPr>
        <w:t>履约保证金</w:t>
      </w:r>
      <w:r>
        <w:rPr>
          <w:rFonts w:hint="eastAsia" w:ascii="宋体" w:hAnsi="宋体" w:cs="宋体"/>
          <w:b/>
          <w:bCs/>
          <w:color w:val="auto"/>
          <w:szCs w:val="21"/>
          <w:highlight w:val="none"/>
        </w:rPr>
        <w:t>：</w:t>
      </w:r>
    </w:p>
    <w:p w14:paraId="406E93B3">
      <w:pPr>
        <w:spacing w:line="400" w:lineRule="exact"/>
        <w:ind w:firstLine="420" w:firstLineChars="200"/>
        <w:contextualSpacing/>
        <w:rPr>
          <w:rFonts w:ascii="宋体" w:hAnsi="宋体" w:cs="宋体"/>
          <w:color w:val="auto"/>
          <w:kern w:val="0"/>
          <w:szCs w:val="21"/>
          <w:highlight w:val="none"/>
        </w:rPr>
      </w:pPr>
      <w:r>
        <w:rPr>
          <w:rFonts w:hint="eastAsia" w:ascii="宋体" w:hAnsi="宋体" w:cs="宋体"/>
          <w:color w:val="auto"/>
          <w:kern w:val="0"/>
          <w:szCs w:val="21"/>
          <w:highlight w:val="none"/>
        </w:rPr>
        <w:t>本项目收取履约保证金，具体规定如下：</w:t>
      </w:r>
    </w:p>
    <w:p w14:paraId="6D39011A">
      <w:pPr>
        <w:spacing w:line="400" w:lineRule="exact"/>
        <w:ind w:firstLine="420" w:firstLineChars="200"/>
        <w:contextualSpacing/>
        <w:rPr>
          <w:rFonts w:ascii="宋体" w:hAnsi="宋体" w:cs="宋体"/>
          <w:color w:val="auto"/>
          <w:kern w:val="0"/>
          <w:szCs w:val="21"/>
          <w:highlight w:val="none"/>
        </w:rPr>
      </w:pPr>
      <w:r>
        <w:rPr>
          <w:rFonts w:hint="eastAsia" w:ascii="宋体" w:hAnsi="宋体" w:cs="宋体"/>
          <w:color w:val="auto"/>
          <w:kern w:val="0"/>
          <w:szCs w:val="21"/>
          <w:highlight w:val="none"/>
        </w:rPr>
        <w:t>1</w:t>
      </w:r>
      <w:r>
        <w:rPr>
          <w:rFonts w:ascii="宋体" w:hAnsi="宋体" w:cs="宋体"/>
          <w:color w:val="auto"/>
          <w:kern w:val="0"/>
          <w:szCs w:val="21"/>
          <w:highlight w:val="none"/>
        </w:rPr>
        <w:t>.</w:t>
      </w:r>
      <w:r>
        <w:rPr>
          <w:rFonts w:hint="eastAsia" w:ascii="宋体" w:hAnsi="宋体" w:cs="宋体"/>
          <w:color w:val="auto"/>
          <w:kern w:val="0"/>
          <w:szCs w:val="21"/>
          <w:highlight w:val="none"/>
        </w:rPr>
        <w:t>履约保证金金额：合同总金额</w:t>
      </w:r>
      <w:r>
        <w:rPr>
          <w:rFonts w:hint="eastAsia" w:ascii="宋体" w:hAnsi="宋体" w:cs="宋体"/>
          <w:color w:val="auto"/>
          <w:kern w:val="0"/>
          <w:szCs w:val="21"/>
          <w:highlight w:val="none"/>
          <w:u w:val="single"/>
        </w:rPr>
        <w:t>5%</w:t>
      </w:r>
      <w:r>
        <w:rPr>
          <w:rFonts w:hint="eastAsia" w:ascii="宋体" w:hAnsi="宋体" w:cs="宋体"/>
          <w:color w:val="auto"/>
          <w:kern w:val="0"/>
          <w:szCs w:val="21"/>
          <w:highlight w:val="none"/>
        </w:rPr>
        <w:t>；</w:t>
      </w:r>
    </w:p>
    <w:p w14:paraId="2661905D">
      <w:pPr>
        <w:spacing w:line="400" w:lineRule="exact"/>
        <w:ind w:firstLine="420" w:firstLineChars="200"/>
        <w:contextualSpacing/>
        <w:rPr>
          <w:rFonts w:ascii="宋体" w:hAnsi="宋体" w:cs="宋体"/>
          <w:color w:val="auto"/>
          <w:kern w:val="0"/>
          <w:szCs w:val="21"/>
          <w:highlight w:val="none"/>
        </w:rPr>
      </w:pPr>
      <w:r>
        <w:rPr>
          <w:rFonts w:hint="eastAsia" w:ascii="宋体" w:hAnsi="宋体" w:cs="宋体"/>
          <w:color w:val="auto"/>
          <w:kern w:val="0"/>
          <w:szCs w:val="21"/>
          <w:highlight w:val="none"/>
        </w:rPr>
        <w:t>2</w:t>
      </w:r>
      <w:r>
        <w:rPr>
          <w:rFonts w:ascii="宋体" w:hAnsi="宋体" w:cs="宋体"/>
          <w:color w:val="auto"/>
          <w:kern w:val="0"/>
          <w:szCs w:val="21"/>
          <w:highlight w:val="none"/>
        </w:rPr>
        <w:t>.</w:t>
      </w:r>
      <w:r>
        <w:rPr>
          <w:rFonts w:hint="eastAsia" w:ascii="宋体" w:hAnsi="宋体" w:cs="宋体"/>
          <w:color w:val="auto"/>
          <w:kern w:val="0"/>
          <w:szCs w:val="21"/>
          <w:highlight w:val="none"/>
        </w:rPr>
        <w:t>履约保证金提交方式：履约保证金递交方式：银行转账、支票、汇票、本票或者金融、担保机构出具的保函等非现金方式（参照磋商保证金）。</w:t>
      </w:r>
    </w:p>
    <w:p w14:paraId="1D0AB579">
      <w:pPr>
        <w:spacing w:line="400" w:lineRule="exact"/>
        <w:ind w:firstLine="420" w:firstLineChars="200"/>
        <w:contextualSpacing/>
        <w:rPr>
          <w:rFonts w:ascii="宋体" w:hAnsi="宋体" w:cs="宋体"/>
          <w:color w:val="auto"/>
          <w:kern w:val="0"/>
          <w:szCs w:val="21"/>
          <w:highlight w:val="none"/>
        </w:rPr>
      </w:pPr>
      <w:r>
        <w:rPr>
          <w:rFonts w:ascii="宋体" w:hAnsi="宋体" w:cs="宋体"/>
          <w:color w:val="auto"/>
          <w:kern w:val="0"/>
          <w:szCs w:val="21"/>
          <w:highlight w:val="none"/>
        </w:rPr>
        <w:t>3.</w:t>
      </w:r>
      <w:r>
        <w:rPr>
          <w:rFonts w:hint="eastAsia" w:ascii="宋体" w:hAnsi="宋体" w:cs="宋体"/>
          <w:color w:val="auto"/>
          <w:szCs w:val="21"/>
          <w:highlight w:val="none"/>
        </w:rPr>
        <w:t>履约保证金退付方式、时间及条件：乙方在签订实施合同之前</w:t>
      </w:r>
      <w:r>
        <w:rPr>
          <w:rFonts w:hint="eastAsia" w:ascii="宋体" w:hAnsi="宋体" w:cs="宋体"/>
          <w:color w:val="auto"/>
          <w:szCs w:val="21"/>
          <w:highlight w:val="none"/>
          <w:lang w:val="en-US" w:eastAsia="zh-CN"/>
        </w:rPr>
        <w:t>且成交确认之日起5个工作日内</w:t>
      </w:r>
      <w:r>
        <w:rPr>
          <w:rFonts w:hint="eastAsia" w:ascii="宋体" w:hAnsi="宋体" w:cs="宋体"/>
          <w:color w:val="auto"/>
          <w:szCs w:val="21"/>
          <w:highlight w:val="none"/>
        </w:rPr>
        <w:t>，需要把履约保证金足额交到甲方指定账户。未提交履约保证金的，不予签订合同。项目服务期满后，由双方根据服务质量及履约情况结算扣除款项，将由甲方一次性无息返还结余的履约保证金给乙方，具体返还方式见“付款方式”；</w:t>
      </w:r>
    </w:p>
    <w:p w14:paraId="00F5AA60">
      <w:pPr>
        <w:spacing w:line="400" w:lineRule="exact"/>
        <w:ind w:firstLine="420" w:firstLineChars="200"/>
        <w:contextualSpacing/>
        <w:rPr>
          <w:rFonts w:ascii="宋体" w:hAnsi="宋体" w:cs="宋体"/>
          <w:color w:val="auto"/>
          <w:kern w:val="0"/>
          <w:szCs w:val="21"/>
          <w:highlight w:val="none"/>
        </w:rPr>
      </w:pPr>
      <w:r>
        <w:rPr>
          <w:rFonts w:ascii="宋体" w:hAnsi="宋体" w:cs="宋体"/>
          <w:color w:val="auto"/>
          <w:kern w:val="0"/>
          <w:szCs w:val="21"/>
          <w:highlight w:val="none"/>
        </w:rPr>
        <w:t>4.</w:t>
      </w:r>
      <w:r>
        <w:rPr>
          <w:rFonts w:hint="eastAsia" w:ascii="宋体" w:hAnsi="宋体" w:cs="宋体"/>
          <w:color w:val="auto"/>
          <w:kern w:val="0"/>
          <w:szCs w:val="21"/>
          <w:highlight w:val="none"/>
        </w:rPr>
        <w:t>履约保证金缴纳的账号信息：（交到甲方以下指定银行帐户）：</w:t>
      </w:r>
    </w:p>
    <w:p w14:paraId="38085D64">
      <w:pPr>
        <w:spacing w:line="400" w:lineRule="exact"/>
        <w:ind w:firstLine="420" w:firstLineChars="200"/>
        <w:contextualSpacing/>
        <w:rPr>
          <w:rFonts w:ascii="宋体" w:hAnsi="宋体" w:cs="宋体"/>
          <w:color w:val="auto"/>
          <w:kern w:val="0"/>
          <w:szCs w:val="21"/>
          <w:highlight w:val="none"/>
        </w:rPr>
      </w:pPr>
      <w:r>
        <w:rPr>
          <w:rFonts w:hint="eastAsia" w:ascii="宋体" w:hAnsi="宋体" w:cs="宋体"/>
          <w:color w:val="auto"/>
          <w:kern w:val="0"/>
          <w:szCs w:val="21"/>
          <w:highlight w:val="none"/>
        </w:rPr>
        <w:t>开户名称：</w:t>
      </w:r>
      <w:r>
        <w:rPr>
          <w:rFonts w:hint="eastAsia" w:ascii="宋体" w:hAnsi="宋体" w:cs="宋体"/>
          <w:color w:val="auto"/>
          <w:kern w:val="0"/>
          <w:szCs w:val="21"/>
          <w:highlight w:val="none"/>
          <w:u w:val="single"/>
        </w:rPr>
        <w:t xml:space="preserve">广西壮族自治区人民检察院           </w:t>
      </w:r>
    </w:p>
    <w:p w14:paraId="3846F35B">
      <w:pPr>
        <w:spacing w:line="400" w:lineRule="exact"/>
        <w:ind w:firstLine="420" w:firstLineChars="200"/>
        <w:contextualSpacing/>
        <w:rPr>
          <w:rFonts w:ascii="宋体" w:hAnsi="宋体" w:cs="宋体"/>
          <w:color w:val="auto"/>
          <w:kern w:val="0"/>
          <w:szCs w:val="21"/>
          <w:highlight w:val="none"/>
        </w:rPr>
      </w:pPr>
      <w:r>
        <w:rPr>
          <w:rFonts w:hint="eastAsia" w:ascii="宋体" w:hAnsi="宋体" w:cs="宋体"/>
          <w:color w:val="auto"/>
          <w:kern w:val="0"/>
          <w:szCs w:val="21"/>
          <w:highlight w:val="none"/>
        </w:rPr>
        <w:t>开户银行：</w:t>
      </w:r>
      <w:r>
        <w:rPr>
          <w:rFonts w:hint="eastAsia" w:ascii="宋体" w:hAnsi="宋体" w:cs="宋体"/>
          <w:color w:val="auto"/>
          <w:kern w:val="0"/>
          <w:szCs w:val="21"/>
          <w:highlight w:val="none"/>
          <w:u w:val="single"/>
        </w:rPr>
        <w:t xml:space="preserve">农行南宁市古城支行凤翔分理处       </w:t>
      </w:r>
    </w:p>
    <w:p w14:paraId="1F11B340">
      <w:pPr>
        <w:spacing w:line="400" w:lineRule="exact"/>
        <w:ind w:firstLine="420" w:firstLineChars="200"/>
        <w:contextualSpacing/>
        <w:rPr>
          <w:rFonts w:ascii="宋体" w:hAnsi="宋体" w:cs="宋体"/>
          <w:color w:val="auto"/>
          <w:szCs w:val="21"/>
          <w:highlight w:val="none"/>
        </w:rPr>
      </w:pPr>
      <w:r>
        <w:rPr>
          <w:rFonts w:hint="eastAsia" w:ascii="宋体" w:hAnsi="宋体" w:cs="宋体"/>
          <w:color w:val="auto"/>
          <w:kern w:val="0"/>
          <w:szCs w:val="21"/>
          <w:highlight w:val="none"/>
        </w:rPr>
        <w:t>银行账号：</w:t>
      </w:r>
      <w:r>
        <w:rPr>
          <w:rFonts w:hint="eastAsia" w:ascii="宋体" w:hAnsi="宋体" w:cs="宋体"/>
          <w:color w:val="auto"/>
          <w:kern w:val="0"/>
          <w:szCs w:val="21"/>
          <w:highlight w:val="none"/>
          <w:u w:val="single"/>
        </w:rPr>
        <w:t xml:space="preserve">20009201040000296                  </w:t>
      </w:r>
      <w:r>
        <w:rPr>
          <w:rFonts w:hint="eastAsia" w:ascii="宋体" w:hAnsi="宋体" w:cs="宋体"/>
          <w:color w:val="auto"/>
          <w:kern w:val="0"/>
          <w:szCs w:val="21"/>
          <w:highlight w:val="none"/>
        </w:rPr>
        <w:t>。</w:t>
      </w:r>
    </w:p>
    <w:p w14:paraId="176B738B">
      <w:pPr>
        <w:spacing w:line="380" w:lineRule="exact"/>
        <w:ind w:firstLine="420" w:firstLineChars="200"/>
        <w:rPr>
          <w:color w:val="auto"/>
          <w:highlight w:val="none"/>
        </w:rPr>
      </w:pPr>
      <w:r>
        <w:rPr>
          <w:rFonts w:hint="eastAsia" w:ascii="宋体" w:hAnsi="宋体" w:cs="宋体"/>
          <w:color w:val="auto"/>
          <w:szCs w:val="21"/>
          <w:highlight w:val="none"/>
        </w:rPr>
        <w:t>备注：</w:t>
      </w:r>
      <w:bookmarkStart w:id="177" w:name="_Hlk148991506"/>
      <w:r>
        <w:rPr>
          <w:rFonts w:hint="eastAsia" w:ascii="宋体" w:hAnsi="宋体" w:cs="宋体"/>
          <w:color w:val="auto"/>
          <w:szCs w:val="21"/>
          <w:highlight w:val="none"/>
        </w:rPr>
        <w:t>本合同中约定的</w:t>
      </w:r>
      <w:bookmarkStart w:id="178" w:name="_Hlk148991103"/>
      <w:r>
        <w:rPr>
          <w:rFonts w:hint="eastAsia" w:ascii="宋体" w:hAnsi="宋体" w:cs="宋体"/>
          <w:color w:val="auto"/>
          <w:szCs w:val="21"/>
          <w:highlight w:val="none"/>
        </w:rPr>
        <w:t>履约保证金，</w:t>
      </w:r>
      <w:bookmarkEnd w:id="178"/>
      <w:r>
        <w:rPr>
          <w:rFonts w:hint="eastAsia" w:ascii="宋体" w:hAnsi="宋体" w:cs="宋体"/>
          <w:color w:val="auto"/>
          <w:szCs w:val="21"/>
          <w:highlight w:val="none"/>
        </w:rPr>
        <w:t>系为保证乙方在磋商响应材料中的相关承诺以及本合同中的全部合同义务得到切实履行。</w:t>
      </w:r>
      <w:bookmarkEnd w:id="177"/>
      <w:r>
        <w:rPr>
          <w:rFonts w:hint="eastAsia" w:ascii="宋体" w:hAnsi="宋体" w:cs="宋体"/>
          <w:color w:val="auto"/>
          <w:szCs w:val="21"/>
          <w:highlight w:val="none"/>
        </w:rPr>
        <w:t>在签订合同之前，乙方需把履约保证金足额交到甲方指定账户。未提交履约保证金的，不予签订本合同。</w:t>
      </w:r>
      <w:bookmarkStart w:id="179" w:name="_Hlk148991525"/>
      <w:r>
        <w:rPr>
          <w:rFonts w:hint="eastAsia" w:ascii="宋体" w:hAnsi="宋体" w:cs="宋体"/>
          <w:color w:val="auto"/>
          <w:szCs w:val="21"/>
          <w:highlight w:val="none"/>
        </w:rPr>
        <w:t>乙方逾期支付的，应按以逾期金额为本金，逾期支付期间以中国人民银行授权全国银行间同业拆借中心月发布的一年期贷款市场报价利率的四倍向收款方支付违约金，同时仍应履行支付义务。逾期超过壹拾个工作日的，甲方有权解除合同，并要求乙方承担违约责任。</w:t>
      </w:r>
      <w:bookmarkEnd w:id="179"/>
      <w:r>
        <w:rPr>
          <w:rFonts w:hint="eastAsia" w:ascii="宋体" w:hAnsi="宋体" w:cs="宋体"/>
          <w:color w:val="auto"/>
          <w:szCs w:val="21"/>
          <w:highlight w:val="none"/>
        </w:rPr>
        <w:t>履约保证金自项目验收合格一年后无质量问题，待乙方履行完质保义务且无违约情况下乙方提出书面申请后，甲方无息退还。本合同履行期间，乙方存在违约的，甲方有权从履约保证金中先行扣除违约金，不足部分由乙方另行支付，甲方直接从履约保证金中扣除违约金或乙方应付的其他款项的，乙方应于接到甲方补足履约保证金通知之日起3个工作日内补足。</w:t>
      </w:r>
    </w:p>
    <w:p w14:paraId="62E8C866">
      <w:pPr>
        <w:numPr>
          <w:ilvl w:val="0"/>
          <w:numId w:val="1"/>
        </w:numPr>
        <w:tabs>
          <w:tab w:val="left" w:pos="876"/>
        </w:tabs>
        <w:adjustRightInd w:val="0"/>
        <w:snapToGrid w:val="0"/>
        <w:spacing w:line="360" w:lineRule="auto"/>
        <w:ind w:left="233" w:leftChars="111" w:firstLine="162" w:firstLineChars="77"/>
        <w:rPr>
          <w:rFonts w:ascii="宋体" w:hAnsi="Calibri"/>
          <w:b/>
          <w:bCs/>
          <w:color w:val="auto"/>
          <w:szCs w:val="21"/>
          <w:highlight w:val="none"/>
        </w:rPr>
      </w:pPr>
      <w:r>
        <w:rPr>
          <w:rFonts w:hint="eastAsia" w:ascii="宋体" w:hAnsi="宋体"/>
          <w:b/>
          <w:color w:val="auto"/>
          <w:szCs w:val="21"/>
          <w:highlight w:val="none"/>
        </w:rPr>
        <w:t>税费</w:t>
      </w:r>
      <w:r>
        <w:rPr>
          <w:rFonts w:hint="eastAsia" w:ascii="宋体" w:hAnsi="宋体" w:cs="宋体"/>
          <w:b/>
          <w:bCs/>
          <w:color w:val="auto"/>
          <w:szCs w:val="21"/>
          <w:highlight w:val="none"/>
        </w:rPr>
        <w:t>：</w:t>
      </w:r>
    </w:p>
    <w:p w14:paraId="42C80BAB">
      <w:pPr>
        <w:autoSpaceDE w:val="0"/>
        <w:autoSpaceDN w:val="0"/>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本合同执行中相关的一切税费均由乙方负担。</w:t>
      </w:r>
    </w:p>
    <w:p w14:paraId="3B777D57">
      <w:pPr>
        <w:numPr>
          <w:ilvl w:val="0"/>
          <w:numId w:val="1"/>
        </w:numPr>
        <w:tabs>
          <w:tab w:val="left" w:pos="876"/>
        </w:tabs>
        <w:adjustRightInd w:val="0"/>
        <w:snapToGrid w:val="0"/>
        <w:spacing w:line="360" w:lineRule="auto"/>
        <w:ind w:left="233" w:leftChars="111" w:firstLine="162" w:firstLineChars="77"/>
        <w:rPr>
          <w:rFonts w:ascii="宋体" w:hAnsi="Calibri"/>
          <w:b/>
          <w:bCs/>
          <w:color w:val="auto"/>
          <w:szCs w:val="21"/>
          <w:highlight w:val="none"/>
        </w:rPr>
      </w:pPr>
      <w:r>
        <w:rPr>
          <w:rFonts w:hint="eastAsia" w:ascii="宋体" w:hAnsi="宋体" w:cs="宋体"/>
          <w:b/>
          <w:bCs/>
          <w:color w:val="auto"/>
          <w:szCs w:val="21"/>
          <w:highlight w:val="none"/>
        </w:rPr>
        <w:t>违约责任：</w:t>
      </w:r>
    </w:p>
    <w:p w14:paraId="671ADEDD">
      <w:pPr>
        <w:adjustRightInd w:val="0"/>
        <w:snapToGrid w:val="0"/>
        <w:spacing w:line="360" w:lineRule="auto"/>
        <w:ind w:firstLine="420" w:firstLineChars="200"/>
        <w:rPr>
          <w:rFonts w:ascii="宋体" w:hAnsi="Calibri"/>
          <w:color w:val="auto"/>
          <w:kern w:val="0"/>
          <w:szCs w:val="21"/>
          <w:highlight w:val="none"/>
        </w:rPr>
      </w:pPr>
      <w:r>
        <w:rPr>
          <w:rFonts w:ascii="宋体" w:hAnsi="宋体" w:cs="宋体"/>
          <w:color w:val="auto"/>
          <w:kern w:val="0"/>
          <w:szCs w:val="21"/>
          <w:highlight w:val="none"/>
        </w:rPr>
        <w:t>1.</w:t>
      </w:r>
      <w:r>
        <w:rPr>
          <w:rFonts w:hint="eastAsia" w:ascii="宋体" w:hAnsi="宋体" w:cs="宋体"/>
          <w:color w:val="auto"/>
          <w:kern w:val="0"/>
          <w:szCs w:val="21"/>
          <w:highlight w:val="none"/>
        </w:rPr>
        <w:t>甲方</w:t>
      </w:r>
      <w:r>
        <w:rPr>
          <w:rFonts w:hint="eastAsia" w:ascii="宋体" w:hAnsi="宋体"/>
          <w:color w:val="auto"/>
          <w:szCs w:val="21"/>
          <w:highlight w:val="none"/>
        </w:rPr>
        <w:t>无故延期接收服务、</w:t>
      </w:r>
      <w:r>
        <w:rPr>
          <w:rFonts w:hint="eastAsia" w:ascii="宋体" w:hAnsi="宋体" w:cs="宋体"/>
          <w:color w:val="auto"/>
          <w:kern w:val="0"/>
          <w:szCs w:val="21"/>
          <w:highlight w:val="none"/>
        </w:rPr>
        <w:t>未能如期履约付款时，按逾期每天支付合同金额</w:t>
      </w:r>
      <w:r>
        <w:rPr>
          <w:rFonts w:hint="eastAsia" w:ascii="宋体" w:hAnsi="宋体" w:cs="宋体"/>
          <w:color w:val="auto"/>
          <w:kern w:val="0"/>
          <w:szCs w:val="21"/>
          <w:highlight w:val="none"/>
          <w:lang w:val="en-US" w:eastAsia="zh-CN"/>
        </w:rPr>
        <w:t>万分之一</w:t>
      </w:r>
      <w:r>
        <w:rPr>
          <w:rFonts w:hint="eastAsia" w:ascii="宋体" w:hAnsi="宋体" w:cs="宋体"/>
          <w:color w:val="auto"/>
          <w:kern w:val="0"/>
          <w:szCs w:val="21"/>
          <w:highlight w:val="none"/>
        </w:rPr>
        <w:t>计算违约金。不可抗力除外。</w:t>
      </w:r>
    </w:p>
    <w:p w14:paraId="4F003B85">
      <w:pPr>
        <w:adjustRightInd w:val="0"/>
        <w:snapToGrid w:val="0"/>
        <w:spacing w:line="360" w:lineRule="auto"/>
        <w:ind w:firstLine="420" w:firstLineChars="200"/>
        <w:rPr>
          <w:rFonts w:hint="default" w:ascii="宋体" w:hAnsi="Calibri" w:eastAsia="宋体"/>
          <w:color w:val="auto"/>
          <w:kern w:val="0"/>
          <w:szCs w:val="21"/>
          <w:highlight w:val="none"/>
          <w:lang w:val="en-US" w:eastAsia="zh-CN"/>
        </w:rPr>
      </w:pPr>
      <w:r>
        <w:rPr>
          <w:rFonts w:hint="eastAsia" w:ascii="宋体" w:hAnsi="宋体" w:cs="宋体"/>
          <w:color w:val="auto"/>
          <w:kern w:val="0"/>
          <w:szCs w:val="21"/>
          <w:highlight w:val="none"/>
        </w:rPr>
        <w:t>2</w:t>
      </w:r>
      <w:r>
        <w:rPr>
          <w:rFonts w:ascii="宋体" w:hAnsi="宋体" w:cs="宋体"/>
          <w:color w:val="auto"/>
          <w:kern w:val="0"/>
          <w:szCs w:val="21"/>
          <w:highlight w:val="none"/>
        </w:rPr>
        <w:t>.</w:t>
      </w:r>
      <w:r>
        <w:rPr>
          <w:rFonts w:hint="eastAsia" w:ascii="宋体" w:hAnsi="宋体" w:cs="宋体"/>
          <w:color w:val="auto"/>
          <w:kern w:val="0"/>
          <w:szCs w:val="21"/>
          <w:highlight w:val="none"/>
        </w:rPr>
        <w:t>若</w:t>
      </w:r>
      <w:r>
        <w:rPr>
          <w:rFonts w:hint="eastAsia" w:ascii="宋体" w:hAnsi="宋体"/>
          <w:color w:val="auto"/>
          <w:szCs w:val="21"/>
          <w:highlight w:val="none"/>
        </w:rPr>
        <w:t>乙方所提供的服务内容、技术标准、材料等质量不合格的，应及时整改，整改不及时或仍不整改，或仍达不到合同要求的按逾期交付处罚，</w:t>
      </w:r>
      <w:r>
        <w:rPr>
          <w:rFonts w:hint="eastAsia" w:ascii="宋体" w:hAnsi="宋体" w:cs="宋体"/>
          <w:color w:val="auto"/>
          <w:kern w:val="0"/>
          <w:szCs w:val="21"/>
          <w:highlight w:val="none"/>
        </w:rPr>
        <w:t>乙方逾期交付、</w:t>
      </w:r>
      <w:r>
        <w:rPr>
          <w:rFonts w:hint="eastAsia" w:ascii="宋体" w:hAnsi="宋体"/>
          <w:color w:val="auto"/>
          <w:szCs w:val="21"/>
          <w:highlight w:val="none"/>
        </w:rPr>
        <w:t>因质量问题甲方不同意接收的或特殊情况甲方不同意接收的，</w:t>
      </w:r>
      <w:r>
        <w:rPr>
          <w:rFonts w:hint="eastAsia" w:ascii="宋体" w:hAnsi="宋体" w:cs="宋体"/>
          <w:color w:val="auto"/>
          <w:kern w:val="0"/>
          <w:szCs w:val="21"/>
          <w:highlight w:val="none"/>
        </w:rPr>
        <w:t>应每天按未能履约部分的</w:t>
      </w:r>
      <w:r>
        <w:rPr>
          <w:rFonts w:ascii="宋体" w:hAnsi="宋体" w:cs="宋体"/>
          <w:color w:val="auto"/>
          <w:kern w:val="0"/>
          <w:szCs w:val="21"/>
          <w:highlight w:val="none"/>
        </w:rPr>
        <w:t>0.5%</w:t>
      </w:r>
      <w:r>
        <w:rPr>
          <w:rFonts w:hint="eastAsia" w:ascii="宋体" w:hAnsi="宋体" w:cs="宋体"/>
          <w:color w:val="auto"/>
          <w:kern w:val="0"/>
          <w:szCs w:val="21"/>
          <w:highlight w:val="none"/>
        </w:rPr>
        <w:t>向甲方支付违约金</w:t>
      </w:r>
      <w:r>
        <w:rPr>
          <w:rFonts w:hint="eastAsia" w:ascii="宋体" w:hAnsi="宋体"/>
          <w:color w:val="auto"/>
          <w:szCs w:val="21"/>
          <w:highlight w:val="none"/>
        </w:rPr>
        <w:t>并赔偿甲方经济损失</w:t>
      </w:r>
      <w:r>
        <w:rPr>
          <w:rFonts w:hint="eastAsia" w:ascii="宋体" w:hAnsi="宋体" w:cs="宋体"/>
          <w:color w:val="auto"/>
          <w:kern w:val="0"/>
          <w:szCs w:val="21"/>
          <w:highlight w:val="none"/>
        </w:rPr>
        <w:t>。不可抗力除外。</w:t>
      </w:r>
      <w:r>
        <w:rPr>
          <w:rFonts w:hint="eastAsia" w:ascii="宋体" w:hAnsi="宋体" w:cs="宋体"/>
          <w:color w:val="auto"/>
          <w:kern w:val="0"/>
          <w:szCs w:val="21"/>
          <w:highlight w:val="none"/>
          <w:lang w:val="en-US" w:eastAsia="zh-CN"/>
        </w:rPr>
        <w:t>乙方逾期交付30日，甲方有权单方解除本协议，乙方须向甲方</w:t>
      </w:r>
      <w:r>
        <w:rPr>
          <w:rFonts w:hint="eastAsia" w:ascii="宋体" w:hAnsi="宋体"/>
          <w:color w:val="auto"/>
          <w:szCs w:val="21"/>
          <w:highlight w:val="none"/>
        </w:rPr>
        <w:t>合同</w:t>
      </w:r>
      <w:r>
        <w:rPr>
          <w:rFonts w:hint="eastAsia" w:ascii="宋体" w:hAnsi="宋体"/>
          <w:color w:val="auto"/>
          <w:szCs w:val="21"/>
          <w:highlight w:val="none"/>
          <w:lang w:val="en-US" w:eastAsia="zh-CN"/>
        </w:rPr>
        <w:t>总金</w:t>
      </w:r>
      <w:r>
        <w:rPr>
          <w:rFonts w:hint="eastAsia" w:ascii="宋体" w:hAnsi="宋体"/>
          <w:color w:val="auto"/>
          <w:szCs w:val="21"/>
          <w:highlight w:val="none"/>
        </w:rPr>
        <w:t>额</w:t>
      </w:r>
      <w:r>
        <w:rPr>
          <w:rFonts w:hint="eastAsia" w:ascii="宋体" w:hAnsi="宋体"/>
          <w:color w:val="auto"/>
          <w:szCs w:val="21"/>
          <w:highlight w:val="none"/>
          <w:lang w:val="en-US" w:eastAsia="zh-CN"/>
        </w:rPr>
        <w:t>的</w:t>
      </w:r>
      <w:r>
        <w:rPr>
          <w:rFonts w:hint="eastAsia" w:ascii="宋体" w:hAnsi="宋体"/>
          <w:color w:val="auto"/>
          <w:szCs w:val="21"/>
          <w:highlight w:val="none"/>
        </w:rPr>
        <w:t>10%</w:t>
      </w:r>
      <w:r>
        <w:rPr>
          <w:rFonts w:hint="eastAsia" w:ascii="宋体" w:hAnsi="宋体"/>
          <w:color w:val="auto"/>
          <w:szCs w:val="21"/>
          <w:highlight w:val="none"/>
          <w:lang w:val="en-US" w:eastAsia="zh-CN"/>
        </w:rPr>
        <w:t>违约金，并承担甲方所有的损失，退回甲方已支付的所有款项。</w:t>
      </w:r>
    </w:p>
    <w:p w14:paraId="54D317FC">
      <w:pPr>
        <w:adjustRightInd w:val="0"/>
        <w:snapToGrid w:val="0"/>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3.乙方未经甲方同意擅自变更设计团队人员构成的且未在规定的时间内调回人员的、乙方不配合甲方进行工作指导和验收的，违约按每天</w:t>
      </w:r>
      <w:r>
        <w:rPr>
          <w:rFonts w:hint="eastAsia" w:ascii="宋体" w:hAnsi="宋体" w:cs="宋体"/>
          <w:color w:val="auto"/>
          <w:kern w:val="0"/>
          <w:szCs w:val="21"/>
          <w:highlight w:val="none"/>
          <w:lang w:val="en-US" w:eastAsia="zh-CN"/>
        </w:rPr>
        <w:t>支付</w:t>
      </w:r>
      <w:r>
        <w:rPr>
          <w:rFonts w:hint="eastAsia" w:ascii="宋体" w:hAnsi="宋体" w:cs="宋体"/>
          <w:color w:val="auto"/>
          <w:kern w:val="0"/>
          <w:szCs w:val="21"/>
          <w:highlight w:val="none"/>
        </w:rPr>
        <w:t>合同金额</w:t>
      </w:r>
      <w:r>
        <w:rPr>
          <w:rFonts w:hint="eastAsia" w:ascii="宋体" w:hAnsi="宋体" w:cs="宋体"/>
          <w:color w:val="auto"/>
          <w:kern w:val="0"/>
          <w:szCs w:val="21"/>
          <w:highlight w:val="none"/>
          <w:lang w:val="en-US" w:eastAsia="zh-CN"/>
        </w:rPr>
        <w:t>万分之一</w:t>
      </w:r>
      <w:r>
        <w:rPr>
          <w:rFonts w:hint="eastAsia" w:ascii="宋体" w:hAnsi="宋体" w:cs="宋体"/>
          <w:color w:val="auto"/>
          <w:kern w:val="0"/>
          <w:szCs w:val="21"/>
          <w:highlight w:val="none"/>
        </w:rPr>
        <w:t>违约金，超过30天甲方有权</w:t>
      </w:r>
      <w:r>
        <w:rPr>
          <w:rFonts w:hint="eastAsia" w:ascii="宋体" w:hAnsi="宋体" w:cs="宋体"/>
          <w:color w:val="auto"/>
          <w:kern w:val="0"/>
          <w:szCs w:val="21"/>
          <w:highlight w:val="none"/>
          <w:lang w:val="en-US" w:eastAsia="zh-CN"/>
        </w:rPr>
        <w:t>单方解除本协议，乙方须向甲方</w:t>
      </w:r>
      <w:r>
        <w:rPr>
          <w:rFonts w:hint="eastAsia" w:ascii="宋体" w:hAnsi="宋体"/>
          <w:color w:val="auto"/>
          <w:szCs w:val="21"/>
          <w:highlight w:val="none"/>
        </w:rPr>
        <w:t>合同</w:t>
      </w:r>
      <w:r>
        <w:rPr>
          <w:rFonts w:hint="eastAsia" w:ascii="宋体" w:hAnsi="宋体"/>
          <w:color w:val="auto"/>
          <w:szCs w:val="21"/>
          <w:highlight w:val="none"/>
          <w:lang w:val="en-US" w:eastAsia="zh-CN"/>
        </w:rPr>
        <w:t>总金</w:t>
      </w:r>
      <w:r>
        <w:rPr>
          <w:rFonts w:hint="eastAsia" w:ascii="宋体" w:hAnsi="宋体"/>
          <w:color w:val="auto"/>
          <w:szCs w:val="21"/>
          <w:highlight w:val="none"/>
        </w:rPr>
        <w:t>额</w:t>
      </w:r>
      <w:r>
        <w:rPr>
          <w:rFonts w:hint="eastAsia" w:ascii="宋体" w:hAnsi="宋体"/>
          <w:color w:val="auto"/>
          <w:szCs w:val="21"/>
          <w:highlight w:val="none"/>
          <w:lang w:val="en-US" w:eastAsia="zh-CN"/>
        </w:rPr>
        <w:t>的</w:t>
      </w:r>
      <w:r>
        <w:rPr>
          <w:rFonts w:hint="eastAsia" w:ascii="宋体" w:hAnsi="宋体"/>
          <w:color w:val="auto"/>
          <w:szCs w:val="21"/>
          <w:highlight w:val="none"/>
        </w:rPr>
        <w:t>10%</w:t>
      </w:r>
      <w:r>
        <w:rPr>
          <w:rFonts w:hint="eastAsia" w:ascii="宋体" w:hAnsi="宋体"/>
          <w:color w:val="auto"/>
          <w:szCs w:val="21"/>
          <w:highlight w:val="none"/>
          <w:lang w:val="en-US" w:eastAsia="zh-CN"/>
        </w:rPr>
        <w:t>违约金，并承担甲方所有的损失，退回甲方已支付的所有款项。</w:t>
      </w:r>
    </w:p>
    <w:p w14:paraId="3E21B897">
      <w:pPr>
        <w:adjustRightInd w:val="0"/>
        <w:snapToGrid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4.乙方未按本合同和响应文件中规定的服务承诺提供售后服务的，乙方应按本合同合计金额10%向甲方支付违约金。</w:t>
      </w:r>
    </w:p>
    <w:p w14:paraId="50C816B3">
      <w:pPr>
        <w:adjustRightInd w:val="0"/>
        <w:snapToGrid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5.乙方提供的服务如侵犯了第三方合法权益而引发的任何纠纷或诉讼，均由乙方负责交涉并承担全部责任。</w:t>
      </w:r>
    </w:p>
    <w:p w14:paraId="3B4BFA0A">
      <w:pPr>
        <w:spacing w:line="382" w:lineRule="exact"/>
        <w:ind w:firstLine="420"/>
        <w:rPr>
          <w:rFonts w:ascii="宋体" w:hAnsi="宋体"/>
          <w:color w:val="auto"/>
          <w:szCs w:val="21"/>
          <w:highlight w:val="none"/>
        </w:rPr>
      </w:pPr>
      <w:r>
        <w:rPr>
          <w:rFonts w:hint="eastAsia" w:ascii="宋体" w:hAnsi="宋体"/>
          <w:color w:val="auto"/>
          <w:szCs w:val="21"/>
          <w:highlight w:val="none"/>
        </w:rPr>
        <w:t>6.其它违约行为按违约合同额10%收取违约金。</w:t>
      </w:r>
    </w:p>
    <w:p w14:paraId="789A8FFC">
      <w:pPr>
        <w:spacing w:line="382" w:lineRule="exact"/>
        <w:ind w:firstLine="420"/>
        <w:rPr>
          <w:rFonts w:ascii="宋体" w:hAnsi="宋体"/>
          <w:color w:val="auto"/>
          <w:szCs w:val="21"/>
          <w:highlight w:val="none"/>
        </w:rPr>
      </w:pPr>
      <w:r>
        <w:rPr>
          <w:rFonts w:hint="eastAsia" w:ascii="宋体" w:hAnsi="宋体"/>
          <w:color w:val="auto"/>
          <w:szCs w:val="21"/>
          <w:highlight w:val="none"/>
        </w:rPr>
        <w:t>7.如乙方未按本协议的约定履行其义务或者乙方提供的服务质量不合格等情况，乙方需按本协议的约定承担其违约责任以及赔偿甲方的损失，则甲方有权在履约保证金或者需要向乙方支付的进度款中予以直接扣除。</w:t>
      </w:r>
    </w:p>
    <w:p w14:paraId="6918367C">
      <w:pPr>
        <w:spacing w:line="382" w:lineRule="exact"/>
        <w:ind w:firstLine="420"/>
        <w:rPr>
          <w:rFonts w:ascii="宋体" w:hAnsi="宋体"/>
          <w:color w:val="auto"/>
          <w:szCs w:val="21"/>
          <w:highlight w:val="none"/>
        </w:rPr>
      </w:pPr>
      <w:r>
        <w:rPr>
          <w:rFonts w:hint="eastAsia" w:ascii="宋体" w:hAnsi="宋体"/>
          <w:color w:val="auto"/>
          <w:szCs w:val="21"/>
          <w:highlight w:val="none"/>
          <w:lang w:val="en-US" w:eastAsia="zh-CN"/>
        </w:rPr>
        <w:t>8</w:t>
      </w:r>
      <w:r>
        <w:rPr>
          <w:rFonts w:hint="eastAsia" w:ascii="宋体" w:hAnsi="宋体"/>
          <w:color w:val="auto"/>
          <w:szCs w:val="21"/>
          <w:highlight w:val="none"/>
        </w:rPr>
        <w:t>.乙方支付的违约金不足以弥补甲方损失的，还应承担赔偿责任。</w:t>
      </w:r>
    </w:p>
    <w:p w14:paraId="2392829B">
      <w:pPr>
        <w:spacing w:line="382" w:lineRule="exact"/>
        <w:ind w:firstLine="420"/>
        <w:rPr>
          <w:rFonts w:ascii="宋体" w:hAnsi="宋体"/>
          <w:color w:val="auto"/>
          <w:szCs w:val="21"/>
          <w:highlight w:val="none"/>
        </w:rPr>
      </w:pPr>
      <w:r>
        <w:rPr>
          <w:rFonts w:hint="eastAsia" w:ascii="宋体" w:hAnsi="宋体"/>
          <w:color w:val="auto"/>
          <w:szCs w:val="21"/>
          <w:highlight w:val="none"/>
          <w:lang w:val="en-US" w:eastAsia="zh-CN"/>
        </w:rPr>
        <w:t>9</w:t>
      </w:r>
      <w:r>
        <w:rPr>
          <w:rFonts w:hint="eastAsia" w:ascii="宋体" w:hAnsi="宋体"/>
          <w:color w:val="auto"/>
          <w:szCs w:val="21"/>
          <w:highlight w:val="none"/>
        </w:rPr>
        <w:t>.任何一方存在任何违约行为的，除按合同约定承担违约责任外，还应赔偿守约方的一切经济损失，包括直接的财产损失，以及因违约造成的可能产生的预期经济损失以及守约为应对相关处罚、纠纷、诉讼支出的全部费用（包括但不限于守约方因此承担的处罚、赔偿责任、发生的当事人以及代理人差旅费、诉讼费、公告费、律师费、公证费、保全费、诉讼保全保险费、评估费、鉴定费及其他损失等）。</w:t>
      </w:r>
    </w:p>
    <w:p w14:paraId="193B1FA0">
      <w:pPr>
        <w:spacing w:line="382" w:lineRule="exact"/>
        <w:ind w:firstLine="420"/>
        <w:rPr>
          <w:rFonts w:ascii="宋体" w:hAnsi="宋体"/>
          <w:color w:val="auto"/>
          <w:szCs w:val="21"/>
          <w:highlight w:val="none"/>
        </w:rPr>
      </w:pPr>
      <w:r>
        <w:rPr>
          <w:rFonts w:hint="eastAsia" w:ascii="宋体" w:hAnsi="宋体"/>
          <w:color w:val="auto"/>
          <w:szCs w:val="21"/>
          <w:highlight w:val="none"/>
          <w:lang w:val="en-US" w:eastAsia="zh-CN"/>
        </w:rPr>
        <w:t>10</w:t>
      </w:r>
      <w:r>
        <w:rPr>
          <w:rFonts w:hint="eastAsia" w:ascii="宋体" w:hAnsi="宋体"/>
          <w:color w:val="auto"/>
          <w:szCs w:val="21"/>
          <w:highlight w:val="none"/>
        </w:rPr>
        <w:t>.按本合同约定或法律规定，甲方主张解除合同的，自甲方解除合同的书面通知送达乙方之日起合同解除，乙方应赔偿由此给甲方造成的全部损失。甲方不支付乙方任何费用，乙方对解除合同有异议的异议期为叁日。乙方应当在合同解除后伍日内退还甲方支付的所有费用（如有），自费运回所交付的货物，付清违约金、赔偿金。</w:t>
      </w:r>
    </w:p>
    <w:p w14:paraId="77CE6C88">
      <w:pPr>
        <w:numPr>
          <w:ilvl w:val="0"/>
          <w:numId w:val="1"/>
        </w:numPr>
        <w:tabs>
          <w:tab w:val="left" w:pos="876"/>
        </w:tabs>
        <w:adjustRightInd w:val="0"/>
        <w:snapToGrid w:val="0"/>
        <w:spacing w:line="360" w:lineRule="auto"/>
        <w:ind w:left="233" w:leftChars="111" w:firstLine="162" w:firstLineChars="77"/>
        <w:rPr>
          <w:rFonts w:ascii="宋体" w:hAnsi="Calibri"/>
          <w:b/>
          <w:bCs/>
          <w:color w:val="auto"/>
          <w:szCs w:val="21"/>
          <w:highlight w:val="none"/>
        </w:rPr>
      </w:pPr>
      <w:r>
        <w:rPr>
          <w:rFonts w:hint="eastAsia" w:ascii="宋体" w:hAnsi="宋体" w:cs="宋体"/>
          <w:b/>
          <w:bCs/>
          <w:color w:val="auto"/>
          <w:szCs w:val="21"/>
          <w:highlight w:val="none"/>
        </w:rPr>
        <w:t>不可抗力：</w:t>
      </w:r>
    </w:p>
    <w:p w14:paraId="7EC1591F">
      <w:pPr>
        <w:adjustRightInd w:val="0"/>
        <w:snapToGrid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1.因台风、地震、水灾以及其他非甲、乙方责任造成的不能预见、不能避免并不能克服的客观情况为不可抗力。遭遇不可抗力的一方应该立即通知对方，并于不可抗力发生日起</w:t>
      </w:r>
      <w:r>
        <w:rPr>
          <w:rFonts w:ascii="宋体" w:hAnsi="宋体" w:cs="宋体"/>
          <w:color w:val="auto"/>
          <w:kern w:val="0"/>
          <w:szCs w:val="21"/>
          <w:highlight w:val="none"/>
          <w:u w:val="single"/>
        </w:rPr>
        <w:t xml:space="preserve"> 15</w:t>
      </w:r>
      <w:r>
        <w:rPr>
          <w:rFonts w:hint="eastAsia" w:ascii="宋体" w:hAnsi="宋体" w:cs="宋体"/>
          <w:color w:val="auto"/>
          <w:kern w:val="0"/>
          <w:szCs w:val="21"/>
          <w:highlight w:val="none"/>
        </w:rPr>
        <w:t>个工作日内提供相关权威部门的证明以及如何履行合同的方案。依据不可抗力对合同履行的影响程度，双方可协商解决履行合同的具体方式。</w:t>
      </w:r>
    </w:p>
    <w:p w14:paraId="3CD479C9">
      <w:pPr>
        <w:adjustRightInd w:val="0"/>
        <w:snapToGrid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2.不可抗力事件延续一百二十天以上，双方应通过友好协商，确定是否继续履行合同。</w:t>
      </w:r>
    </w:p>
    <w:p w14:paraId="19C4056B">
      <w:pPr>
        <w:numPr>
          <w:ilvl w:val="0"/>
          <w:numId w:val="1"/>
        </w:numPr>
        <w:tabs>
          <w:tab w:val="left" w:pos="876"/>
        </w:tabs>
        <w:adjustRightInd w:val="0"/>
        <w:snapToGrid w:val="0"/>
        <w:spacing w:line="360" w:lineRule="auto"/>
        <w:ind w:left="233" w:leftChars="111" w:firstLine="162" w:firstLineChars="77"/>
        <w:rPr>
          <w:rFonts w:ascii="宋体" w:hAnsi="Calibri"/>
          <w:b/>
          <w:bCs/>
          <w:color w:val="auto"/>
          <w:szCs w:val="21"/>
          <w:highlight w:val="none"/>
        </w:rPr>
      </w:pPr>
      <w:r>
        <w:rPr>
          <w:rFonts w:hint="eastAsia" w:ascii="宋体" w:hAnsi="宋体" w:cs="宋体"/>
          <w:b/>
          <w:bCs/>
          <w:color w:val="auto"/>
          <w:szCs w:val="21"/>
          <w:highlight w:val="none"/>
        </w:rPr>
        <w:t>合同的生效及其他</w:t>
      </w:r>
    </w:p>
    <w:p w14:paraId="5A613AF8">
      <w:pPr>
        <w:adjustRightInd w:val="0"/>
        <w:snapToGrid w:val="0"/>
        <w:spacing w:line="360" w:lineRule="auto"/>
        <w:ind w:firstLine="422" w:firstLineChars="200"/>
        <w:rPr>
          <w:rFonts w:ascii="宋体" w:hAnsi="宋体" w:cs="宋体"/>
          <w:b/>
          <w:bCs/>
          <w:color w:val="auto"/>
          <w:kern w:val="0"/>
          <w:szCs w:val="21"/>
          <w:highlight w:val="none"/>
        </w:rPr>
      </w:pPr>
      <w:r>
        <w:rPr>
          <w:rFonts w:hint="eastAsia" w:ascii="宋体" w:hAnsi="宋体" w:cs="宋体"/>
          <w:b/>
          <w:bCs/>
          <w:color w:val="auto"/>
          <w:kern w:val="0"/>
          <w:szCs w:val="21"/>
          <w:highlight w:val="none"/>
        </w:rPr>
        <w:t>1.合同经双方法定代表人(负责人)或授权代表（委托代理人）签字并加盖单位公章后生效。</w:t>
      </w:r>
    </w:p>
    <w:p w14:paraId="4BA784B7">
      <w:pPr>
        <w:adjustRightInd w:val="0"/>
        <w:snapToGrid w:val="0"/>
        <w:spacing w:line="360" w:lineRule="auto"/>
        <w:ind w:firstLine="422" w:firstLineChars="200"/>
        <w:rPr>
          <w:rFonts w:ascii="宋体" w:hAnsi="宋体" w:cs="宋体"/>
          <w:b/>
          <w:bCs/>
          <w:color w:val="auto"/>
          <w:kern w:val="0"/>
          <w:szCs w:val="21"/>
          <w:highlight w:val="none"/>
        </w:rPr>
      </w:pPr>
      <w:r>
        <w:rPr>
          <w:rFonts w:hint="eastAsia" w:ascii="宋体" w:hAnsi="宋体" w:cs="宋体"/>
          <w:b/>
          <w:bCs/>
          <w:color w:val="auto"/>
          <w:kern w:val="0"/>
          <w:szCs w:val="21"/>
          <w:highlight w:val="none"/>
        </w:rPr>
        <w:t>2.合同执行中涉及采购资金和采购内容修改或补充的，须签书面补充协议报广西壮族自治区财政厅政府采购监督管理处备案，方可作为主合同不可分割的一部分。</w:t>
      </w:r>
    </w:p>
    <w:p w14:paraId="05375AE1">
      <w:pPr>
        <w:adjustRightInd w:val="0"/>
        <w:snapToGrid w:val="0"/>
        <w:spacing w:line="360" w:lineRule="auto"/>
        <w:ind w:firstLine="422" w:firstLineChars="200"/>
        <w:rPr>
          <w:rFonts w:ascii="宋体" w:hAnsi="Calibri"/>
          <w:color w:val="auto"/>
          <w:kern w:val="0"/>
          <w:szCs w:val="21"/>
          <w:highlight w:val="none"/>
        </w:rPr>
      </w:pPr>
      <w:r>
        <w:rPr>
          <w:rFonts w:hint="eastAsia" w:ascii="宋体" w:hAnsi="宋体" w:cs="宋体"/>
          <w:b/>
          <w:bCs/>
          <w:color w:val="auto"/>
          <w:kern w:val="0"/>
          <w:szCs w:val="21"/>
          <w:highlight w:val="none"/>
        </w:rPr>
        <w:t>3</w:t>
      </w:r>
      <w:r>
        <w:rPr>
          <w:rFonts w:ascii="宋体" w:hAnsi="宋体" w:cs="宋体"/>
          <w:b/>
          <w:bCs/>
          <w:color w:val="auto"/>
          <w:kern w:val="0"/>
          <w:szCs w:val="21"/>
          <w:highlight w:val="none"/>
        </w:rPr>
        <w:t>.</w:t>
      </w:r>
      <w:r>
        <w:rPr>
          <w:rFonts w:hint="eastAsia" w:ascii="宋体" w:hAnsi="宋体" w:cs="宋体"/>
          <w:b/>
          <w:bCs/>
          <w:color w:val="auto"/>
          <w:kern w:val="0"/>
          <w:szCs w:val="21"/>
          <w:highlight w:val="none"/>
        </w:rPr>
        <w:t>本合同如有未尽事宜，遵照《中华人民共和国民法典》有关条文执行。</w:t>
      </w:r>
      <w:r>
        <w:rPr>
          <w:rFonts w:hint="eastAsia" w:ascii="宋体" w:hAnsi="宋体" w:cs="宋体"/>
          <w:color w:val="auto"/>
          <w:kern w:val="0"/>
          <w:szCs w:val="21"/>
          <w:highlight w:val="none"/>
        </w:rPr>
        <w:t>须经双方共同协商达成书面补充合同，补充合同与本合同具有同等法律效力。</w:t>
      </w:r>
    </w:p>
    <w:p w14:paraId="53E4E822">
      <w:pPr>
        <w:adjustRightInd w:val="0"/>
        <w:snapToGrid w:val="0"/>
        <w:spacing w:line="360" w:lineRule="auto"/>
        <w:ind w:firstLine="420" w:firstLineChars="200"/>
        <w:rPr>
          <w:rFonts w:ascii="宋体" w:hAnsi="Calibri"/>
          <w:color w:val="auto"/>
          <w:kern w:val="0"/>
          <w:szCs w:val="21"/>
          <w:highlight w:val="none"/>
        </w:rPr>
      </w:pPr>
      <w:r>
        <w:rPr>
          <w:rFonts w:hint="eastAsia" w:ascii="宋体" w:hAnsi="宋体" w:cs="宋体"/>
          <w:color w:val="auto"/>
          <w:kern w:val="0"/>
          <w:szCs w:val="21"/>
          <w:highlight w:val="none"/>
        </w:rPr>
        <w:t>4</w:t>
      </w:r>
      <w:r>
        <w:rPr>
          <w:rFonts w:ascii="宋体" w:hAnsi="宋体" w:cs="宋体"/>
          <w:color w:val="auto"/>
          <w:kern w:val="0"/>
          <w:szCs w:val="21"/>
          <w:highlight w:val="none"/>
        </w:rPr>
        <w:t>.</w:t>
      </w:r>
      <w:r>
        <w:rPr>
          <w:rFonts w:hint="eastAsia" w:ascii="宋体" w:hAnsi="宋体" w:cs="宋体"/>
          <w:color w:val="auto"/>
          <w:kern w:val="0"/>
          <w:szCs w:val="21"/>
          <w:highlight w:val="none"/>
        </w:rPr>
        <w:t>在本合同履行过程中，双方经协商一致达成书面合同的可以变更或解除本合同。</w:t>
      </w:r>
    </w:p>
    <w:p w14:paraId="357E25BF">
      <w:pPr>
        <w:adjustRightInd w:val="0"/>
        <w:snapToGrid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5.合同任一方名称、联系人、银行账号等当事人信息发生变化时，应该立即书面通知对方。否则，因此而产生的不利后果，由发生变更一方承担。</w:t>
      </w:r>
    </w:p>
    <w:p w14:paraId="251094A8">
      <w:pPr>
        <w:numPr>
          <w:ilvl w:val="0"/>
          <w:numId w:val="1"/>
        </w:numPr>
        <w:tabs>
          <w:tab w:val="left" w:pos="876"/>
        </w:tabs>
        <w:adjustRightInd w:val="0"/>
        <w:snapToGrid w:val="0"/>
        <w:spacing w:line="360" w:lineRule="auto"/>
        <w:ind w:left="233" w:leftChars="111" w:firstLine="162" w:firstLineChars="77"/>
        <w:rPr>
          <w:rFonts w:ascii="宋体" w:hAnsi="Calibri"/>
          <w:b/>
          <w:bCs/>
          <w:color w:val="auto"/>
          <w:szCs w:val="21"/>
          <w:highlight w:val="none"/>
        </w:rPr>
      </w:pPr>
      <w:r>
        <w:rPr>
          <w:rFonts w:hint="eastAsia" w:ascii="宋体" w:hAnsi="宋体" w:cs="宋体"/>
          <w:b/>
          <w:bCs/>
          <w:color w:val="auto"/>
          <w:szCs w:val="21"/>
          <w:highlight w:val="none"/>
        </w:rPr>
        <w:t>合同的变更、终止与转让</w:t>
      </w:r>
    </w:p>
    <w:p w14:paraId="37612E6F">
      <w:pPr>
        <w:snapToGrid w:val="0"/>
        <w:spacing w:line="382" w:lineRule="exact"/>
        <w:ind w:firstLine="420" w:firstLineChars="200"/>
        <w:rPr>
          <w:rFonts w:ascii="宋体" w:hAnsi="宋体"/>
          <w:color w:val="auto"/>
          <w:szCs w:val="21"/>
          <w:highlight w:val="none"/>
        </w:rPr>
      </w:pPr>
      <w:r>
        <w:rPr>
          <w:rFonts w:hint="eastAsia" w:ascii="宋体" w:hAnsi="宋体"/>
          <w:color w:val="auto"/>
          <w:szCs w:val="21"/>
          <w:highlight w:val="none"/>
        </w:rPr>
        <w:t>1.除《中华人民共和国政府采购法》第五十条规定的情形外，本合同一经签订，甲乙双方不得擅自变更、中止或终止。</w:t>
      </w:r>
    </w:p>
    <w:p w14:paraId="3AA43B42">
      <w:pPr>
        <w:snapToGrid w:val="0"/>
        <w:spacing w:line="382" w:lineRule="exact"/>
        <w:ind w:firstLine="420" w:firstLineChars="200"/>
        <w:rPr>
          <w:rFonts w:hAnsi="宋体"/>
          <w:color w:val="auto"/>
          <w:highlight w:val="none"/>
        </w:rPr>
      </w:pPr>
      <w:r>
        <w:rPr>
          <w:rFonts w:hint="eastAsia" w:ascii="宋体" w:hAnsi="宋体"/>
          <w:color w:val="auto"/>
          <w:szCs w:val="21"/>
          <w:highlight w:val="none"/>
        </w:rPr>
        <w:t>2.乙方不</w:t>
      </w:r>
      <w:r>
        <w:rPr>
          <w:rFonts w:hint="eastAsia" w:hAnsi="宋体"/>
          <w:color w:val="auto"/>
          <w:highlight w:val="none"/>
        </w:rPr>
        <w:t>得擅自转让（无进口资格的乙方委托进口货物除外）其应履行的合同义务。</w:t>
      </w:r>
    </w:p>
    <w:p w14:paraId="75B281B0">
      <w:pPr>
        <w:numPr>
          <w:ilvl w:val="0"/>
          <w:numId w:val="1"/>
        </w:numPr>
        <w:tabs>
          <w:tab w:val="left" w:pos="876"/>
        </w:tabs>
        <w:adjustRightInd w:val="0"/>
        <w:snapToGrid w:val="0"/>
        <w:spacing w:line="360" w:lineRule="auto"/>
        <w:ind w:left="233" w:leftChars="111" w:firstLine="162" w:firstLineChars="77"/>
        <w:rPr>
          <w:rFonts w:ascii="宋体" w:hAnsi="Calibri"/>
          <w:b/>
          <w:bCs/>
          <w:color w:val="auto"/>
          <w:szCs w:val="21"/>
          <w:highlight w:val="none"/>
        </w:rPr>
      </w:pPr>
      <w:r>
        <w:rPr>
          <w:rFonts w:hint="eastAsia" w:ascii="宋体" w:hAnsi="宋体"/>
          <w:b/>
          <w:color w:val="auto"/>
          <w:szCs w:val="21"/>
          <w:highlight w:val="none"/>
        </w:rPr>
        <w:t>签订本合同依据</w:t>
      </w:r>
      <w:r>
        <w:rPr>
          <w:rFonts w:hint="eastAsia" w:ascii="宋体" w:hAnsi="宋体" w:cs="宋体"/>
          <w:b/>
          <w:bCs/>
          <w:color w:val="auto"/>
          <w:szCs w:val="21"/>
          <w:highlight w:val="none"/>
        </w:rPr>
        <w:t>：</w:t>
      </w:r>
    </w:p>
    <w:p w14:paraId="35F1BFB9">
      <w:pPr>
        <w:snapToGrid w:val="0"/>
        <w:spacing w:line="382" w:lineRule="exact"/>
        <w:ind w:firstLine="420" w:firstLineChars="200"/>
        <w:rPr>
          <w:rFonts w:ascii="宋体" w:hAnsi="宋体"/>
          <w:color w:val="auto"/>
          <w:szCs w:val="21"/>
          <w:highlight w:val="none"/>
        </w:rPr>
      </w:pPr>
      <w:r>
        <w:rPr>
          <w:rFonts w:hint="eastAsia" w:ascii="宋体" w:hAnsi="宋体"/>
          <w:color w:val="auto"/>
          <w:szCs w:val="21"/>
          <w:highlight w:val="none"/>
        </w:rPr>
        <w:t>1.磋商文件；</w:t>
      </w:r>
    </w:p>
    <w:p w14:paraId="57DA7F98">
      <w:pPr>
        <w:snapToGrid w:val="0"/>
        <w:spacing w:line="382" w:lineRule="exact"/>
        <w:ind w:firstLine="420" w:firstLineChars="200"/>
        <w:rPr>
          <w:rFonts w:ascii="宋体" w:hAnsi="宋体"/>
          <w:color w:val="auto"/>
          <w:szCs w:val="21"/>
          <w:highlight w:val="none"/>
        </w:rPr>
      </w:pPr>
      <w:r>
        <w:rPr>
          <w:rFonts w:hint="eastAsia" w:ascii="宋体" w:hAnsi="宋体"/>
          <w:color w:val="auto"/>
          <w:szCs w:val="21"/>
          <w:highlight w:val="none"/>
        </w:rPr>
        <w:t>2.乙方提供的响应文件；</w:t>
      </w:r>
    </w:p>
    <w:p w14:paraId="09E6606B">
      <w:pPr>
        <w:snapToGrid w:val="0"/>
        <w:spacing w:line="382" w:lineRule="exact"/>
        <w:ind w:firstLine="420" w:firstLineChars="200"/>
        <w:rPr>
          <w:rFonts w:ascii="宋体" w:hAnsi="宋体"/>
          <w:color w:val="auto"/>
          <w:szCs w:val="21"/>
          <w:highlight w:val="none"/>
        </w:rPr>
      </w:pPr>
      <w:r>
        <w:rPr>
          <w:rFonts w:hint="eastAsia" w:ascii="宋体" w:hAnsi="宋体"/>
          <w:color w:val="auto"/>
          <w:szCs w:val="21"/>
          <w:highlight w:val="none"/>
        </w:rPr>
        <w:t>3.成交通知书。</w:t>
      </w:r>
    </w:p>
    <w:p w14:paraId="1A278936">
      <w:pPr>
        <w:snapToGrid w:val="0"/>
        <w:spacing w:line="382" w:lineRule="exact"/>
        <w:ind w:firstLine="420" w:firstLineChars="200"/>
        <w:rPr>
          <w:rFonts w:ascii="宋体" w:hAnsi="宋体"/>
          <w:color w:val="auto"/>
          <w:szCs w:val="21"/>
          <w:highlight w:val="none"/>
        </w:rPr>
      </w:pPr>
      <w:r>
        <w:rPr>
          <w:rFonts w:hint="eastAsia" w:ascii="宋体" w:hAnsi="宋体"/>
          <w:color w:val="auto"/>
          <w:szCs w:val="21"/>
          <w:highlight w:val="none"/>
        </w:rPr>
        <w:t>上述合同文件互相补充和解释。如果合同文件之间存在矛盾或者不一致之处，首先以本合同为准，其次，以上述文件的排列顺序在先者为准，但如果某一文件对甲方权利维护更有利或对乙方有更高、更严格要求的以该文件内容为准。</w:t>
      </w:r>
    </w:p>
    <w:p w14:paraId="5FA9949D">
      <w:pPr>
        <w:numPr>
          <w:ilvl w:val="0"/>
          <w:numId w:val="1"/>
        </w:numPr>
        <w:tabs>
          <w:tab w:val="left" w:pos="876"/>
        </w:tabs>
        <w:adjustRightInd w:val="0"/>
        <w:snapToGrid w:val="0"/>
        <w:spacing w:line="360" w:lineRule="auto"/>
        <w:ind w:left="233" w:leftChars="111" w:firstLine="162" w:firstLineChars="77"/>
        <w:rPr>
          <w:rFonts w:ascii="宋体" w:hAnsi="Calibri"/>
          <w:b/>
          <w:bCs/>
          <w:color w:val="auto"/>
          <w:szCs w:val="21"/>
          <w:highlight w:val="none"/>
        </w:rPr>
      </w:pPr>
      <w:r>
        <w:rPr>
          <w:rFonts w:hint="eastAsia" w:ascii="宋体" w:hAnsi="宋体"/>
          <w:b/>
          <w:color w:val="auto"/>
          <w:szCs w:val="21"/>
          <w:highlight w:val="none"/>
          <w:lang w:eastAsia="ar-SA"/>
        </w:rPr>
        <w:t>通知</w:t>
      </w:r>
      <w:r>
        <w:rPr>
          <w:rFonts w:hint="eastAsia" w:ascii="宋体" w:hAnsi="宋体" w:cs="宋体"/>
          <w:b/>
          <w:bCs/>
          <w:color w:val="auto"/>
          <w:szCs w:val="21"/>
          <w:highlight w:val="none"/>
        </w:rPr>
        <w:t>：</w:t>
      </w:r>
    </w:p>
    <w:p w14:paraId="62C63A2C">
      <w:pPr>
        <w:snapToGrid w:val="0"/>
        <w:spacing w:line="382" w:lineRule="exact"/>
        <w:ind w:firstLine="420" w:firstLineChars="200"/>
        <w:rPr>
          <w:rFonts w:ascii="宋体" w:hAnsi="宋体"/>
          <w:color w:val="auto"/>
          <w:szCs w:val="21"/>
          <w:highlight w:val="none"/>
          <w:lang w:eastAsia="ar-SA"/>
        </w:rPr>
      </w:pPr>
      <w:r>
        <w:rPr>
          <w:rFonts w:hint="eastAsia" w:ascii="宋体" w:hAnsi="宋体"/>
          <w:color w:val="auto"/>
          <w:szCs w:val="21"/>
          <w:highlight w:val="none"/>
          <w:lang w:eastAsia="ar-SA"/>
        </w:rPr>
        <w:t>双方确认本合同落款通讯地址作为文书送达地址，该通讯地址适用于包括双方合同履行过程中的各类通知、协议等文件以及就合同发生争议进入诉讼、仲裁程序阶段法律文书的送达。通讯地址需要变更时应当提前15个工作日书面通知对方。因提供或者确认的通讯地址不准确、通讯地址变更后未及时依程序告知对方或受送达方拒绝签收等原因，导致文书未能被实际接收的，邮寄送达的，以文书退回之日视为送达之日，电子邮件、传真送达的，一经发送，即视为送达。</w:t>
      </w:r>
      <w:bookmarkStart w:id="180" w:name="_Hlk148991709"/>
      <w:r>
        <w:rPr>
          <w:rFonts w:hint="eastAsia" w:ascii="宋体" w:hAnsi="宋体"/>
          <w:color w:val="auto"/>
          <w:szCs w:val="21"/>
          <w:highlight w:val="none"/>
        </w:rPr>
        <w:t>本</w:t>
      </w:r>
      <w:r>
        <w:rPr>
          <w:rFonts w:hint="eastAsia" w:ascii="宋体" w:hAnsi="宋体"/>
          <w:color w:val="auto"/>
          <w:szCs w:val="21"/>
          <w:highlight w:val="none"/>
          <w:lang w:eastAsia="ar-SA"/>
        </w:rPr>
        <w:t>合同</w:t>
      </w:r>
      <w:r>
        <w:rPr>
          <w:rFonts w:hint="eastAsia" w:ascii="宋体" w:hAnsi="宋体"/>
          <w:color w:val="auto"/>
          <w:szCs w:val="21"/>
          <w:highlight w:val="none"/>
        </w:rPr>
        <w:t>中的通知、</w:t>
      </w:r>
      <w:r>
        <w:rPr>
          <w:rFonts w:hint="eastAsia" w:ascii="宋体" w:hAnsi="宋体"/>
          <w:color w:val="auto"/>
          <w:szCs w:val="21"/>
          <w:highlight w:val="none"/>
          <w:lang w:eastAsia="ar-SA"/>
        </w:rPr>
        <w:t>送达条款与信息安全保密条款、争议解决条款均为独立条款，不受合同整体或其他条款的效力的影响</w:t>
      </w:r>
      <w:r>
        <w:rPr>
          <w:rFonts w:hint="eastAsia" w:ascii="宋体" w:hAnsi="宋体"/>
          <w:color w:val="auto"/>
          <w:szCs w:val="21"/>
          <w:highlight w:val="none"/>
        </w:rPr>
        <w:t>。</w:t>
      </w:r>
      <w:bookmarkEnd w:id="180"/>
    </w:p>
    <w:p w14:paraId="6F321425">
      <w:pPr>
        <w:numPr>
          <w:ilvl w:val="0"/>
          <w:numId w:val="1"/>
        </w:numPr>
        <w:tabs>
          <w:tab w:val="left" w:pos="876"/>
        </w:tabs>
        <w:adjustRightInd w:val="0"/>
        <w:snapToGrid w:val="0"/>
        <w:spacing w:line="360" w:lineRule="auto"/>
        <w:ind w:left="233" w:leftChars="111" w:firstLine="162" w:firstLineChars="77"/>
        <w:rPr>
          <w:rFonts w:ascii="宋体" w:hAnsi="Calibri"/>
          <w:b/>
          <w:bCs/>
          <w:color w:val="auto"/>
          <w:szCs w:val="21"/>
          <w:highlight w:val="none"/>
        </w:rPr>
      </w:pPr>
      <w:r>
        <w:rPr>
          <w:rFonts w:hint="eastAsia" w:ascii="宋体" w:hAnsi="宋体"/>
          <w:b/>
          <w:color w:val="auto"/>
          <w:szCs w:val="21"/>
          <w:highlight w:val="none"/>
          <w:lang w:eastAsia="ar-SA"/>
        </w:rPr>
        <w:t>反商业贿赂</w:t>
      </w:r>
      <w:r>
        <w:rPr>
          <w:rFonts w:hint="eastAsia" w:ascii="宋体" w:hAnsi="宋体" w:cs="宋体"/>
          <w:b/>
          <w:bCs/>
          <w:color w:val="auto"/>
          <w:szCs w:val="21"/>
          <w:highlight w:val="none"/>
        </w:rPr>
        <w:t>：</w:t>
      </w:r>
    </w:p>
    <w:p w14:paraId="389B3C30">
      <w:pPr>
        <w:snapToGrid w:val="0"/>
        <w:spacing w:line="382" w:lineRule="exact"/>
        <w:ind w:firstLine="420" w:firstLineChars="200"/>
        <w:rPr>
          <w:rFonts w:ascii="宋体" w:hAnsi="宋体"/>
          <w:color w:val="auto"/>
          <w:szCs w:val="21"/>
          <w:highlight w:val="none"/>
          <w:lang w:eastAsia="ar-SA"/>
        </w:rPr>
      </w:pPr>
      <w:r>
        <w:rPr>
          <w:rFonts w:hint="eastAsia" w:ascii="宋体" w:hAnsi="宋体"/>
          <w:color w:val="auto"/>
          <w:szCs w:val="21"/>
          <w:highlight w:val="none"/>
          <w:lang w:eastAsia="ar-SA"/>
        </w:rPr>
        <w:t>乙方不得向甲方以及经办人、工作人员或其他相关人员提供、给予合同约定外的任何利益，包括但不限于明扣、暗扣、现金、购物卡、实物、有价证券、旅游或其他非物质性利益等，否则构成重大违约。</w:t>
      </w:r>
    </w:p>
    <w:p w14:paraId="12E9BB3C">
      <w:pPr>
        <w:numPr>
          <w:ilvl w:val="0"/>
          <w:numId w:val="1"/>
        </w:numPr>
        <w:tabs>
          <w:tab w:val="left" w:pos="876"/>
        </w:tabs>
        <w:adjustRightInd w:val="0"/>
        <w:snapToGrid w:val="0"/>
        <w:spacing w:line="360" w:lineRule="auto"/>
        <w:ind w:left="233" w:leftChars="111" w:firstLine="162" w:firstLineChars="77"/>
        <w:rPr>
          <w:rFonts w:ascii="宋体" w:hAnsi="Calibri"/>
          <w:b/>
          <w:bCs/>
          <w:color w:val="auto"/>
          <w:szCs w:val="21"/>
          <w:highlight w:val="none"/>
        </w:rPr>
      </w:pPr>
      <w:r>
        <w:rPr>
          <w:rFonts w:hint="eastAsia" w:ascii="宋体" w:hAnsi="宋体" w:cs="宋体"/>
          <w:b/>
          <w:bCs/>
          <w:color w:val="auto"/>
          <w:szCs w:val="21"/>
          <w:highlight w:val="none"/>
        </w:rPr>
        <w:t>其他：</w:t>
      </w:r>
    </w:p>
    <w:p w14:paraId="627FFF67">
      <w:pPr>
        <w:adjustRightInd w:val="0"/>
        <w:snapToGrid w:val="0"/>
        <w:spacing w:line="360" w:lineRule="auto"/>
        <w:ind w:firstLine="420" w:firstLineChars="200"/>
        <w:rPr>
          <w:rFonts w:ascii="宋体" w:hAnsi="Calibri"/>
          <w:color w:val="auto"/>
          <w:kern w:val="0"/>
          <w:szCs w:val="21"/>
          <w:highlight w:val="none"/>
        </w:rPr>
      </w:pPr>
      <w:r>
        <w:rPr>
          <w:rFonts w:ascii="宋体" w:hAnsi="宋体" w:cs="宋体"/>
          <w:color w:val="auto"/>
          <w:kern w:val="0"/>
          <w:szCs w:val="21"/>
          <w:highlight w:val="none"/>
        </w:rPr>
        <w:t>1.</w:t>
      </w:r>
      <w:r>
        <w:rPr>
          <w:rFonts w:hint="eastAsia" w:ascii="宋体" w:hAnsi="宋体" w:cs="宋体"/>
          <w:color w:val="auto"/>
          <w:kern w:val="0"/>
          <w:szCs w:val="21"/>
          <w:highlight w:val="none"/>
        </w:rPr>
        <w:t>其它形式的优惠，均应当由乙方出具盖公章的书面文件。</w:t>
      </w:r>
    </w:p>
    <w:p w14:paraId="56FAE980">
      <w:pPr>
        <w:adjustRightInd w:val="0"/>
        <w:snapToGrid w:val="0"/>
        <w:spacing w:line="360" w:lineRule="auto"/>
        <w:ind w:firstLine="420" w:firstLineChars="200"/>
        <w:rPr>
          <w:rFonts w:ascii="宋体" w:hAnsi="Calibri"/>
          <w:color w:val="auto"/>
          <w:kern w:val="0"/>
          <w:szCs w:val="21"/>
          <w:highlight w:val="none"/>
        </w:rPr>
      </w:pPr>
      <w:r>
        <w:rPr>
          <w:rFonts w:ascii="宋体" w:hAnsi="宋体" w:cs="宋体"/>
          <w:color w:val="auto"/>
          <w:kern w:val="0"/>
          <w:szCs w:val="21"/>
          <w:highlight w:val="none"/>
        </w:rPr>
        <w:t>2.</w:t>
      </w:r>
      <w:r>
        <w:rPr>
          <w:rFonts w:hint="eastAsia" w:ascii="宋体" w:hAnsi="宋体" w:cs="宋体"/>
          <w:color w:val="auto"/>
          <w:kern w:val="0"/>
          <w:szCs w:val="21"/>
          <w:highlight w:val="none"/>
        </w:rPr>
        <w:t>本合同在履行过程中发生的争议，由双方当事人友好协商解决，也可由有关部门调解；协商或调解不成的，按下列第</w:t>
      </w:r>
      <w:r>
        <w:rPr>
          <w:rFonts w:hint="eastAsia" w:ascii="宋体" w:hAnsi="宋体" w:cs="宋体"/>
          <w:color w:val="auto"/>
          <w:kern w:val="0"/>
          <w:szCs w:val="21"/>
          <w:highlight w:val="none"/>
          <w:u w:val="single"/>
        </w:rPr>
        <w:t>（2）</w:t>
      </w:r>
      <w:r>
        <w:rPr>
          <w:rFonts w:hint="eastAsia" w:ascii="宋体" w:hAnsi="宋体" w:cs="宋体"/>
          <w:color w:val="auto"/>
          <w:kern w:val="0"/>
          <w:szCs w:val="21"/>
          <w:highlight w:val="none"/>
        </w:rPr>
        <w:t>种方式解决：</w:t>
      </w:r>
    </w:p>
    <w:p w14:paraId="55335A23">
      <w:pPr>
        <w:adjustRightInd w:val="0"/>
        <w:snapToGrid w:val="0"/>
        <w:spacing w:line="360" w:lineRule="auto"/>
        <w:ind w:firstLine="420" w:firstLineChars="200"/>
        <w:rPr>
          <w:rFonts w:ascii="宋体" w:hAnsi="Calibri"/>
          <w:color w:val="auto"/>
          <w:kern w:val="0"/>
          <w:szCs w:val="21"/>
          <w:highlight w:val="none"/>
        </w:rPr>
      </w:pPr>
      <w:r>
        <w:rPr>
          <w:rFonts w:hint="eastAsia" w:ascii="宋体" w:hAnsi="宋体" w:cs="宋体"/>
          <w:color w:val="auto"/>
          <w:kern w:val="0"/>
          <w:szCs w:val="21"/>
          <w:highlight w:val="none"/>
        </w:rPr>
        <w:t>（</w:t>
      </w:r>
      <w:r>
        <w:rPr>
          <w:rFonts w:ascii="宋体" w:hAnsi="宋体" w:cs="宋体"/>
          <w:color w:val="auto"/>
          <w:kern w:val="0"/>
          <w:szCs w:val="21"/>
          <w:highlight w:val="none"/>
        </w:rPr>
        <w:t>1</w:t>
      </w:r>
      <w:r>
        <w:rPr>
          <w:rFonts w:hint="eastAsia" w:ascii="宋体" w:hAnsi="宋体" w:cs="宋体"/>
          <w:color w:val="auto"/>
          <w:kern w:val="0"/>
          <w:szCs w:val="21"/>
          <w:highlight w:val="none"/>
        </w:rPr>
        <w:t>）提请甲方所在地仲裁委员会仲裁；</w:t>
      </w:r>
    </w:p>
    <w:p w14:paraId="7F9839B9">
      <w:pPr>
        <w:adjustRightInd w:val="0"/>
        <w:snapToGrid w:val="0"/>
        <w:spacing w:line="360" w:lineRule="auto"/>
        <w:ind w:firstLine="420" w:firstLineChars="200"/>
        <w:rPr>
          <w:rFonts w:ascii="宋体" w:hAnsi="Calibri"/>
          <w:color w:val="auto"/>
          <w:kern w:val="0"/>
          <w:szCs w:val="21"/>
          <w:highlight w:val="none"/>
        </w:rPr>
      </w:pPr>
      <w:r>
        <w:rPr>
          <w:rFonts w:hint="eastAsia" w:ascii="宋体" w:hAnsi="宋体" w:cs="宋体"/>
          <w:color w:val="auto"/>
          <w:kern w:val="0"/>
          <w:szCs w:val="21"/>
          <w:highlight w:val="none"/>
        </w:rPr>
        <w:t>（</w:t>
      </w:r>
      <w:r>
        <w:rPr>
          <w:rFonts w:ascii="宋体" w:hAnsi="宋体" w:cs="宋体"/>
          <w:color w:val="auto"/>
          <w:kern w:val="0"/>
          <w:szCs w:val="21"/>
          <w:highlight w:val="none"/>
        </w:rPr>
        <w:t>2</w:t>
      </w:r>
      <w:r>
        <w:rPr>
          <w:rFonts w:hint="eastAsia" w:ascii="宋体" w:hAnsi="宋体" w:cs="宋体"/>
          <w:color w:val="auto"/>
          <w:kern w:val="0"/>
          <w:szCs w:val="21"/>
          <w:highlight w:val="none"/>
        </w:rPr>
        <w:t>）依法向甲方所在地人民法院起诉。</w:t>
      </w:r>
    </w:p>
    <w:p w14:paraId="194518A7">
      <w:pPr>
        <w:adjustRightInd w:val="0"/>
        <w:snapToGrid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3.仲裁期间，本合同继续履行。</w:t>
      </w:r>
    </w:p>
    <w:p w14:paraId="0F2464EA">
      <w:pPr>
        <w:adjustRightInd w:val="0"/>
        <w:snapToGrid w:val="0"/>
        <w:spacing w:line="360" w:lineRule="auto"/>
        <w:ind w:firstLine="420" w:firstLineChars="200"/>
        <w:rPr>
          <w:rFonts w:ascii="宋体" w:hAnsi="Calibri"/>
          <w:color w:val="auto"/>
          <w:kern w:val="0"/>
          <w:szCs w:val="21"/>
          <w:highlight w:val="none"/>
        </w:rPr>
      </w:pPr>
      <w:r>
        <w:rPr>
          <w:rFonts w:hint="eastAsia" w:ascii="宋体" w:hAnsi="宋体" w:cs="宋体"/>
          <w:color w:val="auto"/>
          <w:kern w:val="0"/>
          <w:szCs w:val="21"/>
          <w:highlight w:val="none"/>
        </w:rPr>
        <w:t>4</w:t>
      </w:r>
      <w:r>
        <w:rPr>
          <w:rFonts w:ascii="宋体" w:hAnsi="宋体" w:cs="宋体"/>
          <w:color w:val="auto"/>
          <w:kern w:val="0"/>
          <w:szCs w:val="21"/>
          <w:highlight w:val="none"/>
        </w:rPr>
        <w:t>.</w:t>
      </w:r>
      <w:r>
        <w:rPr>
          <w:rFonts w:hint="eastAsia" w:ascii="宋体" w:hAnsi="宋体" w:cs="宋体"/>
          <w:color w:val="auto"/>
          <w:kern w:val="0"/>
          <w:szCs w:val="21"/>
          <w:highlight w:val="none"/>
        </w:rPr>
        <w:t>本合同一式捌份，具有同等法律效力，甲方肆份，乙方贰份，广西壮族自治区财政厅政府采购监督管理处、采购代理机构各壹份。</w:t>
      </w:r>
    </w:p>
    <w:p w14:paraId="0A3BAF50">
      <w:pPr>
        <w:adjustRightInd w:val="0"/>
        <w:snapToGrid w:val="0"/>
        <w:spacing w:line="360" w:lineRule="auto"/>
        <w:ind w:firstLine="420" w:firstLineChars="200"/>
        <w:rPr>
          <w:rFonts w:ascii="宋体" w:hAnsi="Calibri"/>
          <w:color w:val="auto"/>
          <w:kern w:val="0"/>
          <w:szCs w:val="21"/>
          <w:highlight w:val="none"/>
        </w:rPr>
      </w:pPr>
      <w:r>
        <w:rPr>
          <w:rFonts w:hint="eastAsia" w:ascii="宋体" w:hAnsi="宋体" w:cs="宋体"/>
          <w:color w:val="auto"/>
          <w:kern w:val="0"/>
          <w:szCs w:val="21"/>
          <w:highlight w:val="none"/>
        </w:rPr>
        <w:t>5</w:t>
      </w:r>
      <w:r>
        <w:rPr>
          <w:rFonts w:ascii="宋体" w:hAnsi="宋体" w:cs="宋体"/>
          <w:color w:val="auto"/>
          <w:kern w:val="0"/>
          <w:szCs w:val="21"/>
          <w:highlight w:val="none"/>
        </w:rPr>
        <w:t>.</w:t>
      </w:r>
      <w:r>
        <w:rPr>
          <w:rFonts w:hint="eastAsia" w:ascii="宋体" w:hAnsi="宋体" w:cs="宋体"/>
          <w:color w:val="auto"/>
          <w:kern w:val="0"/>
          <w:szCs w:val="21"/>
          <w:highlight w:val="none"/>
        </w:rPr>
        <w:t>本合同甲乙双方签字盖章后生效，自签订之日起7个工作日内，甲方应当将合同副本报同级政府采购监督管理部门和有关部门备案，并应当自签订之日起2个工作日内，将政府采购合同在省级以上人民政府财政部门指定的媒体上公告。</w:t>
      </w:r>
    </w:p>
    <w:p w14:paraId="429C5626">
      <w:pPr>
        <w:snapToGrid w:val="0"/>
        <w:spacing w:line="350" w:lineRule="exact"/>
        <w:ind w:firstLine="420" w:firstLineChars="200"/>
        <w:rPr>
          <w:color w:val="auto"/>
          <w:highlight w:val="none"/>
        </w:rPr>
      </w:pPr>
      <w:r>
        <w:rPr>
          <w:rFonts w:hint="eastAsia" w:ascii="微软雅黑" w:hAnsi="微软雅黑" w:eastAsia="微软雅黑" w:cs="Arial"/>
          <w:color w:val="auto"/>
          <w:kern w:val="1"/>
          <w:szCs w:val="21"/>
          <w:highlight w:val="none"/>
        </w:rPr>
        <w:t>（以下为签章页，无正文）</w:t>
      </w:r>
    </w:p>
    <w:p w14:paraId="2D92C129">
      <w:pPr>
        <w:snapToGrid w:val="0"/>
        <w:spacing w:line="400" w:lineRule="exact"/>
        <w:ind w:firstLine="420" w:firstLineChars="200"/>
        <w:rPr>
          <w:rFonts w:ascii="宋体" w:hAnsi="宋体" w:cs="宋体"/>
          <w:color w:val="auto"/>
          <w:kern w:val="0"/>
          <w:szCs w:val="21"/>
          <w:highlight w:val="none"/>
        </w:rPr>
      </w:pPr>
    </w:p>
    <w:p w14:paraId="7F2B7D74">
      <w:pPr>
        <w:snapToGrid w:val="0"/>
        <w:spacing w:line="400" w:lineRule="exact"/>
        <w:ind w:firstLine="420" w:firstLineChars="200"/>
        <w:rPr>
          <w:rFonts w:ascii="仿宋_GB2312" w:hAnsi="宋体" w:eastAsia="仿宋_GB2312"/>
          <w:color w:val="auto"/>
          <w:sz w:val="28"/>
          <w:szCs w:val="28"/>
          <w:highlight w:val="none"/>
        </w:rPr>
      </w:pPr>
      <w:r>
        <w:rPr>
          <w:rFonts w:ascii="宋体" w:hAnsi="宋体" w:cs="宋体"/>
          <w:color w:val="auto"/>
          <w:kern w:val="0"/>
          <w:szCs w:val="21"/>
          <w:highlight w:val="none"/>
        </w:rPr>
        <w:br w:type="page"/>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9"/>
        <w:gridCol w:w="4680"/>
      </w:tblGrid>
      <w:tr w14:paraId="44E63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42" w:hRule="atLeast"/>
          <w:jc w:val="center"/>
        </w:trPr>
        <w:tc>
          <w:tcPr>
            <w:tcW w:w="4679" w:type="dxa"/>
            <w:vAlign w:val="center"/>
          </w:tcPr>
          <w:p w14:paraId="63AE2BD2">
            <w:pPr>
              <w:snapToGrid w:val="0"/>
              <w:spacing w:line="400" w:lineRule="exact"/>
              <w:rPr>
                <w:rFonts w:ascii="宋体" w:hAnsi="宋体"/>
                <w:color w:val="auto"/>
                <w:szCs w:val="21"/>
                <w:highlight w:val="none"/>
              </w:rPr>
            </w:pPr>
            <w:r>
              <w:rPr>
                <w:rFonts w:hint="eastAsia" w:ascii="宋体" w:hAnsi="宋体"/>
                <w:color w:val="auto"/>
                <w:szCs w:val="21"/>
                <w:highlight w:val="none"/>
              </w:rPr>
              <w:t xml:space="preserve">甲方（章）广西壮族自治区人民检察院           </w:t>
            </w:r>
          </w:p>
          <w:p w14:paraId="0DDBF860">
            <w:pPr>
              <w:snapToGrid w:val="0"/>
              <w:spacing w:line="400" w:lineRule="exact"/>
              <w:rPr>
                <w:rFonts w:ascii="宋体" w:hAnsi="宋体"/>
                <w:color w:val="auto"/>
                <w:szCs w:val="21"/>
                <w:highlight w:val="none"/>
              </w:rPr>
            </w:pPr>
          </w:p>
          <w:p w14:paraId="6094589F">
            <w:pPr>
              <w:snapToGrid w:val="0"/>
              <w:spacing w:line="400" w:lineRule="exact"/>
              <w:rPr>
                <w:rFonts w:ascii="宋体" w:hAnsi="宋体"/>
                <w:color w:val="auto"/>
                <w:szCs w:val="21"/>
                <w:highlight w:val="none"/>
              </w:rPr>
            </w:pPr>
          </w:p>
          <w:p w14:paraId="0870A3EF">
            <w:pPr>
              <w:snapToGrid w:val="0"/>
              <w:spacing w:line="400" w:lineRule="exact"/>
              <w:rPr>
                <w:rFonts w:ascii="宋体" w:hAnsi="宋体"/>
                <w:color w:val="auto"/>
                <w:szCs w:val="21"/>
                <w:highlight w:val="none"/>
              </w:rPr>
            </w:pPr>
          </w:p>
          <w:p w14:paraId="7502559A">
            <w:pPr>
              <w:snapToGrid w:val="0"/>
              <w:spacing w:line="400" w:lineRule="exact"/>
              <w:rPr>
                <w:rFonts w:ascii="宋体" w:hAnsi="宋体"/>
                <w:color w:val="auto"/>
                <w:szCs w:val="21"/>
                <w:highlight w:val="none"/>
              </w:rPr>
            </w:pPr>
          </w:p>
          <w:p w14:paraId="6157343F">
            <w:pPr>
              <w:snapToGrid w:val="0"/>
              <w:spacing w:line="400" w:lineRule="exact"/>
              <w:ind w:firstLine="945" w:firstLineChars="450"/>
              <w:jc w:val="right"/>
              <w:rPr>
                <w:rFonts w:ascii="宋体" w:hAnsi="宋体"/>
                <w:color w:val="auto"/>
                <w:szCs w:val="21"/>
                <w:highlight w:val="none"/>
              </w:rPr>
            </w:pPr>
            <w:r>
              <w:rPr>
                <w:rFonts w:hint="eastAsia" w:ascii="宋体" w:hAnsi="宋体"/>
                <w:color w:val="auto"/>
                <w:szCs w:val="21"/>
                <w:highlight w:val="none"/>
              </w:rPr>
              <w:t>年   月   日</w:t>
            </w:r>
          </w:p>
        </w:tc>
        <w:tc>
          <w:tcPr>
            <w:tcW w:w="4680" w:type="dxa"/>
            <w:vAlign w:val="center"/>
          </w:tcPr>
          <w:p w14:paraId="791BAE16">
            <w:pPr>
              <w:snapToGrid w:val="0"/>
              <w:spacing w:line="400" w:lineRule="exact"/>
              <w:rPr>
                <w:rFonts w:ascii="宋体" w:hAnsi="宋体"/>
                <w:color w:val="auto"/>
                <w:szCs w:val="21"/>
                <w:highlight w:val="none"/>
              </w:rPr>
            </w:pPr>
            <w:r>
              <w:rPr>
                <w:rFonts w:hint="eastAsia" w:ascii="宋体" w:hAnsi="宋体"/>
                <w:color w:val="auto"/>
                <w:szCs w:val="21"/>
                <w:highlight w:val="none"/>
              </w:rPr>
              <w:t xml:space="preserve">乙方（章）             </w:t>
            </w:r>
          </w:p>
          <w:p w14:paraId="41C2D919">
            <w:pPr>
              <w:snapToGrid w:val="0"/>
              <w:spacing w:line="400" w:lineRule="exact"/>
              <w:rPr>
                <w:rFonts w:ascii="宋体" w:hAnsi="宋体"/>
                <w:color w:val="auto"/>
                <w:szCs w:val="21"/>
                <w:highlight w:val="none"/>
              </w:rPr>
            </w:pPr>
          </w:p>
          <w:p w14:paraId="293A4D9B">
            <w:pPr>
              <w:snapToGrid w:val="0"/>
              <w:spacing w:line="400" w:lineRule="exact"/>
              <w:rPr>
                <w:rFonts w:ascii="宋体" w:hAnsi="宋体"/>
                <w:color w:val="auto"/>
                <w:szCs w:val="21"/>
                <w:highlight w:val="none"/>
              </w:rPr>
            </w:pPr>
          </w:p>
          <w:p w14:paraId="7763C5A8">
            <w:pPr>
              <w:snapToGrid w:val="0"/>
              <w:spacing w:line="400" w:lineRule="exact"/>
              <w:rPr>
                <w:rFonts w:ascii="宋体" w:hAnsi="宋体"/>
                <w:color w:val="auto"/>
                <w:szCs w:val="21"/>
                <w:highlight w:val="none"/>
              </w:rPr>
            </w:pPr>
          </w:p>
          <w:p w14:paraId="32591D3C">
            <w:pPr>
              <w:snapToGrid w:val="0"/>
              <w:spacing w:line="400" w:lineRule="exact"/>
              <w:rPr>
                <w:rFonts w:ascii="宋体" w:hAnsi="宋体"/>
                <w:color w:val="auto"/>
                <w:szCs w:val="21"/>
                <w:highlight w:val="none"/>
              </w:rPr>
            </w:pPr>
          </w:p>
          <w:p w14:paraId="6AF77341">
            <w:pPr>
              <w:snapToGrid w:val="0"/>
              <w:spacing w:line="400" w:lineRule="exact"/>
              <w:jc w:val="right"/>
              <w:rPr>
                <w:rFonts w:ascii="宋体" w:hAnsi="宋体"/>
                <w:color w:val="auto"/>
                <w:szCs w:val="21"/>
                <w:highlight w:val="none"/>
              </w:rPr>
            </w:pPr>
            <w:r>
              <w:rPr>
                <w:rFonts w:hint="eastAsia" w:ascii="宋体" w:hAnsi="宋体"/>
                <w:color w:val="auto"/>
                <w:szCs w:val="21"/>
                <w:highlight w:val="none"/>
              </w:rPr>
              <w:t xml:space="preserve"> 年   月   日</w:t>
            </w:r>
          </w:p>
        </w:tc>
      </w:tr>
      <w:tr w14:paraId="39413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4" w:hRule="atLeast"/>
          <w:jc w:val="center"/>
        </w:trPr>
        <w:tc>
          <w:tcPr>
            <w:tcW w:w="4679" w:type="dxa"/>
          </w:tcPr>
          <w:p w14:paraId="2D318F59">
            <w:pPr>
              <w:snapToGrid w:val="0"/>
              <w:spacing w:line="400" w:lineRule="exact"/>
              <w:rPr>
                <w:rFonts w:ascii="宋体" w:hAnsi="宋体"/>
                <w:color w:val="auto"/>
                <w:szCs w:val="21"/>
                <w:highlight w:val="none"/>
              </w:rPr>
            </w:pPr>
            <w:r>
              <w:rPr>
                <w:rFonts w:hint="eastAsia" w:ascii="宋体" w:hAnsi="宋体"/>
                <w:color w:val="auto"/>
                <w:szCs w:val="21"/>
                <w:highlight w:val="none"/>
              </w:rPr>
              <w:t>单位地址：广西壮族自治区南宁市青秀区凤翔路3号</w:t>
            </w:r>
          </w:p>
        </w:tc>
        <w:tc>
          <w:tcPr>
            <w:tcW w:w="4680" w:type="dxa"/>
          </w:tcPr>
          <w:p w14:paraId="46751057">
            <w:pPr>
              <w:snapToGrid w:val="0"/>
              <w:spacing w:line="400" w:lineRule="exact"/>
              <w:rPr>
                <w:rFonts w:ascii="宋体" w:hAnsi="宋体"/>
                <w:color w:val="auto"/>
                <w:szCs w:val="21"/>
                <w:highlight w:val="none"/>
              </w:rPr>
            </w:pPr>
            <w:r>
              <w:rPr>
                <w:rFonts w:hint="eastAsia" w:ascii="宋体" w:hAnsi="宋体"/>
                <w:color w:val="auto"/>
                <w:szCs w:val="21"/>
                <w:highlight w:val="none"/>
              </w:rPr>
              <w:t>单位地址：</w:t>
            </w:r>
          </w:p>
        </w:tc>
      </w:tr>
      <w:tr w14:paraId="42E52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9" w:hRule="atLeast"/>
          <w:jc w:val="center"/>
        </w:trPr>
        <w:tc>
          <w:tcPr>
            <w:tcW w:w="4679" w:type="dxa"/>
          </w:tcPr>
          <w:p w14:paraId="5B3AA5AC">
            <w:pPr>
              <w:snapToGrid w:val="0"/>
              <w:spacing w:line="400" w:lineRule="exact"/>
              <w:rPr>
                <w:rFonts w:ascii="宋体" w:hAnsi="宋体"/>
                <w:color w:val="auto"/>
                <w:szCs w:val="21"/>
                <w:highlight w:val="none"/>
              </w:rPr>
            </w:pPr>
            <w:r>
              <w:rPr>
                <w:rFonts w:hint="eastAsia" w:ascii="宋体" w:hAnsi="宋体"/>
                <w:color w:val="auto"/>
                <w:szCs w:val="21"/>
                <w:highlight w:val="none"/>
              </w:rPr>
              <w:t>法定代表人(负责人)：</w:t>
            </w:r>
          </w:p>
        </w:tc>
        <w:tc>
          <w:tcPr>
            <w:tcW w:w="4680" w:type="dxa"/>
          </w:tcPr>
          <w:p w14:paraId="4480B24E">
            <w:pPr>
              <w:snapToGrid w:val="0"/>
              <w:spacing w:line="400" w:lineRule="exact"/>
              <w:rPr>
                <w:rFonts w:ascii="宋体" w:hAnsi="宋体"/>
                <w:color w:val="auto"/>
                <w:szCs w:val="21"/>
                <w:highlight w:val="none"/>
              </w:rPr>
            </w:pPr>
            <w:r>
              <w:rPr>
                <w:rFonts w:hint="eastAsia" w:ascii="宋体" w:hAnsi="宋体"/>
                <w:color w:val="auto"/>
                <w:szCs w:val="21"/>
                <w:highlight w:val="none"/>
              </w:rPr>
              <w:t>法定代表人(负责人)：</w:t>
            </w:r>
          </w:p>
        </w:tc>
      </w:tr>
      <w:tr w14:paraId="1AADC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1" w:hRule="atLeast"/>
          <w:jc w:val="center"/>
        </w:trPr>
        <w:tc>
          <w:tcPr>
            <w:tcW w:w="4679" w:type="dxa"/>
          </w:tcPr>
          <w:p w14:paraId="33E37D6E">
            <w:pPr>
              <w:snapToGrid w:val="0"/>
              <w:spacing w:line="400" w:lineRule="exact"/>
              <w:rPr>
                <w:rFonts w:ascii="宋体" w:hAnsi="宋体"/>
                <w:color w:val="auto"/>
                <w:szCs w:val="21"/>
                <w:highlight w:val="none"/>
              </w:rPr>
            </w:pPr>
            <w:r>
              <w:rPr>
                <w:rFonts w:hint="eastAsia" w:ascii="宋体" w:hAnsi="宋体"/>
                <w:color w:val="auto"/>
                <w:szCs w:val="21"/>
                <w:highlight w:val="none"/>
              </w:rPr>
              <w:t>委托代理人：</w:t>
            </w:r>
          </w:p>
        </w:tc>
        <w:tc>
          <w:tcPr>
            <w:tcW w:w="4680" w:type="dxa"/>
          </w:tcPr>
          <w:p w14:paraId="76A770D6">
            <w:pPr>
              <w:snapToGrid w:val="0"/>
              <w:spacing w:line="400" w:lineRule="exact"/>
              <w:rPr>
                <w:rFonts w:ascii="宋体" w:hAnsi="宋体"/>
                <w:color w:val="auto"/>
                <w:szCs w:val="21"/>
                <w:highlight w:val="none"/>
              </w:rPr>
            </w:pPr>
            <w:r>
              <w:rPr>
                <w:rFonts w:hint="eastAsia" w:ascii="宋体" w:hAnsi="宋体"/>
                <w:color w:val="auto"/>
                <w:szCs w:val="21"/>
                <w:highlight w:val="none"/>
              </w:rPr>
              <w:t>委托代理人：</w:t>
            </w:r>
          </w:p>
        </w:tc>
      </w:tr>
      <w:tr w14:paraId="0DC10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0" w:hRule="atLeast"/>
          <w:jc w:val="center"/>
        </w:trPr>
        <w:tc>
          <w:tcPr>
            <w:tcW w:w="4679" w:type="dxa"/>
          </w:tcPr>
          <w:p w14:paraId="4F5DB240">
            <w:pPr>
              <w:snapToGrid w:val="0"/>
              <w:spacing w:line="400" w:lineRule="exact"/>
              <w:rPr>
                <w:rFonts w:ascii="宋体" w:hAnsi="宋体"/>
                <w:color w:val="auto"/>
                <w:szCs w:val="21"/>
                <w:highlight w:val="none"/>
              </w:rPr>
            </w:pPr>
            <w:r>
              <w:rPr>
                <w:rFonts w:hint="eastAsia" w:ascii="宋体" w:hAnsi="宋体"/>
                <w:color w:val="auto"/>
                <w:szCs w:val="21"/>
                <w:highlight w:val="none"/>
              </w:rPr>
              <w:t>电话：0771-5506183</w:t>
            </w:r>
          </w:p>
        </w:tc>
        <w:tc>
          <w:tcPr>
            <w:tcW w:w="4680" w:type="dxa"/>
          </w:tcPr>
          <w:p w14:paraId="2776AE4E">
            <w:pPr>
              <w:snapToGrid w:val="0"/>
              <w:spacing w:line="400" w:lineRule="exact"/>
              <w:rPr>
                <w:rFonts w:ascii="宋体" w:hAnsi="宋体"/>
                <w:color w:val="auto"/>
                <w:szCs w:val="21"/>
                <w:highlight w:val="none"/>
              </w:rPr>
            </w:pPr>
            <w:r>
              <w:rPr>
                <w:rFonts w:hint="eastAsia" w:ascii="宋体" w:hAnsi="宋体"/>
                <w:color w:val="auto"/>
                <w:szCs w:val="21"/>
                <w:highlight w:val="none"/>
              </w:rPr>
              <w:t>电话：</w:t>
            </w:r>
          </w:p>
        </w:tc>
      </w:tr>
      <w:tr w14:paraId="2CB0D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8" w:hRule="atLeast"/>
          <w:jc w:val="center"/>
        </w:trPr>
        <w:tc>
          <w:tcPr>
            <w:tcW w:w="4679" w:type="dxa"/>
          </w:tcPr>
          <w:p w14:paraId="533B82C9">
            <w:pPr>
              <w:snapToGrid w:val="0"/>
              <w:spacing w:line="400" w:lineRule="exact"/>
              <w:rPr>
                <w:rFonts w:ascii="宋体" w:hAnsi="宋体"/>
                <w:color w:val="auto"/>
                <w:szCs w:val="21"/>
                <w:highlight w:val="none"/>
              </w:rPr>
            </w:pPr>
            <w:r>
              <w:rPr>
                <w:rFonts w:hint="eastAsia" w:ascii="宋体" w:hAnsi="宋体"/>
                <w:color w:val="auto"/>
                <w:szCs w:val="21"/>
                <w:highlight w:val="none"/>
              </w:rPr>
              <w:t>电子邮箱：</w:t>
            </w:r>
          </w:p>
        </w:tc>
        <w:tc>
          <w:tcPr>
            <w:tcW w:w="4680" w:type="dxa"/>
          </w:tcPr>
          <w:p w14:paraId="4F80BE26">
            <w:pPr>
              <w:snapToGrid w:val="0"/>
              <w:spacing w:line="400" w:lineRule="exact"/>
              <w:rPr>
                <w:rFonts w:ascii="宋体" w:hAnsi="宋体"/>
                <w:color w:val="auto"/>
                <w:szCs w:val="21"/>
                <w:highlight w:val="none"/>
              </w:rPr>
            </w:pPr>
            <w:r>
              <w:rPr>
                <w:rFonts w:hint="eastAsia" w:ascii="宋体" w:hAnsi="宋体"/>
                <w:color w:val="auto"/>
                <w:szCs w:val="21"/>
                <w:highlight w:val="none"/>
              </w:rPr>
              <w:t>电子邮箱：</w:t>
            </w:r>
          </w:p>
        </w:tc>
      </w:tr>
      <w:tr w14:paraId="7C796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8" w:hRule="atLeast"/>
          <w:jc w:val="center"/>
        </w:trPr>
        <w:tc>
          <w:tcPr>
            <w:tcW w:w="4679" w:type="dxa"/>
          </w:tcPr>
          <w:p w14:paraId="2F0268D0">
            <w:pPr>
              <w:snapToGrid w:val="0"/>
              <w:spacing w:line="400" w:lineRule="exact"/>
              <w:rPr>
                <w:rFonts w:ascii="宋体" w:hAnsi="宋体"/>
                <w:color w:val="auto"/>
                <w:szCs w:val="21"/>
                <w:highlight w:val="none"/>
              </w:rPr>
            </w:pPr>
            <w:r>
              <w:rPr>
                <w:rFonts w:hint="eastAsia" w:ascii="宋体" w:hAnsi="宋体"/>
                <w:color w:val="auto"/>
                <w:szCs w:val="21"/>
                <w:highlight w:val="none"/>
              </w:rPr>
              <w:t>开户银行：</w:t>
            </w:r>
          </w:p>
        </w:tc>
        <w:tc>
          <w:tcPr>
            <w:tcW w:w="4680" w:type="dxa"/>
          </w:tcPr>
          <w:p w14:paraId="7342CD4F">
            <w:pPr>
              <w:snapToGrid w:val="0"/>
              <w:spacing w:line="400" w:lineRule="exact"/>
              <w:rPr>
                <w:rFonts w:ascii="宋体" w:hAnsi="宋体"/>
                <w:color w:val="auto"/>
                <w:szCs w:val="21"/>
                <w:highlight w:val="none"/>
              </w:rPr>
            </w:pPr>
            <w:r>
              <w:rPr>
                <w:rFonts w:hint="eastAsia" w:ascii="宋体" w:hAnsi="宋体"/>
                <w:color w:val="auto"/>
                <w:szCs w:val="21"/>
                <w:highlight w:val="none"/>
              </w:rPr>
              <w:t>开户银行：</w:t>
            </w:r>
          </w:p>
        </w:tc>
      </w:tr>
      <w:tr w14:paraId="33793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1" w:hRule="atLeast"/>
          <w:jc w:val="center"/>
        </w:trPr>
        <w:tc>
          <w:tcPr>
            <w:tcW w:w="4679" w:type="dxa"/>
          </w:tcPr>
          <w:p w14:paraId="4F791FED">
            <w:pPr>
              <w:snapToGrid w:val="0"/>
              <w:spacing w:line="400" w:lineRule="exact"/>
              <w:rPr>
                <w:rFonts w:ascii="宋体" w:hAnsi="宋体"/>
                <w:color w:val="auto"/>
                <w:szCs w:val="21"/>
                <w:highlight w:val="none"/>
              </w:rPr>
            </w:pPr>
            <w:r>
              <w:rPr>
                <w:rFonts w:hint="eastAsia" w:ascii="宋体" w:hAnsi="宋体"/>
                <w:color w:val="auto"/>
                <w:szCs w:val="21"/>
                <w:highlight w:val="none"/>
              </w:rPr>
              <w:t>账号：</w:t>
            </w:r>
          </w:p>
        </w:tc>
        <w:tc>
          <w:tcPr>
            <w:tcW w:w="4680" w:type="dxa"/>
          </w:tcPr>
          <w:p w14:paraId="26EF1C1F">
            <w:pPr>
              <w:snapToGrid w:val="0"/>
              <w:spacing w:line="400" w:lineRule="exact"/>
              <w:rPr>
                <w:rFonts w:ascii="宋体" w:hAnsi="宋体"/>
                <w:color w:val="auto"/>
                <w:szCs w:val="21"/>
                <w:highlight w:val="none"/>
              </w:rPr>
            </w:pPr>
            <w:r>
              <w:rPr>
                <w:rFonts w:hint="eastAsia" w:ascii="宋体" w:hAnsi="宋体"/>
                <w:color w:val="auto"/>
                <w:szCs w:val="21"/>
                <w:highlight w:val="none"/>
              </w:rPr>
              <w:t>账号：</w:t>
            </w:r>
          </w:p>
        </w:tc>
      </w:tr>
      <w:tr w14:paraId="37C89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4" w:hRule="atLeast"/>
          <w:jc w:val="center"/>
        </w:trPr>
        <w:tc>
          <w:tcPr>
            <w:tcW w:w="4679" w:type="dxa"/>
          </w:tcPr>
          <w:p w14:paraId="4C132E3F">
            <w:pPr>
              <w:snapToGrid w:val="0"/>
              <w:spacing w:line="400" w:lineRule="exact"/>
              <w:rPr>
                <w:rFonts w:ascii="宋体" w:hAnsi="宋体"/>
                <w:color w:val="auto"/>
                <w:highlight w:val="none"/>
              </w:rPr>
            </w:pPr>
            <w:r>
              <w:rPr>
                <w:rFonts w:hint="eastAsia" w:ascii="宋体" w:hAnsi="宋体"/>
                <w:color w:val="auto"/>
                <w:highlight w:val="none"/>
              </w:rPr>
              <w:t>纳税人识别号或统一社会信用代码：</w:t>
            </w:r>
          </w:p>
          <w:p w14:paraId="3E0DF192">
            <w:pPr>
              <w:pStyle w:val="2"/>
              <w:rPr>
                <w:color w:val="auto"/>
                <w:highlight w:val="none"/>
              </w:rPr>
            </w:pPr>
          </w:p>
        </w:tc>
        <w:tc>
          <w:tcPr>
            <w:tcW w:w="4680" w:type="dxa"/>
          </w:tcPr>
          <w:p w14:paraId="5F6F4689">
            <w:pPr>
              <w:snapToGrid w:val="0"/>
              <w:spacing w:line="400" w:lineRule="exact"/>
              <w:rPr>
                <w:rFonts w:ascii="宋体" w:hAnsi="宋体"/>
                <w:color w:val="auto"/>
                <w:szCs w:val="21"/>
                <w:highlight w:val="none"/>
              </w:rPr>
            </w:pPr>
            <w:r>
              <w:rPr>
                <w:rFonts w:hint="eastAsia" w:ascii="宋体" w:hAnsi="宋体"/>
                <w:color w:val="auto"/>
                <w:highlight w:val="none"/>
              </w:rPr>
              <w:t>纳税人识别号或统一社会信用代码：</w:t>
            </w:r>
          </w:p>
        </w:tc>
      </w:tr>
      <w:tr w14:paraId="0EED0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5" w:hRule="atLeast"/>
          <w:jc w:val="center"/>
        </w:trPr>
        <w:tc>
          <w:tcPr>
            <w:tcW w:w="4679" w:type="dxa"/>
          </w:tcPr>
          <w:p w14:paraId="1867D3D5">
            <w:pPr>
              <w:snapToGrid w:val="0"/>
              <w:spacing w:line="400" w:lineRule="exact"/>
              <w:rPr>
                <w:rFonts w:ascii="宋体" w:hAnsi="宋体"/>
                <w:color w:val="auto"/>
                <w:szCs w:val="21"/>
                <w:highlight w:val="none"/>
              </w:rPr>
            </w:pPr>
            <w:r>
              <w:rPr>
                <w:rFonts w:hint="eastAsia" w:ascii="宋体" w:hAnsi="宋体"/>
                <w:color w:val="auto"/>
                <w:szCs w:val="21"/>
                <w:highlight w:val="none"/>
              </w:rPr>
              <w:t>邮政编码：</w:t>
            </w:r>
          </w:p>
        </w:tc>
        <w:tc>
          <w:tcPr>
            <w:tcW w:w="4680" w:type="dxa"/>
          </w:tcPr>
          <w:p w14:paraId="0697FAE4">
            <w:pPr>
              <w:snapToGrid w:val="0"/>
              <w:spacing w:line="400" w:lineRule="exact"/>
              <w:rPr>
                <w:rFonts w:ascii="宋体" w:hAnsi="宋体"/>
                <w:color w:val="auto"/>
                <w:szCs w:val="21"/>
                <w:highlight w:val="none"/>
              </w:rPr>
            </w:pPr>
            <w:r>
              <w:rPr>
                <w:rFonts w:hint="eastAsia" w:ascii="宋体" w:hAnsi="宋体"/>
                <w:color w:val="auto"/>
                <w:szCs w:val="21"/>
                <w:highlight w:val="none"/>
              </w:rPr>
              <w:t>邮政编码：</w:t>
            </w:r>
          </w:p>
        </w:tc>
      </w:tr>
    </w:tbl>
    <w:p w14:paraId="4E316362">
      <w:pPr>
        <w:snapToGrid w:val="0"/>
        <w:spacing w:line="360" w:lineRule="auto"/>
        <w:jc w:val="center"/>
        <w:rPr>
          <w:rFonts w:ascii="宋体" w:hAnsi="宋体"/>
          <w:color w:val="auto"/>
          <w:szCs w:val="21"/>
          <w:highlight w:val="none"/>
        </w:rPr>
      </w:pPr>
      <w:r>
        <w:rPr>
          <w:rFonts w:hint="eastAsia" w:ascii="宋体" w:hAnsi="宋体"/>
          <w:b/>
          <w:color w:val="auto"/>
          <w:szCs w:val="21"/>
          <w:highlight w:val="none"/>
        </w:rPr>
        <w:br w:type="page"/>
      </w:r>
      <w:r>
        <w:rPr>
          <w:rFonts w:hint="eastAsia" w:ascii="宋体" w:hAnsi="宋体"/>
          <w:b/>
          <w:color w:val="auto"/>
          <w:szCs w:val="21"/>
          <w:highlight w:val="none"/>
        </w:rPr>
        <w:t>合 同 附 件</w:t>
      </w:r>
    </w:p>
    <w:tbl>
      <w:tblPr>
        <w:tblStyle w:val="31"/>
        <w:tblW w:w="0" w:type="auto"/>
        <w:jc w:val="center"/>
        <w:tblLayout w:type="fixed"/>
        <w:tblCellMar>
          <w:top w:w="0" w:type="dxa"/>
          <w:left w:w="108" w:type="dxa"/>
          <w:bottom w:w="0" w:type="dxa"/>
          <w:right w:w="108" w:type="dxa"/>
        </w:tblCellMar>
      </w:tblPr>
      <w:tblGrid>
        <w:gridCol w:w="4420"/>
        <w:gridCol w:w="4871"/>
      </w:tblGrid>
      <w:tr w14:paraId="5A7C1470">
        <w:tblPrEx>
          <w:tblCellMar>
            <w:top w:w="0" w:type="dxa"/>
            <w:left w:w="108" w:type="dxa"/>
            <w:bottom w:w="0" w:type="dxa"/>
            <w:right w:w="108" w:type="dxa"/>
          </w:tblCellMar>
        </w:tblPrEx>
        <w:trPr>
          <w:trHeight w:val="2139" w:hRule="atLeast"/>
          <w:jc w:val="center"/>
        </w:trPr>
        <w:tc>
          <w:tcPr>
            <w:tcW w:w="9291" w:type="dxa"/>
            <w:gridSpan w:val="2"/>
            <w:tcBorders>
              <w:top w:val="single" w:color="auto" w:sz="4" w:space="0"/>
              <w:left w:val="single" w:color="auto" w:sz="4" w:space="0"/>
              <w:right w:val="single" w:color="auto" w:sz="4" w:space="0"/>
            </w:tcBorders>
          </w:tcPr>
          <w:p w14:paraId="787EEF47">
            <w:pPr>
              <w:snapToGrid w:val="0"/>
              <w:spacing w:line="400" w:lineRule="exact"/>
              <w:rPr>
                <w:rFonts w:ascii="宋体" w:hAnsi="宋体"/>
                <w:b/>
                <w:color w:val="auto"/>
                <w:szCs w:val="21"/>
                <w:highlight w:val="none"/>
              </w:rPr>
            </w:pPr>
            <w:r>
              <w:rPr>
                <w:rFonts w:hint="eastAsia" w:ascii="宋体" w:hAnsi="宋体"/>
                <w:b/>
                <w:color w:val="auto"/>
                <w:szCs w:val="21"/>
                <w:highlight w:val="none"/>
              </w:rPr>
              <w:t>1、乙方承诺具体事项：详见响应文件。</w:t>
            </w:r>
          </w:p>
        </w:tc>
      </w:tr>
      <w:tr w14:paraId="4315C1A0">
        <w:tblPrEx>
          <w:tblCellMar>
            <w:top w:w="0" w:type="dxa"/>
            <w:left w:w="108" w:type="dxa"/>
            <w:bottom w:w="0" w:type="dxa"/>
            <w:right w:w="108" w:type="dxa"/>
          </w:tblCellMar>
        </w:tblPrEx>
        <w:trPr>
          <w:trHeight w:val="2139" w:hRule="atLeast"/>
          <w:jc w:val="center"/>
        </w:trPr>
        <w:tc>
          <w:tcPr>
            <w:tcW w:w="9291" w:type="dxa"/>
            <w:gridSpan w:val="2"/>
            <w:tcBorders>
              <w:top w:val="single" w:color="auto" w:sz="4" w:space="0"/>
              <w:left w:val="single" w:color="auto" w:sz="4" w:space="0"/>
              <w:right w:val="single" w:color="auto" w:sz="4" w:space="0"/>
            </w:tcBorders>
          </w:tcPr>
          <w:p w14:paraId="23A55248">
            <w:pPr>
              <w:snapToGrid w:val="0"/>
              <w:spacing w:line="400" w:lineRule="exact"/>
              <w:rPr>
                <w:rFonts w:ascii="宋体" w:hAnsi="宋体"/>
                <w:b/>
                <w:color w:val="auto"/>
                <w:szCs w:val="21"/>
                <w:highlight w:val="none"/>
              </w:rPr>
            </w:pPr>
            <w:r>
              <w:rPr>
                <w:rFonts w:hint="eastAsia" w:ascii="宋体" w:hAnsi="宋体"/>
                <w:b/>
                <w:color w:val="auto"/>
                <w:szCs w:val="21"/>
                <w:highlight w:val="none"/>
              </w:rPr>
              <w:t>2、售后服务具体事项：详见响应文件。</w:t>
            </w:r>
          </w:p>
        </w:tc>
      </w:tr>
      <w:tr w14:paraId="3B528B3F">
        <w:tblPrEx>
          <w:tblCellMar>
            <w:top w:w="0" w:type="dxa"/>
            <w:left w:w="108" w:type="dxa"/>
            <w:bottom w:w="0" w:type="dxa"/>
            <w:right w:w="108" w:type="dxa"/>
          </w:tblCellMar>
        </w:tblPrEx>
        <w:trPr>
          <w:trHeight w:val="2139" w:hRule="atLeast"/>
          <w:jc w:val="center"/>
        </w:trPr>
        <w:tc>
          <w:tcPr>
            <w:tcW w:w="9291" w:type="dxa"/>
            <w:gridSpan w:val="2"/>
            <w:tcBorders>
              <w:top w:val="single" w:color="auto" w:sz="4" w:space="0"/>
              <w:left w:val="single" w:color="auto" w:sz="4" w:space="0"/>
              <w:right w:val="single" w:color="auto" w:sz="4" w:space="0"/>
            </w:tcBorders>
          </w:tcPr>
          <w:p w14:paraId="647C7DE5">
            <w:pPr>
              <w:snapToGrid w:val="0"/>
              <w:spacing w:line="400" w:lineRule="exact"/>
              <w:rPr>
                <w:rFonts w:ascii="宋体" w:hAnsi="宋体"/>
                <w:b/>
                <w:color w:val="auto"/>
                <w:szCs w:val="21"/>
                <w:highlight w:val="none"/>
              </w:rPr>
            </w:pPr>
            <w:r>
              <w:rPr>
                <w:rFonts w:hint="eastAsia" w:ascii="宋体" w:hAnsi="宋体"/>
                <w:b/>
                <w:color w:val="auto"/>
                <w:szCs w:val="21"/>
                <w:highlight w:val="none"/>
              </w:rPr>
              <w:t>3、保修期责任：详见响应文件。</w:t>
            </w:r>
          </w:p>
        </w:tc>
      </w:tr>
      <w:tr w14:paraId="3A96A6DF">
        <w:tblPrEx>
          <w:tblCellMar>
            <w:top w:w="0" w:type="dxa"/>
            <w:left w:w="108" w:type="dxa"/>
            <w:bottom w:w="0" w:type="dxa"/>
            <w:right w:w="108" w:type="dxa"/>
          </w:tblCellMar>
        </w:tblPrEx>
        <w:trPr>
          <w:trHeight w:val="2139" w:hRule="atLeast"/>
          <w:jc w:val="center"/>
        </w:trPr>
        <w:tc>
          <w:tcPr>
            <w:tcW w:w="9291" w:type="dxa"/>
            <w:gridSpan w:val="2"/>
            <w:tcBorders>
              <w:top w:val="single" w:color="auto" w:sz="4" w:space="0"/>
              <w:left w:val="single" w:color="auto" w:sz="4" w:space="0"/>
              <w:right w:val="single" w:color="auto" w:sz="4" w:space="0"/>
            </w:tcBorders>
          </w:tcPr>
          <w:p w14:paraId="671EC2FA">
            <w:pPr>
              <w:snapToGrid w:val="0"/>
              <w:spacing w:line="400" w:lineRule="exact"/>
              <w:rPr>
                <w:rFonts w:ascii="宋体" w:hAnsi="宋体"/>
                <w:b/>
                <w:color w:val="auto"/>
                <w:szCs w:val="21"/>
                <w:highlight w:val="none"/>
              </w:rPr>
            </w:pPr>
            <w:r>
              <w:rPr>
                <w:rFonts w:hint="eastAsia" w:ascii="宋体" w:hAnsi="宋体"/>
                <w:b/>
                <w:color w:val="auto"/>
                <w:szCs w:val="21"/>
                <w:highlight w:val="none"/>
              </w:rPr>
              <w:t>4、其他具体事项：详见响应文件。</w:t>
            </w:r>
          </w:p>
        </w:tc>
      </w:tr>
      <w:tr w14:paraId="4DA3D0C0">
        <w:tblPrEx>
          <w:tblCellMar>
            <w:top w:w="0" w:type="dxa"/>
            <w:left w:w="108" w:type="dxa"/>
            <w:bottom w:w="0" w:type="dxa"/>
            <w:right w:w="108" w:type="dxa"/>
          </w:tblCellMar>
        </w:tblPrEx>
        <w:trPr>
          <w:trHeight w:val="4513" w:hRule="atLeast"/>
          <w:jc w:val="center"/>
        </w:trPr>
        <w:tc>
          <w:tcPr>
            <w:tcW w:w="4420" w:type="dxa"/>
            <w:tcBorders>
              <w:top w:val="single" w:color="auto" w:sz="4" w:space="0"/>
              <w:left w:val="single" w:color="auto" w:sz="4" w:space="0"/>
              <w:bottom w:val="single" w:color="auto" w:sz="4" w:space="0"/>
              <w:right w:val="single" w:color="auto" w:sz="4" w:space="0"/>
            </w:tcBorders>
          </w:tcPr>
          <w:p w14:paraId="020009AD">
            <w:pPr>
              <w:snapToGrid w:val="0"/>
              <w:spacing w:line="400" w:lineRule="exact"/>
              <w:rPr>
                <w:rFonts w:ascii="宋体" w:hAnsi="宋体"/>
                <w:b/>
                <w:color w:val="auto"/>
                <w:szCs w:val="21"/>
                <w:highlight w:val="none"/>
              </w:rPr>
            </w:pPr>
            <w:r>
              <w:rPr>
                <w:rFonts w:hint="eastAsia" w:ascii="宋体" w:hAnsi="宋体"/>
                <w:b/>
                <w:color w:val="auto"/>
                <w:szCs w:val="21"/>
                <w:highlight w:val="none"/>
              </w:rPr>
              <w:t>甲方（章）</w:t>
            </w:r>
          </w:p>
          <w:p w14:paraId="78335C2C">
            <w:pPr>
              <w:snapToGrid w:val="0"/>
              <w:spacing w:line="400" w:lineRule="exact"/>
              <w:ind w:firstLine="422" w:firstLineChars="200"/>
              <w:rPr>
                <w:rFonts w:ascii="宋体" w:hAnsi="宋体"/>
                <w:b/>
                <w:color w:val="auto"/>
                <w:szCs w:val="21"/>
                <w:highlight w:val="none"/>
              </w:rPr>
            </w:pPr>
          </w:p>
          <w:p w14:paraId="625FE896">
            <w:pPr>
              <w:snapToGrid w:val="0"/>
              <w:spacing w:line="400" w:lineRule="exact"/>
              <w:ind w:firstLine="422" w:firstLineChars="200"/>
              <w:rPr>
                <w:rFonts w:ascii="宋体" w:hAnsi="宋体"/>
                <w:b/>
                <w:color w:val="auto"/>
                <w:szCs w:val="21"/>
                <w:highlight w:val="none"/>
              </w:rPr>
            </w:pPr>
          </w:p>
          <w:p w14:paraId="470F3128">
            <w:pPr>
              <w:snapToGrid w:val="0"/>
              <w:spacing w:line="400" w:lineRule="exact"/>
              <w:ind w:firstLine="422" w:firstLineChars="200"/>
              <w:rPr>
                <w:rFonts w:ascii="宋体" w:hAnsi="宋体"/>
                <w:b/>
                <w:color w:val="auto"/>
                <w:szCs w:val="21"/>
                <w:highlight w:val="none"/>
              </w:rPr>
            </w:pPr>
          </w:p>
          <w:p w14:paraId="3649EDA1">
            <w:pPr>
              <w:snapToGrid w:val="0"/>
              <w:spacing w:line="400" w:lineRule="exact"/>
              <w:ind w:firstLine="422" w:firstLineChars="200"/>
              <w:rPr>
                <w:rFonts w:ascii="宋体" w:hAnsi="宋体"/>
                <w:b/>
                <w:color w:val="auto"/>
                <w:szCs w:val="21"/>
                <w:highlight w:val="none"/>
              </w:rPr>
            </w:pPr>
          </w:p>
          <w:p w14:paraId="0AB033CF">
            <w:pPr>
              <w:snapToGrid w:val="0"/>
              <w:spacing w:line="400" w:lineRule="exact"/>
              <w:ind w:firstLine="422" w:firstLineChars="200"/>
              <w:rPr>
                <w:rFonts w:ascii="宋体" w:hAnsi="宋体"/>
                <w:b/>
                <w:color w:val="auto"/>
                <w:szCs w:val="21"/>
                <w:highlight w:val="none"/>
              </w:rPr>
            </w:pPr>
          </w:p>
          <w:p w14:paraId="5531242B">
            <w:pPr>
              <w:snapToGrid w:val="0"/>
              <w:spacing w:line="400" w:lineRule="exact"/>
              <w:ind w:firstLine="422" w:firstLineChars="200"/>
              <w:rPr>
                <w:rFonts w:ascii="宋体" w:hAnsi="宋体"/>
                <w:b/>
                <w:color w:val="auto"/>
                <w:szCs w:val="21"/>
                <w:highlight w:val="none"/>
              </w:rPr>
            </w:pPr>
          </w:p>
          <w:p w14:paraId="77F6330B">
            <w:pPr>
              <w:snapToGrid w:val="0"/>
              <w:spacing w:line="400" w:lineRule="exact"/>
              <w:ind w:firstLine="422" w:firstLineChars="200"/>
              <w:rPr>
                <w:rFonts w:ascii="宋体" w:hAnsi="宋体"/>
                <w:b/>
                <w:color w:val="auto"/>
                <w:szCs w:val="21"/>
                <w:highlight w:val="none"/>
              </w:rPr>
            </w:pPr>
          </w:p>
          <w:p w14:paraId="72A2CE03">
            <w:pPr>
              <w:snapToGrid w:val="0"/>
              <w:spacing w:line="400" w:lineRule="exact"/>
              <w:ind w:firstLine="422" w:firstLineChars="200"/>
              <w:rPr>
                <w:rFonts w:ascii="宋体" w:hAnsi="宋体"/>
                <w:b/>
                <w:color w:val="auto"/>
                <w:szCs w:val="21"/>
                <w:highlight w:val="none"/>
              </w:rPr>
            </w:pPr>
          </w:p>
          <w:p w14:paraId="79182A95">
            <w:pPr>
              <w:snapToGrid w:val="0"/>
              <w:spacing w:line="400" w:lineRule="exact"/>
              <w:ind w:firstLine="422" w:firstLineChars="200"/>
              <w:rPr>
                <w:rFonts w:ascii="宋体" w:hAnsi="宋体"/>
                <w:b/>
                <w:color w:val="auto"/>
                <w:szCs w:val="21"/>
                <w:highlight w:val="none"/>
              </w:rPr>
            </w:pPr>
          </w:p>
          <w:p w14:paraId="52A74285">
            <w:pPr>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 xml:space="preserve">                 年   月   日 </w:t>
            </w:r>
          </w:p>
        </w:tc>
        <w:tc>
          <w:tcPr>
            <w:tcW w:w="4871" w:type="dxa"/>
            <w:tcBorders>
              <w:top w:val="single" w:color="auto" w:sz="4" w:space="0"/>
              <w:left w:val="single" w:color="auto" w:sz="4" w:space="0"/>
              <w:bottom w:val="single" w:color="auto" w:sz="4" w:space="0"/>
              <w:right w:val="single" w:color="auto" w:sz="4" w:space="0"/>
            </w:tcBorders>
          </w:tcPr>
          <w:p w14:paraId="51EDB4A6">
            <w:pPr>
              <w:snapToGrid w:val="0"/>
              <w:spacing w:line="400" w:lineRule="exact"/>
              <w:rPr>
                <w:rFonts w:ascii="宋体" w:hAnsi="宋体"/>
                <w:b/>
                <w:color w:val="auto"/>
                <w:szCs w:val="21"/>
                <w:highlight w:val="none"/>
              </w:rPr>
            </w:pPr>
            <w:r>
              <w:rPr>
                <w:rFonts w:hint="eastAsia" w:ascii="宋体" w:hAnsi="宋体"/>
                <w:b/>
                <w:color w:val="auto"/>
                <w:szCs w:val="21"/>
                <w:highlight w:val="none"/>
              </w:rPr>
              <w:t>乙方（章）</w:t>
            </w:r>
          </w:p>
          <w:p w14:paraId="17BA8910">
            <w:pPr>
              <w:snapToGrid w:val="0"/>
              <w:spacing w:line="400" w:lineRule="exact"/>
              <w:ind w:firstLine="422" w:firstLineChars="200"/>
              <w:rPr>
                <w:rFonts w:ascii="宋体" w:hAnsi="宋体"/>
                <w:b/>
                <w:color w:val="auto"/>
                <w:szCs w:val="21"/>
                <w:highlight w:val="none"/>
              </w:rPr>
            </w:pPr>
          </w:p>
          <w:p w14:paraId="1EE86D85">
            <w:pPr>
              <w:snapToGrid w:val="0"/>
              <w:spacing w:line="400" w:lineRule="exact"/>
              <w:ind w:firstLine="422" w:firstLineChars="200"/>
              <w:rPr>
                <w:rFonts w:ascii="宋体" w:hAnsi="宋体"/>
                <w:b/>
                <w:color w:val="auto"/>
                <w:szCs w:val="21"/>
                <w:highlight w:val="none"/>
              </w:rPr>
            </w:pPr>
          </w:p>
          <w:p w14:paraId="7FCBD364">
            <w:pPr>
              <w:snapToGrid w:val="0"/>
              <w:spacing w:line="400" w:lineRule="exact"/>
              <w:ind w:firstLine="422" w:firstLineChars="200"/>
              <w:rPr>
                <w:rFonts w:ascii="宋体" w:hAnsi="宋体"/>
                <w:b/>
                <w:color w:val="auto"/>
                <w:szCs w:val="21"/>
                <w:highlight w:val="none"/>
              </w:rPr>
            </w:pPr>
          </w:p>
          <w:p w14:paraId="3DCB280C">
            <w:pPr>
              <w:snapToGrid w:val="0"/>
              <w:spacing w:line="400" w:lineRule="exact"/>
              <w:ind w:firstLine="422" w:firstLineChars="200"/>
              <w:rPr>
                <w:rFonts w:ascii="宋体" w:hAnsi="宋体"/>
                <w:b/>
                <w:color w:val="auto"/>
                <w:szCs w:val="21"/>
                <w:highlight w:val="none"/>
              </w:rPr>
            </w:pPr>
          </w:p>
          <w:p w14:paraId="5510545B">
            <w:pPr>
              <w:snapToGrid w:val="0"/>
              <w:spacing w:line="400" w:lineRule="exact"/>
              <w:ind w:firstLine="422" w:firstLineChars="200"/>
              <w:rPr>
                <w:rFonts w:ascii="宋体" w:hAnsi="宋体"/>
                <w:b/>
                <w:color w:val="auto"/>
                <w:szCs w:val="21"/>
                <w:highlight w:val="none"/>
              </w:rPr>
            </w:pPr>
          </w:p>
          <w:p w14:paraId="49C840F7">
            <w:pPr>
              <w:snapToGrid w:val="0"/>
              <w:spacing w:line="400" w:lineRule="exact"/>
              <w:ind w:firstLine="422" w:firstLineChars="200"/>
              <w:rPr>
                <w:rFonts w:ascii="宋体" w:hAnsi="宋体"/>
                <w:b/>
                <w:color w:val="auto"/>
                <w:szCs w:val="21"/>
                <w:highlight w:val="none"/>
              </w:rPr>
            </w:pPr>
          </w:p>
          <w:p w14:paraId="4BF9794E">
            <w:pPr>
              <w:snapToGrid w:val="0"/>
              <w:spacing w:line="400" w:lineRule="exact"/>
              <w:ind w:firstLine="422" w:firstLineChars="200"/>
              <w:rPr>
                <w:rFonts w:ascii="宋体" w:hAnsi="宋体"/>
                <w:b/>
                <w:color w:val="auto"/>
                <w:szCs w:val="21"/>
                <w:highlight w:val="none"/>
              </w:rPr>
            </w:pPr>
          </w:p>
          <w:p w14:paraId="039155C5">
            <w:pPr>
              <w:snapToGrid w:val="0"/>
              <w:spacing w:line="400" w:lineRule="exact"/>
              <w:ind w:firstLine="422" w:firstLineChars="200"/>
              <w:rPr>
                <w:rFonts w:ascii="宋体" w:hAnsi="宋体"/>
                <w:b/>
                <w:color w:val="auto"/>
                <w:szCs w:val="21"/>
                <w:highlight w:val="none"/>
              </w:rPr>
            </w:pPr>
          </w:p>
          <w:p w14:paraId="0EAFAEE2">
            <w:pPr>
              <w:snapToGrid w:val="0"/>
              <w:spacing w:line="400" w:lineRule="exact"/>
              <w:ind w:firstLine="422" w:firstLineChars="200"/>
              <w:rPr>
                <w:rFonts w:ascii="宋体" w:hAnsi="宋体"/>
                <w:b/>
                <w:color w:val="auto"/>
                <w:szCs w:val="21"/>
                <w:highlight w:val="none"/>
              </w:rPr>
            </w:pPr>
          </w:p>
          <w:p w14:paraId="6854774C">
            <w:pPr>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 xml:space="preserve">                年   月   日</w:t>
            </w:r>
          </w:p>
        </w:tc>
      </w:tr>
    </w:tbl>
    <w:p w14:paraId="2B1C05C5">
      <w:pPr>
        <w:spacing w:line="300" w:lineRule="auto"/>
        <w:jc w:val="left"/>
        <w:rPr>
          <w:rFonts w:ascii="宋体" w:hAnsi="宋体"/>
          <w:color w:val="auto"/>
          <w:szCs w:val="21"/>
          <w:highlight w:val="none"/>
        </w:rPr>
      </w:pPr>
      <w:r>
        <w:rPr>
          <w:rFonts w:hint="eastAsia" w:ascii="宋体" w:hAnsi="宋体"/>
          <w:color w:val="auto"/>
          <w:szCs w:val="21"/>
          <w:highlight w:val="none"/>
        </w:rPr>
        <w:t xml:space="preserve">   注：售后服务事项填不下时可另加附页</w:t>
      </w:r>
    </w:p>
    <w:p w14:paraId="7905AF08">
      <w:pPr>
        <w:spacing w:line="360" w:lineRule="exact"/>
        <w:ind w:firstLine="1555"/>
        <w:jc w:val="center"/>
        <w:rPr>
          <w:rFonts w:ascii="宋体" w:hAnsi="宋体" w:cs="Courier New"/>
          <w:b/>
          <w:color w:val="auto"/>
          <w:kern w:val="0"/>
          <w:szCs w:val="21"/>
          <w:highlight w:val="none"/>
        </w:rPr>
      </w:pPr>
    </w:p>
    <w:p w14:paraId="544B59ED">
      <w:pPr>
        <w:rPr>
          <w:rFonts w:ascii="宋体" w:hAnsi="宋体" w:cs="宋体"/>
          <w:color w:val="auto"/>
          <w:szCs w:val="21"/>
          <w:highlight w:val="none"/>
        </w:rPr>
      </w:pPr>
    </w:p>
    <w:p w14:paraId="19F72192">
      <w:pPr>
        <w:rPr>
          <w:color w:val="auto"/>
          <w:highlight w:val="none"/>
        </w:rPr>
      </w:pPr>
    </w:p>
    <w:p w14:paraId="5468CFD3">
      <w:pPr>
        <w:rPr>
          <w:color w:val="auto"/>
          <w:highlight w:val="none"/>
        </w:rPr>
      </w:pPr>
    </w:p>
    <w:p w14:paraId="3E6694BF">
      <w:pPr>
        <w:snapToGrid w:val="0"/>
        <w:spacing w:line="400" w:lineRule="exact"/>
        <w:jc w:val="center"/>
        <w:rPr>
          <w:rFonts w:ascii="宋体" w:hAnsi="宋体"/>
          <w:b/>
          <w:bCs/>
          <w:color w:val="auto"/>
          <w:sz w:val="32"/>
          <w:szCs w:val="32"/>
          <w:highlight w:val="none"/>
        </w:rPr>
      </w:pPr>
    </w:p>
    <w:p w14:paraId="6EECBFA2">
      <w:pPr>
        <w:tabs>
          <w:tab w:val="left" w:pos="3261"/>
        </w:tabs>
        <w:spacing w:line="360" w:lineRule="auto"/>
        <w:contextualSpacing/>
        <w:jc w:val="center"/>
        <w:rPr>
          <w:rFonts w:ascii="宋体" w:hAnsi="宋体" w:cs="宋体"/>
          <w:b/>
          <w:color w:val="auto"/>
          <w:sz w:val="44"/>
          <w:szCs w:val="44"/>
          <w:highlight w:val="none"/>
        </w:rPr>
      </w:pPr>
    </w:p>
    <w:p w14:paraId="2F33BBB1">
      <w:pPr>
        <w:pStyle w:val="97"/>
        <w:rPr>
          <w:rFonts w:ascii="宋体" w:hAnsi="宋体" w:cs="宋体"/>
          <w:b/>
          <w:color w:val="auto"/>
          <w:sz w:val="44"/>
          <w:szCs w:val="44"/>
          <w:highlight w:val="none"/>
        </w:rPr>
      </w:pPr>
    </w:p>
    <w:p w14:paraId="3F5C9DE3">
      <w:pPr>
        <w:pStyle w:val="16"/>
        <w:rPr>
          <w:rFonts w:ascii="宋体" w:hAnsi="宋体" w:cs="宋体"/>
          <w:b/>
          <w:color w:val="auto"/>
          <w:sz w:val="44"/>
          <w:szCs w:val="44"/>
          <w:highlight w:val="none"/>
        </w:rPr>
      </w:pPr>
    </w:p>
    <w:p w14:paraId="798F8CA0">
      <w:pPr>
        <w:rPr>
          <w:color w:val="auto"/>
          <w:highlight w:val="none"/>
        </w:rPr>
      </w:pPr>
    </w:p>
    <w:p w14:paraId="0DE8ABE8">
      <w:pPr>
        <w:pStyle w:val="2"/>
        <w:rPr>
          <w:color w:val="auto"/>
          <w:highlight w:val="none"/>
        </w:rPr>
      </w:pPr>
    </w:p>
    <w:p w14:paraId="76766851">
      <w:pPr>
        <w:rPr>
          <w:color w:val="auto"/>
          <w:highlight w:val="none"/>
        </w:rPr>
      </w:pPr>
    </w:p>
    <w:p w14:paraId="486D2206">
      <w:pPr>
        <w:pStyle w:val="2"/>
        <w:rPr>
          <w:color w:val="auto"/>
          <w:highlight w:val="none"/>
        </w:rPr>
      </w:pPr>
    </w:p>
    <w:p w14:paraId="2A117A33">
      <w:pPr>
        <w:rPr>
          <w:color w:val="auto"/>
          <w:highlight w:val="none"/>
        </w:rPr>
      </w:pPr>
    </w:p>
    <w:p w14:paraId="28C44F20">
      <w:pPr>
        <w:pStyle w:val="2"/>
        <w:rPr>
          <w:color w:val="auto"/>
          <w:highlight w:val="none"/>
        </w:rPr>
      </w:pPr>
    </w:p>
    <w:p w14:paraId="50E715EA">
      <w:pPr>
        <w:rPr>
          <w:color w:val="auto"/>
          <w:highlight w:val="none"/>
        </w:rPr>
      </w:pPr>
    </w:p>
    <w:p w14:paraId="300F5F51">
      <w:pPr>
        <w:pStyle w:val="2"/>
        <w:rPr>
          <w:color w:val="auto"/>
          <w:highlight w:val="none"/>
        </w:rPr>
      </w:pPr>
    </w:p>
    <w:p w14:paraId="3F15EB95">
      <w:pPr>
        <w:rPr>
          <w:color w:val="auto"/>
          <w:highlight w:val="none"/>
        </w:rPr>
      </w:pPr>
    </w:p>
    <w:p w14:paraId="6FB8E9B4">
      <w:pPr>
        <w:pStyle w:val="2"/>
        <w:rPr>
          <w:color w:val="auto"/>
          <w:highlight w:val="none"/>
        </w:rPr>
      </w:pPr>
    </w:p>
    <w:p w14:paraId="1DD116EC">
      <w:pPr>
        <w:rPr>
          <w:color w:val="auto"/>
          <w:highlight w:val="none"/>
        </w:rPr>
      </w:pPr>
    </w:p>
    <w:p w14:paraId="1EB23865">
      <w:pPr>
        <w:rPr>
          <w:color w:val="auto"/>
          <w:highlight w:val="none"/>
        </w:rPr>
      </w:pPr>
    </w:p>
    <w:p w14:paraId="22B9EB46">
      <w:pPr>
        <w:pStyle w:val="3"/>
        <w:jc w:val="center"/>
        <w:rPr>
          <w:rFonts w:ascii="宋体" w:hAnsi="宋体" w:cs="宋体"/>
          <w:color w:val="auto"/>
          <w:highlight w:val="none"/>
        </w:rPr>
        <w:sectPr>
          <w:pgSz w:w="11910" w:h="16840"/>
          <w:pgMar w:top="1134" w:right="1134" w:bottom="1134" w:left="1134" w:header="720" w:footer="720" w:gutter="0"/>
          <w:cols w:space="720" w:num="1"/>
        </w:sectPr>
      </w:pPr>
      <w:bookmarkStart w:id="181" w:name="_Toc15055"/>
      <w:r>
        <w:rPr>
          <w:rFonts w:hint="eastAsia" w:ascii="宋体" w:hAnsi="宋体" w:cs="宋体"/>
          <w:b w:val="0"/>
          <w:color w:val="auto"/>
          <w:highlight w:val="none"/>
        </w:rPr>
        <w:t>第七章 质疑、投诉材料格式</w:t>
      </w:r>
      <w:bookmarkEnd w:id="181"/>
    </w:p>
    <w:p w14:paraId="25A1C674">
      <w:pPr>
        <w:spacing w:line="360" w:lineRule="auto"/>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质疑函（格式）</w:t>
      </w:r>
    </w:p>
    <w:p w14:paraId="1DDE81B0">
      <w:pPr>
        <w:pStyle w:val="20"/>
        <w:spacing w:line="360" w:lineRule="auto"/>
        <w:ind w:firstLine="482" w:firstLineChars="200"/>
        <w:contextualSpacing/>
        <w:rPr>
          <w:rFonts w:hAnsi="宋体" w:cs="宋体"/>
          <w:b/>
          <w:bCs/>
          <w:color w:val="auto"/>
          <w:sz w:val="24"/>
          <w:szCs w:val="24"/>
          <w:highlight w:val="none"/>
        </w:rPr>
      </w:pPr>
      <w:r>
        <w:rPr>
          <w:rFonts w:hint="eastAsia" w:hAnsi="宋体" w:cs="宋体"/>
          <w:b/>
          <w:bCs/>
          <w:color w:val="auto"/>
          <w:sz w:val="24"/>
          <w:szCs w:val="24"/>
          <w:highlight w:val="none"/>
        </w:rPr>
        <w:t>一、质疑供应商基本信息：</w:t>
      </w:r>
    </w:p>
    <w:p w14:paraId="25F7F27A">
      <w:pPr>
        <w:pStyle w:val="20"/>
        <w:spacing w:line="360" w:lineRule="auto"/>
        <w:ind w:firstLine="480" w:firstLineChars="200"/>
        <w:contextualSpacing/>
        <w:rPr>
          <w:rFonts w:hAnsi="宋体" w:cs="宋体"/>
          <w:bCs/>
          <w:color w:val="auto"/>
          <w:sz w:val="24"/>
          <w:szCs w:val="24"/>
          <w:highlight w:val="none"/>
          <w:u w:val="single"/>
        </w:rPr>
      </w:pPr>
      <w:r>
        <w:rPr>
          <w:rFonts w:hint="eastAsia" w:hAnsi="宋体" w:cs="宋体"/>
          <w:bCs/>
          <w:color w:val="auto"/>
          <w:sz w:val="24"/>
          <w:szCs w:val="24"/>
          <w:highlight w:val="none"/>
        </w:rPr>
        <w:t>质疑供应商：</w:t>
      </w:r>
    </w:p>
    <w:p w14:paraId="58C72BF7">
      <w:pPr>
        <w:pStyle w:val="20"/>
        <w:spacing w:line="360" w:lineRule="auto"/>
        <w:ind w:firstLine="480" w:firstLineChars="200"/>
        <w:contextualSpacing/>
        <w:rPr>
          <w:rFonts w:hAnsi="宋体" w:cs="宋体"/>
          <w:bCs/>
          <w:color w:val="auto"/>
          <w:sz w:val="24"/>
          <w:szCs w:val="24"/>
          <w:highlight w:val="none"/>
        </w:rPr>
      </w:pPr>
      <w:r>
        <w:rPr>
          <w:rFonts w:hint="eastAsia" w:hAnsi="宋体" w:cs="宋体"/>
          <w:bCs/>
          <w:color w:val="auto"/>
          <w:sz w:val="24"/>
          <w:szCs w:val="24"/>
          <w:highlight w:val="none"/>
        </w:rPr>
        <w:t>地址：邮编：</w:t>
      </w:r>
    </w:p>
    <w:p w14:paraId="7E943956">
      <w:pPr>
        <w:pStyle w:val="20"/>
        <w:spacing w:line="360" w:lineRule="auto"/>
        <w:ind w:firstLine="480" w:firstLineChars="200"/>
        <w:contextualSpacing/>
        <w:rPr>
          <w:rFonts w:hAnsi="宋体" w:cs="宋体"/>
          <w:bCs/>
          <w:color w:val="auto"/>
          <w:sz w:val="24"/>
          <w:szCs w:val="24"/>
          <w:highlight w:val="none"/>
        </w:rPr>
      </w:pPr>
      <w:r>
        <w:rPr>
          <w:rFonts w:hint="eastAsia" w:hAnsi="宋体" w:cs="宋体"/>
          <w:bCs/>
          <w:color w:val="auto"/>
          <w:sz w:val="24"/>
          <w:szCs w:val="24"/>
          <w:highlight w:val="none"/>
        </w:rPr>
        <w:t>联系人：联系电话：</w:t>
      </w:r>
    </w:p>
    <w:p w14:paraId="5626BDE2">
      <w:pPr>
        <w:pStyle w:val="20"/>
        <w:spacing w:line="360" w:lineRule="auto"/>
        <w:ind w:firstLine="480" w:firstLineChars="200"/>
        <w:contextualSpacing/>
        <w:rPr>
          <w:rFonts w:hAnsi="宋体" w:cs="宋体"/>
          <w:bCs/>
          <w:color w:val="auto"/>
          <w:sz w:val="24"/>
          <w:szCs w:val="24"/>
          <w:highlight w:val="none"/>
        </w:rPr>
      </w:pPr>
      <w:r>
        <w:rPr>
          <w:rFonts w:hint="eastAsia" w:hAnsi="宋体" w:cs="宋体"/>
          <w:bCs/>
          <w:color w:val="auto"/>
          <w:sz w:val="24"/>
          <w:szCs w:val="24"/>
          <w:highlight w:val="none"/>
        </w:rPr>
        <w:t>授权代表：</w:t>
      </w:r>
    </w:p>
    <w:p w14:paraId="224F69DE">
      <w:pPr>
        <w:pStyle w:val="20"/>
        <w:spacing w:line="360" w:lineRule="auto"/>
        <w:ind w:firstLine="480" w:firstLineChars="200"/>
        <w:contextualSpacing/>
        <w:rPr>
          <w:rFonts w:hAnsi="宋体" w:cs="宋体"/>
          <w:bCs/>
          <w:color w:val="auto"/>
          <w:sz w:val="24"/>
          <w:szCs w:val="24"/>
          <w:highlight w:val="none"/>
          <w:u w:val="single"/>
        </w:rPr>
      </w:pPr>
      <w:r>
        <w:rPr>
          <w:rFonts w:hint="eastAsia" w:hAnsi="宋体" w:cs="宋体"/>
          <w:bCs/>
          <w:color w:val="auto"/>
          <w:sz w:val="24"/>
          <w:szCs w:val="24"/>
          <w:highlight w:val="none"/>
        </w:rPr>
        <w:t>联系电话：</w:t>
      </w:r>
    </w:p>
    <w:p w14:paraId="2A7835E2">
      <w:pPr>
        <w:pStyle w:val="20"/>
        <w:spacing w:line="360" w:lineRule="auto"/>
        <w:ind w:firstLine="480" w:firstLineChars="200"/>
        <w:contextualSpacing/>
        <w:rPr>
          <w:rFonts w:hAnsi="宋体" w:cs="宋体"/>
          <w:bCs/>
          <w:color w:val="auto"/>
          <w:sz w:val="24"/>
          <w:szCs w:val="24"/>
          <w:highlight w:val="none"/>
        </w:rPr>
      </w:pPr>
      <w:r>
        <w:rPr>
          <w:rFonts w:hint="eastAsia" w:hAnsi="宋体" w:cs="宋体"/>
          <w:bCs/>
          <w:color w:val="auto"/>
          <w:sz w:val="24"/>
          <w:szCs w:val="24"/>
          <w:highlight w:val="none"/>
        </w:rPr>
        <w:t>地址：邮编：</w:t>
      </w:r>
    </w:p>
    <w:p w14:paraId="2C38605E">
      <w:pPr>
        <w:pStyle w:val="20"/>
        <w:spacing w:line="360" w:lineRule="auto"/>
        <w:ind w:firstLine="482" w:firstLineChars="200"/>
        <w:contextualSpacing/>
        <w:rPr>
          <w:rFonts w:hAnsi="宋体" w:cs="宋体"/>
          <w:b/>
          <w:bCs/>
          <w:color w:val="auto"/>
          <w:sz w:val="24"/>
          <w:szCs w:val="24"/>
          <w:highlight w:val="none"/>
        </w:rPr>
      </w:pPr>
      <w:r>
        <w:rPr>
          <w:rFonts w:hint="eastAsia" w:hAnsi="宋体" w:cs="宋体"/>
          <w:b/>
          <w:bCs/>
          <w:color w:val="auto"/>
          <w:sz w:val="24"/>
          <w:szCs w:val="24"/>
          <w:highlight w:val="none"/>
        </w:rPr>
        <w:t>二、质疑项目基本情况：</w:t>
      </w:r>
    </w:p>
    <w:p w14:paraId="55F605F1">
      <w:pPr>
        <w:pStyle w:val="20"/>
        <w:spacing w:line="360" w:lineRule="auto"/>
        <w:ind w:left="25" w:leftChars="12" w:firstLine="472" w:firstLineChars="197"/>
        <w:contextualSpacing/>
        <w:rPr>
          <w:rFonts w:hAnsi="宋体" w:cs="宋体"/>
          <w:color w:val="auto"/>
          <w:sz w:val="24"/>
          <w:szCs w:val="24"/>
          <w:highlight w:val="none"/>
        </w:rPr>
      </w:pPr>
      <w:r>
        <w:rPr>
          <w:rFonts w:hint="eastAsia" w:hAnsi="宋体" w:cs="宋体"/>
          <w:bCs/>
          <w:color w:val="auto"/>
          <w:sz w:val="24"/>
          <w:szCs w:val="24"/>
          <w:highlight w:val="none"/>
        </w:rPr>
        <w:t>质疑</w:t>
      </w:r>
      <w:r>
        <w:rPr>
          <w:rFonts w:hint="eastAsia" w:hAnsi="宋体" w:cs="宋体"/>
          <w:color w:val="auto"/>
          <w:sz w:val="24"/>
          <w:szCs w:val="24"/>
          <w:highlight w:val="none"/>
        </w:rPr>
        <w:t>项目的名称：</w:t>
      </w:r>
    </w:p>
    <w:p w14:paraId="7333EE74">
      <w:pPr>
        <w:pStyle w:val="20"/>
        <w:spacing w:line="360" w:lineRule="auto"/>
        <w:ind w:left="25" w:leftChars="12" w:firstLine="472" w:firstLineChars="197"/>
        <w:contextualSpacing/>
        <w:rPr>
          <w:rFonts w:hAnsi="宋体" w:cs="宋体"/>
          <w:color w:val="auto"/>
          <w:sz w:val="24"/>
          <w:szCs w:val="24"/>
          <w:highlight w:val="none"/>
        </w:rPr>
      </w:pPr>
      <w:r>
        <w:rPr>
          <w:rFonts w:hint="eastAsia" w:hAnsi="宋体" w:cs="宋体"/>
          <w:bCs/>
          <w:color w:val="auto"/>
          <w:sz w:val="24"/>
          <w:szCs w:val="24"/>
          <w:highlight w:val="none"/>
        </w:rPr>
        <w:t>质疑</w:t>
      </w:r>
      <w:r>
        <w:rPr>
          <w:rFonts w:hint="eastAsia" w:hAnsi="宋体" w:cs="宋体"/>
          <w:color w:val="auto"/>
          <w:sz w:val="24"/>
          <w:szCs w:val="24"/>
          <w:highlight w:val="none"/>
        </w:rPr>
        <w:t>项目的编号：</w:t>
      </w:r>
    </w:p>
    <w:p w14:paraId="312A44F2">
      <w:pPr>
        <w:pStyle w:val="20"/>
        <w:spacing w:line="360" w:lineRule="auto"/>
        <w:ind w:left="25" w:leftChars="12" w:firstLine="472" w:firstLineChars="197"/>
        <w:contextualSpacing/>
        <w:rPr>
          <w:rFonts w:hAnsi="宋体" w:cs="宋体"/>
          <w:color w:val="auto"/>
          <w:sz w:val="24"/>
          <w:szCs w:val="24"/>
          <w:highlight w:val="none"/>
        </w:rPr>
      </w:pPr>
      <w:r>
        <w:rPr>
          <w:rFonts w:hint="eastAsia" w:hAnsi="宋体" w:cs="宋体"/>
          <w:color w:val="auto"/>
          <w:sz w:val="24"/>
          <w:szCs w:val="24"/>
          <w:highlight w:val="none"/>
        </w:rPr>
        <w:t>采购人名称：</w:t>
      </w:r>
    </w:p>
    <w:p w14:paraId="53DFED92">
      <w:pPr>
        <w:pStyle w:val="20"/>
        <w:spacing w:line="360" w:lineRule="auto"/>
        <w:ind w:left="25" w:leftChars="12" w:firstLine="472" w:firstLineChars="197"/>
        <w:contextualSpacing/>
        <w:rPr>
          <w:rFonts w:hAnsi="宋体" w:cs="宋体"/>
          <w:color w:val="auto"/>
          <w:sz w:val="24"/>
          <w:szCs w:val="24"/>
          <w:highlight w:val="none"/>
        </w:rPr>
      </w:pPr>
      <w:r>
        <w:rPr>
          <w:rFonts w:hint="eastAsia" w:hAnsi="宋体" w:cs="宋体"/>
          <w:color w:val="auto"/>
          <w:sz w:val="24"/>
          <w:szCs w:val="24"/>
          <w:highlight w:val="none"/>
        </w:rPr>
        <w:t>质疑事项：</w:t>
      </w:r>
    </w:p>
    <w:p w14:paraId="60FBADB4">
      <w:pPr>
        <w:pStyle w:val="20"/>
        <w:spacing w:line="360" w:lineRule="auto"/>
        <w:ind w:left="25" w:leftChars="12" w:firstLine="352" w:firstLineChars="147"/>
        <w:contextualSpacing/>
        <w:rPr>
          <w:rFonts w:hAnsi="宋体" w:cs="宋体"/>
          <w:color w:val="auto"/>
          <w:sz w:val="24"/>
          <w:szCs w:val="24"/>
          <w:highlight w:val="none"/>
        </w:rPr>
      </w:pPr>
      <w:r>
        <w:rPr>
          <w:rFonts w:hint="eastAsia" w:hAnsi="宋体" w:cs="宋体"/>
          <w:color w:val="auto"/>
          <w:sz w:val="24"/>
          <w:szCs w:val="24"/>
          <w:highlight w:val="none"/>
        </w:rPr>
        <w:t>□采购文件   采购文件获取日期：</w:t>
      </w:r>
    </w:p>
    <w:p w14:paraId="54845544">
      <w:pPr>
        <w:pStyle w:val="20"/>
        <w:spacing w:line="360" w:lineRule="auto"/>
        <w:ind w:left="25" w:leftChars="12" w:firstLine="352" w:firstLineChars="147"/>
        <w:contextualSpacing/>
        <w:rPr>
          <w:rFonts w:hAnsi="宋体" w:cs="宋体"/>
          <w:color w:val="auto"/>
          <w:sz w:val="24"/>
          <w:szCs w:val="24"/>
          <w:highlight w:val="none"/>
        </w:rPr>
      </w:pPr>
      <w:r>
        <w:rPr>
          <w:rFonts w:hint="eastAsia" w:hAnsi="宋体" w:cs="宋体"/>
          <w:color w:val="auto"/>
          <w:sz w:val="24"/>
          <w:szCs w:val="24"/>
          <w:highlight w:val="none"/>
        </w:rPr>
        <w:t xml:space="preserve">□采购过程   </w:t>
      </w:r>
    </w:p>
    <w:p w14:paraId="1C203CA6">
      <w:pPr>
        <w:pStyle w:val="20"/>
        <w:spacing w:line="360" w:lineRule="auto"/>
        <w:ind w:left="25" w:leftChars="12" w:firstLine="352" w:firstLineChars="147"/>
        <w:contextualSpacing/>
        <w:rPr>
          <w:rFonts w:hAnsi="宋体" w:cs="宋体"/>
          <w:bCs/>
          <w:color w:val="auto"/>
          <w:sz w:val="24"/>
          <w:szCs w:val="24"/>
          <w:highlight w:val="none"/>
          <w:u w:val="single"/>
        </w:rPr>
      </w:pPr>
      <w:r>
        <w:rPr>
          <w:rFonts w:hint="eastAsia" w:hAnsi="宋体" w:cs="宋体"/>
          <w:color w:val="auto"/>
          <w:sz w:val="24"/>
          <w:szCs w:val="24"/>
          <w:highlight w:val="none"/>
        </w:rPr>
        <w:t xml:space="preserve">□成交结果   </w:t>
      </w:r>
    </w:p>
    <w:p w14:paraId="5838AF71">
      <w:pPr>
        <w:pStyle w:val="20"/>
        <w:spacing w:line="360" w:lineRule="auto"/>
        <w:ind w:left="25" w:leftChars="12" w:firstLine="472" w:firstLineChars="196"/>
        <w:contextualSpacing/>
        <w:rPr>
          <w:rFonts w:hAnsi="宋体" w:cs="宋体"/>
          <w:b/>
          <w:color w:val="auto"/>
          <w:sz w:val="24"/>
          <w:szCs w:val="24"/>
          <w:highlight w:val="none"/>
        </w:rPr>
      </w:pPr>
      <w:r>
        <w:rPr>
          <w:rFonts w:hint="eastAsia" w:hAnsi="宋体" w:cs="宋体"/>
          <w:b/>
          <w:color w:val="auto"/>
          <w:sz w:val="24"/>
          <w:szCs w:val="24"/>
          <w:highlight w:val="none"/>
        </w:rPr>
        <w:t>三、质疑事项具体内容</w:t>
      </w:r>
    </w:p>
    <w:p w14:paraId="38ABA133">
      <w:pPr>
        <w:pStyle w:val="20"/>
        <w:spacing w:line="360" w:lineRule="auto"/>
        <w:ind w:left="25" w:leftChars="12" w:firstLine="472" w:firstLineChars="197"/>
        <w:contextualSpacing/>
        <w:rPr>
          <w:rFonts w:hAnsi="宋体" w:cs="宋体"/>
          <w:color w:val="auto"/>
          <w:sz w:val="24"/>
          <w:szCs w:val="24"/>
          <w:highlight w:val="none"/>
        </w:rPr>
      </w:pPr>
      <w:r>
        <w:rPr>
          <w:rFonts w:hint="eastAsia" w:hAnsi="宋体" w:cs="宋体"/>
          <w:color w:val="auto"/>
          <w:sz w:val="24"/>
          <w:szCs w:val="24"/>
          <w:highlight w:val="none"/>
        </w:rPr>
        <w:t>质疑事项1：</w:t>
      </w:r>
    </w:p>
    <w:p w14:paraId="5695B1F7">
      <w:pPr>
        <w:pStyle w:val="20"/>
        <w:spacing w:line="360" w:lineRule="auto"/>
        <w:ind w:left="25" w:leftChars="12" w:firstLine="472" w:firstLineChars="197"/>
        <w:contextualSpacing/>
        <w:rPr>
          <w:rFonts w:hAnsi="宋体" w:cs="宋体"/>
          <w:color w:val="auto"/>
          <w:sz w:val="24"/>
          <w:szCs w:val="24"/>
          <w:highlight w:val="none"/>
        </w:rPr>
      </w:pPr>
      <w:r>
        <w:rPr>
          <w:rFonts w:hint="eastAsia" w:hAnsi="宋体" w:cs="宋体"/>
          <w:color w:val="auto"/>
          <w:sz w:val="24"/>
          <w:szCs w:val="24"/>
          <w:highlight w:val="none"/>
        </w:rPr>
        <w:t>事实依据：</w:t>
      </w:r>
    </w:p>
    <w:p w14:paraId="7C233E48">
      <w:pPr>
        <w:pStyle w:val="20"/>
        <w:spacing w:line="360" w:lineRule="auto"/>
        <w:ind w:left="25" w:leftChars="12" w:firstLine="472" w:firstLineChars="197"/>
        <w:contextualSpacing/>
        <w:rPr>
          <w:rFonts w:hAnsi="宋体" w:cs="宋体"/>
          <w:color w:val="auto"/>
          <w:sz w:val="24"/>
          <w:szCs w:val="24"/>
          <w:highlight w:val="none"/>
        </w:rPr>
      </w:pPr>
      <w:r>
        <w:rPr>
          <w:rFonts w:hint="eastAsia" w:hAnsi="宋体" w:cs="宋体"/>
          <w:color w:val="auto"/>
          <w:sz w:val="24"/>
          <w:szCs w:val="24"/>
          <w:highlight w:val="none"/>
        </w:rPr>
        <w:t>法律依据：</w:t>
      </w:r>
    </w:p>
    <w:p w14:paraId="4969A64A">
      <w:pPr>
        <w:pStyle w:val="20"/>
        <w:spacing w:line="360" w:lineRule="auto"/>
        <w:ind w:left="25" w:leftChars="12" w:firstLine="472" w:firstLineChars="197"/>
        <w:contextualSpacing/>
        <w:rPr>
          <w:rFonts w:hAnsi="宋体" w:cs="宋体"/>
          <w:color w:val="auto"/>
          <w:sz w:val="24"/>
          <w:szCs w:val="24"/>
          <w:highlight w:val="none"/>
        </w:rPr>
      </w:pPr>
      <w:r>
        <w:rPr>
          <w:rFonts w:hint="eastAsia" w:hAnsi="宋体" w:cs="宋体"/>
          <w:color w:val="auto"/>
          <w:sz w:val="24"/>
          <w:szCs w:val="24"/>
          <w:highlight w:val="none"/>
        </w:rPr>
        <w:t>质疑事项2</w:t>
      </w:r>
    </w:p>
    <w:p w14:paraId="4BBC4AB3">
      <w:pPr>
        <w:pStyle w:val="20"/>
        <w:spacing w:line="360" w:lineRule="auto"/>
        <w:ind w:left="25" w:leftChars="12" w:firstLine="472" w:firstLineChars="197"/>
        <w:contextualSpacing/>
        <w:rPr>
          <w:rFonts w:hAnsi="宋体" w:cs="宋体"/>
          <w:color w:val="auto"/>
          <w:sz w:val="24"/>
          <w:szCs w:val="24"/>
          <w:highlight w:val="none"/>
        </w:rPr>
      </w:pPr>
      <w:r>
        <w:rPr>
          <w:rFonts w:hint="eastAsia" w:hAnsi="宋体" w:cs="宋体"/>
          <w:color w:val="auto"/>
          <w:sz w:val="24"/>
          <w:szCs w:val="24"/>
          <w:highlight w:val="none"/>
        </w:rPr>
        <w:t>……</w:t>
      </w:r>
    </w:p>
    <w:p w14:paraId="3689D98F">
      <w:pPr>
        <w:pStyle w:val="20"/>
        <w:spacing w:line="360" w:lineRule="auto"/>
        <w:ind w:left="25" w:leftChars="12" w:firstLine="472" w:firstLineChars="197"/>
        <w:contextualSpacing/>
        <w:rPr>
          <w:rFonts w:hAnsi="宋体" w:cs="宋体"/>
          <w:color w:val="auto"/>
          <w:sz w:val="24"/>
          <w:szCs w:val="24"/>
          <w:highlight w:val="none"/>
        </w:rPr>
      </w:pPr>
      <w:r>
        <w:rPr>
          <w:rFonts w:hint="eastAsia" w:hAnsi="宋体" w:cs="宋体"/>
          <w:color w:val="auto"/>
          <w:sz w:val="24"/>
          <w:szCs w:val="24"/>
          <w:highlight w:val="none"/>
        </w:rPr>
        <w:t>四、与质疑事项相关的质疑请求：</w:t>
      </w:r>
    </w:p>
    <w:p w14:paraId="47DE8899">
      <w:pPr>
        <w:pStyle w:val="20"/>
        <w:spacing w:line="360" w:lineRule="auto"/>
        <w:ind w:left="25" w:leftChars="12" w:firstLine="472" w:firstLineChars="197"/>
        <w:contextualSpacing/>
        <w:rPr>
          <w:rFonts w:hAnsi="宋体" w:cs="宋体"/>
          <w:color w:val="auto"/>
          <w:sz w:val="24"/>
          <w:szCs w:val="24"/>
          <w:highlight w:val="none"/>
        </w:rPr>
      </w:pPr>
      <w:r>
        <w:rPr>
          <w:rFonts w:hint="eastAsia" w:hAnsi="宋体" w:cs="宋体"/>
          <w:color w:val="auto"/>
          <w:sz w:val="24"/>
          <w:szCs w:val="24"/>
          <w:highlight w:val="none"/>
        </w:rPr>
        <w:t>请求：</w:t>
      </w:r>
    </w:p>
    <w:p w14:paraId="0CBD178D">
      <w:pPr>
        <w:pStyle w:val="20"/>
        <w:spacing w:line="360" w:lineRule="auto"/>
        <w:ind w:left="25" w:leftChars="12" w:firstLine="352" w:firstLineChars="147"/>
        <w:contextualSpacing/>
        <w:rPr>
          <w:rFonts w:hAnsi="宋体" w:cs="宋体"/>
          <w:color w:val="auto"/>
          <w:sz w:val="24"/>
          <w:szCs w:val="24"/>
          <w:highlight w:val="none"/>
        </w:rPr>
      </w:pPr>
    </w:p>
    <w:p w14:paraId="4F8B500E">
      <w:pPr>
        <w:pStyle w:val="20"/>
        <w:spacing w:line="360" w:lineRule="auto"/>
        <w:ind w:left="25" w:leftChars="12" w:firstLine="472" w:firstLineChars="197"/>
        <w:contextualSpacing/>
        <w:rPr>
          <w:rFonts w:hAnsi="宋体" w:cs="宋体"/>
          <w:color w:val="auto"/>
          <w:sz w:val="24"/>
          <w:szCs w:val="24"/>
          <w:highlight w:val="none"/>
        </w:rPr>
      </w:pPr>
      <w:r>
        <w:rPr>
          <w:rFonts w:hint="eastAsia" w:hAnsi="宋体" w:cs="宋体"/>
          <w:color w:val="auto"/>
          <w:sz w:val="24"/>
          <w:szCs w:val="24"/>
          <w:highlight w:val="none"/>
        </w:rPr>
        <w:t>签字（签章）：                                       公章：</w:t>
      </w:r>
    </w:p>
    <w:p w14:paraId="55F39484">
      <w:pPr>
        <w:pStyle w:val="20"/>
        <w:spacing w:line="360" w:lineRule="auto"/>
        <w:ind w:left="25" w:leftChars="12" w:firstLine="352" w:firstLineChars="147"/>
        <w:contextualSpacing/>
        <w:rPr>
          <w:rFonts w:hAnsi="宋体" w:cs="宋体"/>
          <w:color w:val="auto"/>
          <w:sz w:val="24"/>
          <w:szCs w:val="24"/>
          <w:highlight w:val="none"/>
        </w:rPr>
      </w:pPr>
    </w:p>
    <w:p w14:paraId="780ACC21">
      <w:pPr>
        <w:pStyle w:val="20"/>
        <w:spacing w:line="360" w:lineRule="auto"/>
        <w:ind w:left="25" w:leftChars="12" w:firstLine="472" w:firstLineChars="197"/>
        <w:contextualSpacing/>
        <w:rPr>
          <w:rFonts w:hAnsi="宋体" w:cs="宋体"/>
          <w:color w:val="auto"/>
          <w:sz w:val="24"/>
          <w:szCs w:val="24"/>
          <w:highlight w:val="none"/>
        </w:rPr>
      </w:pPr>
      <w:r>
        <w:rPr>
          <w:rFonts w:hint="eastAsia" w:hAnsi="宋体" w:cs="宋体"/>
          <w:color w:val="auto"/>
          <w:sz w:val="24"/>
          <w:szCs w:val="24"/>
          <w:highlight w:val="none"/>
        </w:rPr>
        <w:t>日期：</w:t>
      </w:r>
    </w:p>
    <w:p w14:paraId="1B8D1C6C">
      <w:pPr>
        <w:pStyle w:val="20"/>
        <w:spacing w:line="360" w:lineRule="auto"/>
        <w:contextualSpacing/>
        <w:rPr>
          <w:rFonts w:hAnsi="宋体" w:cs="宋体"/>
          <w:b/>
          <w:color w:val="auto"/>
          <w:sz w:val="24"/>
          <w:szCs w:val="24"/>
          <w:highlight w:val="none"/>
        </w:rPr>
      </w:pPr>
    </w:p>
    <w:p w14:paraId="6DE635F0">
      <w:pPr>
        <w:pStyle w:val="20"/>
        <w:spacing w:line="360" w:lineRule="auto"/>
        <w:contextualSpacing/>
        <w:rPr>
          <w:rFonts w:hAnsi="宋体" w:cs="宋体"/>
          <w:b/>
          <w:color w:val="auto"/>
          <w:sz w:val="24"/>
          <w:szCs w:val="24"/>
          <w:highlight w:val="none"/>
        </w:rPr>
      </w:pPr>
    </w:p>
    <w:p w14:paraId="5E0A83FF">
      <w:pPr>
        <w:pStyle w:val="20"/>
        <w:spacing w:line="360" w:lineRule="auto"/>
        <w:contextualSpacing/>
        <w:rPr>
          <w:rFonts w:hAnsi="宋体" w:cs="宋体"/>
          <w:b/>
          <w:color w:val="auto"/>
          <w:sz w:val="24"/>
          <w:szCs w:val="24"/>
          <w:highlight w:val="none"/>
        </w:rPr>
      </w:pPr>
      <w:r>
        <w:rPr>
          <w:rFonts w:hint="eastAsia" w:hAnsi="宋体" w:cs="宋体"/>
          <w:b/>
          <w:color w:val="auto"/>
          <w:sz w:val="24"/>
          <w:szCs w:val="24"/>
          <w:highlight w:val="none"/>
        </w:rPr>
        <w:t>说明：</w:t>
      </w:r>
    </w:p>
    <w:p w14:paraId="310E6631">
      <w:pPr>
        <w:pStyle w:val="20"/>
        <w:spacing w:line="360" w:lineRule="auto"/>
        <w:ind w:left="25" w:leftChars="12" w:firstLine="354" w:firstLineChars="147"/>
        <w:contextualSpacing/>
        <w:rPr>
          <w:rFonts w:hAnsi="宋体" w:cs="宋体"/>
          <w:b/>
          <w:bCs/>
          <w:color w:val="auto"/>
          <w:sz w:val="24"/>
          <w:szCs w:val="24"/>
          <w:highlight w:val="none"/>
        </w:rPr>
      </w:pPr>
      <w:r>
        <w:rPr>
          <w:rFonts w:hint="eastAsia" w:hAnsi="宋体" w:cs="宋体"/>
          <w:b/>
          <w:color w:val="auto"/>
          <w:sz w:val="24"/>
          <w:szCs w:val="24"/>
          <w:highlight w:val="none"/>
        </w:rPr>
        <w:t>1.供应商提出质疑时，应提交质疑函和必要的证明材料</w:t>
      </w:r>
      <w:r>
        <w:rPr>
          <w:rFonts w:hint="eastAsia" w:hAnsi="宋体" w:cs="宋体"/>
          <w:b/>
          <w:bCs/>
          <w:color w:val="auto"/>
          <w:sz w:val="24"/>
          <w:szCs w:val="24"/>
          <w:highlight w:val="none"/>
        </w:rPr>
        <w:t>。</w:t>
      </w:r>
    </w:p>
    <w:p w14:paraId="08C1D3F4">
      <w:pPr>
        <w:pStyle w:val="20"/>
        <w:spacing w:line="360" w:lineRule="auto"/>
        <w:ind w:left="25" w:leftChars="12" w:firstLine="354" w:firstLineChars="147"/>
        <w:contextualSpacing/>
        <w:rPr>
          <w:rFonts w:hAnsi="宋体" w:cs="宋体"/>
          <w:b/>
          <w:color w:val="auto"/>
          <w:sz w:val="24"/>
          <w:szCs w:val="24"/>
          <w:highlight w:val="none"/>
        </w:rPr>
      </w:pPr>
      <w:r>
        <w:rPr>
          <w:rFonts w:hint="eastAsia" w:hAnsi="宋体" w:cs="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0C4BFEFA">
      <w:pPr>
        <w:pStyle w:val="20"/>
        <w:spacing w:line="360" w:lineRule="auto"/>
        <w:ind w:left="25" w:leftChars="12" w:firstLine="354" w:firstLineChars="147"/>
        <w:contextualSpacing/>
        <w:rPr>
          <w:rFonts w:hAnsi="宋体" w:cs="宋体"/>
          <w:b/>
          <w:color w:val="auto"/>
          <w:sz w:val="24"/>
          <w:szCs w:val="24"/>
          <w:highlight w:val="none"/>
        </w:rPr>
      </w:pPr>
      <w:r>
        <w:rPr>
          <w:rFonts w:hint="eastAsia" w:hAnsi="宋体" w:cs="宋体"/>
          <w:b/>
          <w:color w:val="auto"/>
          <w:sz w:val="24"/>
          <w:szCs w:val="24"/>
          <w:highlight w:val="none"/>
        </w:rPr>
        <w:t>3.质疑函的质疑事项应具体、明确，并有必要的事实依据和法律依据。</w:t>
      </w:r>
    </w:p>
    <w:p w14:paraId="6C267569">
      <w:pPr>
        <w:pStyle w:val="20"/>
        <w:spacing w:line="360" w:lineRule="auto"/>
        <w:ind w:left="25" w:leftChars="12" w:firstLine="354" w:firstLineChars="147"/>
        <w:contextualSpacing/>
        <w:rPr>
          <w:rFonts w:hAnsi="宋体" w:cs="宋体"/>
          <w:b/>
          <w:color w:val="auto"/>
          <w:sz w:val="24"/>
          <w:szCs w:val="24"/>
          <w:highlight w:val="none"/>
        </w:rPr>
      </w:pPr>
      <w:r>
        <w:rPr>
          <w:rFonts w:hint="eastAsia" w:hAnsi="宋体" w:cs="宋体"/>
          <w:b/>
          <w:color w:val="auto"/>
          <w:sz w:val="24"/>
          <w:szCs w:val="24"/>
          <w:highlight w:val="none"/>
        </w:rPr>
        <w:t>4.质疑函的质疑请求应与质疑事项相关。</w:t>
      </w:r>
    </w:p>
    <w:p w14:paraId="24283DE2">
      <w:pPr>
        <w:pStyle w:val="20"/>
        <w:spacing w:line="360" w:lineRule="auto"/>
        <w:ind w:left="25" w:leftChars="12" w:firstLine="354" w:firstLineChars="147"/>
        <w:contextualSpacing/>
        <w:rPr>
          <w:rFonts w:hAnsi="宋体" w:cs="宋体"/>
          <w:b/>
          <w:color w:val="auto"/>
          <w:highlight w:val="none"/>
        </w:rPr>
      </w:pPr>
      <w:r>
        <w:rPr>
          <w:rFonts w:hint="eastAsia" w:hAnsi="宋体" w:cs="宋体"/>
          <w:b/>
          <w:color w:val="auto"/>
          <w:sz w:val="24"/>
          <w:szCs w:val="24"/>
          <w:highlight w:val="none"/>
        </w:rPr>
        <w:t>5.质疑供应商为法人或者其他组织的，质疑函应由法定代表人、主要负责人，或者其授权代表签字或者盖章，并加盖公章。</w:t>
      </w:r>
    </w:p>
    <w:p w14:paraId="59FED38B">
      <w:pPr>
        <w:pStyle w:val="20"/>
        <w:snapToGrid w:val="0"/>
        <w:rPr>
          <w:rFonts w:hAnsi="宋体" w:cs="宋体"/>
          <w:b/>
          <w:color w:val="auto"/>
          <w:sz w:val="24"/>
          <w:szCs w:val="24"/>
          <w:highlight w:val="none"/>
        </w:rPr>
      </w:pPr>
    </w:p>
    <w:p w14:paraId="7921CA67">
      <w:pPr>
        <w:spacing w:line="460" w:lineRule="exact"/>
        <w:jc w:val="center"/>
        <w:rPr>
          <w:rFonts w:ascii="宋体" w:hAnsi="宋体" w:cs="宋体"/>
          <w:color w:val="auto"/>
          <w:sz w:val="44"/>
          <w:highlight w:val="none"/>
        </w:rPr>
      </w:pPr>
      <w:r>
        <w:rPr>
          <w:rFonts w:hint="eastAsia" w:ascii="宋体" w:hAnsi="宋体" w:cs="宋体"/>
          <w:color w:val="auto"/>
          <w:sz w:val="44"/>
          <w:highlight w:val="none"/>
        </w:rPr>
        <w:br w:type="page"/>
      </w:r>
    </w:p>
    <w:p w14:paraId="38F9BA5B">
      <w:pPr>
        <w:spacing w:line="360" w:lineRule="auto"/>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投诉书（格式）</w:t>
      </w:r>
    </w:p>
    <w:p w14:paraId="396717BD">
      <w:pPr>
        <w:pStyle w:val="20"/>
        <w:snapToGrid w:val="0"/>
        <w:spacing w:line="360" w:lineRule="auto"/>
        <w:ind w:firstLine="482" w:firstLineChars="200"/>
        <w:rPr>
          <w:rFonts w:hAnsi="宋体" w:cs="宋体"/>
          <w:b/>
          <w:bCs/>
          <w:color w:val="auto"/>
          <w:sz w:val="24"/>
          <w:szCs w:val="24"/>
          <w:highlight w:val="none"/>
        </w:rPr>
      </w:pPr>
      <w:r>
        <w:rPr>
          <w:rFonts w:hint="eastAsia" w:hAnsi="宋体" w:cs="宋体"/>
          <w:b/>
          <w:bCs/>
          <w:color w:val="auto"/>
          <w:sz w:val="24"/>
          <w:szCs w:val="24"/>
          <w:highlight w:val="none"/>
        </w:rPr>
        <w:t>一、投诉相关主体基本情况：</w:t>
      </w:r>
    </w:p>
    <w:p w14:paraId="2FC7AADF">
      <w:pPr>
        <w:pStyle w:val="20"/>
        <w:snapToGrid w:val="0"/>
        <w:spacing w:line="360" w:lineRule="auto"/>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供应商：</w:t>
      </w:r>
    </w:p>
    <w:p w14:paraId="208C5C86">
      <w:pPr>
        <w:pStyle w:val="20"/>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地址：邮编：</w:t>
      </w:r>
    </w:p>
    <w:p w14:paraId="3AA4241F">
      <w:pPr>
        <w:pStyle w:val="20"/>
        <w:snapToGrid w:val="0"/>
        <w:spacing w:line="360" w:lineRule="auto"/>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法定代表人/主要负责人：</w:t>
      </w:r>
    </w:p>
    <w:p w14:paraId="291C26A9">
      <w:pPr>
        <w:pStyle w:val="20"/>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联系电话：</w:t>
      </w:r>
    </w:p>
    <w:p w14:paraId="48B9FA17">
      <w:pPr>
        <w:pStyle w:val="20"/>
        <w:snapToGrid w:val="0"/>
        <w:spacing w:line="360" w:lineRule="auto"/>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授权代表：联系电话：</w:t>
      </w:r>
    </w:p>
    <w:p w14:paraId="6D601BAC">
      <w:pPr>
        <w:pStyle w:val="20"/>
        <w:snapToGrid w:val="0"/>
        <w:spacing w:line="360" w:lineRule="auto"/>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地址：</w:t>
      </w:r>
    </w:p>
    <w:p w14:paraId="0502D4F1">
      <w:pPr>
        <w:pStyle w:val="20"/>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邮编：</w:t>
      </w:r>
    </w:p>
    <w:p w14:paraId="7D8B9B5B">
      <w:pPr>
        <w:pStyle w:val="20"/>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被投诉人1：</w:t>
      </w:r>
    </w:p>
    <w:p w14:paraId="23EC077E">
      <w:pPr>
        <w:pStyle w:val="20"/>
        <w:snapToGrid w:val="0"/>
        <w:spacing w:line="360" w:lineRule="auto"/>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地址：</w:t>
      </w:r>
    </w:p>
    <w:p w14:paraId="6DB28AEB">
      <w:pPr>
        <w:pStyle w:val="20"/>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邮编：</w:t>
      </w:r>
    </w:p>
    <w:p w14:paraId="0D24F411">
      <w:pPr>
        <w:pStyle w:val="20"/>
        <w:snapToGrid w:val="0"/>
        <w:spacing w:line="360" w:lineRule="auto"/>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联系人：联系电话：</w:t>
      </w:r>
    </w:p>
    <w:p w14:paraId="5EF32129">
      <w:pPr>
        <w:pStyle w:val="20"/>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被投诉人2：</w:t>
      </w:r>
    </w:p>
    <w:p w14:paraId="19518B9C">
      <w:pPr>
        <w:pStyle w:val="20"/>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w:t>
      </w:r>
    </w:p>
    <w:p w14:paraId="75306CCD">
      <w:pPr>
        <w:pStyle w:val="20"/>
        <w:snapToGrid w:val="0"/>
        <w:spacing w:line="360" w:lineRule="auto"/>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相关供应商：</w:t>
      </w:r>
    </w:p>
    <w:p w14:paraId="1F258011">
      <w:pPr>
        <w:pStyle w:val="20"/>
        <w:snapToGrid w:val="0"/>
        <w:spacing w:line="360" w:lineRule="auto"/>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地址：邮编：</w:t>
      </w:r>
    </w:p>
    <w:p w14:paraId="04798D7F">
      <w:pPr>
        <w:pStyle w:val="20"/>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联系人：联系电话：</w:t>
      </w:r>
    </w:p>
    <w:p w14:paraId="71590BFF">
      <w:pPr>
        <w:pStyle w:val="20"/>
        <w:snapToGrid w:val="0"/>
        <w:spacing w:line="360" w:lineRule="auto"/>
        <w:ind w:firstLine="482" w:firstLineChars="200"/>
        <w:rPr>
          <w:rFonts w:hAnsi="宋体" w:cs="宋体"/>
          <w:b/>
          <w:bCs/>
          <w:color w:val="auto"/>
          <w:sz w:val="24"/>
          <w:szCs w:val="24"/>
          <w:highlight w:val="none"/>
        </w:rPr>
      </w:pPr>
      <w:r>
        <w:rPr>
          <w:rFonts w:hint="eastAsia" w:hAnsi="宋体" w:cs="宋体"/>
          <w:b/>
          <w:bCs/>
          <w:color w:val="auto"/>
          <w:sz w:val="24"/>
          <w:szCs w:val="24"/>
          <w:highlight w:val="none"/>
        </w:rPr>
        <w:t>二、投诉项目基本情况：</w:t>
      </w:r>
    </w:p>
    <w:p w14:paraId="5CF55A50">
      <w:pPr>
        <w:pStyle w:val="20"/>
        <w:spacing w:line="360" w:lineRule="auto"/>
        <w:ind w:left="25" w:leftChars="12" w:firstLine="472" w:firstLineChars="197"/>
        <w:rPr>
          <w:rFonts w:hAnsi="宋体" w:cs="宋体"/>
          <w:color w:val="auto"/>
          <w:sz w:val="24"/>
          <w:szCs w:val="24"/>
          <w:highlight w:val="none"/>
        </w:rPr>
      </w:pPr>
      <w:r>
        <w:rPr>
          <w:rFonts w:hint="eastAsia" w:hAnsi="宋体" w:cs="宋体"/>
          <w:bCs/>
          <w:color w:val="auto"/>
          <w:sz w:val="24"/>
          <w:szCs w:val="24"/>
          <w:highlight w:val="none"/>
        </w:rPr>
        <w:t>采购</w:t>
      </w:r>
      <w:r>
        <w:rPr>
          <w:rFonts w:hint="eastAsia" w:hAnsi="宋体" w:cs="宋体"/>
          <w:color w:val="auto"/>
          <w:sz w:val="24"/>
          <w:szCs w:val="24"/>
          <w:highlight w:val="none"/>
        </w:rPr>
        <w:t>项目的名称：</w:t>
      </w:r>
    </w:p>
    <w:p w14:paraId="06E96EBD">
      <w:pPr>
        <w:pStyle w:val="20"/>
        <w:spacing w:line="360" w:lineRule="auto"/>
        <w:ind w:left="25" w:leftChars="12" w:firstLine="472" w:firstLineChars="197"/>
        <w:rPr>
          <w:rFonts w:hAnsi="宋体" w:cs="宋体"/>
          <w:color w:val="auto"/>
          <w:sz w:val="24"/>
          <w:szCs w:val="24"/>
          <w:highlight w:val="none"/>
        </w:rPr>
      </w:pPr>
      <w:r>
        <w:rPr>
          <w:rFonts w:hint="eastAsia" w:hAnsi="宋体" w:cs="宋体"/>
          <w:bCs/>
          <w:color w:val="auto"/>
          <w:sz w:val="24"/>
          <w:szCs w:val="24"/>
          <w:highlight w:val="none"/>
        </w:rPr>
        <w:t>采购</w:t>
      </w:r>
      <w:r>
        <w:rPr>
          <w:rFonts w:hint="eastAsia" w:hAnsi="宋体" w:cs="宋体"/>
          <w:color w:val="auto"/>
          <w:sz w:val="24"/>
          <w:szCs w:val="24"/>
          <w:highlight w:val="none"/>
        </w:rPr>
        <w:t>项目的编号：</w:t>
      </w:r>
    </w:p>
    <w:p w14:paraId="78B3FF1A">
      <w:pPr>
        <w:pStyle w:val="20"/>
        <w:spacing w:line="360" w:lineRule="auto"/>
        <w:ind w:left="25" w:leftChars="12" w:firstLine="472" w:firstLineChars="197"/>
        <w:rPr>
          <w:rFonts w:hAnsi="宋体" w:cs="宋体"/>
          <w:bCs/>
          <w:color w:val="auto"/>
          <w:sz w:val="24"/>
          <w:szCs w:val="24"/>
          <w:highlight w:val="none"/>
          <w:u w:val="single"/>
        </w:rPr>
      </w:pPr>
      <w:r>
        <w:rPr>
          <w:rFonts w:hint="eastAsia" w:hAnsi="宋体" w:cs="宋体"/>
          <w:color w:val="auto"/>
          <w:sz w:val="24"/>
          <w:szCs w:val="24"/>
          <w:highlight w:val="none"/>
        </w:rPr>
        <w:t>采购人名称：</w:t>
      </w:r>
    </w:p>
    <w:p w14:paraId="240F391E">
      <w:pPr>
        <w:pStyle w:val="20"/>
        <w:spacing w:line="360" w:lineRule="auto"/>
        <w:ind w:left="25" w:leftChars="12" w:firstLine="472" w:firstLineChars="197"/>
        <w:rPr>
          <w:rFonts w:hAnsi="宋体" w:cs="宋体"/>
          <w:bCs/>
          <w:color w:val="auto"/>
          <w:sz w:val="24"/>
          <w:szCs w:val="24"/>
          <w:highlight w:val="none"/>
          <w:u w:val="single"/>
        </w:rPr>
      </w:pPr>
      <w:r>
        <w:rPr>
          <w:rFonts w:hint="eastAsia" w:hAnsi="宋体" w:cs="宋体"/>
          <w:color w:val="auto"/>
          <w:sz w:val="24"/>
          <w:szCs w:val="24"/>
          <w:highlight w:val="none"/>
        </w:rPr>
        <w:t>代理机构名称：</w:t>
      </w:r>
    </w:p>
    <w:p w14:paraId="564D7EAB">
      <w:pPr>
        <w:pStyle w:val="20"/>
        <w:spacing w:line="360" w:lineRule="auto"/>
        <w:ind w:left="25" w:leftChars="12" w:firstLine="472" w:firstLineChars="197"/>
        <w:rPr>
          <w:rFonts w:hAnsi="宋体" w:cs="宋体"/>
          <w:bCs/>
          <w:color w:val="auto"/>
          <w:sz w:val="24"/>
          <w:szCs w:val="24"/>
          <w:highlight w:val="none"/>
          <w:u w:val="single"/>
        </w:rPr>
      </w:pPr>
      <w:r>
        <w:rPr>
          <w:rFonts w:hint="eastAsia" w:hAnsi="宋体" w:cs="宋体"/>
          <w:bCs/>
          <w:color w:val="auto"/>
          <w:sz w:val="24"/>
          <w:szCs w:val="24"/>
          <w:highlight w:val="none"/>
        </w:rPr>
        <w:t>招标文件公告：</w:t>
      </w:r>
      <w:r>
        <w:rPr>
          <w:rFonts w:hint="eastAsia" w:hAnsi="宋体" w:cs="宋体"/>
          <w:bCs/>
          <w:color w:val="auto"/>
          <w:sz w:val="24"/>
          <w:szCs w:val="24"/>
          <w:highlight w:val="none"/>
          <w:u w:val="single"/>
        </w:rPr>
        <w:t>是/否</w:t>
      </w:r>
      <w:r>
        <w:rPr>
          <w:rFonts w:hint="eastAsia" w:hAnsi="宋体" w:cs="宋体"/>
          <w:bCs/>
          <w:color w:val="auto"/>
          <w:sz w:val="24"/>
          <w:szCs w:val="24"/>
          <w:highlight w:val="none"/>
        </w:rPr>
        <w:t>公告期限：</w:t>
      </w:r>
    </w:p>
    <w:p w14:paraId="4E7783A1">
      <w:pPr>
        <w:pStyle w:val="20"/>
        <w:spacing w:line="360" w:lineRule="auto"/>
        <w:ind w:left="25" w:leftChars="12" w:firstLine="472" w:firstLineChars="197"/>
        <w:rPr>
          <w:rFonts w:hAnsi="宋体" w:cs="宋体"/>
          <w:b/>
          <w:color w:val="auto"/>
          <w:sz w:val="24"/>
          <w:szCs w:val="24"/>
          <w:highlight w:val="none"/>
        </w:rPr>
      </w:pPr>
      <w:r>
        <w:rPr>
          <w:rFonts w:hint="eastAsia" w:hAnsi="宋体" w:cs="宋体"/>
          <w:bCs/>
          <w:color w:val="auto"/>
          <w:sz w:val="24"/>
          <w:szCs w:val="24"/>
          <w:highlight w:val="none"/>
        </w:rPr>
        <w:t>采购结果公告：</w:t>
      </w:r>
      <w:r>
        <w:rPr>
          <w:rFonts w:hint="eastAsia" w:hAnsi="宋体" w:cs="宋体"/>
          <w:bCs/>
          <w:color w:val="auto"/>
          <w:sz w:val="24"/>
          <w:szCs w:val="24"/>
          <w:highlight w:val="none"/>
          <w:u w:val="single"/>
        </w:rPr>
        <w:t>是/否</w:t>
      </w:r>
      <w:r>
        <w:rPr>
          <w:rFonts w:hint="eastAsia" w:hAnsi="宋体" w:cs="宋体"/>
          <w:bCs/>
          <w:color w:val="auto"/>
          <w:sz w:val="24"/>
          <w:szCs w:val="24"/>
          <w:highlight w:val="none"/>
        </w:rPr>
        <w:t>公告期限：</w:t>
      </w:r>
    </w:p>
    <w:p w14:paraId="6310D855">
      <w:pPr>
        <w:pStyle w:val="20"/>
        <w:spacing w:line="360" w:lineRule="auto"/>
        <w:ind w:left="25" w:leftChars="12" w:firstLine="472" w:firstLineChars="196"/>
        <w:rPr>
          <w:rFonts w:hAnsi="宋体" w:cs="宋体"/>
          <w:b/>
          <w:color w:val="auto"/>
          <w:sz w:val="24"/>
          <w:szCs w:val="24"/>
          <w:highlight w:val="none"/>
        </w:rPr>
      </w:pPr>
      <w:r>
        <w:rPr>
          <w:rFonts w:hint="eastAsia" w:hAnsi="宋体" w:cs="宋体"/>
          <w:b/>
          <w:color w:val="auto"/>
          <w:sz w:val="24"/>
          <w:szCs w:val="24"/>
          <w:highlight w:val="none"/>
        </w:rPr>
        <w:t>三、质疑基本情况</w:t>
      </w:r>
    </w:p>
    <w:p w14:paraId="5D90F95F">
      <w:pPr>
        <w:pStyle w:val="2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投诉人于年月日，向提出质疑，质疑事项为：</w:t>
      </w:r>
    </w:p>
    <w:p w14:paraId="0D330971">
      <w:pPr>
        <w:pStyle w:val="20"/>
        <w:spacing w:line="360" w:lineRule="auto"/>
        <w:ind w:firstLine="241"/>
        <w:rPr>
          <w:rFonts w:hAnsi="宋体" w:cs="宋体"/>
          <w:bCs/>
          <w:color w:val="auto"/>
          <w:sz w:val="24"/>
          <w:szCs w:val="24"/>
          <w:highlight w:val="none"/>
          <w:u w:val="single"/>
        </w:rPr>
      </w:pPr>
    </w:p>
    <w:p w14:paraId="40F07372">
      <w:pPr>
        <w:pStyle w:val="20"/>
        <w:spacing w:line="360" w:lineRule="auto"/>
        <w:ind w:firstLine="241"/>
        <w:rPr>
          <w:rFonts w:hAnsi="宋体" w:cs="宋体"/>
          <w:bCs/>
          <w:color w:val="auto"/>
          <w:sz w:val="24"/>
          <w:szCs w:val="24"/>
          <w:highlight w:val="none"/>
          <w:u w:val="single"/>
        </w:rPr>
      </w:pPr>
    </w:p>
    <w:p w14:paraId="1CB45706">
      <w:pPr>
        <w:pStyle w:val="20"/>
        <w:spacing w:line="360" w:lineRule="auto"/>
        <w:ind w:firstLine="480" w:firstLineChars="200"/>
        <w:rPr>
          <w:rFonts w:hAnsi="宋体" w:cs="宋体"/>
          <w:color w:val="auto"/>
          <w:sz w:val="24"/>
          <w:szCs w:val="24"/>
          <w:highlight w:val="none"/>
        </w:rPr>
      </w:pPr>
      <w:r>
        <w:rPr>
          <w:rFonts w:hint="eastAsia" w:hAnsi="宋体" w:cs="宋体"/>
          <w:bCs/>
          <w:color w:val="auto"/>
          <w:sz w:val="24"/>
          <w:szCs w:val="24"/>
          <w:highlight w:val="none"/>
          <w:u w:val="single"/>
        </w:rPr>
        <w:t>采购人/代理机构</w:t>
      </w:r>
      <w:r>
        <w:rPr>
          <w:rFonts w:hint="eastAsia" w:hAnsi="宋体" w:cs="宋体"/>
          <w:bCs/>
          <w:color w:val="auto"/>
          <w:sz w:val="24"/>
          <w:szCs w:val="24"/>
          <w:highlight w:val="none"/>
        </w:rPr>
        <w:t>于</w:t>
      </w:r>
      <w:r>
        <w:rPr>
          <w:rFonts w:hint="eastAsia" w:hAnsi="宋体" w:cs="宋体"/>
          <w:color w:val="auto"/>
          <w:sz w:val="24"/>
          <w:szCs w:val="24"/>
          <w:highlight w:val="none"/>
        </w:rPr>
        <w:t>年月日，</w:t>
      </w:r>
      <w:r>
        <w:rPr>
          <w:rFonts w:hint="eastAsia" w:hAnsi="宋体" w:cs="宋体"/>
          <w:bCs/>
          <w:color w:val="auto"/>
          <w:sz w:val="24"/>
          <w:szCs w:val="24"/>
          <w:highlight w:val="none"/>
        </w:rPr>
        <w:t xml:space="preserve">就质疑事项作出了答复/没有在法定期限内作出答复。                                                                                             </w:t>
      </w:r>
    </w:p>
    <w:p w14:paraId="103A9ABE">
      <w:pPr>
        <w:pStyle w:val="20"/>
        <w:spacing w:line="360" w:lineRule="auto"/>
        <w:ind w:left="25" w:leftChars="12" w:firstLine="472" w:firstLineChars="196"/>
        <w:rPr>
          <w:rFonts w:hAnsi="宋体" w:cs="宋体"/>
          <w:b/>
          <w:color w:val="auto"/>
          <w:sz w:val="24"/>
          <w:szCs w:val="24"/>
          <w:highlight w:val="none"/>
        </w:rPr>
      </w:pPr>
      <w:r>
        <w:rPr>
          <w:rFonts w:hint="eastAsia" w:hAnsi="宋体" w:cs="宋体"/>
          <w:b/>
          <w:color w:val="auto"/>
          <w:sz w:val="24"/>
          <w:szCs w:val="24"/>
          <w:highlight w:val="none"/>
        </w:rPr>
        <w:t>四、投诉事项具体内容</w:t>
      </w:r>
    </w:p>
    <w:p w14:paraId="47ABA615">
      <w:pPr>
        <w:pStyle w:val="20"/>
        <w:spacing w:line="360" w:lineRule="auto"/>
        <w:ind w:left="25" w:leftChars="12" w:firstLine="472" w:firstLineChars="197"/>
        <w:rPr>
          <w:rFonts w:hAnsi="宋体" w:cs="宋体"/>
          <w:bCs/>
          <w:color w:val="auto"/>
          <w:sz w:val="24"/>
          <w:szCs w:val="24"/>
          <w:highlight w:val="none"/>
          <w:u w:val="single"/>
        </w:rPr>
      </w:pPr>
      <w:r>
        <w:rPr>
          <w:rFonts w:hint="eastAsia" w:hAnsi="宋体" w:cs="宋体"/>
          <w:color w:val="auto"/>
          <w:sz w:val="24"/>
          <w:szCs w:val="24"/>
          <w:highlight w:val="none"/>
        </w:rPr>
        <w:t>投诉事项1：</w:t>
      </w:r>
    </w:p>
    <w:p w14:paraId="30B16B60">
      <w:pPr>
        <w:pStyle w:val="20"/>
        <w:spacing w:line="360" w:lineRule="auto"/>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事实依据：</w:t>
      </w:r>
    </w:p>
    <w:p w14:paraId="2D0F62CE">
      <w:pPr>
        <w:pStyle w:val="20"/>
        <w:spacing w:line="360" w:lineRule="auto"/>
        <w:ind w:left="25" w:leftChars="12" w:firstLine="472" w:firstLineChars="197"/>
        <w:rPr>
          <w:rFonts w:hAnsi="宋体" w:cs="宋体"/>
          <w:color w:val="auto"/>
          <w:sz w:val="24"/>
          <w:szCs w:val="24"/>
          <w:highlight w:val="none"/>
        </w:rPr>
      </w:pPr>
    </w:p>
    <w:p w14:paraId="25286113">
      <w:pPr>
        <w:pStyle w:val="20"/>
        <w:spacing w:line="360" w:lineRule="auto"/>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法律依据：</w:t>
      </w:r>
    </w:p>
    <w:p w14:paraId="7AC6A0FA">
      <w:pPr>
        <w:pStyle w:val="20"/>
        <w:spacing w:line="360" w:lineRule="auto"/>
        <w:ind w:left="25" w:leftChars="12" w:firstLine="352" w:firstLineChars="147"/>
        <w:rPr>
          <w:rFonts w:hAnsi="宋体" w:cs="宋体"/>
          <w:bCs/>
          <w:color w:val="auto"/>
          <w:sz w:val="24"/>
          <w:szCs w:val="24"/>
          <w:highlight w:val="none"/>
          <w:u w:val="single"/>
        </w:rPr>
      </w:pPr>
    </w:p>
    <w:p w14:paraId="43B750A2">
      <w:pPr>
        <w:pStyle w:val="20"/>
        <w:spacing w:line="360" w:lineRule="auto"/>
        <w:ind w:left="25" w:leftChars="12" w:firstLine="472" w:firstLineChars="197"/>
        <w:rPr>
          <w:rFonts w:hAnsi="宋体" w:cs="宋体"/>
          <w:bCs/>
          <w:color w:val="auto"/>
          <w:sz w:val="24"/>
          <w:szCs w:val="24"/>
          <w:highlight w:val="none"/>
        </w:rPr>
      </w:pPr>
      <w:r>
        <w:rPr>
          <w:rFonts w:hint="eastAsia" w:hAnsi="宋体" w:cs="宋体"/>
          <w:color w:val="auto"/>
          <w:sz w:val="24"/>
          <w:szCs w:val="24"/>
          <w:highlight w:val="none"/>
        </w:rPr>
        <w:t xml:space="preserve">投诉事项2  </w:t>
      </w:r>
    </w:p>
    <w:p w14:paraId="544CB43C">
      <w:pPr>
        <w:pStyle w:val="20"/>
        <w:spacing w:line="360" w:lineRule="auto"/>
        <w:ind w:left="25" w:leftChars="12" w:firstLine="472" w:firstLineChars="197"/>
        <w:rPr>
          <w:rFonts w:hAnsi="宋体" w:cs="宋体"/>
          <w:bCs/>
          <w:color w:val="auto"/>
          <w:sz w:val="24"/>
          <w:szCs w:val="24"/>
          <w:highlight w:val="none"/>
        </w:rPr>
      </w:pPr>
      <w:r>
        <w:rPr>
          <w:rFonts w:hint="eastAsia" w:hAnsi="宋体" w:cs="宋体"/>
          <w:bCs/>
          <w:color w:val="auto"/>
          <w:sz w:val="24"/>
          <w:szCs w:val="24"/>
          <w:highlight w:val="none"/>
        </w:rPr>
        <w:t>……</w:t>
      </w:r>
    </w:p>
    <w:p w14:paraId="0C21FA64">
      <w:pPr>
        <w:pStyle w:val="20"/>
        <w:spacing w:line="360" w:lineRule="auto"/>
        <w:ind w:left="25" w:leftChars="12" w:firstLine="472" w:firstLineChars="196"/>
        <w:rPr>
          <w:rFonts w:hAnsi="宋体" w:cs="宋体"/>
          <w:b/>
          <w:color w:val="auto"/>
          <w:sz w:val="24"/>
          <w:szCs w:val="24"/>
          <w:highlight w:val="none"/>
        </w:rPr>
      </w:pPr>
      <w:r>
        <w:rPr>
          <w:rFonts w:hint="eastAsia" w:hAnsi="宋体" w:cs="宋体"/>
          <w:b/>
          <w:color w:val="auto"/>
          <w:sz w:val="24"/>
          <w:szCs w:val="24"/>
          <w:highlight w:val="none"/>
        </w:rPr>
        <w:t>五、与投诉事项相关的投诉请求：</w:t>
      </w:r>
    </w:p>
    <w:p w14:paraId="022C0AA4">
      <w:pPr>
        <w:pStyle w:val="20"/>
        <w:spacing w:line="360" w:lineRule="auto"/>
        <w:ind w:left="25" w:leftChars="12" w:firstLine="472" w:firstLineChars="197"/>
        <w:rPr>
          <w:rFonts w:hAnsi="宋体" w:cs="宋体"/>
          <w:color w:val="auto"/>
          <w:sz w:val="24"/>
          <w:szCs w:val="24"/>
          <w:highlight w:val="none"/>
        </w:rPr>
      </w:pPr>
      <w:r>
        <w:rPr>
          <w:rFonts w:hint="eastAsia" w:hAnsi="宋体" w:cs="宋体"/>
          <w:color w:val="auto"/>
          <w:sz w:val="24"/>
          <w:szCs w:val="24"/>
          <w:highlight w:val="none"/>
        </w:rPr>
        <w:t>请求：</w:t>
      </w:r>
    </w:p>
    <w:p w14:paraId="0CAD24B1">
      <w:pPr>
        <w:pStyle w:val="20"/>
        <w:spacing w:line="360" w:lineRule="auto"/>
        <w:ind w:left="25" w:leftChars="12" w:firstLine="352" w:firstLineChars="147"/>
        <w:rPr>
          <w:rFonts w:hAnsi="宋体" w:cs="宋体"/>
          <w:color w:val="auto"/>
          <w:sz w:val="24"/>
          <w:szCs w:val="24"/>
          <w:highlight w:val="none"/>
        </w:rPr>
      </w:pPr>
    </w:p>
    <w:p w14:paraId="69525952">
      <w:pPr>
        <w:pStyle w:val="20"/>
        <w:spacing w:line="360" w:lineRule="auto"/>
        <w:ind w:left="25" w:leftChars="12" w:firstLine="472" w:firstLineChars="197"/>
        <w:rPr>
          <w:rFonts w:hAnsi="宋体" w:cs="宋体"/>
          <w:color w:val="auto"/>
          <w:sz w:val="24"/>
          <w:szCs w:val="24"/>
          <w:highlight w:val="none"/>
        </w:rPr>
      </w:pPr>
      <w:r>
        <w:rPr>
          <w:rFonts w:hint="eastAsia" w:hAnsi="宋体" w:cs="宋体"/>
          <w:color w:val="auto"/>
          <w:sz w:val="24"/>
          <w:szCs w:val="24"/>
          <w:highlight w:val="none"/>
        </w:rPr>
        <w:t>签字（签章）：                                       公章：</w:t>
      </w:r>
    </w:p>
    <w:p w14:paraId="60E5E1D9">
      <w:pPr>
        <w:pStyle w:val="20"/>
        <w:spacing w:line="360" w:lineRule="auto"/>
        <w:ind w:left="25" w:leftChars="12" w:firstLine="352" w:firstLineChars="147"/>
        <w:rPr>
          <w:rFonts w:hAnsi="宋体" w:cs="宋体"/>
          <w:color w:val="auto"/>
          <w:sz w:val="24"/>
          <w:szCs w:val="24"/>
          <w:highlight w:val="none"/>
        </w:rPr>
      </w:pPr>
    </w:p>
    <w:p w14:paraId="5528D791">
      <w:pPr>
        <w:pStyle w:val="20"/>
        <w:spacing w:line="360" w:lineRule="auto"/>
        <w:ind w:left="25" w:leftChars="12" w:firstLine="472" w:firstLineChars="197"/>
        <w:rPr>
          <w:rFonts w:hAnsi="宋体" w:cs="宋体"/>
          <w:color w:val="auto"/>
          <w:sz w:val="24"/>
          <w:szCs w:val="24"/>
          <w:highlight w:val="none"/>
        </w:rPr>
      </w:pPr>
      <w:r>
        <w:rPr>
          <w:rFonts w:hint="eastAsia" w:hAnsi="宋体" w:cs="宋体"/>
          <w:color w:val="auto"/>
          <w:sz w:val="24"/>
          <w:szCs w:val="24"/>
          <w:highlight w:val="none"/>
        </w:rPr>
        <w:t>日期：</w:t>
      </w:r>
    </w:p>
    <w:p w14:paraId="14544ED4">
      <w:pPr>
        <w:pStyle w:val="20"/>
        <w:spacing w:line="360" w:lineRule="auto"/>
        <w:ind w:left="25" w:leftChars="12" w:firstLine="472" w:firstLineChars="197"/>
        <w:rPr>
          <w:rFonts w:hAnsi="宋体" w:cs="宋体"/>
          <w:color w:val="auto"/>
          <w:sz w:val="24"/>
          <w:szCs w:val="24"/>
          <w:highlight w:val="none"/>
        </w:rPr>
      </w:pPr>
    </w:p>
    <w:p w14:paraId="1804F06A">
      <w:pPr>
        <w:pStyle w:val="20"/>
        <w:snapToGrid w:val="0"/>
        <w:spacing w:line="360" w:lineRule="auto"/>
        <w:rPr>
          <w:rFonts w:hAnsi="宋体" w:cs="宋体"/>
          <w:b/>
          <w:color w:val="auto"/>
          <w:sz w:val="24"/>
          <w:szCs w:val="24"/>
          <w:highlight w:val="none"/>
        </w:rPr>
      </w:pPr>
    </w:p>
    <w:p w14:paraId="23E12C8E">
      <w:pPr>
        <w:pStyle w:val="20"/>
        <w:snapToGrid w:val="0"/>
        <w:spacing w:line="360" w:lineRule="auto"/>
        <w:rPr>
          <w:rFonts w:hAnsi="宋体" w:cs="宋体"/>
          <w:b/>
          <w:color w:val="auto"/>
          <w:sz w:val="24"/>
          <w:szCs w:val="24"/>
          <w:highlight w:val="none"/>
        </w:rPr>
      </w:pPr>
      <w:r>
        <w:rPr>
          <w:rFonts w:hint="eastAsia" w:hAnsi="宋体" w:cs="宋体"/>
          <w:b/>
          <w:color w:val="auto"/>
          <w:sz w:val="24"/>
          <w:szCs w:val="24"/>
          <w:highlight w:val="none"/>
        </w:rPr>
        <w:t>说明：</w:t>
      </w:r>
    </w:p>
    <w:p w14:paraId="4CF9AF1C">
      <w:pPr>
        <w:pStyle w:val="20"/>
        <w:spacing w:line="360" w:lineRule="auto"/>
        <w:ind w:left="25" w:leftChars="12" w:firstLine="354" w:firstLineChars="147"/>
        <w:rPr>
          <w:rFonts w:hAnsi="宋体" w:cs="宋体"/>
          <w:b/>
          <w:bCs/>
          <w:color w:val="auto"/>
          <w:sz w:val="24"/>
          <w:szCs w:val="24"/>
          <w:highlight w:val="none"/>
        </w:rPr>
      </w:pPr>
      <w:r>
        <w:rPr>
          <w:rFonts w:hint="eastAsia" w:hAnsi="宋体" w:cs="宋体"/>
          <w:b/>
          <w:color w:val="auto"/>
          <w:sz w:val="24"/>
          <w:szCs w:val="24"/>
          <w:highlight w:val="none"/>
        </w:rPr>
        <w:t>1.投诉人提起投诉时，应当提交投诉书和必要的证明材料，并按照被投诉人和与投诉事项有关的供应商数量提供投诉书副本</w:t>
      </w:r>
      <w:r>
        <w:rPr>
          <w:rFonts w:hint="eastAsia" w:hAnsi="宋体" w:cs="宋体"/>
          <w:b/>
          <w:bCs/>
          <w:color w:val="auto"/>
          <w:sz w:val="24"/>
          <w:szCs w:val="24"/>
          <w:highlight w:val="none"/>
        </w:rPr>
        <w:t>。</w:t>
      </w:r>
    </w:p>
    <w:p w14:paraId="766123BD">
      <w:pPr>
        <w:pStyle w:val="20"/>
        <w:spacing w:line="360" w:lineRule="auto"/>
        <w:ind w:left="25" w:leftChars="12" w:firstLine="354" w:firstLineChars="147"/>
        <w:rPr>
          <w:rFonts w:hAnsi="宋体" w:cs="宋体"/>
          <w:b/>
          <w:color w:val="auto"/>
          <w:sz w:val="24"/>
          <w:szCs w:val="24"/>
          <w:highlight w:val="none"/>
        </w:rPr>
      </w:pPr>
      <w:r>
        <w:rPr>
          <w:rFonts w:hint="eastAsia" w:hAnsi="宋体" w:cs="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5FFF1CAA">
      <w:pPr>
        <w:pStyle w:val="20"/>
        <w:spacing w:line="360" w:lineRule="auto"/>
        <w:ind w:left="25" w:leftChars="12" w:firstLine="354" w:firstLineChars="147"/>
        <w:rPr>
          <w:rFonts w:hAnsi="宋体" w:cs="宋体"/>
          <w:b/>
          <w:color w:val="auto"/>
          <w:sz w:val="24"/>
          <w:szCs w:val="24"/>
          <w:highlight w:val="none"/>
        </w:rPr>
      </w:pPr>
      <w:r>
        <w:rPr>
          <w:rFonts w:hint="eastAsia" w:hAnsi="宋体" w:cs="宋体"/>
          <w:b/>
          <w:color w:val="auto"/>
          <w:sz w:val="24"/>
          <w:szCs w:val="24"/>
          <w:highlight w:val="none"/>
        </w:rPr>
        <w:t>3.投诉书应简要列明质疑事项，质疑函、质疑答复等作为附件材料提供。</w:t>
      </w:r>
    </w:p>
    <w:p w14:paraId="33F94E3A">
      <w:pPr>
        <w:pStyle w:val="20"/>
        <w:spacing w:line="360" w:lineRule="auto"/>
        <w:ind w:left="25" w:leftChars="12" w:firstLine="354" w:firstLineChars="147"/>
        <w:rPr>
          <w:rFonts w:hAnsi="宋体" w:cs="宋体"/>
          <w:b/>
          <w:color w:val="auto"/>
          <w:sz w:val="24"/>
          <w:szCs w:val="24"/>
          <w:highlight w:val="none"/>
        </w:rPr>
      </w:pPr>
      <w:r>
        <w:rPr>
          <w:rFonts w:hint="eastAsia" w:hAnsi="宋体" w:cs="宋体"/>
          <w:b/>
          <w:color w:val="auto"/>
          <w:sz w:val="24"/>
          <w:szCs w:val="24"/>
          <w:highlight w:val="none"/>
        </w:rPr>
        <w:t>4.投诉书的投诉事项应具体、明确，并有必要的事实依据和法律依据。</w:t>
      </w:r>
    </w:p>
    <w:p w14:paraId="62B98C2B">
      <w:pPr>
        <w:pStyle w:val="20"/>
        <w:spacing w:line="360" w:lineRule="auto"/>
        <w:ind w:left="25" w:leftChars="12" w:firstLine="354" w:firstLineChars="147"/>
        <w:rPr>
          <w:rFonts w:hAnsi="宋体" w:cs="宋体"/>
          <w:b/>
          <w:color w:val="auto"/>
          <w:sz w:val="24"/>
          <w:szCs w:val="24"/>
          <w:highlight w:val="none"/>
        </w:rPr>
      </w:pPr>
      <w:r>
        <w:rPr>
          <w:rFonts w:hint="eastAsia" w:hAnsi="宋体" w:cs="宋体"/>
          <w:b/>
          <w:color w:val="auto"/>
          <w:sz w:val="24"/>
          <w:szCs w:val="24"/>
          <w:highlight w:val="none"/>
        </w:rPr>
        <w:t>5.投诉书的投诉请求应与投诉事项相关。</w:t>
      </w:r>
    </w:p>
    <w:p w14:paraId="5D8A4CAA">
      <w:pPr>
        <w:pStyle w:val="20"/>
        <w:spacing w:line="360" w:lineRule="auto"/>
        <w:ind w:left="25" w:leftChars="12" w:firstLine="354" w:firstLineChars="147"/>
        <w:rPr>
          <w:rFonts w:hAnsi="宋体" w:cs="宋体"/>
          <w:b/>
          <w:color w:val="auto"/>
          <w:highlight w:val="none"/>
        </w:rPr>
      </w:pPr>
      <w:r>
        <w:rPr>
          <w:rFonts w:hint="eastAsia" w:hAnsi="宋体" w:cs="宋体"/>
          <w:b/>
          <w:color w:val="auto"/>
          <w:sz w:val="24"/>
          <w:szCs w:val="24"/>
          <w:highlight w:val="none"/>
        </w:rPr>
        <w:t>6.投诉人为法人或者其他组织的，投诉书应由法定代表人、主要负责人，或者其授权代表签字或者盖章，并加盖公章。</w:t>
      </w:r>
    </w:p>
    <w:p w14:paraId="467522E7">
      <w:pPr>
        <w:pStyle w:val="20"/>
        <w:spacing w:line="360" w:lineRule="auto"/>
        <w:ind w:left="25" w:leftChars="12" w:firstLine="295" w:firstLineChars="147"/>
        <w:rPr>
          <w:rFonts w:hAnsi="宋体"/>
          <w:b/>
          <w:color w:val="auto"/>
          <w:highlight w:val="none"/>
        </w:rPr>
      </w:pPr>
    </w:p>
    <w:p w14:paraId="4B7AA89D">
      <w:pPr>
        <w:rPr>
          <w:color w:val="auto"/>
          <w:highlight w:val="none"/>
        </w:rPr>
      </w:pPr>
    </w:p>
    <w:p w14:paraId="2A1A1A4C">
      <w:pPr>
        <w:rPr>
          <w:color w:val="auto"/>
          <w:highlight w:val="none"/>
        </w:rPr>
      </w:pPr>
    </w:p>
    <w:sectPr>
      <w:footerReference r:id="rId10" w:type="first"/>
      <w:headerReference r:id="rId8" w:type="default"/>
      <w:footerReference r:id="rId9" w:type="default"/>
      <w:pgSz w:w="11910" w:h="16840"/>
      <w:pgMar w:top="1134" w:right="1134" w:bottom="1134" w:left="1134"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039AFC22-F54A-4FB7-8C4F-C481A0CA9932}"/>
  </w:font>
  <w:font w:name="黑体">
    <w:panose1 w:val="02010609060101010101"/>
    <w:charset w:val="86"/>
    <w:family w:val="auto"/>
    <w:pitch w:val="default"/>
    <w:sig w:usb0="800002BF" w:usb1="38CF7CFA" w:usb2="00000016" w:usb3="00000000" w:csb0="00040001" w:csb1="00000000"/>
    <w:embedRegular r:id="rId2" w:fontKey="{22494FEA-0146-4A23-AEB0-C36CA89E0B93}"/>
  </w:font>
  <w:font w:name="Courier New">
    <w:panose1 w:val="02070309020205020404"/>
    <w:charset w:val="01"/>
    <w:family w:val="modern"/>
    <w:pitch w:val="default"/>
    <w:sig w:usb0="E0002AFF" w:usb1="C0007843" w:usb2="00000009" w:usb3="00000000" w:csb0="400001FF" w:csb1="FFFF0000"/>
    <w:embedRegular r:id="rId3" w:fontKey="{14757455-2574-4A52-87AE-5AFCE68C4F2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0D2F1387-9934-4D8D-AB79-B94AF81CD0F7}"/>
  </w:font>
  <w:font w:name="Cambria">
    <w:panose1 w:val="02040503050406030204"/>
    <w:charset w:val="00"/>
    <w:family w:val="roman"/>
    <w:pitch w:val="default"/>
    <w:sig w:usb0="A00002EF" w:usb1="4000004B" w:usb2="00000000" w:usb3="00000000" w:csb0="2000009F" w:csb1="00000000"/>
  </w:font>
  <w:font w:name="等线 Light">
    <w:panose1 w:val="02010600030101010101"/>
    <w:charset w:val="86"/>
    <w:family w:val="auto"/>
    <w:pitch w:val="default"/>
    <w:sig w:usb0="A00002BF" w:usb1="38CF7CFA" w:usb2="00000016" w:usb3="00000000" w:csb0="0004000F" w:csb1="00000000"/>
    <w:embedRegular r:id="rId5" w:fontKey="{9F4C85E3-CF06-4648-962A-C01544CC2BFC}"/>
  </w:font>
  <w:font w:name="仿宋_GB2312">
    <w:panose1 w:val="02010609030101010101"/>
    <w:charset w:val="86"/>
    <w:family w:val="modern"/>
    <w:pitch w:val="default"/>
    <w:sig w:usb0="00000001" w:usb1="080E0000" w:usb2="00000000" w:usb3="00000000" w:csb0="00040000" w:csb1="00000000"/>
    <w:embedRegular r:id="rId6" w:fontKey="{9EEA3648-F5AF-4B23-B6B5-73BDAF93D24C}"/>
  </w:font>
  <w:font w:name="serif">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swiss"/>
    <w:pitch w:val="default"/>
    <w:sig w:usb0="E1002EFF" w:usb1="C000605B" w:usb2="00000029" w:usb3="00000000" w:csb0="200101FF" w:csb1="20280000"/>
    <w:embedRegular r:id="rId7" w:fontKey="{D26F5CA9-5517-4578-902B-7C928269C0A5}"/>
  </w:font>
  <w:font w:name="仿宋">
    <w:panose1 w:val="02010609060101010101"/>
    <w:charset w:val="86"/>
    <w:family w:val="modern"/>
    <w:pitch w:val="default"/>
    <w:sig w:usb0="800002BF" w:usb1="38CF7CFA" w:usb2="00000016" w:usb3="00000000" w:csb0="00040001" w:csb1="00000000"/>
    <w:embedRegular r:id="rId8" w:fontKey="{0602E256-8169-41E6-8E20-3C53DCD57125}"/>
  </w:font>
  <w:font w:name="微软雅黑">
    <w:panose1 w:val="020B0503020204020204"/>
    <w:charset w:val="86"/>
    <w:family w:val="swiss"/>
    <w:pitch w:val="default"/>
    <w:sig w:usb0="80000287" w:usb1="280F3C52" w:usb2="00000016" w:usb3="00000000" w:csb0="0004001F" w:csb1="00000000"/>
    <w:embedRegular r:id="rId9" w:fontKey="{84858347-1983-4759-96CC-E11F3E8B75DC}"/>
  </w:font>
  <w:font w:name="MingLiU">
    <w:panose1 w:val="02020509000000000000"/>
    <w:charset w:val="88"/>
    <w:family w:val="modern"/>
    <w:pitch w:val="default"/>
    <w:sig w:usb0="A00002FF" w:usb1="28CFFCFA" w:usb2="00000016" w:usb3="00000000" w:csb0="00100001" w:csb1="00000000"/>
  </w:font>
  <w:font w:name="Arial Black">
    <w:panose1 w:val="020B0A04020102020204"/>
    <w:charset w:val="00"/>
    <w:family w:val="swiss"/>
    <w:pitch w:val="default"/>
    <w:sig w:usb0="00000287" w:usb1="00000000" w:usb2="00000000" w:usb3="00000000" w:csb0="2000009F" w:csb1="DFD70000"/>
    <w:embedRegular r:id="rId10" w:fontKey="{C147C3DC-A449-492D-8EBB-E997577396D8}"/>
  </w:font>
  <w:font w:name="MS Mincho">
    <w:panose1 w:val="02020609040205080304"/>
    <w:charset w:val="80"/>
    <w:family w:val="modern"/>
    <w:pitch w:val="default"/>
    <w:sig w:usb0="E00002FF" w:usb1="6AC7FDFB" w:usb2="00000012" w:usb3="00000000" w:csb0="4002009F" w:csb1="DFD70000"/>
    <w:embedRegular r:id="rId11" w:fontKey="{C6729125-7BF9-4C93-BAF7-13D1FBEC03E3}"/>
  </w:font>
  <w:font w:name="Wingdings 2">
    <w:panose1 w:val="05020102010507070707"/>
    <w:charset w:val="02"/>
    <w:family w:val="roman"/>
    <w:pitch w:val="default"/>
    <w:sig w:usb0="00000000" w:usb1="00000000" w:usb2="00000000" w:usb3="00000000" w:csb0="80000000" w:csb1="00000000"/>
    <w:embedRegular r:id="rId12" w:fontKey="{27B035F0-CE7E-44C7-9FD1-1106D2E8C54E}"/>
  </w:font>
  <w:font w:name="等线">
    <w:panose1 w:val="02010600030101010101"/>
    <w:charset w:val="86"/>
    <w:family w:val="auto"/>
    <w:pitch w:val="default"/>
    <w:sig w:usb0="A00002BF" w:usb1="38CF7CFA" w:usb2="00000016" w:usb3="00000000" w:csb0="0004000F" w:csb1="00000000"/>
    <w:embedRegular r:id="rId13" w:fontKey="{460B7DD6-FB6A-4C56-835C-CEC92ECF9B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D58A1A">
    <w:pPr>
      <w:pStyle w:val="2"/>
      <w:tabs>
        <w:tab w:val="center" w:pos="4439"/>
        <w:tab w:val="clear" w:pos="4153"/>
      </w:tabs>
      <w:jc w:val="both"/>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5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F9D802C">
                          <w:pPr>
                            <w:pStyle w:val="2"/>
                          </w:pPr>
                          <w:r>
                            <w:fldChar w:fldCharType="begin"/>
                          </w:r>
                          <w:r>
                            <w:instrText xml:space="preserve"> PAGE  \* MERGEFORMAT </w:instrText>
                          </w:r>
                          <w:r>
                            <w:fldChar w:fldCharType="separate"/>
                          </w:r>
                          <w:r>
                            <w:t>23</w:t>
                          </w:r>
                          <w:r>
                            <w:fldChar w:fldCharType="end"/>
                          </w:r>
                        </w:p>
                      </w:txbxContent>
                    </wps:txbx>
                    <wps:bodyPr wrap="none" lIns="0" tIns="0" rIns="0" bIns="0">
                      <a:spAutoFit/>
                    </wps:bodyPr>
                  </wps:wsp>
                </a:graphicData>
              </a:graphic>
            </wp:anchor>
          </w:drawing>
        </mc:Choice>
        <mc:Fallback>
          <w:pict>
            <v:shape id="文本框 513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g+7MskBAACfAwAADgAAAGRycy9lMm9Eb2MueG1srVNLbtswEN0XyB0I&#10;7mPJDhoYguWghZGiQNEWSHMAmiItAvyBQ1vyBdobdNVN9z2Xz9EhJTm/TRbZUPPjm3mPo9VNbzQ5&#10;iADK2ZrOZyUlwnLXKLur6f2P28slJRCZbZh2VtT0KIDerC/erTpfiYVrnW5EIAhioep8TdsYfVUU&#10;wFthGMycFxaT0gXDIrphVzSBdYhudLEoy+uic6HxwXEBgNHNkKQjYngNoJNScbFxfG+EjQNqEJpF&#10;pASt8kDXeVopBY/fpAQRia4pMo35xCZob9NZrFes2gXmW8XHEdhrRnjGyTBlsekZasMiI/ugXkAZ&#10;xYMDJ+OMO1MMRLIiyGJePtPmrmVeZC4oNfiz6PB2sPzr4XsgqsFNuKbEMoMvfvr96/Tn3+nvT/J+&#10;fnWVJOo8VFh557E29h9dj+VTHDCYmPcymPRFTgTzKPDxLLDoI+Hp0nKxXJaY4pibHMQvHq77APGT&#10;cIYko6YBXzALyw5fIA6lU0nqZt2t0jq/orZPAog5REReg/F2YjJMnKzYb/uR3tY1R2TX4SrU1OLm&#10;U6I/W1Q6bc1khMnYjkbqCP7DPuIYebqEOkAhq+Tgu2V+446lxXjs56qH/2r9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WD7syyQEAAJ8DAAAOAAAAAAAAAAEAIAAAAB4BAABkcnMvZTJvRG9j&#10;LnhtbFBLBQYAAAAABgAGAFkBAABZBQAAAAA=&#10;">
              <v:fill on="f" focussize="0,0"/>
              <v:stroke on="f"/>
              <v:imagedata o:title=""/>
              <o:lock v:ext="edit" aspectratio="f"/>
              <v:textbox inset="0mm,0mm,0mm,0mm" style="mso-fit-shape-to-text:t;">
                <w:txbxContent>
                  <w:p w14:paraId="6F9D802C">
                    <w:pPr>
                      <w:pStyle w:val="2"/>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A5A65">
    <w:pPr>
      <w:pStyle w:val="2"/>
      <w:tabs>
        <w:tab w:val="center" w:pos="4439"/>
        <w:tab w:val="clear" w:pos="4153"/>
      </w:tabs>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51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9308EAE">
                          <w:pPr>
                            <w:pStyle w:val="2"/>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513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8k+hcgBAACfAwAADgAAAGRycy9lMm9Eb2MueG1srVPNjtMwEL4j8Q6W&#10;7zRpEasqaroCVYuQECAtPIDrTBpL/pPHbdIXgDfgxIU7z9XnYOwkXVgue+DizJ8/z/fNZHM7GM1O&#10;EFA5W/PlouQMrHSNsoeaf/l892LNGUZhG6GdhZqfAfnt9vmzTe8rWLnO6QYCIxCLVe9r3sXoq6JA&#10;2YERuHAeLCVbF4yI5IZD0QTRE7rRxaosb4rehcYHJwGRorsxySfE8BRA17ZKws7JowEbR9QAWkSi&#10;hJ3yyLe527YFGT+2LUJkuubENOaTHiF7n85iuxHVIQjfKTm1IJ7SwiNORihLj16hdiIKdgzqHyij&#10;ZHDo2riQzhQjkawIsViWj7S574SHzIWkRn8VHf8frPxw+hSYamgTaO5WGJr45fu3y49fl59f2avl&#10;y5skUe+xosp7T7VxeOMGKp/jSMHEfGiDSV/ixChPAp+vAsMQmUyX1qv1uqSUpNzsEH7xcN0HjG/B&#10;GZaMmgeaYBZWnN5jHEvnkvSadXdK6zxFbf8KEOYYgbwG0+3EZOw4WXHYDxO9vWvOxK6nVai5pc3n&#10;TL+zpHTamtkIs7GfjPQi+tfHSG3k7hLqCEWskkNzy/ymHUuL8aefqx7+q+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PfJPoXIAQAAnwMAAA4AAAAAAAAAAQAgAAAAHgEAAGRycy9lMm9Eb2Mu&#10;eG1sUEsFBgAAAAAGAAYAWQEAAFgFAAAAAA==&#10;">
              <v:fill on="f" focussize="0,0"/>
              <v:stroke on="f"/>
              <v:imagedata o:title=""/>
              <o:lock v:ext="edit" aspectratio="f"/>
              <v:textbox inset="0mm,0mm,0mm,0mm" style="mso-fit-shape-to-text:t;">
                <w:txbxContent>
                  <w:p w14:paraId="29308EAE">
                    <w:pPr>
                      <w:pStyle w:val="2"/>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51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4738BE4"/>
                      </w:txbxContent>
                    </wps:txbx>
                    <wps:bodyPr wrap="none" lIns="0" tIns="0" rIns="0" bIns="0">
                      <a:spAutoFit/>
                    </wps:bodyPr>
                  </wps:wsp>
                </a:graphicData>
              </a:graphic>
            </wp:anchor>
          </w:drawing>
        </mc:Choice>
        <mc:Fallback>
          <w:pict>
            <v:shape id="文本框 5134"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rjyPMoBAACfAwAADgAAAGRycy9lMm9Eb2MueG1srVNLbtswEN0X6B0I&#10;7mvJ7s8QLActjBQFijaA2wPQFGkR4A8c2pIv0N6gq266z7l8jgwpyWmTTRbZUPPjm3mPo9VVbzQ5&#10;igDK2ZrOZyUlwnLXKLuv6Y/v16+WlEBktmHaWVHTkwB6tX75YtX5Sixc63QjAkEQC1Xna9rG6Kui&#10;AN4Kw2DmvLCYlC4YFtEN+6IJrEN0o4tFWb4rOhcaHxwXABjdDEk6IoanADopFRcbxw9G2DigBqFZ&#10;RErQKg90naeVUvD4TUoQkeiaItOYT2yC9i6dxXrFqn1gvlV8HIE9ZYQHnAxTFpteoDYsMnII6hGU&#10;UTw4cDLOuDPFQCQrgizm5QNtti3zInNBqcFfRIfng+VfjzeBqAY34T0llhl88fPvX+c/t+e/P8nb&#10;+es3SaLOQ4WVW4+1sf/oeiyf4oDBxLyXwaQvciKYR4FPF4FFHwlPl5aL5bLEFMfc5CB+cX/dB4if&#10;hDMkGTUN+IJZWHb8AnEonUpSN+uuldb5FbX9L4CYQ0TkNRhvJybDxMmK/a4f6e1cc0J2Ha5CTS1u&#10;PiX6s0Wl09ZMRpiM3WikjuA/HCKOkadLqAMUskoOvlvmN+5YWox//Vx1/1+t7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mrjyPMoBAACfAwAADgAAAAAAAAABACAAAAAeAQAAZHJzL2Uyb0Rv&#10;Yy54bWxQSwUGAAAAAAYABgBZAQAAWgUAAAAA&#10;">
              <v:fill on="f" focussize="0,0"/>
              <v:stroke on="f"/>
              <v:imagedata o:title=""/>
              <o:lock v:ext="edit" aspectratio="f"/>
              <v:textbox inset="0mm,0mm,0mm,0mm" style="mso-fit-shape-to-text:t;">
                <w:txbxContent>
                  <w:p w14:paraId="34738BE4"/>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D8DCB">
    <w:pPr>
      <w:pStyle w:val="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5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47F2FE9">
                          <w:pPr>
                            <w:pStyle w:val="2"/>
                            <w:jc w:val="center"/>
                          </w:pPr>
                          <w:r>
                            <w:fldChar w:fldCharType="begin"/>
                          </w:r>
                          <w:r>
                            <w:instrText xml:space="preserve"> PAGE  \* MERGEFORMAT </w:instrText>
                          </w:r>
                          <w:r>
                            <w:fldChar w:fldCharType="separate"/>
                          </w:r>
                          <w:r>
                            <w:t>122</w:t>
                          </w:r>
                          <w:r>
                            <w:fldChar w:fldCharType="end"/>
                          </w:r>
                        </w:p>
                      </w:txbxContent>
                    </wps:txbx>
                    <wps:bodyPr wrap="none" lIns="0" tIns="0" rIns="0" bIns="0">
                      <a:spAutoFit/>
                    </wps:bodyPr>
                  </wps:wsp>
                </a:graphicData>
              </a:graphic>
            </wp:anchor>
          </w:drawing>
        </mc:Choice>
        <mc:Fallback>
          <w:pict>
            <v:shape id="文本框 513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UUEjckBAACfAwAADgAAAGRycy9lMm9Eb2MueG1srVPLrtMwEN0j8Q+W&#10;9zRpeaiKml6BqouQECBd+ADXmTSW/JLHbdIfgD9gxYY939XvYOwkvXDZ3AUbZ14+M+d4srkZjGYn&#10;CKicrflyUXIGVrpG2UPNv3y+fbbmDKOwjdDOQs3PgPxm+/TJpvcVrFzndAOBEYjFqvc172L0VVGg&#10;7MAIXDgPlpKtC0ZEcsOhaILoCd3oYlWWr4rehcYHJwGRorsxySfE8BhA17ZKws7JowEbR9QAWkSi&#10;hJ3yyLd52rYFGT+2LUJkuubENOaTmpC9T2ex3YjqEITvlJxGEI8Z4QEnI5SlpleonYiCHYP6B8oo&#10;GRy6Ni6kM8VIJCtCLJblA23uOuEhcyGp0V9Fx/8HKz+cPgWmGtqEF5xZYejFL9+/XX78uvz8yl4u&#10;n6+SRL3HiirvPNXG4Y0bqHyOIwUT86ENJn2JE6M8CXy+CgxDZDJdWq/W65JSknKzQ/jF/XUfML4F&#10;Z1gyah7oBbOw4vQe41g6l6Ru1t0qrfMravtXgDDHCOQ1mG4nJuPEyYrDfpjo7V1zJnY9rULNLW0+&#10;Z/qdJaXT1sxGmI39ZKSO6F8fI42Rp0uoIxSxSg69W+Y37VhajD/9XHX/X2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FRQSNyQEAAJ8DAAAOAAAAAAAAAAEAIAAAAB4BAABkcnMvZTJvRG9j&#10;LnhtbFBLBQYAAAAABgAGAFkBAABZBQAAAAA=&#10;">
              <v:fill on="f" focussize="0,0"/>
              <v:stroke on="f"/>
              <v:imagedata o:title=""/>
              <o:lock v:ext="edit" aspectratio="f"/>
              <v:textbox inset="0mm,0mm,0mm,0mm" style="mso-fit-shape-to-text:t;">
                <w:txbxContent>
                  <w:p w14:paraId="447F2FE9">
                    <w:pPr>
                      <w:pStyle w:val="2"/>
                      <w:jc w:val="center"/>
                    </w:pPr>
                    <w:r>
                      <w:fldChar w:fldCharType="begin"/>
                    </w:r>
                    <w:r>
                      <w:instrText xml:space="preserve"> PAGE  \* MERGEFORMAT </w:instrText>
                    </w:r>
                    <w:r>
                      <w:fldChar w:fldCharType="separate"/>
                    </w:r>
                    <w:r>
                      <w:t>122</w:t>
                    </w:r>
                    <w:r>
                      <w:fldChar w:fldCharType="end"/>
                    </w:r>
                  </w:p>
                </w:txbxContent>
              </v:textbox>
            </v:shape>
          </w:pict>
        </mc:Fallback>
      </mc:AlternateContent>
    </w:r>
  </w:p>
  <w:p w14:paraId="7EF74155">
    <w:pPr>
      <w:pStyle w:val="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0C159">
    <w:pPr>
      <w:pStyle w:val="2"/>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51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693AC08">
                          <w:pPr>
                            <w:pStyle w:val="2"/>
                          </w:pPr>
                          <w:r>
                            <w:fldChar w:fldCharType="begin"/>
                          </w:r>
                          <w:r>
                            <w:instrText xml:space="preserve"> PAGE  \* MERGEFORMAT </w:instrText>
                          </w:r>
                          <w:r>
                            <w:fldChar w:fldCharType="separate"/>
                          </w:r>
                          <w:r>
                            <w:t>63</w:t>
                          </w:r>
                          <w:r>
                            <w:fldChar w:fldCharType="end"/>
                          </w:r>
                        </w:p>
                      </w:txbxContent>
                    </wps:txbx>
                    <wps:bodyPr wrap="none" lIns="0" tIns="0" rIns="0" bIns="0">
                      <a:spAutoFit/>
                    </wps:bodyPr>
                  </wps:wsp>
                </a:graphicData>
              </a:graphic>
            </wp:anchor>
          </w:drawing>
        </mc:Choice>
        <mc:Fallback>
          <w:pict>
            <v:shape id="文本框 513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Y77/ckBAACfAwAADgAAAGRycy9lMm9Eb2MueG1srVPNjtMwEL4j8Q6W&#10;7zRp0aIqaroCVYuQECAtPIDrTBpL/pPHbdIXgDfgxIU7z9XnYOwkXVgue+DizJ+/me/zZHM7GM1O&#10;EFA5W/PlouQMrHSNsoeaf/l892LNGUZhG6GdhZqfAfnt9vmzTe8rWLnO6QYCIxCLVe9r3sXoq6JA&#10;2YERuHAeLCVbF4yI5IZD0QTRE7rRxaosXxW9C40PTgIiRXdjkk+I4SmArm2VhJ2TRwM2jqgBtIhE&#10;CTvlkW/ztG0LMn5sW4TIdM2JacwnNSF7n85iuxHVIQjfKTmNIJ4ywiNORihLTa9QOxEFOwb1D5RR&#10;Mjh0bVxIZ4qRSFaEWCzLR9rcd8JD5kJSo7+Kjv8PVn44fQpMNbQJN5xZYejFL9+/XX78uvz8ym6W&#10;L5dJot5jRZX3nmrj8MYNVD7HkYKJ+dAGk77EiVGeBD5fBYYhMpkurVfrdUkpSbnZIfzi4boPGN+C&#10;MywZNQ/0gllYcXqPcSydS1I36+6U1vkVtf0rQJhjBPIaTLcTk3HiZMVhP0z09q45E7ueVqHmljaf&#10;M/3OktJpa2YjzMZ+MlJH9K+PkcbI0yXUEYpYJYfeLfObdiwtxp9+rnr4r7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9jvv9yQEAAJ8DAAAOAAAAAAAAAAEAIAAAAB4BAABkcnMvZTJvRG9j&#10;LnhtbFBLBQYAAAAABgAGAFkBAABZBQAAAAA=&#10;">
              <v:fill on="f" focussize="0,0"/>
              <v:stroke on="f"/>
              <v:imagedata o:title=""/>
              <o:lock v:ext="edit" aspectratio="f"/>
              <v:textbox inset="0mm,0mm,0mm,0mm" style="mso-fit-shape-to-text:t;">
                <w:txbxContent>
                  <w:p w14:paraId="2693AC08">
                    <w:pPr>
                      <w:pStyle w:val="2"/>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FA170">
    <w:pPr>
      <w:pStyle w:val="2"/>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5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0E0E59E">
                          <w:pPr>
                            <w:pStyle w:val="2"/>
                            <w:jc w:val="center"/>
                          </w:pPr>
                          <w:r>
                            <w:fldChar w:fldCharType="begin"/>
                          </w:r>
                          <w:r>
                            <w:instrText xml:space="preserve"> PAGE  \* MERGEFORMAT </w:instrText>
                          </w:r>
                          <w:r>
                            <w:fldChar w:fldCharType="separate"/>
                          </w:r>
                          <w:r>
                            <w:t>126</w:t>
                          </w:r>
                          <w:r>
                            <w:fldChar w:fldCharType="end"/>
                          </w:r>
                        </w:p>
                      </w:txbxContent>
                    </wps:txbx>
                    <wps:bodyPr wrap="none" lIns="0" tIns="0" rIns="0" bIns="0">
                      <a:spAutoFit/>
                    </wps:bodyPr>
                  </wps:wsp>
                </a:graphicData>
              </a:graphic>
            </wp:anchor>
          </w:drawing>
        </mc:Choice>
        <mc:Fallback>
          <w:pict>
            <v:shape id="文本框 512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00a6MkBAACfAwAADgAAAGRycy9lMm9Eb2MueG1srVNLbtswEN0XyB0I&#10;7mPJAloYguUggZEiQNAWSHsAmiItAvyBQ1vyBdobdNVN9z2Xz9EhJTltusmiG2p+fDPvcbS+GYwm&#10;RxFAOdvQ5aKkRFjuWmX3Df3y+f56RQlEZlumnRUNPQmgN5urN+ve16JyndOtCARBLNS9b2gXo6+L&#10;AngnDIOF88JiUrpgWEQ37Is2sB7RjS6qsnxX9C60PjguADC6HZN0QgyvAXRSKi62jh+MsHFEDUKz&#10;iJSgUx7oJk8rpeDxo5QgItENRaYxn9gE7V06i82a1fvAfKf4NAJ7zQgvOBmmLDa9QG1ZZOQQ1D9Q&#10;RvHgwMm44M4UI5GsCLJYli+0eeqYF5kLSg3+Ijr8P1j+4fgpENXiJlSUWGbwxc/fv51//Dr//Ere&#10;Lqtlkqj3UGPlk8faONy5AcvnOGAwMR9kMOmLnAjmUeDTRWAxRMLTpVW1WpWY4pibHcQvnq/7APG9&#10;cIYko6EBXzALy46PEMfSuSR1s+5eaZ1fUdu/Aog5RkReg+l2YjJOnKw47IaJ3s61J2TX4yo01OLm&#10;U6IfLCqdtmY2wmzsJiN1BH97iDhGni6hjlDIKjn4bpnftGNpMf70c9Xzf7X5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TTRroyQEAAJ8DAAAOAAAAAAAAAAEAIAAAAB4BAABkcnMvZTJvRG9j&#10;LnhtbFBLBQYAAAAABgAGAFkBAABZBQAAAAA=&#10;">
              <v:fill on="f" focussize="0,0"/>
              <v:stroke on="f"/>
              <v:imagedata o:title=""/>
              <o:lock v:ext="edit" aspectratio="f"/>
              <v:textbox inset="0mm,0mm,0mm,0mm" style="mso-fit-shape-to-text:t;">
                <w:txbxContent>
                  <w:p w14:paraId="40E0E59E">
                    <w:pPr>
                      <w:pStyle w:val="2"/>
                      <w:jc w:val="center"/>
                    </w:pPr>
                    <w:r>
                      <w:fldChar w:fldCharType="begin"/>
                    </w:r>
                    <w:r>
                      <w:instrText xml:space="preserve"> PAGE  \* MERGEFORMAT </w:instrText>
                    </w:r>
                    <w:r>
                      <w:fldChar w:fldCharType="separate"/>
                    </w:r>
                    <w:r>
                      <w:t>126</w:t>
                    </w:r>
                    <w:r>
                      <w:fldChar w:fldCharType="end"/>
                    </w:r>
                  </w:p>
                </w:txbxContent>
              </v:textbox>
            </v:shape>
          </w:pict>
        </mc:Fallback>
      </mc:AlternateContent>
    </w:r>
  </w:p>
  <w:p w14:paraId="2B8B76B7">
    <w:pPr>
      <w:pStyle w:val="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B5308">
    <w:pPr>
      <w:pStyle w:val="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5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2A91812">
                          <w:pPr>
                            <w:pStyle w:val="2"/>
                          </w:pPr>
                          <w:r>
                            <w:fldChar w:fldCharType="begin"/>
                          </w:r>
                          <w:r>
                            <w:instrText xml:space="preserve"> PAGE  \* MERGEFORMAT </w:instrText>
                          </w:r>
                          <w:r>
                            <w:fldChar w:fldCharType="separate"/>
                          </w:r>
                          <w:r>
                            <w:t>63</w:t>
                          </w:r>
                          <w:r>
                            <w:fldChar w:fldCharType="end"/>
                          </w:r>
                        </w:p>
                      </w:txbxContent>
                    </wps:txbx>
                    <wps:bodyPr wrap="none" lIns="0" tIns="0" rIns="0" bIns="0">
                      <a:spAutoFit/>
                    </wps:bodyPr>
                  </wps:wsp>
                </a:graphicData>
              </a:graphic>
            </wp:anchor>
          </w:drawing>
        </mc:Choice>
        <mc:Fallback>
          <w:pict>
            <v:shape id="文本框 512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4blmMkBAACfAwAADgAAAGRycy9lMm9Eb2MueG1srVNLbtswEN0XyB0I&#10;7mPJCloYguWghZGgQNEWSHMAmiItAvyBQ1vyBdobdNVN9z2Xz9EhJTltusmiG2p+fDPvcbS+HYwm&#10;RxFAOdvQ5aKkRFjuWmX3DX38cne9ogQisy3TzoqGngTQ283Vq3Xva1G5zulWBIIgFureN7SL0ddF&#10;AbwThsHCeWExKV0wLKIb9kUbWI/oRhdVWb4pehdaHxwXABjdjkk6IYaXADopFRdbxw9G2DiiBqFZ&#10;RErQKQ90k6eVUvD4SUoQkeiGItOYT2yC9i6dxWbN6n1gvlN8GoG9ZIRnnAxTFpteoLYsMnII6h8o&#10;o3hw4GRccGeKkUhWBFksy2faPHTMi8wFpQZ/ER3+Hyz/ePwciGpxE24osczgi5+/fzv/+HX++ZW8&#10;XlZVkqj3UGPlg8faOLxzA5bPccBgYj7IYNIXORHMo8Cni8BiiISnS6tqtSoxxTE3O4hfPF33AeK9&#10;cIYko6EBXzALy44fII6lc0nqZt2d0jq/orZ/BRBzjIi8BtPtxGScOFlx2A0TvZ1rT8iux1VoqMXN&#10;p0S/t6h02prZCLOxm4zUEfzbQ8Qx8nQJdYRCVsnBd8v8ph1Li/Gnn6ue/qvN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rhuWYyQEAAJ8DAAAOAAAAAAAAAAEAIAAAAB4BAABkcnMvZTJvRG9j&#10;LnhtbFBLBQYAAAAABgAGAFkBAABZBQAAAAA=&#10;">
              <v:fill on="f" focussize="0,0"/>
              <v:stroke on="f"/>
              <v:imagedata o:title=""/>
              <o:lock v:ext="edit" aspectratio="f"/>
              <v:textbox inset="0mm,0mm,0mm,0mm" style="mso-fit-shape-to-text:t;">
                <w:txbxContent>
                  <w:p w14:paraId="42A91812">
                    <w:pPr>
                      <w:pStyle w:val="2"/>
                    </w:pPr>
                    <w:r>
                      <w:fldChar w:fldCharType="begin"/>
                    </w:r>
                    <w:r>
                      <w:instrText xml:space="preserve"> PAGE  \* MERGEFORMAT </w:instrText>
                    </w:r>
                    <w:r>
                      <w:fldChar w:fldCharType="separate"/>
                    </w:r>
                    <w:r>
                      <w:t>63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AB5A1">
    <w:pPr>
      <w:pStyle w:val="23"/>
      <w:jc w:val="left"/>
    </w:pPr>
    <w:r>
      <w:rPr>
        <w:rFonts w:hint="eastAsia"/>
      </w:rPr>
      <w:t>广西壮族自治区检察院系统整合和安全测评采购项目                           竞争性磋商采购文件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91B67">
    <w:pPr>
      <w:pStyle w:val="23"/>
      <w:jc w:val="left"/>
    </w:pPr>
    <w:r>
      <w:rPr>
        <w:rFonts w:hint="eastAsia"/>
      </w:rPr>
      <w:t>智慧一网通办平台建设项目              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0972903"/>
    <w:multiLevelType w:val="multilevel"/>
    <w:tmpl w:val="40972903"/>
    <w:lvl w:ilvl="0" w:tentative="0">
      <w:start w:val="1"/>
      <w:numFmt w:val="japaneseCounting"/>
      <w:lvlText w:val="第%1条"/>
      <w:lvlJc w:val="left"/>
      <w:pPr>
        <w:tabs>
          <w:tab w:val="left" w:pos="1444"/>
        </w:tabs>
        <w:ind w:left="1444" w:hanging="876"/>
      </w:pPr>
      <w:rPr>
        <w:rFonts w:hint="eastAsia" w:ascii="宋体" w:hAnsi="宋体" w:eastAsia="宋体" w:cs="Times New Roman"/>
      </w:rPr>
    </w:lvl>
    <w:lvl w:ilvl="1" w:tentative="0">
      <w:start w:val="2"/>
      <w:numFmt w:val="decimal"/>
      <w:lvlText w:val="%2、"/>
      <w:lvlJc w:val="left"/>
      <w:pPr>
        <w:tabs>
          <w:tab w:val="left" w:pos="1140"/>
        </w:tabs>
        <w:ind w:left="1140" w:hanging="720"/>
      </w:pPr>
      <w:rPr>
        <w:rFonts w:hint="default" w:ascii="Times New Roman" w:hAnsi="Times New Roman" w:cs="Times New Roman"/>
      </w:rPr>
    </w:lvl>
    <w:lvl w:ilvl="2" w:tentative="0">
      <w:start w:val="1"/>
      <w:numFmt w:val="lowerRoman"/>
      <w:lvlText w:val="%3."/>
      <w:lvlJc w:val="right"/>
      <w:pPr>
        <w:tabs>
          <w:tab w:val="left" w:pos="1260"/>
        </w:tabs>
        <w:ind w:left="1260" w:hanging="420"/>
      </w:pPr>
      <w:rPr>
        <w:rFonts w:hint="default" w:ascii="Times New Roman" w:hAnsi="Times New Roman" w:cs="Times New Roman"/>
      </w:rPr>
    </w:lvl>
    <w:lvl w:ilvl="3" w:tentative="0">
      <w:start w:val="1"/>
      <w:numFmt w:val="decimal"/>
      <w:lvlText w:val="%4."/>
      <w:lvlJc w:val="left"/>
      <w:pPr>
        <w:tabs>
          <w:tab w:val="left" w:pos="1680"/>
        </w:tabs>
        <w:ind w:left="1680" w:hanging="420"/>
      </w:pPr>
      <w:rPr>
        <w:rFonts w:hint="default" w:ascii="Times New Roman" w:hAnsi="Times New Roman" w:cs="Times New Roman"/>
      </w:rPr>
    </w:lvl>
    <w:lvl w:ilvl="4" w:tentative="0">
      <w:start w:val="1"/>
      <w:numFmt w:val="lowerLetter"/>
      <w:lvlText w:val="%5)"/>
      <w:lvlJc w:val="left"/>
      <w:pPr>
        <w:tabs>
          <w:tab w:val="left" w:pos="2100"/>
        </w:tabs>
        <w:ind w:left="2100" w:hanging="420"/>
      </w:pPr>
      <w:rPr>
        <w:rFonts w:hint="default" w:ascii="Times New Roman" w:hAnsi="Times New Roman" w:cs="Times New Roman"/>
      </w:rPr>
    </w:lvl>
    <w:lvl w:ilvl="5" w:tentative="0">
      <w:start w:val="1"/>
      <w:numFmt w:val="lowerRoman"/>
      <w:lvlText w:val="%6."/>
      <w:lvlJc w:val="right"/>
      <w:pPr>
        <w:tabs>
          <w:tab w:val="left" w:pos="2520"/>
        </w:tabs>
        <w:ind w:left="2520" w:hanging="420"/>
      </w:pPr>
      <w:rPr>
        <w:rFonts w:hint="default" w:ascii="Times New Roman" w:hAnsi="Times New Roman" w:cs="Times New Roman"/>
      </w:rPr>
    </w:lvl>
    <w:lvl w:ilvl="6" w:tentative="0">
      <w:start w:val="1"/>
      <w:numFmt w:val="decimal"/>
      <w:lvlText w:val="%7."/>
      <w:lvlJc w:val="left"/>
      <w:pPr>
        <w:tabs>
          <w:tab w:val="left" w:pos="2940"/>
        </w:tabs>
        <w:ind w:left="2940" w:hanging="420"/>
      </w:pPr>
      <w:rPr>
        <w:rFonts w:hint="default" w:ascii="Times New Roman" w:hAnsi="Times New Roman" w:cs="Times New Roman"/>
      </w:rPr>
    </w:lvl>
    <w:lvl w:ilvl="7" w:tentative="0">
      <w:start w:val="1"/>
      <w:numFmt w:val="lowerLetter"/>
      <w:lvlText w:val="%8)"/>
      <w:lvlJc w:val="left"/>
      <w:pPr>
        <w:tabs>
          <w:tab w:val="left" w:pos="3360"/>
        </w:tabs>
        <w:ind w:left="3360" w:hanging="420"/>
      </w:pPr>
      <w:rPr>
        <w:rFonts w:hint="default" w:ascii="Times New Roman" w:hAnsi="Times New Roman" w:cs="Times New Roman"/>
      </w:rPr>
    </w:lvl>
    <w:lvl w:ilvl="8" w:tentative="0">
      <w:start w:val="1"/>
      <w:numFmt w:val="lowerRoman"/>
      <w:lvlText w:val="%9."/>
      <w:lvlJc w:val="right"/>
      <w:pPr>
        <w:tabs>
          <w:tab w:val="left" w:pos="3780"/>
        </w:tabs>
        <w:ind w:left="3780" w:hanging="420"/>
      </w:pPr>
      <w:rPr>
        <w:rFonts w:hint="default" w:ascii="Times New Roman" w:hAnsi="Times New Roman" w:cs="Times New Roman"/>
      </w:rPr>
    </w:lvl>
  </w:abstractNum>
  <w:num w:numId="1">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hideSpellingErrors/>
  <w:trackRevisions w:val="1"/>
  <w:documentProtection w:enforcement="0"/>
  <w:defaultTabStop w:val="420"/>
  <w:drawingGridHorizontalSpacing w:val="105"/>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I4NjI5OTBmMDM1ODFlMDkzNDFlZTFiMWNhZWU5ZTMifQ=="/>
  </w:docVars>
  <w:rsids>
    <w:rsidRoot w:val="00F34B14"/>
    <w:rsid w:val="00000672"/>
    <w:rsid w:val="00001013"/>
    <w:rsid w:val="00001799"/>
    <w:rsid w:val="00001AF2"/>
    <w:rsid w:val="00001ECA"/>
    <w:rsid w:val="00002D29"/>
    <w:rsid w:val="00003B93"/>
    <w:rsid w:val="0000474D"/>
    <w:rsid w:val="0000494F"/>
    <w:rsid w:val="00005FDF"/>
    <w:rsid w:val="000070B3"/>
    <w:rsid w:val="000076B8"/>
    <w:rsid w:val="0001047A"/>
    <w:rsid w:val="000109DC"/>
    <w:rsid w:val="00010D39"/>
    <w:rsid w:val="0001172C"/>
    <w:rsid w:val="00011BC9"/>
    <w:rsid w:val="00012854"/>
    <w:rsid w:val="00012B5F"/>
    <w:rsid w:val="00012EA6"/>
    <w:rsid w:val="00013359"/>
    <w:rsid w:val="000139CF"/>
    <w:rsid w:val="00013AA4"/>
    <w:rsid w:val="00013DFE"/>
    <w:rsid w:val="000141EA"/>
    <w:rsid w:val="00015094"/>
    <w:rsid w:val="00016ABC"/>
    <w:rsid w:val="000177DB"/>
    <w:rsid w:val="000179C9"/>
    <w:rsid w:val="00017CCC"/>
    <w:rsid w:val="00020227"/>
    <w:rsid w:val="00020263"/>
    <w:rsid w:val="00020455"/>
    <w:rsid w:val="00020527"/>
    <w:rsid w:val="00020813"/>
    <w:rsid w:val="000220B2"/>
    <w:rsid w:val="0002264C"/>
    <w:rsid w:val="00022731"/>
    <w:rsid w:val="00022792"/>
    <w:rsid w:val="00022CD2"/>
    <w:rsid w:val="00024463"/>
    <w:rsid w:val="00025461"/>
    <w:rsid w:val="00025636"/>
    <w:rsid w:val="00025E36"/>
    <w:rsid w:val="00026855"/>
    <w:rsid w:val="00026886"/>
    <w:rsid w:val="00026CF4"/>
    <w:rsid w:val="0002785D"/>
    <w:rsid w:val="000329E0"/>
    <w:rsid w:val="00032DB3"/>
    <w:rsid w:val="00034B50"/>
    <w:rsid w:val="000352E9"/>
    <w:rsid w:val="00035494"/>
    <w:rsid w:val="00036125"/>
    <w:rsid w:val="00036A07"/>
    <w:rsid w:val="0003780B"/>
    <w:rsid w:val="00040571"/>
    <w:rsid w:val="00040973"/>
    <w:rsid w:val="0004156E"/>
    <w:rsid w:val="00041713"/>
    <w:rsid w:val="0004440C"/>
    <w:rsid w:val="00046B5E"/>
    <w:rsid w:val="000470CB"/>
    <w:rsid w:val="0004766D"/>
    <w:rsid w:val="000509D9"/>
    <w:rsid w:val="00051ACB"/>
    <w:rsid w:val="000533E7"/>
    <w:rsid w:val="00053E23"/>
    <w:rsid w:val="00055D41"/>
    <w:rsid w:val="00057CD6"/>
    <w:rsid w:val="00060DCE"/>
    <w:rsid w:val="000610E3"/>
    <w:rsid w:val="000614F3"/>
    <w:rsid w:val="000623B4"/>
    <w:rsid w:val="00062405"/>
    <w:rsid w:val="00062437"/>
    <w:rsid w:val="000634A7"/>
    <w:rsid w:val="00063B0B"/>
    <w:rsid w:val="00063F81"/>
    <w:rsid w:val="00064847"/>
    <w:rsid w:val="00065E08"/>
    <w:rsid w:val="000673E2"/>
    <w:rsid w:val="00067C4D"/>
    <w:rsid w:val="0007063F"/>
    <w:rsid w:val="000707FD"/>
    <w:rsid w:val="00070949"/>
    <w:rsid w:val="000711E4"/>
    <w:rsid w:val="000724D9"/>
    <w:rsid w:val="00072AED"/>
    <w:rsid w:val="00073F47"/>
    <w:rsid w:val="0007492F"/>
    <w:rsid w:val="00074D36"/>
    <w:rsid w:val="00074ED8"/>
    <w:rsid w:val="00075B7E"/>
    <w:rsid w:val="00075F83"/>
    <w:rsid w:val="00077085"/>
    <w:rsid w:val="00077ACA"/>
    <w:rsid w:val="00077C70"/>
    <w:rsid w:val="000813B5"/>
    <w:rsid w:val="00081BA3"/>
    <w:rsid w:val="00081D2E"/>
    <w:rsid w:val="00081F89"/>
    <w:rsid w:val="00082619"/>
    <w:rsid w:val="00082D02"/>
    <w:rsid w:val="00082D4B"/>
    <w:rsid w:val="00083871"/>
    <w:rsid w:val="00083B91"/>
    <w:rsid w:val="0008473C"/>
    <w:rsid w:val="0008520B"/>
    <w:rsid w:val="000860BD"/>
    <w:rsid w:val="000871B8"/>
    <w:rsid w:val="00087A63"/>
    <w:rsid w:val="000916DA"/>
    <w:rsid w:val="00092442"/>
    <w:rsid w:val="000929EF"/>
    <w:rsid w:val="000933BE"/>
    <w:rsid w:val="00093CD4"/>
    <w:rsid w:val="0009560F"/>
    <w:rsid w:val="0009588E"/>
    <w:rsid w:val="000959EE"/>
    <w:rsid w:val="00097183"/>
    <w:rsid w:val="000972CB"/>
    <w:rsid w:val="00097608"/>
    <w:rsid w:val="000977BD"/>
    <w:rsid w:val="000A13F3"/>
    <w:rsid w:val="000A23B1"/>
    <w:rsid w:val="000A2B0E"/>
    <w:rsid w:val="000A398F"/>
    <w:rsid w:val="000A3BB7"/>
    <w:rsid w:val="000A43E9"/>
    <w:rsid w:val="000A448C"/>
    <w:rsid w:val="000A509C"/>
    <w:rsid w:val="000A54A7"/>
    <w:rsid w:val="000A6007"/>
    <w:rsid w:val="000A65A6"/>
    <w:rsid w:val="000A70E3"/>
    <w:rsid w:val="000A7275"/>
    <w:rsid w:val="000A7A12"/>
    <w:rsid w:val="000A7A72"/>
    <w:rsid w:val="000B1202"/>
    <w:rsid w:val="000B1801"/>
    <w:rsid w:val="000B1D0C"/>
    <w:rsid w:val="000B2273"/>
    <w:rsid w:val="000B2387"/>
    <w:rsid w:val="000B2480"/>
    <w:rsid w:val="000B2585"/>
    <w:rsid w:val="000B2A70"/>
    <w:rsid w:val="000B2BC6"/>
    <w:rsid w:val="000B2D03"/>
    <w:rsid w:val="000B3815"/>
    <w:rsid w:val="000B3C7B"/>
    <w:rsid w:val="000B4321"/>
    <w:rsid w:val="000B6A6B"/>
    <w:rsid w:val="000B6C95"/>
    <w:rsid w:val="000B79FC"/>
    <w:rsid w:val="000C02B1"/>
    <w:rsid w:val="000C1679"/>
    <w:rsid w:val="000C1EE3"/>
    <w:rsid w:val="000C3AE7"/>
    <w:rsid w:val="000C3CC9"/>
    <w:rsid w:val="000C6DE4"/>
    <w:rsid w:val="000C7202"/>
    <w:rsid w:val="000D0A89"/>
    <w:rsid w:val="000D1181"/>
    <w:rsid w:val="000D1389"/>
    <w:rsid w:val="000D1798"/>
    <w:rsid w:val="000D2626"/>
    <w:rsid w:val="000D291C"/>
    <w:rsid w:val="000D3FB6"/>
    <w:rsid w:val="000D411D"/>
    <w:rsid w:val="000D4589"/>
    <w:rsid w:val="000D4809"/>
    <w:rsid w:val="000D73DD"/>
    <w:rsid w:val="000E1C51"/>
    <w:rsid w:val="000E28AB"/>
    <w:rsid w:val="000E2E3E"/>
    <w:rsid w:val="000E3583"/>
    <w:rsid w:val="000E3AF0"/>
    <w:rsid w:val="000E4E04"/>
    <w:rsid w:val="000E693B"/>
    <w:rsid w:val="000E6EC9"/>
    <w:rsid w:val="000E70B4"/>
    <w:rsid w:val="000E7B62"/>
    <w:rsid w:val="000F0E1E"/>
    <w:rsid w:val="000F1A1B"/>
    <w:rsid w:val="000F2A95"/>
    <w:rsid w:val="000F3281"/>
    <w:rsid w:val="000F32FD"/>
    <w:rsid w:val="000F3733"/>
    <w:rsid w:val="000F5F8B"/>
    <w:rsid w:val="000F6153"/>
    <w:rsid w:val="000F64AA"/>
    <w:rsid w:val="000F67F1"/>
    <w:rsid w:val="000F7AF4"/>
    <w:rsid w:val="000F7C33"/>
    <w:rsid w:val="000F7F0C"/>
    <w:rsid w:val="001004D6"/>
    <w:rsid w:val="00102676"/>
    <w:rsid w:val="00103646"/>
    <w:rsid w:val="00103918"/>
    <w:rsid w:val="00104897"/>
    <w:rsid w:val="00104EDE"/>
    <w:rsid w:val="00105CDA"/>
    <w:rsid w:val="00106BEE"/>
    <w:rsid w:val="00107C74"/>
    <w:rsid w:val="0011091C"/>
    <w:rsid w:val="00111266"/>
    <w:rsid w:val="001112EB"/>
    <w:rsid w:val="00112768"/>
    <w:rsid w:val="00112F16"/>
    <w:rsid w:val="00113678"/>
    <w:rsid w:val="00113C3E"/>
    <w:rsid w:val="00115E11"/>
    <w:rsid w:val="00115EEE"/>
    <w:rsid w:val="00115F56"/>
    <w:rsid w:val="00116CA9"/>
    <w:rsid w:val="00116F38"/>
    <w:rsid w:val="001170A4"/>
    <w:rsid w:val="00117AE7"/>
    <w:rsid w:val="00117CBD"/>
    <w:rsid w:val="0012006A"/>
    <w:rsid w:val="00121979"/>
    <w:rsid w:val="00122064"/>
    <w:rsid w:val="00122C12"/>
    <w:rsid w:val="00123A31"/>
    <w:rsid w:val="00124341"/>
    <w:rsid w:val="00124492"/>
    <w:rsid w:val="00124B12"/>
    <w:rsid w:val="001250A0"/>
    <w:rsid w:val="001263B8"/>
    <w:rsid w:val="0012763E"/>
    <w:rsid w:val="00130217"/>
    <w:rsid w:val="00130783"/>
    <w:rsid w:val="00130A47"/>
    <w:rsid w:val="00130D7C"/>
    <w:rsid w:val="001313DA"/>
    <w:rsid w:val="00131A6A"/>
    <w:rsid w:val="00132B47"/>
    <w:rsid w:val="001337F8"/>
    <w:rsid w:val="001348B4"/>
    <w:rsid w:val="001351CB"/>
    <w:rsid w:val="00135530"/>
    <w:rsid w:val="00135756"/>
    <w:rsid w:val="00135947"/>
    <w:rsid w:val="001359A2"/>
    <w:rsid w:val="00135F92"/>
    <w:rsid w:val="00136020"/>
    <w:rsid w:val="00136445"/>
    <w:rsid w:val="00137EDE"/>
    <w:rsid w:val="00140132"/>
    <w:rsid w:val="00141C9C"/>
    <w:rsid w:val="0014277F"/>
    <w:rsid w:val="001434BE"/>
    <w:rsid w:val="00144050"/>
    <w:rsid w:val="0014479F"/>
    <w:rsid w:val="001452B4"/>
    <w:rsid w:val="00145320"/>
    <w:rsid w:val="001476D3"/>
    <w:rsid w:val="001509CF"/>
    <w:rsid w:val="00150D1D"/>
    <w:rsid w:val="001525AA"/>
    <w:rsid w:val="00152A87"/>
    <w:rsid w:val="00153BB5"/>
    <w:rsid w:val="00154518"/>
    <w:rsid w:val="00156359"/>
    <w:rsid w:val="001568F3"/>
    <w:rsid w:val="00156DD6"/>
    <w:rsid w:val="0016086E"/>
    <w:rsid w:val="00160D0C"/>
    <w:rsid w:val="00161172"/>
    <w:rsid w:val="00161998"/>
    <w:rsid w:val="00161E65"/>
    <w:rsid w:val="00162597"/>
    <w:rsid w:val="001629AF"/>
    <w:rsid w:val="001629FD"/>
    <w:rsid w:val="0016428A"/>
    <w:rsid w:val="001647C9"/>
    <w:rsid w:val="00165627"/>
    <w:rsid w:val="00165929"/>
    <w:rsid w:val="001661A3"/>
    <w:rsid w:val="00167226"/>
    <w:rsid w:val="0016782B"/>
    <w:rsid w:val="0016784D"/>
    <w:rsid w:val="00171606"/>
    <w:rsid w:val="00172CA8"/>
    <w:rsid w:val="00173256"/>
    <w:rsid w:val="00173B0E"/>
    <w:rsid w:val="00173E03"/>
    <w:rsid w:val="00174182"/>
    <w:rsid w:val="0017512C"/>
    <w:rsid w:val="0017586A"/>
    <w:rsid w:val="00175BA6"/>
    <w:rsid w:val="00176CA7"/>
    <w:rsid w:val="00176F8E"/>
    <w:rsid w:val="001778C5"/>
    <w:rsid w:val="00177E56"/>
    <w:rsid w:val="00177F0A"/>
    <w:rsid w:val="00180DA0"/>
    <w:rsid w:val="00181EAD"/>
    <w:rsid w:val="00182862"/>
    <w:rsid w:val="00182B61"/>
    <w:rsid w:val="001836E9"/>
    <w:rsid w:val="00184F57"/>
    <w:rsid w:val="00185544"/>
    <w:rsid w:val="00185617"/>
    <w:rsid w:val="00186FE1"/>
    <w:rsid w:val="00187A14"/>
    <w:rsid w:val="0019171E"/>
    <w:rsid w:val="00192368"/>
    <w:rsid w:val="001923A0"/>
    <w:rsid w:val="001928B1"/>
    <w:rsid w:val="00193537"/>
    <w:rsid w:val="00193846"/>
    <w:rsid w:val="00195424"/>
    <w:rsid w:val="001955FF"/>
    <w:rsid w:val="001975B5"/>
    <w:rsid w:val="00197EDD"/>
    <w:rsid w:val="001A02B3"/>
    <w:rsid w:val="001A04BB"/>
    <w:rsid w:val="001A08D0"/>
    <w:rsid w:val="001A1B39"/>
    <w:rsid w:val="001A2120"/>
    <w:rsid w:val="001A28C6"/>
    <w:rsid w:val="001A2E69"/>
    <w:rsid w:val="001A3440"/>
    <w:rsid w:val="001A3C34"/>
    <w:rsid w:val="001A3EDE"/>
    <w:rsid w:val="001A4222"/>
    <w:rsid w:val="001A4716"/>
    <w:rsid w:val="001A50EA"/>
    <w:rsid w:val="001A5E24"/>
    <w:rsid w:val="001A6B27"/>
    <w:rsid w:val="001A6D8B"/>
    <w:rsid w:val="001A6DAA"/>
    <w:rsid w:val="001A7717"/>
    <w:rsid w:val="001A793A"/>
    <w:rsid w:val="001B125A"/>
    <w:rsid w:val="001B1EBA"/>
    <w:rsid w:val="001B2142"/>
    <w:rsid w:val="001B2F2B"/>
    <w:rsid w:val="001B327A"/>
    <w:rsid w:val="001B35DE"/>
    <w:rsid w:val="001B3A13"/>
    <w:rsid w:val="001B3F5C"/>
    <w:rsid w:val="001B59FF"/>
    <w:rsid w:val="001B5E60"/>
    <w:rsid w:val="001B6512"/>
    <w:rsid w:val="001B65D7"/>
    <w:rsid w:val="001B6752"/>
    <w:rsid w:val="001B6768"/>
    <w:rsid w:val="001B6F1F"/>
    <w:rsid w:val="001B7ECC"/>
    <w:rsid w:val="001C025B"/>
    <w:rsid w:val="001C048E"/>
    <w:rsid w:val="001C115F"/>
    <w:rsid w:val="001C1EAB"/>
    <w:rsid w:val="001C25A7"/>
    <w:rsid w:val="001C2E56"/>
    <w:rsid w:val="001C318C"/>
    <w:rsid w:val="001C35C4"/>
    <w:rsid w:val="001C35E1"/>
    <w:rsid w:val="001C4287"/>
    <w:rsid w:val="001C433C"/>
    <w:rsid w:val="001C4479"/>
    <w:rsid w:val="001C5190"/>
    <w:rsid w:val="001C6081"/>
    <w:rsid w:val="001C75B8"/>
    <w:rsid w:val="001C7B48"/>
    <w:rsid w:val="001D0CFB"/>
    <w:rsid w:val="001D1A0D"/>
    <w:rsid w:val="001D343C"/>
    <w:rsid w:val="001D34F5"/>
    <w:rsid w:val="001D56FC"/>
    <w:rsid w:val="001D58A1"/>
    <w:rsid w:val="001D58C2"/>
    <w:rsid w:val="001D5A8A"/>
    <w:rsid w:val="001D61CA"/>
    <w:rsid w:val="001D6E87"/>
    <w:rsid w:val="001D735E"/>
    <w:rsid w:val="001D73C8"/>
    <w:rsid w:val="001D7BC6"/>
    <w:rsid w:val="001E129E"/>
    <w:rsid w:val="001E175C"/>
    <w:rsid w:val="001E1B0E"/>
    <w:rsid w:val="001E39BE"/>
    <w:rsid w:val="001E3B63"/>
    <w:rsid w:val="001E4057"/>
    <w:rsid w:val="001E5A94"/>
    <w:rsid w:val="001E5F6F"/>
    <w:rsid w:val="001E68B8"/>
    <w:rsid w:val="001F03BB"/>
    <w:rsid w:val="001F2001"/>
    <w:rsid w:val="001F2A2E"/>
    <w:rsid w:val="001F3356"/>
    <w:rsid w:val="001F3C63"/>
    <w:rsid w:val="001F4460"/>
    <w:rsid w:val="001F5262"/>
    <w:rsid w:val="001F711A"/>
    <w:rsid w:val="001F75B0"/>
    <w:rsid w:val="00200CE5"/>
    <w:rsid w:val="00200F6E"/>
    <w:rsid w:val="00200F7C"/>
    <w:rsid w:val="002014DB"/>
    <w:rsid w:val="0020150B"/>
    <w:rsid w:val="00201E12"/>
    <w:rsid w:val="00202B13"/>
    <w:rsid w:val="002032DA"/>
    <w:rsid w:val="002033B5"/>
    <w:rsid w:val="0020382C"/>
    <w:rsid w:val="0020437A"/>
    <w:rsid w:val="0020454C"/>
    <w:rsid w:val="00204740"/>
    <w:rsid w:val="00205129"/>
    <w:rsid w:val="0020521F"/>
    <w:rsid w:val="0020532C"/>
    <w:rsid w:val="002114C7"/>
    <w:rsid w:val="0021302C"/>
    <w:rsid w:val="00213B1C"/>
    <w:rsid w:val="00214202"/>
    <w:rsid w:val="002148E3"/>
    <w:rsid w:val="0021552D"/>
    <w:rsid w:val="002156AE"/>
    <w:rsid w:val="00215E99"/>
    <w:rsid w:val="0022054D"/>
    <w:rsid w:val="00223DDB"/>
    <w:rsid w:val="00223FA4"/>
    <w:rsid w:val="00223FB0"/>
    <w:rsid w:val="00224067"/>
    <w:rsid w:val="0022421C"/>
    <w:rsid w:val="00224E83"/>
    <w:rsid w:val="00225664"/>
    <w:rsid w:val="0022663D"/>
    <w:rsid w:val="00227F2D"/>
    <w:rsid w:val="00230179"/>
    <w:rsid w:val="00230C88"/>
    <w:rsid w:val="00231851"/>
    <w:rsid w:val="002319FB"/>
    <w:rsid w:val="00231B89"/>
    <w:rsid w:val="00231F11"/>
    <w:rsid w:val="00231F5E"/>
    <w:rsid w:val="002346B4"/>
    <w:rsid w:val="00234F6E"/>
    <w:rsid w:val="002355BE"/>
    <w:rsid w:val="002358EA"/>
    <w:rsid w:val="00236578"/>
    <w:rsid w:val="00236DE9"/>
    <w:rsid w:val="00237342"/>
    <w:rsid w:val="00237D5A"/>
    <w:rsid w:val="002415AE"/>
    <w:rsid w:val="00241D3C"/>
    <w:rsid w:val="00242109"/>
    <w:rsid w:val="00243189"/>
    <w:rsid w:val="002439AB"/>
    <w:rsid w:val="00243C19"/>
    <w:rsid w:val="00244AE8"/>
    <w:rsid w:val="00244DC9"/>
    <w:rsid w:val="00245587"/>
    <w:rsid w:val="00245F2B"/>
    <w:rsid w:val="00247F3A"/>
    <w:rsid w:val="00250122"/>
    <w:rsid w:val="00250755"/>
    <w:rsid w:val="00251043"/>
    <w:rsid w:val="00251C4A"/>
    <w:rsid w:val="0025271C"/>
    <w:rsid w:val="002529E4"/>
    <w:rsid w:val="002533CD"/>
    <w:rsid w:val="002535EA"/>
    <w:rsid w:val="00253805"/>
    <w:rsid w:val="00254EAB"/>
    <w:rsid w:val="002557AF"/>
    <w:rsid w:val="0025589C"/>
    <w:rsid w:val="00255B62"/>
    <w:rsid w:val="002566B1"/>
    <w:rsid w:val="002575E3"/>
    <w:rsid w:val="00257A74"/>
    <w:rsid w:val="002603C1"/>
    <w:rsid w:val="002609A1"/>
    <w:rsid w:val="002612B1"/>
    <w:rsid w:val="00266165"/>
    <w:rsid w:val="002662FE"/>
    <w:rsid w:val="00266F2C"/>
    <w:rsid w:val="00270D48"/>
    <w:rsid w:val="0027125E"/>
    <w:rsid w:val="00271767"/>
    <w:rsid w:val="00272293"/>
    <w:rsid w:val="002723C8"/>
    <w:rsid w:val="002725C1"/>
    <w:rsid w:val="00273C2A"/>
    <w:rsid w:val="00273CBE"/>
    <w:rsid w:val="00274585"/>
    <w:rsid w:val="002746B1"/>
    <w:rsid w:val="00274BAD"/>
    <w:rsid w:val="0027757A"/>
    <w:rsid w:val="00282D56"/>
    <w:rsid w:val="002835B0"/>
    <w:rsid w:val="002836F1"/>
    <w:rsid w:val="00283C74"/>
    <w:rsid w:val="0028407E"/>
    <w:rsid w:val="0028410F"/>
    <w:rsid w:val="00284572"/>
    <w:rsid w:val="00285221"/>
    <w:rsid w:val="00286FB5"/>
    <w:rsid w:val="00287763"/>
    <w:rsid w:val="00290606"/>
    <w:rsid w:val="002909B2"/>
    <w:rsid w:val="00291D6D"/>
    <w:rsid w:val="00291FF1"/>
    <w:rsid w:val="002925C2"/>
    <w:rsid w:val="00292AA2"/>
    <w:rsid w:val="00292BF7"/>
    <w:rsid w:val="00293361"/>
    <w:rsid w:val="00293EDF"/>
    <w:rsid w:val="002952B1"/>
    <w:rsid w:val="00295D11"/>
    <w:rsid w:val="00296FB6"/>
    <w:rsid w:val="002A0001"/>
    <w:rsid w:val="002A0BD9"/>
    <w:rsid w:val="002A0C3A"/>
    <w:rsid w:val="002A1130"/>
    <w:rsid w:val="002A1880"/>
    <w:rsid w:val="002A23B7"/>
    <w:rsid w:val="002A3A57"/>
    <w:rsid w:val="002A4B4F"/>
    <w:rsid w:val="002A57A8"/>
    <w:rsid w:val="002A5D13"/>
    <w:rsid w:val="002A5D79"/>
    <w:rsid w:val="002A6DEF"/>
    <w:rsid w:val="002A6E42"/>
    <w:rsid w:val="002A770B"/>
    <w:rsid w:val="002B013E"/>
    <w:rsid w:val="002B017B"/>
    <w:rsid w:val="002B058D"/>
    <w:rsid w:val="002B0C16"/>
    <w:rsid w:val="002B2AC5"/>
    <w:rsid w:val="002B3528"/>
    <w:rsid w:val="002B3539"/>
    <w:rsid w:val="002B4532"/>
    <w:rsid w:val="002B5042"/>
    <w:rsid w:val="002B69CC"/>
    <w:rsid w:val="002B6D71"/>
    <w:rsid w:val="002C0C1C"/>
    <w:rsid w:val="002C203B"/>
    <w:rsid w:val="002C292B"/>
    <w:rsid w:val="002C4449"/>
    <w:rsid w:val="002C54C2"/>
    <w:rsid w:val="002C5D34"/>
    <w:rsid w:val="002C60BB"/>
    <w:rsid w:val="002C661A"/>
    <w:rsid w:val="002D0D6F"/>
    <w:rsid w:val="002D25FC"/>
    <w:rsid w:val="002D4AC6"/>
    <w:rsid w:val="002D52C7"/>
    <w:rsid w:val="002D5BF5"/>
    <w:rsid w:val="002D5E95"/>
    <w:rsid w:val="002D5EE8"/>
    <w:rsid w:val="002D7150"/>
    <w:rsid w:val="002D7360"/>
    <w:rsid w:val="002D7648"/>
    <w:rsid w:val="002E109C"/>
    <w:rsid w:val="002E193E"/>
    <w:rsid w:val="002E1A94"/>
    <w:rsid w:val="002E1D55"/>
    <w:rsid w:val="002E1F3E"/>
    <w:rsid w:val="002E26C4"/>
    <w:rsid w:val="002E30A5"/>
    <w:rsid w:val="002E47E4"/>
    <w:rsid w:val="002E4BF9"/>
    <w:rsid w:val="002E4D61"/>
    <w:rsid w:val="002E5FED"/>
    <w:rsid w:val="002E68A7"/>
    <w:rsid w:val="002E6E6C"/>
    <w:rsid w:val="002F0522"/>
    <w:rsid w:val="002F0B85"/>
    <w:rsid w:val="002F16DD"/>
    <w:rsid w:val="002F199D"/>
    <w:rsid w:val="002F213C"/>
    <w:rsid w:val="002F2453"/>
    <w:rsid w:val="002F352D"/>
    <w:rsid w:val="002F381E"/>
    <w:rsid w:val="002F4084"/>
    <w:rsid w:val="002F4A08"/>
    <w:rsid w:val="002F4ADB"/>
    <w:rsid w:val="002F531E"/>
    <w:rsid w:val="002F548D"/>
    <w:rsid w:val="002F5ACC"/>
    <w:rsid w:val="002F704B"/>
    <w:rsid w:val="002F72C3"/>
    <w:rsid w:val="002F768C"/>
    <w:rsid w:val="002F7D18"/>
    <w:rsid w:val="002F7D1E"/>
    <w:rsid w:val="00300201"/>
    <w:rsid w:val="0030025A"/>
    <w:rsid w:val="00301ADC"/>
    <w:rsid w:val="00301EC6"/>
    <w:rsid w:val="00302EFC"/>
    <w:rsid w:val="00303243"/>
    <w:rsid w:val="00303BCC"/>
    <w:rsid w:val="00303D4A"/>
    <w:rsid w:val="00303F2B"/>
    <w:rsid w:val="00303F8D"/>
    <w:rsid w:val="0030572D"/>
    <w:rsid w:val="0030586A"/>
    <w:rsid w:val="0030622D"/>
    <w:rsid w:val="00306811"/>
    <w:rsid w:val="00306F32"/>
    <w:rsid w:val="003074C5"/>
    <w:rsid w:val="00307A3C"/>
    <w:rsid w:val="00307FA4"/>
    <w:rsid w:val="00310290"/>
    <w:rsid w:val="0031083D"/>
    <w:rsid w:val="00310CC1"/>
    <w:rsid w:val="00312504"/>
    <w:rsid w:val="00313026"/>
    <w:rsid w:val="00313913"/>
    <w:rsid w:val="0031421F"/>
    <w:rsid w:val="00314B31"/>
    <w:rsid w:val="00315A65"/>
    <w:rsid w:val="003165D7"/>
    <w:rsid w:val="00317BA7"/>
    <w:rsid w:val="00320BE2"/>
    <w:rsid w:val="00321886"/>
    <w:rsid w:val="00323694"/>
    <w:rsid w:val="00323BE7"/>
    <w:rsid w:val="00324C3A"/>
    <w:rsid w:val="00324D63"/>
    <w:rsid w:val="00324EC2"/>
    <w:rsid w:val="003255AF"/>
    <w:rsid w:val="003256EB"/>
    <w:rsid w:val="003259DB"/>
    <w:rsid w:val="003314D9"/>
    <w:rsid w:val="00331653"/>
    <w:rsid w:val="0033194F"/>
    <w:rsid w:val="00331A48"/>
    <w:rsid w:val="00331BCC"/>
    <w:rsid w:val="003330C9"/>
    <w:rsid w:val="0033364C"/>
    <w:rsid w:val="00334415"/>
    <w:rsid w:val="00335EA1"/>
    <w:rsid w:val="0033691E"/>
    <w:rsid w:val="00336A6A"/>
    <w:rsid w:val="00336CCB"/>
    <w:rsid w:val="003411D1"/>
    <w:rsid w:val="003416BA"/>
    <w:rsid w:val="00342148"/>
    <w:rsid w:val="00342F99"/>
    <w:rsid w:val="0034575A"/>
    <w:rsid w:val="00345F57"/>
    <w:rsid w:val="00346E7F"/>
    <w:rsid w:val="00350458"/>
    <w:rsid w:val="003504C3"/>
    <w:rsid w:val="00350E6C"/>
    <w:rsid w:val="003518A6"/>
    <w:rsid w:val="00351E7F"/>
    <w:rsid w:val="00351FCB"/>
    <w:rsid w:val="003525A7"/>
    <w:rsid w:val="00352953"/>
    <w:rsid w:val="00354062"/>
    <w:rsid w:val="0035459E"/>
    <w:rsid w:val="00354A03"/>
    <w:rsid w:val="00355C0D"/>
    <w:rsid w:val="003566A9"/>
    <w:rsid w:val="00356988"/>
    <w:rsid w:val="003569D3"/>
    <w:rsid w:val="00356CE9"/>
    <w:rsid w:val="003570BB"/>
    <w:rsid w:val="00357128"/>
    <w:rsid w:val="0035755E"/>
    <w:rsid w:val="00357A80"/>
    <w:rsid w:val="00361441"/>
    <w:rsid w:val="00361911"/>
    <w:rsid w:val="00361B8B"/>
    <w:rsid w:val="00363D94"/>
    <w:rsid w:val="00363F39"/>
    <w:rsid w:val="0036445C"/>
    <w:rsid w:val="00364627"/>
    <w:rsid w:val="00364AB0"/>
    <w:rsid w:val="00364D71"/>
    <w:rsid w:val="003667B0"/>
    <w:rsid w:val="003667DD"/>
    <w:rsid w:val="00366B48"/>
    <w:rsid w:val="00367764"/>
    <w:rsid w:val="00370316"/>
    <w:rsid w:val="00370DC7"/>
    <w:rsid w:val="00371CBD"/>
    <w:rsid w:val="00371F20"/>
    <w:rsid w:val="003721E3"/>
    <w:rsid w:val="00372B98"/>
    <w:rsid w:val="003737B7"/>
    <w:rsid w:val="003740CC"/>
    <w:rsid w:val="003745F4"/>
    <w:rsid w:val="00374E79"/>
    <w:rsid w:val="0037529A"/>
    <w:rsid w:val="00375388"/>
    <w:rsid w:val="00375FB9"/>
    <w:rsid w:val="00376170"/>
    <w:rsid w:val="00376851"/>
    <w:rsid w:val="00376FA2"/>
    <w:rsid w:val="00377A3B"/>
    <w:rsid w:val="00377E3C"/>
    <w:rsid w:val="00380BBE"/>
    <w:rsid w:val="00381D70"/>
    <w:rsid w:val="0038235E"/>
    <w:rsid w:val="003829D0"/>
    <w:rsid w:val="0038326A"/>
    <w:rsid w:val="0038444F"/>
    <w:rsid w:val="003861F0"/>
    <w:rsid w:val="00387051"/>
    <w:rsid w:val="00387ECF"/>
    <w:rsid w:val="0039021B"/>
    <w:rsid w:val="00390429"/>
    <w:rsid w:val="003906A0"/>
    <w:rsid w:val="0039366C"/>
    <w:rsid w:val="00393EC8"/>
    <w:rsid w:val="003950F5"/>
    <w:rsid w:val="0039538F"/>
    <w:rsid w:val="00395E42"/>
    <w:rsid w:val="00396409"/>
    <w:rsid w:val="00396A2D"/>
    <w:rsid w:val="00396FC3"/>
    <w:rsid w:val="00397B98"/>
    <w:rsid w:val="003A06A0"/>
    <w:rsid w:val="003A1A94"/>
    <w:rsid w:val="003A204E"/>
    <w:rsid w:val="003A2D25"/>
    <w:rsid w:val="003A4F7D"/>
    <w:rsid w:val="003A52DA"/>
    <w:rsid w:val="003A5728"/>
    <w:rsid w:val="003A60E7"/>
    <w:rsid w:val="003A7092"/>
    <w:rsid w:val="003A72A1"/>
    <w:rsid w:val="003A7611"/>
    <w:rsid w:val="003A7D1F"/>
    <w:rsid w:val="003B0B6A"/>
    <w:rsid w:val="003B22F7"/>
    <w:rsid w:val="003B29CF"/>
    <w:rsid w:val="003B3A90"/>
    <w:rsid w:val="003B3E4E"/>
    <w:rsid w:val="003B4236"/>
    <w:rsid w:val="003B534F"/>
    <w:rsid w:val="003B6116"/>
    <w:rsid w:val="003B7A79"/>
    <w:rsid w:val="003C0FE1"/>
    <w:rsid w:val="003C151A"/>
    <w:rsid w:val="003C1B8C"/>
    <w:rsid w:val="003C2952"/>
    <w:rsid w:val="003C350C"/>
    <w:rsid w:val="003C3903"/>
    <w:rsid w:val="003C3BA0"/>
    <w:rsid w:val="003C4580"/>
    <w:rsid w:val="003C5C5E"/>
    <w:rsid w:val="003C6746"/>
    <w:rsid w:val="003C69EF"/>
    <w:rsid w:val="003C7555"/>
    <w:rsid w:val="003C7898"/>
    <w:rsid w:val="003D0FF5"/>
    <w:rsid w:val="003D11A3"/>
    <w:rsid w:val="003D1537"/>
    <w:rsid w:val="003D183C"/>
    <w:rsid w:val="003D2D1B"/>
    <w:rsid w:val="003D48C7"/>
    <w:rsid w:val="003D4C27"/>
    <w:rsid w:val="003D7109"/>
    <w:rsid w:val="003D7CE8"/>
    <w:rsid w:val="003E0514"/>
    <w:rsid w:val="003E1032"/>
    <w:rsid w:val="003E1904"/>
    <w:rsid w:val="003E285E"/>
    <w:rsid w:val="003E2BE6"/>
    <w:rsid w:val="003E3124"/>
    <w:rsid w:val="003E3300"/>
    <w:rsid w:val="003E43D3"/>
    <w:rsid w:val="003E48E1"/>
    <w:rsid w:val="003E59BB"/>
    <w:rsid w:val="003E6225"/>
    <w:rsid w:val="003E65AC"/>
    <w:rsid w:val="003E66AE"/>
    <w:rsid w:val="003E72B9"/>
    <w:rsid w:val="003E7ED4"/>
    <w:rsid w:val="003E7F67"/>
    <w:rsid w:val="003F0E52"/>
    <w:rsid w:val="003F0F6B"/>
    <w:rsid w:val="003F1FC6"/>
    <w:rsid w:val="003F1FE3"/>
    <w:rsid w:val="003F2359"/>
    <w:rsid w:val="003F3865"/>
    <w:rsid w:val="003F3D55"/>
    <w:rsid w:val="003F41C2"/>
    <w:rsid w:val="003F44E2"/>
    <w:rsid w:val="003F4632"/>
    <w:rsid w:val="003F47BA"/>
    <w:rsid w:val="003F4A2F"/>
    <w:rsid w:val="003F4FE6"/>
    <w:rsid w:val="003F5638"/>
    <w:rsid w:val="003F6617"/>
    <w:rsid w:val="00402332"/>
    <w:rsid w:val="004025C2"/>
    <w:rsid w:val="00403195"/>
    <w:rsid w:val="004033A9"/>
    <w:rsid w:val="00403E55"/>
    <w:rsid w:val="0040407C"/>
    <w:rsid w:val="0040416C"/>
    <w:rsid w:val="00404681"/>
    <w:rsid w:val="00405AC1"/>
    <w:rsid w:val="00406923"/>
    <w:rsid w:val="00407001"/>
    <w:rsid w:val="0040763D"/>
    <w:rsid w:val="00410D17"/>
    <w:rsid w:val="00412A68"/>
    <w:rsid w:val="00413442"/>
    <w:rsid w:val="00413821"/>
    <w:rsid w:val="00413BA5"/>
    <w:rsid w:val="004141A3"/>
    <w:rsid w:val="00414909"/>
    <w:rsid w:val="0041582F"/>
    <w:rsid w:val="00416112"/>
    <w:rsid w:val="00416146"/>
    <w:rsid w:val="00417AE0"/>
    <w:rsid w:val="00417BAA"/>
    <w:rsid w:val="0042042B"/>
    <w:rsid w:val="00420B45"/>
    <w:rsid w:val="00420D7A"/>
    <w:rsid w:val="00421257"/>
    <w:rsid w:val="00422193"/>
    <w:rsid w:val="004223DE"/>
    <w:rsid w:val="00422A10"/>
    <w:rsid w:val="004249C0"/>
    <w:rsid w:val="00424D17"/>
    <w:rsid w:val="00425DFD"/>
    <w:rsid w:val="004263A3"/>
    <w:rsid w:val="00427713"/>
    <w:rsid w:val="00427CCC"/>
    <w:rsid w:val="0043013A"/>
    <w:rsid w:val="00430421"/>
    <w:rsid w:val="0043049B"/>
    <w:rsid w:val="00430A36"/>
    <w:rsid w:val="00430B4F"/>
    <w:rsid w:val="00431084"/>
    <w:rsid w:val="004310D7"/>
    <w:rsid w:val="004313D9"/>
    <w:rsid w:val="004322D6"/>
    <w:rsid w:val="0043248D"/>
    <w:rsid w:val="00432589"/>
    <w:rsid w:val="00432A94"/>
    <w:rsid w:val="00432C95"/>
    <w:rsid w:val="00433827"/>
    <w:rsid w:val="00433A40"/>
    <w:rsid w:val="00434B70"/>
    <w:rsid w:val="004360C8"/>
    <w:rsid w:val="00436FA4"/>
    <w:rsid w:val="004371D5"/>
    <w:rsid w:val="0043761B"/>
    <w:rsid w:val="0044006B"/>
    <w:rsid w:val="004400C6"/>
    <w:rsid w:val="0044033F"/>
    <w:rsid w:val="00440630"/>
    <w:rsid w:val="00441F0F"/>
    <w:rsid w:val="00442965"/>
    <w:rsid w:val="00444157"/>
    <w:rsid w:val="0044417C"/>
    <w:rsid w:val="004444D6"/>
    <w:rsid w:val="00444DB3"/>
    <w:rsid w:val="00444DF1"/>
    <w:rsid w:val="00445617"/>
    <w:rsid w:val="00445A2F"/>
    <w:rsid w:val="0044684E"/>
    <w:rsid w:val="00446F22"/>
    <w:rsid w:val="0045019F"/>
    <w:rsid w:val="004503A4"/>
    <w:rsid w:val="00450555"/>
    <w:rsid w:val="004506FA"/>
    <w:rsid w:val="00450A9F"/>
    <w:rsid w:val="00450DC6"/>
    <w:rsid w:val="004516A5"/>
    <w:rsid w:val="00451E9C"/>
    <w:rsid w:val="0045280F"/>
    <w:rsid w:val="00452C81"/>
    <w:rsid w:val="004535AE"/>
    <w:rsid w:val="0045444D"/>
    <w:rsid w:val="0045463A"/>
    <w:rsid w:val="00454AC9"/>
    <w:rsid w:val="00455050"/>
    <w:rsid w:val="004554A3"/>
    <w:rsid w:val="00455A6E"/>
    <w:rsid w:val="00455EAD"/>
    <w:rsid w:val="004578EB"/>
    <w:rsid w:val="004604D5"/>
    <w:rsid w:val="00460697"/>
    <w:rsid w:val="0046117B"/>
    <w:rsid w:val="00464724"/>
    <w:rsid w:val="00464AB7"/>
    <w:rsid w:val="00464B6F"/>
    <w:rsid w:val="00465DE5"/>
    <w:rsid w:val="00467EF8"/>
    <w:rsid w:val="00471FC4"/>
    <w:rsid w:val="00472429"/>
    <w:rsid w:val="004725E5"/>
    <w:rsid w:val="00472751"/>
    <w:rsid w:val="00473128"/>
    <w:rsid w:val="00475078"/>
    <w:rsid w:val="00475767"/>
    <w:rsid w:val="004765FB"/>
    <w:rsid w:val="004779A0"/>
    <w:rsid w:val="004808E3"/>
    <w:rsid w:val="00481016"/>
    <w:rsid w:val="0048204C"/>
    <w:rsid w:val="004821BB"/>
    <w:rsid w:val="004826FE"/>
    <w:rsid w:val="004827D5"/>
    <w:rsid w:val="00482AF2"/>
    <w:rsid w:val="004830C9"/>
    <w:rsid w:val="00483347"/>
    <w:rsid w:val="00483E2E"/>
    <w:rsid w:val="00484B69"/>
    <w:rsid w:val="00485406"/>
    <w:rsid w:val="0048590F"/>
    <w:rsid w:val="00486D60"/>
    <w:rsid w:val="00491FA1"/>
    <w:rsid w:val="00492A25"/>
    <w:rsid w:val="004938A3"/>
    <w:rsid w:val="0049558B"/>
    <w:rsid w:val="00496350"/>
    <w:rsid w:val="00497896"/>
    <w:rsid w:val="0049797C"/>
    <w:rsid w:val="00497B25"/>
    <w:rsid w:val="004A0404"/>
    <w:rsid w:val="004A0943"/>
    <w:rsid w:val="004A1405"/>
    <w:rsid w:val="004A1FC6"/>
    <w:rsid w:val="004A2E5F"/>
    <w:rsid w:val="004A38C2"/>
    <w:rsid w:val="004A3C03"/>
    <w:rsid w:val="004A3DB7"/>
    <w:rsid w:val="004A5088"/>
    <w:rsid w:val="004A5255"/>
    <w:rsid w:val="004A6CB0"/>
    <w:rsid w:val="004A70FF"/>
    <w:rsid w:val="004A76D5"/>
    <w:rsid w:val="004A7EDE"/>
    <w:rsid w:val="004B0D93"/>
    <w:rsid w:val="004B1FA4"/>
    <w:rsid w:val="004B29AC"/>
    <w:rsid w:val="004B35DF"/>
    <w:rsid w:val="004B3627"/>
    <w:rsid w:val="004B4922"/>
    <w:rsid w:val="004B57DF"/>
    <w:rsid w:val="004B5976"/>
    <w:rsid w:val="004B622A"/>
    <w:rsid w:val="004B722E"/>
    <w:rsid w:val="004B72E8"/>
    <w:rsid w:val="004C01A5"/>
    <w:rsid w:val="004C0412"/>
    <w:rsid w:val="004C1142"/>
    <w:rsid w:val="004C2138"/>
    <w:rsid w:val="004C3940"/>
    <w:rsid w:val="004C51FD"/>
    <w:rsid w:val="004C65A8"/>
    <w:rsid w:val="004C6689"/>
    <w:rsid w:val="004D139A"/>
    <w:rsid w:val="004D14DC"/>
    <w:rsid w:val="004D17C6"/>
    <w:rsid w:val="004D2858"/>
    <w:rsid w:val="004D2E49"/>
    <w:rsid w:val="004D35BA"/>
    <w:rsid w:val="004D38E5"/>
    <w:rsid w:val="004D3C5A"/>
    <w:rsid w:val="004D449A"/>
    <w:rsid w:val="004D4701"/>
    <w:rsid w:val="004D47C7"/>
    <w:rsid w:val="004D4CD0"/>
    <w:rsid w:val="004D4F35"/>
    <w:rsid w:val="004D5D45"/>
    <w:rsid w:val="004D618D"/>
    <w:rsid w:val="004D62A9"/>
    <w:rsid w:val="004D6EA4"/>
    <w:rsid w:val="004D6FC3"/>
    <w:rsid w:val="004D7476"/>
    <w:rsid w:val="004D7716"/>
    <w:rsid w:val="004E0306"/>
    <w:rsid w:val="004E0572"/>
    <w:rsid w:val="004E06D5"/>
    <w:rsid w:val="004E1641"/>
    <w:rsid w:val="004E1818"/>
    <w:rsid w:val="004E1990"/>
    <w:rsid w:val="004E25A8"/>
    <w:rsid w:val="004E3930"/>
    <w:rsid w:val="004E3ED9"/>
    <w:rsid w:val="004E5866"/>
    <w:rsid w:val="004E6097"/>
    <w:rsid w:val="004E61EF"/>
    <w:rsid w:val="004E63C6"/>
    <w:rsid w:val="004E6FA6"/>
    <w:rsid w:val="004E76A7"/>
    <w:rsid w:val="004E7B03"/>
    <w:rsid w:val="004F0064"/>
    <w:rsid w:val="004F06AC"/>
    <w:rsid w:val="004F1D2A"/>
    <w:rsid w:val="004F243F"/>
    <w:rsid w:val="004F252C"/>
    <w:rsid w:val="004F36A3"/>
    <w:rsid w:val="004F3E0C"/>
    <w:rsid w:val="004F4308"/>
    <w:rsid w:val="004F63EF"/>
    <w:rsid w:val="004F695C"/>
    <w:rsid w:val="004F7160"/>
    <w:rsid w:val="00500258"/>
    <w:rsid w:val="00500B2D"/>
    <w:rsid w:val="00501A99"/>
    <w:rsid w:val="00503180"/>
    <w:rsid w:val="005038A4"/>
    <w:rsid w:val="00505450"/>
    <w:rsid w:val="005055C4"/>
    <w:rsid w:val="005100B7"/>
    <w:rsid w:val="005113C9"/>
    <w:rsid w:val="00512050"/>
    <w:rsid w:val="00512055"/>
    <w:rsid w:val="0051280C"/>
    <w:rsid w:val="00512842"/>
    <w:rsid w:val="005128BE"/>
    <w:rsid w:val="0051356F"/>
    <w:rsid w:val="00513E7C"/>
    <w:rsid w:val="005140BB"/>
    <w:rsid w:val="00514FBE"/>
    <w:rsid w:val="00514FD9"/>
    <w:rsid w:val="0051550A"/>
    <w:rsid w:val="0051608F"/>
    <w:rsid w:val="005171C6"/>
    <w:rsid w:val="00520EF8"/>
    <w:rsid w:val="005210F7"/>
    <w:rsid w:val="00521753"/>
    <w:rsid w:val="0052239D"/>
    <w:rsid w:val="005224EE"/>
    <w:rsid w:val="00522879"/>
    <w:rsid w:val="00523BB1"/>
    <w:rsid w:val="00524839"/>
    <w:rsid w:val="0052570E"/>
    <w:rsid w:val="005260CD"/>
    <w:rsid w:val="00526265"/>
    <w:rsid w:val="0052655D"/>
    <w:rsid w:val="005265E0"/>
    <w:rsid w:val="00526BC3"/>
    <w:rsid w:val="00531761"/>
    <w:rsid w:val="00531820"/>
    <w:rsid w:val="0053248F"/>
    <w:rsid w:val="00533148"/>
    <w:rsid w:val="0053332A"/>
    <w:rsid w:val="0053358A"/>
    <w:rsid w:val="00534668"/>
    <w:rsid w:val="00534DDD"/>
    <w:rsid w:val="00535291"/>
    <w:rsid w:val="00535A94"/>
    <w:rsid w:val="00537874"/>
    <w:rsid w:val="0053795F"/>
    <w:rsid w:val="00537D3D"/>
    <w:rsid w:val="00540511"/>
    <w:rsid w:val="00540578"/>
    <w:rsid w:val="00540808"/>
    <w:rsid w:val="0054080E"/>
    <w:rsid w:val="00540EA1"/>
    <w:rsid w:val="0054358E"/>
    <w:rsid w:val="00543AF4"/>
    <w:rsid w:val="00544191"/>
    <w:rsid w:val="0054440C"/>
    <w:rsid w:val="005448EC"/>
    <w:rsid w:val="00544C0A"/>
    <w:rsid w:val="00544F39"/>
    <w:rsid w:val="00546DAD"/>
    <w:rsid w:val="00546F90"/>
    <w:rsid w:val="00547EFB"/>
    <w:rsid w:val="005522F2"/>
    <w:rsid w:val="005531DF"/>
    <w:rsid w:val="00553874"/>
    <w:rsid w:val="00554577"/>
    <w:rsid w:val="00554AD8"/>
    <w:rsid w:val="00554F78"/>
    <w:rsid w:val="00555DA1"/>
    <w:rsid w:val="0055622A"/>
    <w:rsid w:val="00556BF7"/>
    <w:rsid w:val="00557F60"/>
    <w:rsid w:val="00561730"/>
    <w:rsid w:val="00561B97"/>
    <w:rsid w:val="00562149"/>
    <w:rsid w:val="005678D5"/>
    <w:rsid w:val="00567B5D"/>
    <w:rsid w:val="00570757"/>
    <w:rsid w:val="00573733"/>
    <w:rsid w:val="00573D73"/>
    <w:rsid w:val="00573E3F"/>
    <w:rsid w:val="00573F8B"/>
    <w:rsid w:val="00574554"/>
    <w:rsid w:val="00574E06"/>
    <w:rsid w:val="005751BB"/>
    <w:rsid w:val="00576089"/>
    <w:rsid w:val="00576358"/>
    <w:rsid w:val="005764B1"/>
    <w:rsid w:val="00576852"/>
    <w:rsid w:val="00576D06"/>
    <w:rsid w:val="005779E4"/>
    <w:rsid w:val="00580EC7"/>
    <w:rsid w:val="00581132"/>
    <w:rsid w:val="0058289C"/>
    <w:rsid w:val="00582BA9"/>
    <w:rsid w:val="005836C7"/>
    <w:rsid w:val="0058408E"/>
    <w:rsid w:val="00585374"/>
    <w:rsid w:val="005854CA"/>
    <w:rsid w:val="00585FAB"/>
    <w:rsid w:val="00590B77"/>
    <w:rsid w:val="00590D9A"/>
    <w:rsid w:val="005913A3"/>
    <w:rsid w:val="005922F4"/>
    <w:rsid w:val="005940D4"/>
    <w:rsid w:val="00594A7B"/>
    <w:rsid w:val="0059580E"/>
    <w:rsid w:val="00595D90"/>
    <w:rsid w:val="00596A6F"/>
    <w:rsid w:val="00596FCE"/>
    <w:rsid w:val="005A11BC"/>
    <w:rsid w:val="005A1333"/>
    <w:rsid w:val="005A1525"/>
    <w:rsid w:val="005A1E17"/>
    <w:rsid w:val="005A252B"/>
    <w:rsid w:val="005A2A8F"/>
    <w:rsid w:val="005A3204"/>
    <w:rsid w:val="005A3341"/>
    <w:rsid w:val="005A3C3D"/>
    <w:rsid w:val="005A46EC"/>
    <w:rsid w:val="005A5EAE"/>
    <w:rsid w:val="005A6407"/>
    <w:rsid w:val="005A726C"/>
    <w:rsid w:val="005B07EC"/>
    <w:rsid w:val="005B2474"/>
    <w:rsid w:val="005B2B11"/>
    <w:rsid w:val="005B32A4"/>
    <w:rsid w:val="005B3371"/>
    <w:rsid w:val="005B338D"/>
    <w:rsid w:val="005B36D7"/>
    <w:rsid w:val="005B3BAF"/>
    <w:rsid w:val="005B4DA3"/>
    <w:rsid w:val="005B5BEE"/>
    <w:rsid w:val="005B77D2"/>
    <w:rsid w:val="005C019B"/>
    <w:rsid w:val="005C08D0"/>
    <w:rsid w:val="005C1AED"/>
    <w:rsid w:val="005C203C"/>
    <w:rsid w:val="005C30C7"/>
    <w:rsid w:val="005C30F5"/>
    <w:rsid w:val="005C51A5"/>
    <w:rsid w:val="005C557A"/>
    <w:rsid w:val="005C566F"/>
    <w:rsid w:val="005C5C47"/>
    <w:rsid w:val="005C61DD"/>
    <w:rsid w:val="005C6438"/>
    <w:rsid w:val="005C6B8B"/>
    <w:rsid w:val="005C727F"/>
    <w:rsid w:val="005D02E3"/>
    <w:rsid w:val="005D1F34"/>
    <w:rsid w:val="005D2C1F"/>
    <w:rsid w:val="005D2DE8"/>
    <w:rsid w:val="005D34B2"/>
    <w:rsid w:val="005D3B54"/>
    <w:rsid w:val="005D40CD"/>
    <w:rsid w:val="005D6B59"/>
    <w:rsid w:val="005D784B"/>
    <w:rsid w:val="005E03E4"/>
    <w:rsid w:val="005E0454"/>
    <w:rsid w:val="005E05F6"/>
    <w:rsid w:val="005E2442"/>
    <w:rsid w:val="005E2662"/>
    <w:rsid w:val="005E3111"/>
    <w:rsid w:val="005E3F85"/>
    <w:rsid w:val="005E4A5F"/>
    <w:rsid w:val="005E57B0"/>
    <w:rsid w:val="005E5815"/>
    <w:rsid w:val="005E5B01"/>
    <w:rsid w:val="005E6D3B"/>
    <w:rsid w:val="005F009E"/>
    <w:rsid w:val="005F0DF1"/>
    <w:rsid w:val="005F1516"/>
    <w:rsid w:val="005F229E"/>
    <w:rsid w:val="005F2564"/>
    <w:rsid w:val="005F3822"/>
    <w:rsid w:val="005F4635"/>
    <w:rsid w:val="005F4900"/>
    <w:rsid w:val="005F4E52"/>
    <w:rsid w:val="005F6D58"/>
    <w:rsid w:val="005F7383"/>
    <w:rsid w:val="005F79FF"/>
    <w:rsid w:val="0060058E"/>
    <w:rsid w:val="00601C8F"/>
    <w:rsid w:val="00601F77"/>
    <w:rsid w:val="00602A3C"/>
    <w:rsid w:val="00603EFD"/>
    <w:rsid w:val="0060475B"/>
    <w:rsid w:val="00604BED"/>
    <w:rsid w:val="00604FB6"/>
    <w:rsid w:val="00605387"/>
    <w:rsid w:val="00606302"/>
    <w:rsid w:val="006076FD"/>
    <w:rsid w:val="00610028"/>
    <w:rsid w:val="0061143F"/>
    <w:rsid w:val="006114D8"/>
    <w:rsid w:val="00613553"/>
    <w:rsid w:val="00613601"/>
    <w:rsid w:val="00613791"/>
    <w:rsid w:val="006150D6"/>
    <w:rsid w:val="00615245"/>
    <w:rsid w:val="0061590D"/>
    <w:rsid w:val="0061641E"/>
    <w:rsid w:val="00617EEE"/>
    <w:rsid w:val="00620A1F"/>
    <w:rsid w:val="00621561"/>
    <w:rsid w:val="0062169D"/>
    <w:rsid w:val="0062181E"/>
    <w:rsid w:val="0062211B"/>
    <w:rsid w:val="00622BB7"/>
    <w:rsid w:val="00622C1E"/>
    <w:rsid w:val="00623389"/>
    <w:rsid w:val="006233F8"/>
    <w:rsid w:val="00623DAA"/>
    <w:rsid w:val="00623FAF"/>
    <w:rsid w:val="006265C4"/>
    <w:rsid w:val="0062678A"/>
    <w:rsid w:val="006270AF"/>
    <w:rsid w:val="00627F64"/>
    <w:rsid w:val="00632D04"/>
    <w:rsid w:val="00634367"/>
    <w:rsid w:val="00637A04"/>
    <w:rsid w:val="00637F35"/>
    <w:rsid w:val="00640082"/>
    <w:rsid w:val="00640291"/>
    <w:rsid w:val="006408B6"/>
    <w:rsid w:val="00640EFE"/>
    <w:rsid w:val="00641D6D"/>
    <w:rsid w:val="00641FAC"/>
    <w:rsid w:val="0064312E"/>
    <w:rsid w:val="00643664"/>
    <w:rsid w:val="00643CAA"/>
    <w:rsid w:val="00644F16"/>
    <w:rsid w:val="006455EB"/>
    <w:rsid w:val="006456C2"/>
    <w:rsid w:val="00645A65"/>
    <w:rsid w:val="006477F0"/>
    <w:rsid w:val="006478E4"/>
    <w:rsid w:val="0065127B"/>
    <w:rsid w:val="0065171A"/>
    <w:rsid w:val="00652680"/>
    <w:rsid w:val="00653CDE"/>
    <w:rsid w:val="00654585"/>
    <w:rsid w:val="00655AB6"/>
    <w:rsid w:val="00656281"/>
    <w:rsid w:val="0065636A"/>
    <w:rsid w:val="00657003"/>
    <w:rsid w:val="00660238"/>
    <w:rsid w:val="006602EF"/>
    <w:rsid w:val="00661277"/>
    <w:rsid w:val="006619E0"/>
    <w:rsid w:val="0066234E"/>
    <w:rsid w:val="00663FEA"/>
    <w:rsid w:val="00664803"/>
    <w:rsid w:val="006657C5"/>
    <w:rsid w:val="006661A4"/>
    <w:rsid w:val="00666AC0"/>
    <w:rsid w:val="006670E0"/>
    <w:rsid w:val="006671B8"/>
    <w:rsid w:val="00667275"/>
    <w:rsid w:val="00667532"/>
    <w:rsid w:val="0066783E"/>
    <w:rsid w:val="00667E53"/>
    <w:rsid w:val="006711C4"/>
    <w:rsid w:val="006713AB"/>
    <w:rsid w:val="00672CA5"/>
    <w:rsid w:val="006735EA"/>
    <w:rsid w:val="00673711"/>
    <w:rsid w:val="00673F82"/>
    <w:rsid w:val="00674F74"/>
    <w:rsid w:val="0067508F"/>
    <w:rsid w:val="00677576"/>
    <w:rsid w:val="0068051E"/>
    <w:rsid w:val="00680B9D"/>
    <w:rsid w:val="00681F13"/>
    <w:rsid w:val="0068231C"/>
    <w:rsid w:val="00682344"/>
    <w:rsid w:val="00682B23"/>
    <w:rsid w:val="00682F28"/>
    <w:rsid w:val="00683515"/>
    <w:rsid w:val="00684842"/>
    <w:rsid w:val="006859AA"/>
    <w:rsid w:val="00685BD6"/>
    <w:rsid w:val="00685C0C"/>
    <w:rsid w:val="00687116"/>
    <w:rsid w:val="006878A6"/>
    <w:rsid w:val="00687D5F"/>
    <w:rsid w:val="00690437"/>
    <w:rsid w:val="00690DC3"/>
    <w:rsid w:val="00690E65"/>
    <w:rsid w:val="006911B7"/>
    <w:rsid w:val="00691387"/>
    <w:rsid w:val="0069188E"/>
    <w:rsid w:val="00691974"/>
    <w:rsid w:val="00692BF6"/>
    <w:rsid w:val="00692CE6"/>
    <w:rsid w:val="00693186"/>
    <w:rsid w:val="00693381"/>
    <w:rsid w:val="00693B6C"/>
    <w:rsid w:val="006942AE"/>
    <w:rsid w:val="00695421"/>
    <w:rsid w:val="00697BD3"/>
    <w:rsid w:val="00697DFA"/>
    <w:rsid w:val="006A12CF"/>
    <w:rsid w:val="006A15AD"/>
    <w:rsid w:val="006A16D5"/>
    <w:rsid w:val="006A1772"/>
    <w:rsid w:val="006A1780"/>
    <w:rsid w:val="006A21DD"/>
    <w:rsid w:val="006A26C6"/>
    <w:rsid w:val="006A3302"/>
    <w:rsid w:val="006A3531"/>
    <w:rsid w:val="006A3B28"/>
    <w:rsid w:val="006A4FEE"/>
    <w:rsid w:val="006A703E"/>
    <w:rsid w:val="006A7BE3"/>
    <w:rsid w:val="006A7D32"/>
    <w:rsid w:val="006B01D1"/>
    <w:rsid w:val="006B0DF4"/>
    <w:rsid w:val="006B0E2B"/>
    <w:rsid w:val="006B16EA"/>
    <w:rsid w:val="006B1780"/>
    <w:rsid w:val="006B224E"/>
    <w:rsid w:val="006B376E"/>
    <w:rsid w:val="006B4589"/>
    <w:rsid w:val="006B610E"/>
    <w:rsid w:val="006B6805"/>
    <w:rsid w:val="006B6DE0"/>
    <w:rsid w:val="006C16C3"/>
    <w:rsid w:val="006C2187"/>
    <w:rsid w:val="006C32F4"/>
    <w:rsid w:val="006C3C54"/>
    <w:rsid w:val="006C4B6B"/>
    <w:rsid w:val="006C4F9F"/>
    <w:rsid w:val="006C71A2"/>
    <w:rsid w:val="006C73EC"/>
    <w:rsid w:val="006D0C1D"/>
    <w:rsid w:val="006D2E9D"/>
    <w:rsid w:val="006D4A4E"/>
    <w:rsid w:val="006D4C42"/>
    <w:rsid w:val="006D5389"/>
    <w:rsid w:val="006D5809"/>
    <w:rsid w:val="006D607E"/>
    <w:rsid w:val="006D6E12"/>
    <w:rsid w:val="006D70CB"/>
    <w:rsid w:val="006D715C"/>
    <w:rsid w:val="006D7363"/>
    <w:rsid w:val="006D774E"/>
    <w:rsid w:val="006E0754"/>
    <w:rsid w:val="006E2668"/>
    <w:rsid w:val="006E2D39"/>
    <w:rsid w:val="006E32B0"/>
    <w:rsid w:val="006E348E"/>
    <w:rsid w:val="006E396A"/>
    <w:rsid w:val="006E3D63"/>
    <w:rsid w:val="006E58BF"/>
    <w:rsid w:val="006E5DD8"/>
    <w:rsid w:val="006E5EA1"/>
    <w:rsid w:val="006E6DEE"/>
    <w:rsid w:val="006E7D4B"/>
    <w:rsid w:val="006F0760"/>
    <w:rsid w:val="006F11E2"/>
    <w:rsid w:val="006F2574"/>
    <w:rsid w:val="006F3221"/>
    <w:rsid w:val="006F3231"/>
    <w:rsid w:val="006F3DE3"/>
    <w:rsid w:val="006F4758"/>
    <w:rsid w:val="006F4787"/>
    <w:rsid w:val="006F61D8"/>
    <w:rsid w:val="006F62B7"/>
    <w:rsid w:val="006F70BC"/>
    <w:rsid w:val="006F7E7C"/>
    <w:rsid w:val="0070174E"/>
    <w:rsid w:val="007018DB"/>
    <w:rsid w:val="00701DE6"/>
    <w:rsid w:val="00702740"/>
    <w:rsid w:val="0070381B"/>
    <w:rsid w:val="00705D4B"/>
    <w:rsid w:val="0070796C"/>
    <w:rsid w:val="007109BB"/>
    <w:rsid w:val="00710EBF"/>
    <w:rsid w:val="007110B8"/>
    <w:rsid w:val="00711D76"/>
    <w:rsid w:val="0071209F"/>
    <w:rsid w:val="007125A2"/>
    <w:rsid w:val="00712BAE"/>
    <w:rsid w:val="00713DD9"/>
    <w:rsid w:val="00713F79"/>
    <w:rsid w:val="007148A8"/>
    <w:rsid w:val="0071569F"/>
    <w:rsid w:val="00716AC8"/>
    <w:rsid w:val="00716E54"/>
    <w:rsid w:val="00717421"/>
    <w:rsid w:val="0072033C"/>
    <w:rsid w:val="00720B1B"/>
    <w:rsid w:val="00720B9C"/>
    <w:rsid w:val="00721062"/>
    <w:rsid w:val="00721E5D"/>
    <w:rsid w:val="007229D4"/>
    <w:rsid w:val="007230F8"/>
    <w:rsid w:val="007233F4"/>
    <w:rsid w:val="00724044"/>
    <w:rsid w:val="007248D3"/>
    <w:rsid w:val="00724DF8"/>
    <w:rsid w:val="00725137"/>
    <w:rsid w:val="00725378"/>
    <w:rsid w:val="00727A43"/>
    <w:rsid w:val="00727F2A"/>
    <w:rsid w:val="00727FF2"/>
    <w:rsid w:val="00730550"/>
    <w:rsid w:val="00730C2A"/>
    <w:rsid w:val="00731434"/>
    <w:rsid w:val="00731E59"/>
    <w:rsid w:val="007323E0"/>
    <w:rsid w:val="00732911"/>
    <w:rsid w:val="00733721"/>
    <w:rsid w:val="00733DE2"/>
    <w:rsid w:val="007352EA"/>
    <w:rsid w:val="0073792F"/>
    <w:rsid w:val="00740C81"/>
    <w:rsid w:val="00740DA6"/>
    <w:rsid w:val="00741B4B"/>
    <w:rsid w:val="00741D1E"/>
    <w:rsid w:val="00741DD6"/>
    <w:rsid w:val="00741EE2"/>
    <w:rsid w:val="0074207F"/>
    <w:rsid w:val="00742367"/>
    <w:rsid w:val="00742EAA"/>
    <w:rsid w:val="00743360"/>
    <w:rsid w:val="00743818"/>
    <w:rsid w:val="00743857"/>
    <w:rsid w:val="007441FB"/>
    <w:rsid w:val="00744517"/>
    <w:rsid w:val="0074522A"/>
    <w:rsid w:val="00747295"/>
    <w:rsid w:val="00747829"/>
    <w:rsid w:val="00747DE2"/>
    <w:rsid w:val="007504BF"/>
    <w:rsid w:val="007506CD"/>
    <w:rsid w:val="0075267F"/>
    <w:rsid w:val="007526EC"/>
    <w:rsid w:val="00753C48"/>
    <w:rsid w:val="00754250"/>
    <w:rsid w:val="00754FE4"/>
    <w:rsid w:val="00755216"/>
    <w:rsid w:val="00756236"/>
    <w:rsid w:val="00756271"/>
    <w:rsid w:val="00756348"/>
    <w:rsid w:val="00756521"/>
    <w:rsid w:val="00756AB7"/>
    <w:rsid w:val="00757E5C"/>
    <w:rsid w:val="0076106D"/>
    <w:rsid w:val="007623FB"/>
    <w:rsid w:val="007624BE"/>
    <w:rsid w:val="00762517"/>
    <w:rsid w:val="00763240"/>
    <w:rsid w:val="0076376A"/>
    <w:rsid w:val="0076465F"/>
    <w:rsid w:val="007648AD"/>
    <w:rsid w:val="0076504E"/>
    <w:rsid w:val="007677D5"/>
    <w:rsid w:val="00767BFD"/>
    <w:rsid w:val="00767EA0"/>
    <w:rsid w:val="0077068F"/>
    <w:rsid w:val="00771EDF"/>
    <w:rsid w:val="00772A90"/>
    <w:rsid w:val="00772E2D"/>
    <w:rsid w:val="00772F8D"/>
    <w:rsid w:val="0077408D"/>
    <w:rsid w:val="00774270"/>
    <w:rsid w:val="007743F6"/>
    <w:rsid w:val="00775679"/>
    <w:rsid w:val="0077574F"/>
    <w:rsid w:val="00775823"/>
    <w:rsid w:val="007772C3"/>
    <w:rsid w:val="007777CC"/>
    <w:rsid w:val="00777B32"/>
    <w:rsid w:val="0078051E"/>
    <w:rsid w:val="00781089"/>
    <w:rsid w:val="007838F3"/>
    <w:rsid w:val="007856FE"/>
    <w:rsid w:val="00785F46"/>
    <w:rsid w:val="007865F4"/>
    <w:rsid w:val="00786D5C"/>
    <w:rsid w:val="00786E96"/>
    <w:rsid w:val="0078798A"/>
    <w:rsid w:val="00787DFF"/>
    <w:rsid w:val="00787F93"/>
    <w:rsid w:val="00791E6D"/>
    <w:rsid w:val="00791EB5"/>
    <w:rsid w:val="00791FF2"/>
    <w:rsid w:val="00793696"/>
    <w:rsid w:val="007955DA"/>
    <w:rsid w:val="00796F65"/>
    <w:rsid w:val="007970C7"/>
    <w:rsid w:val="007A11C2"/>
    <w:rsid w:val="007A18BB"/>
    <w:rsid w:val="007A27DD"/>
    <w:rsid w:val="007A41BF"/>
    <w:rsid w:val="007A490A"/>
    <w:rsid w:val="007A6551"/>
    <w:rsid w:val="007A7B95"/>
    <w:rsid w:val="007B0297"/>
    <w:rsid w:val="007B02FA"/>
    <w:rsid w:val="007B0F53"/>
    <w:rsid w:val="007B21AE"/>
    <w:rsid w:val="007B2570"/>
    <w:rsid w:val="007B3113"/>
    <w:rsid w:val="007B3304"/>
    <w:rsid w:val="007B4CD7"/>
    <w:rsid w:val="007B7490"/>
    <w:rsid w:val="007C0525"/>
    <w:rsid w:val="007C13F7"/>
    <w:rsid w:val="007C218D"/>
    <w:rsid w:val="007C2D28"/>
    <w:rsid w:val="007C3E22"/>
    <w:rsid w:val="007C49EE"/>
    <w:rsid w:val="007C5B90"/>
    <w:rsid w:val="007C5C39"/>
    <w:rsid w:val="007C6218"/>
    <w:rsid w:val="007C6484"/>
    <w:rsid w:val="007C67C6"/>
    <w:rsid w:val="007C78BE"/>
    <w:rsid w:val="007C7E59"/>
    <w:rsid w:val="007D0476"/>
    <w:rsid w:val="007D0B91"/>
    <w:rsid w:val="007D1452"/>
    <w:rsid w:val="007D3DCB"/>
    <w:rsid w:val="007D460C"/>
    <w:rsid w:val="007D4996"/>
    <w:rsid w:val="007D4AD3"/>
    <w:rsid w:val="007D5D19"/>
    <w:rsid w:val="007D5FDC"/>
    <w:rsid w:val="007D6176"/>
    <w:rsid w:val="007D694A"/>
    <w:rsid w:val="007D6D68"/>
    <w:rsid w:val="007E32DA"/>
    <w:rsid w:val="007E4998"/>
    <w:rsid w:val="007E4A9C"/>
    <w:rsid w:val="007E6914"/>
    <w:rsid w:val="007E7F78"/>
    <w:rsid w:val="007F0179"/>
    <w:rsid w:val="007F19A7"/>
    <w:rsid w:val="007F2C13"/>
    <w:rsid w:val="007F2CEC"/>
    <w:rsid w:val="007F3435"/>
    <w:rsid w:val="007F55DE"/>
    <w:rsid w:val="007F564B"/>
    <w:rsid w:val="007F62BF"/>
    <w:rsid w:val="007F762D"/>
    <w:rsid w:val="007F78F0"/>
    <w:rsid w:val="007F78FF"/>
    <w:rsid w:val="008001C5"/>
    <w:rsid w:val="00800F6C"/>
    <w:rsid w:val="00801065"/>
    <w:rsid w:val="00802C0B"/>
    <w:rsid w:val="008051FC"/>
    <w:rsid w:val="008055A9"/>
    <w:rsid w:val="008056C4"/>
    <w:rsid w:val="008057FD"/>
    <w:rsid w:val="00805D8B"/>
    <w:rsid w:val="008063EA"/>
    <w:rsid w:val="0080773A"/>
    <w:rsid w:val="00810BB6"/>
    <w:rsid w:val="00810E8E"/>
    <w:rsid w:val="00812C44"/>
    <w:rsid w:val="008135E1"/>
    <w:rsid w:val="00813779"/>
    <w:rsid w:val="00813E26"/>
    <w:rsid w:val="0081481D"/>
    <w:rsid w:val="00814BE8"/>
    <w:rsid w:val="00814F6E"/>
    <w:rsid w:val="00815363"/>
    <w:rsid w:val="00815B84"/>
    <w:rsid w:val="00816BE9"/>
    <w:rsid w:val="0082027C"/>
    <w:rsid w:val="00822518"/>
    <w:rsid w:val="008226F5"/>
    <w:rsid w:val="00823FC6"/>
    <w:rsid w:val="00824306"/>
    <w:rsid w:val="00825C74"/>
    <w:rsid w:val="00825CFA"/>
    <w:rsid w:val="00826AB9"/>
    <w:rsid w:val="00826E0E"/>
    <w:rsid w:val="00827D11"/>
    <w:rsid w:val="00827E0F"/>
    <w:rsid w:val="00827F6E"/>
    <w:rsid w:val="00831758"/>
    <w:rsid w:val="008317D9"/>
    <w:rsid w:val="0083279F"/>
    <w:rsid w:val="00832DE0"/>
    <w:rsid w:val="008334DB"/>
    <w:rsid w:val="00833A1A"/>
    <w:rsid w:val="00833B7F"/>
    <w:rsid w:val="00833E8E"/>
    <w:rsid w:val="00834906"/>
    <w:rsid w:val="00836075"/>
    <w:rsid w:val="00836417"/>
    <w:rsid w:val="00836A3E"/>
    <w:rsid w:val="00837526"/>
    <w:rsid w:val="00837CE8"/>
    <w:rsid w:val="008407A7"/>
    <w:rsid w:val="00841177"/>
    <w:rsid w:val="0084322B"/>
    <w:rsid w:val="00843F81"/>
    <w:rsid w:val="00844087"/>
    <w:rsid w:val="00844526"/>
    <w:rsid w:val="008448F1"/>
    <w:rsid w:val="0084519E"/>
    <w:rsid w:val="00845CAE"/>
    <w:rsid w:val="00846370"/>
    <w:rsid w:val="008477E7"/>
    <w:rsid w:val="00847C2B"/>
    <w:rsid w:val="00850272"/>
    <w:rsid w:val="008506B9"/>
    <w:rsid w:val="00851822"/>
    <w:rsid w:val="008532BF"/>
    <w:rsid w:val="008539B2"/>
    <w:rsid w:val="00853BF4"/>
    <w:rsid w:val="00854294"/>
    <w:rsid w:val="0085572E"/>
    <w:rsid w:val="00857104"/>
    <w:rsid w:val="0085788B"/>
    <w:rsid w:val="00857A7C"/>
    <w:rsid w:val="00857A9E"/>
    <w:rsid w:val="00857DE2"/>
    <w:rsid w:val="00863A8E"/>
    <w:rsid w:val="0086407F"/>
    <w:rsid w:val="008645E3"/>
    <w:rsid w:val="00864E79"/>
    <w:rsid w:val="0086661F"/>
    <w:rsid w:val="00866A0D"/>
    <w:rsid w:val="00866DB5"/>
    <w:rsid w:val="0086701D"/>
    <w:rsid w:val="0086702B"/>
    <w:rsid w:val="008672E2"/>
    <w:rsid w:val="0086784E"/>
    <w:rsid w:val="0087121C"/>
    <w:rsid w:val="00871FD2"/>
    <w:rsid w:val="00872084"/>
    <w:rsid w:val="008724D6"/>
    <w:rsid w:val="00872827"/>
    <w:rsid w:val="00872A32"/>
    <w:rsid w:val="00874911"/>
    <w:rsid w:val="008749EE"/>
    <w:rsid w:val="00874E89"/>
    <w:rsid w:val="00875124"/>
    <w:rsid w:val="008754E4"/>
    <w:rsid w:val="00876EAE"/>
    <w:rsid w:val="00880106"/>
    <w:rsid w:val="00880F95"/>
    <w:rsid w:val="0088158D"/>
    <w:rsid w:val="00882B44"/>
    <w:rsid w:val="008838AD"/>
    <w:rsid w:val="008864B3"/>
    <w:rsid w:val="008865E5"/>
    <w:rsid w:val="008871B0"/>
    <w:rsid w:val="00890B57"/>
    <w:rsid w:val="008916BA"/>
    <w:rsid w:val="0089217C"/>
    <w:rsid w:val="00892790"/>
    <w:rsid w:val="00893671"/>
    <w:rsid w:val="00895838"/>
    <w:rsid w:val="00895A1E"/>
    <w:rsid w:val="00895A72"/>
    <w:rsid w:val="00895CDF"/>
    <w:rsid w:val="00896679"/>
    <w:rsid w:val="00896D8C"/>
    <w:rsid w:val="008A0836"/>
    <w:rsid w:val="008A0FC9"/>
    <w:rsid w:val="008A17D6"/>
    <w:rsid w:val="008A1956"/>
    <w:rsid w:val="008A1A7C"/>
    <w:rsid w:val="008A2CE2"/>
    <w:rsid w:val="008A38B6"/>
    <w:rsid w:val="008A402C"/>
    <w:rsid w:val="008A40D3"/>
    <w:rsid w:val="008A469C"/>
    <w:rsid w:val="008A51D1"/>
    <w:rsid w:val="008A5DCE"/>
    <w:rsid w:val="008A6AB1"/>
    <w:rsid w:val="008A75D3"/>
    <w:rsid w:val="008B05DD"/>
    <w:rsid w:val="008B07B8"/>
    <w:rsid w:val="008B17E8"/>
    <w:rsid w:val="008B2E7C"/>
    <w:rsid w:val="008B399A"/>
    <w:rsid w:val="008B45F0"/>
    <w:rsid w:val="008B4A70"/>
    <w:rsid w:val="008B502F"/>
    <w:rsid w:val="008B67F8"/>
    <w:rsid w:val="008B6DFC"/>
    <w:rsid w:val="008B7227"/>
    <w:rsid w:val="008C02FB"/>
    <w:rsid w:val="008C04E0"/>
    <w:rsid w:val="008C191C"/>
    <w:rsid w:val="008C1DA4"/>
    <w:rsid w:val="008C29B0"/>
    <w:rsid w:val="008C2CD5"/>
    <w:rsid w:val="008C3618"/>
    <w:rsid w:val="008C39E7"/>
    <w:rsid w:val="008C43AD"/>
    <w:rsid w:val="008C6118"/>
    <w:rsid w:val="008C6341"/>
    <w:rsid w:val="008C731F"/>
    <w:rsid w:val="008C74D9"/>
    <w:rsid w:val="008D002E"/>
    <w:rsid w:val="008D3B2D"/>
    <w:rsid w:val="008D58D9"/>
    <w:rsid w:val="008D5AD4"/>
    <w:rsid w:val="008D695E"/>
    <w:rsid w:val="008D6DD5"/>
    <w:rsid w:val="008D6E59"/>
    <w:rsid w:val="008D7155"/>
    <w:rsid w:val="008D76E0"/>
    <w:rsid w:val="008E0B29"/>
    <w:rsid w:val="008E141A"/>
    <w:rsid w:val="008E18E7"/>
    <w:rsid w:val="008E1A44"/>
    <w:rsid w:val="008E28E6"/>
    <w:rsid w:val="008E3232"/>
    <w:rsid w:val="008E3674"/>
    <w:rsid w:val="008E3B6C"/>
    <w:rsid w:val="008E3DE7"/>
    <w:rsid w:val="008E562C"/>
    <w:rsid w:val="008E6540"/>
    <w:rsid w:val="008E77D4"/>
    <w:rsid w:val="008E7ADD"/>
    <w:rsid w:val="008F091F"/>
    <w:rsid w:val="008F17B2"/>
    <w:rsid w:val="008F22B3"/>
    <w:rsid w:val="008F25CD"/>
    <w:rsid w:val="008F357B"/>
    <w:rsid w:val="008F44CA"/>
    <w:rsid w:val="008F49D3"/>
    <w:rsid w:val="008F5DFC"/>
    <w:rsid w:val="008F6519"/>
    <w:rsid w:val="008F7012"/>
    <w:rsid w:val="008F7ADA"/>
    <w:rsid w:val="008F7B17"/>
    <w:rsid w:val="00900042"/>
    <w:rsid w:val="0090034B"/>
    <w:rsid w:val="00901121"/>
    <w:rsid w:val="00902623"/>
    <w:rsid w:val="00902A67"/>
    <w:rsid w:val="00902C5E"/>
    <w:rsid w:val="009049D8"/>
    <w:rsid w:val="00904BE4"/>
    <w:rsid w:val="0090504A"/>
    <w:rsid w:val="009051F5"/>
    <w:rsid w:val="00905221"/>
    <w:rsid w:val="00905A7C"/>
    <w:rsid w:val="00905D7E"/>
    <w:rsid w:val="00907037"/>
    <w:rsid w:val="00907D87"/>
    <w:rsid w:val="0091112C"/>
    <w:rsid w:val="0091160A"/>
    <w:rsid w:val="00912297"/>
    <w:rsid w:val="00912E04"/>
    <w:rsid w:val="00913258"/>
    <w:rsid w:val="00913851"/>
    <w:rsid w:val="00913BB0"/>
    <w:rsid w:val="0091456C"/>
    <w:rsid w:val="00914C58"/>
    <w:rsid w:val="0091564D"/>
    <w:rsid w:val="009156DA"/>
    <w:rsid w:val="00915774"/>
    <w:rsid w:val="009159EF"/>
    <w:rsid w:val="00916444"/>
    <w:rsid w:val="00916BC5"/>
    <w:rsid w:val="0091726A"/>
    <w:rsid w:val="009179AE"/>
    <w:rsid w:val="00917C01"/>
    <w:rsid w:val="00920184"/>
    <w:rsid w:val="00920EA4"/>
    <w:rsid w:val="00921792"/>
    <w:rsid w:val="00921BEA"/>
    <w:rsid w:val="009227BE"/>
    <w:rsid w:val="009238FD"/>
    <w:rsid w:val="00923998"/>
    <w:rsid w:val="00923DB4"/>
    <w:rsid w:val="0092420B"/>
    <w:rsid w:val="0092430E"/>
    <w:rsid w:val="00926112"/>
    <w:rsid w:val="0092625F"/>
    <w:rsid w:val="00926B28"/>
    <w:rsid w:val="00926D9C"/>
    <w:rsid w:val="00927028"/>
    <w:rsid w:val="00927763"/>
    <w:rsid w:val="00927A2D"/>
    <w:rsid w:val="00927B37"/>
    <w:rsid w:val="00930EC8"/>
    <w:rsid w:val="009321B1"/>
    <w:rsid w:val="00932ED7"/>
    <w:rsid w:val="0093422D"/>
    <w:rsid w:val="0093483B"/>
    <w:rsid w:val="00934CF9"/>
    <w:rsid w:val="00934DD7"/>
    <w:rsid w:val="009369A9"/>
    <w:rsid w:val="00936CF7"/>
    <w:rsid w:val="00937783"/>
    <w:rsid w:val="00937EAD"/>
    <w:rsid w:val="00937F28"/>
    <w:rsid w:val="00940FE1"/>
    <w:rsid w:val="00942306"/>
    <w:rsid w:val="00942384"/>
    <w:rsid w:val="009424B8"/>
    <w:rsid w:val="00944668"/>
    <w:rsid w:val="00944DC6"/>
    <w:rsid w:val="009458B0"/>
    <w:rsid w:val="00945B52"/>
    <w:rsid w:val="00945B7A"/>
    <w:rsid w:val="00945F05"/>
    <w:rsid w:val="00946348"/>
    <w:rsid w:val="009463E5"/>
    <w:rsid w:val="00947778"/>
    <w:rsid w:val="00947797"/>
    <w:rsid w:val="009478A2"/>
    <w:rsid w:val="00952A55"/>
    <w:rsid w:val="00953808"/>
    <w:rsid w:val="009539A6"/>
    <w:rsid w:val="00954032"/>
    <w:rsid w:val="00954537"/>
    <w:rsid w:val="0095472D"/>
    <w:rsid w:val="00955098"/>
    <w:rsid w:val="00955FBB"/>
    <w:rsid w:val="0095694B"/>
    <w:rsid w:val="00956BD5"/>
    <w:rsid w:val="00956D84"/>
    <w:rsid w:val="009577B5"/>
    <w:rsid w:val="009608E6"/>
    <w:rsid w:val="00960F57"/>
    <w:rsid w:val="00961C90"/>
    <w:rsid w:val="00962AD6"/>
    <w:rsid w:val="00962E03"/>
    <w:rsid w:val="00965443"/>
    <w:rsid w:val="00965954"/>
    <w:rsid w:val="00965A21"/>
    <w:rsid w:val="00965E55"/>
    <w:rsid w:val="0096608E"/>
    <w:rsid w:val="00966522"/>
    <w:rsid w:val="00966C33"/>
    <w:rsid w:val="00970F18"/>
    <w:rsid w:val="00971CF1"/>
    <w:rsid w:val="00971F5D"/>
    <w:rsid w:val="009721E9"/>
    <w:rsid w:val="00973772"/>
    <w:rsid w:val="0097560A"/>
    <w:rsid w:val="00975E1E"/>
    <w:rsid w:val="00975E70"/>
    <w:rsid w:val="009761DE"/>
    <w:rsid w:val="009766FA"/>
    <w:rsid w:val="00976E1C"/>
    <w:rsid w:val="0097789E"/>
    <w:rsid w:val="00977CD6"/>
    <w:rsid w:val="0098048B"/>
    <w:rsid w:val="00980AEE"/>
    <w:rsid w:val="00980DF9"/>
    <w:rsid w:val="0098243D"/>
    <w:rsid w:val="00982D26"/>
    <w:rsid w:val="00983B6E"/>
    <w:rsid w:val="00983FE5"/>
    <w:rsid w:val="009847F6"/>
    <w:rsid w:val="009849E9"/>
    <w:rsid w:val="009859E4"/>
    <w:rsid w:val="00987812"/>
    <w:rsid w:val="00990225"/>
    <w:rsid w:val="00992A13"/>
    <w:rsid w:val="00992B2E"/>
    <w:rsid w:val="00992C78"/>
    <w:rsid w:val="00994AAD"/>
    <w:rsid w:val="00994DE1"/>
    <w:rsid w:val="00995150"/>
    <w:rsid w:val="00995D67"/>
    <w:rsid w:val="009A013B"/>
    <w:rsid w:val="009A02F4"/>
    <w:rsid w:val="009A06BF"/>
    <w:rsid w:val="009A0D17"/>
    <w:rsid w:val="009A2494"/>
    <w:rsid w:val="009A32B1"/>
    <w:rsid w:val="009A33A3"/>
    <w:rsid w:val="009A36F2"/>
    <w:rsid w:val="009A40C3"/>
    <w:rsid w:val="009A40D5"/>
    <w:rsid w:val="009A57D0"/>
    <w:rsid w:val="009A6559"/>
    <w:rsid w:val="009A68FC"/>
    <w:rsid w:val="009A6CE4"/>
    <w:rsid w:val="009A7514"/>
    <w:rsid w:val="009A7E7A"/>
    <w:rsid w:val="009B1584"/>
    <w:rsid w:val="009B18F0"/>
    <w:rsid w:val="009B1F4C"/>
    <w:rsid w:val="009B2471"/>
    <w:rsid w:val="009B314F"/>
    <w:rsid w:val="009B439C"/>
    <w:rsid w:val="009B46BC"/>
    <w:rsid w:val="009B49A1"/>
    <w:rsid w:val="009B4A6C"/>
    <w:rsid w:val="009B4DA8"/>
    <w:rsid w:val="009B519A"/>
    <w:rsid w:val="009B620C"/>
    <w:rsid w:val="009B6753"/>
    <w:rsid w:val="009B676C"/>
    <w:rsid w:val="009B6A26"/>
    <w:rsid w:val="009C079D"/>
    <w:rsid w:val="009C0D70"/>
    <w:rsid w:val="009C13D1"/>
    <w:rsid w:val="009C2913"/>
    <w:rsid w:val="009C2BD4"/>
    <w:rsid w:val="009C420B"/>
    <w:rsid w:val="009C5AFE"/>
    <w:rsid w:val="009C6606"/>
    <w:rsid w:val="009C6CE5"/>
    <w:rsid w:val="009C6D50"/>
    <w:rsid w:val="009C7547"/>
    <w:rsid w:val="009D05EC"/>
    <w:rsid w:val="009D18D4"/>
    <w:rsid w:val="009D2F60"/>
    <w:rsid w:val="009D3A2E"/>
    <w:rsid w:val="009D5ADE"/>
    <w:rsid w:val="009D5BAC"/>
    <w:rsid w:val="009D5C56"/>
    <w:rsid w:val="009D6265"/>
    <w:rsid w:val="009D64BD"/>
    <w:rsid w:val="009D6CB1"/>
    <w:rsid w:val="009E0286"/>
    <w:rsid w:val="009E153F"/>
    <w:rsid w:val="009E322A"/>
    <w:rsid w:val="009E393E"/>
    <w:rsid w:val="009E444E"/>
    <w:rsid w:val="009E4968"/>
    <w:rsid w:val="009E5B14"/>
    <w:rsid w:val="009E663C"/>
    <w:rsid w:val="009E684A"/>
    <w:rsid w:val="009E6BB1"/>
    <w:rsid w:val="009E6E14"/>
    <w:rsid w:val="009E794A"/>
    <w:rsid w:val="009E7C14"/>
    <w:rsid w:val="009F0494"/>
    <w:rsid w:val="009F0CD9"/>
    <w:rsid w:val="009F1A79"/>
    <w:rsid w:val="009F1F57"/>
    <w:rsid w:val="009F2DDD"/>
    <w:rsid w:val="009F3447"/>
    <w:rsid w:val="009F57B7"/>
    <w:rsid w:val="009F65F4"/>
    <w:rsid w:val="009F676B"/>
    <w:rsid w:val="009F6D2D"/>
    <w:rsid w:val="009F6D54"/>
    <w:rsid w:val="009F7228"/>
    <w:rsid w:val="009F7CBA"/>
    <w:rsid w:val="00A0010C"/>
    <w:rsid w:val="00A004DF"/>
    <w:rsid w:val="00A00FD5"/>
    <w:rsid w:val="00A012C0"/>
    <w:rsid w:val="00A019A8"/>
    <w:rsid w:val="00A01B03"/>
    <w:rsid w:val="00A01B89"/>
    <w:rsid w:val="00A02C66"/>
    <w:rsid w:val="00A02C84"/>
    <w:rsid w:val="00A03694"/>
    <w:rsid w:val="00A0464C"/>
    <w:rsid w:val="00A050BB"/>
    <w:rsid w:val="00A054E0"/>
    <w:rsid w:val="00A05D91"/>
    <w:rsid w:val="00A066CF"/>
    <w:rsid w:val="00A0740B"/>
    <w:rsid w:val="00A07ED3"/>
    <w:rsid w:val="00A10CA8"/>
    <w:rsid w:val="00A11042"/>
    <w:rsid w:val="00A1139E"/>
    <w:rsid w:val="00A12579"/>
    <w:rsid w:val="00A133D8"/>
    <w:rsid w:val="00A14561"/>
    <w:rsid w:val="00A15655"/>
    <w:rsid w:val="00A160B0"/>
    <w:rsid w:val="00A16BE5"/>
    <w:rsid w:val="00A1740C"/>
    <w:rsid w:val="00A20069"/>
    <w:rsid w:val="00A22330"/>
    <w:rsid w:val="00A2244D"/>
    <w:rsid w:val="00A2253D"/>
    <w:rsid w:val="00A2267F"/>
    <w:rsid w:val="00A22CDB"/>
    <w:rsid w:val="00A247B8"/>
    <w:rsid w:val="00A2495A"/>
    <w:rsid w:val="00A24C7A"/>
    <w:rsid w:val="00A24D8F"/>
    <w:rsid w:val="00A25B8B"/>
    <w:rsid w:val="00A25C5D"/>
    <w:rsid w:val="00A2689F"/>
    <w:rsid w:val="00A26C1A"/>
    <w:rsid w:val="00A26ECA"/>
    <w:rsid w:val="00A27461"/>
    <w:rsid w:val="00A27D67"/>
    <w:rsid w:val="00A30ABC"/>
    <w:rsid w:val="00A32415"/>
    <w:rsid w:val="00A3273A"/>
    <w:rsid w:val="00A33B74"/>
    <w:rsid w:val="00A3467F"/>
    <w:rsid w:val="00A34B4C"/>
    <w:rsid w:val="00A35030"/>
    <w:rsid w:val="00A3551A"/>
    <w:rsid w:val="00A366A0"/>
    <w:rsid w:val="00A37209"/>
    <w:rsid w:val="00A37584"/>
    <w:rsid w:val="00A376E8"/>
    <w:rsid w:val="00A37F8E"/>
    <w:rsid w:val="00A40028"/>
    <w:rsid w:val="00A41537"/>
    <w:rsid w:val="00A41737"/>
    <w:rsid w:val="00A42B8F"/>
    <w:rsid w:val="00A42D8E"/>
    <w:rsid w:val="00A43254"/>
    <w:rsid w:val="00A43896"/>
    <w:rsid w:val="00A43A26"/>
    <w:rsid w:val="00A447A0"/>
    <w:rsid w:val="00A459F5"/>
    <w:rsid w:val="00A45FC0"/>
    <w:rsid w:val="00A46B74"/>
    <w:rsid w:val="00A47ECC"/>
    <w:rsid w:val="00A50171"/>
    <w:rsid w:val="00A504FA"/>
    <w:rsid w:val="00A5102E"/>
    <w:rsid w:val="00A5132E"/>
    <w:rsid w:val="00A51375"/>
    <w:rsid w:val="00A51533"/>
    <w:rsid w:val="00A52D0E"/>
    <w:rsid w:val="00A52D71"/>
    <w:rsid w:val="00A531D4"/>
    <w:rsid w:val="00A54572"/>
    <w:rsid w:val="00A54A5F"/>
    <w:rsid w:val="00A575B8"/>
    <w:rsid w:val="00A6165C"/>
    <w:rsid w:val="00A61C60"/>
    <w:rsid w:val="00A61ECB"/>
    <w:rsid w:val="00A62B3C"/>
    <w:rsid w:val="00A637EC"/>
    <w:rsid w:val="00A6410C"/>
    <w:rsid w:val="00A647B1"/>
    <w:rsid w:val="00A64DEF"/>
    <w:rsid w:val="00A654D2"/>
    <w:rsid w:val="00A665DF"/>
    <w:rsid w:val="00A671E0"/>
    <w:rsid w:val="00A67FCC"/>
    <w:rsid w:val="00A704DD"/>
    <w:rsid w:val="00A7064F"/>
    <w:rsid w:val="00A70AA5"/>
    <w:rsid w:val="00A70C03"/>
    <w:rsid w:val="00A71256"/>
    <w:rsid w:val="00A719C1"/>
    <w:rsid w:val="00A7217B"/>
    <w:rsid w:val="00A73861"/>
    <w:rsid w:val="00A739A6"/>
    <w:rsid w:val="00A740ED"/>
    <w:rsid w:val="00A74C29"/>
    <w:rsid w:val="00A74C62"/>
    <w:rsid w:val="00A75DF5"/>
    <w:rsid w:val="00A75EF9"/>
    <w:rsid w:val="00A8079C"/>
    <w:rsid w:val="00A8311C"/>
    <w:rsid w:val="00A835D0"/>
    <w:rsid w:val="00A84C5F"/>
    <w:rsid w:val="00A857A7"/>
    <w:rsid w:val="00A85930"/>
    <w:rsid w:val="00A863F7"/>
    <w:rsid w:val="00A86604"/>
    <w:rsid w:val="00A86D7C"/>
    <w:rsid w:val="00A87519"/>
    <w:rsid w:val="00A92040"/>
    <w:rsid w:val="00A9246D"/>
    <w:rsid w:val="00A92CCA"/>
    <w:rsid w:val="00A937AB"/>
    <w:rsid w:val="00A93BD0"/>
    <w:rsid w:val="00A93CC2"/>
    <w:rsid w:val="00A93E04"/>
    <w:rsid w:val="00A96B45"/>
    <w:rsid w:val="00A974CC"/>
    <w:rsid w:val="00AA2001"/>
    <w:rsid w:val="00AA2B5C"/>
    <w:rsid w:val="00AA32D2"/>
    <w:rsid w:val="00AA4016"/>
    <w:rsid w:val="00AA4C1F"/>
    <w:rsid w:val="00AA5328"/>
    <w:rsid w:val="00AA5393"/>
    <w:rsid w:val="00AA63D4"/>
    <w:rsid w:val="00AA796E"/>
    <w:rsid w:val="00AB03FD"/>
    <w:rsid w:val="00AB1144"/>
    <w:rsid w:val="00AB2000"/>
    <w:rsid w:val="00AB38CB"/>
    <w:rsid w:val="00AB3BEC"/>
    <w:rsid w:val="00AB44E4"/>
    <w:rsid w:val="00AB4AEB"/>
    <w:rsid w:val="00AB4E5F"/>
    <w:rsid w:val="00AB5352"/>
    <w:rsid w:val="00AB554C"/>
    <w:rsid w:val="00AB56AE"/>
    <w:rsid w:val="00AB5B8F"/>
    <w:rsid w:val="00AB62D5"/>
    <w:rsid w:val="00AB65B5"/>
    <w:rsid w:val="00AB6DCD"/>
    <w:rsid w:val="00AB6EE0"/>
    <w:rsid w:val="00AB775A"/>
    <w:rsid w:val="00AB7871"/>
    <w:rsid w:val="00AC17A2"/>
    <w:rsid w:val="00AC40B7"/>
    <w:rsid w:val="00AC531F"/>
    <w:rsid w:val="00AC5B36"/>
    <w:rsid w:val="00AC6377"/>
    <w:rsid w:val="00AC66A4"/>
    <w:rsid w:val="00AC6A4E"/>
    <w:rsid w:val="00AC6CB1"/>
    <w:rsid w:val="00AC6D1C"/>
    <w:rsid w:val="00AC7D6D"/>
    <w:rsid w:val="00AD0091"/>
    <w:rsid w:val="00AD23EF"/>
    <w:rsid w:val="00AD2662"/>
    <w:rsid w:val="00AD307B"/>
    <w:rsid w:val="00AD4014"/>
    <w:rsid w:val="00AD41B3"/>
    <w:rsid w:val="00AD5721"/>
    <w:rsid w:val="00AD69F0"/>
    <w:rsid w:val="00AD7127"/>
    <w:rsid w:val="00AD730C"/>
    <w:rsid w:val="00AE123A"/>
    <w:rsid w:val="00AE1539"/>
    <w:rsid w:val="00AE28A7"/>
    <w:rsid w:val="00AE2A98"/>
    <w:rsid w:val="00AE2CF2"/>
    <w:rsid w:val="00AE3012"/>
    <w:rsid w:val="00AE33A6"/>
    <w:rsid w:val="00AE3729"/>
    <w:rsid w:val="00AE4138"/>
    <w:rsid w:val="00AE4CCE"/>
    <w:rsid w:val="00AE5C6A"/>
    <w:rsid w:val="00AE607B"/>
    <w:rsid w:val="00AE6317"/>
    <w:rsid w:val="00AE7280"/>
    <w:rsid w:val="00AF033A"/>
    <w:rsid w:val="00AF0696"/>
    <w:rsid w:val="00AF1699"/>
    <w:rsid w:val="00AF1FD3"/>
    <w:rsid w:val="00AF2910"/>
    <w:rsid w:val="00AF34B8"/>
    <w:rsid w:val="00AF3896"/>
    <w:rsid w:val="00AF3FC2"/>
    <w:rsid w:val="00AF7F08"/>
    <w:rsid w:val="00B0098A"/>
    <w:rsid w:val="00B00A5F"/>
    <w:rsid w:val="00B00F89"/>
    <w:rsid w:val="00B02729"/>
    <w:rsid w:val="00B029B8"/>
    <w:rsid w:val="00B02F60"/>
    <w:rsid w:val="00B032B8"/>
    <w:rsid w:val="00B03CEE"/>
    <w:rsid w:val="00B04721"/>
    <w:rsid w:val="00B04B15"/>
    <w:rsid w:val="00B04B46"/>
    <w:rsid w:val="00B0534D"/>
    <w:rsid w:val="00B05685"/>
    <w:rsid w:val="00B05F9F"/>
    <w:rsid w:val="00B06368"/>
    <w:rsid w:val="00B068DA"/>
    <w:rsid w:val="00B06A00"/>
    <w:rsid w:val="00B06FC6"/>
    <w:rsid w:val="00B074C9"/>
    <w:rsid w:val="00B07D9D"/>
    <w:rsid w:val="00B11AE5"/>
    <w:rsid w:val="00B12FE6"/>
    <w:rsid w:val="00B1303F"/>
    <w:rsid w:val="00B1364A"/>
    <w:rsid w:val="00B13761"/>
    <w:rsid w:val="00B13859"/>
    <w:rsid w:val="00B13EC9"/>
    <w:rsid w:val="00B14319"/>
    <w:rsid w:val="00B14A06"/>
    <w:rsid w:val="00B1581D"/>
    <w:rsid w:val="00B158E1"/>
    <w:rsid w:val="00B16715"/>
    <w:rsid w:val="00B1768E"/>
    <w:rsid w:val="00B17910"/>
    <w:rsid w:val="00B20F18"/>
    <w:rsid w:val="00B21516"/>
    <w:rsid w:val="00B21669"/>
    <w:rsid w:val="00B21A37"/>
    <w:rsid w:val="00B21D23"/>
    <w:rsid w:val="00B21F62"/>
    <w:rsid w:val="00B22CE0"/>
    <w:rsid w:val="00B23738"/>
    <w:rsid w:val="00B23BEF"/>
    <w:rsid w:val="00B247BB"/>
    <w:rsid w:val="00B2504A"/>
    <w:rsid w:val="00B25EE6"/>
    <w:rsid w:val="00B266DF"/>
    <w:rsid w:val="00B3115A"/>
    <w:rsid w:val="00B31825"/>
    <w:rsid w:val="00B31A5C"/>
    <w:rsid w:val="00B33B06"/>
    <w:rsid w:val="00B33C19"/>
    <w:rsid w:val="00B35A15"/>
    <w:rsid w:val="00B35B45"/>
    <w:rsid w:val="00B36A99"/>
    <w:rsid w:val="00B42264"/>
    <w:rsid w:val="00B434B2"/>
    <w:rsid w:val="00B43D45"/>
    <w:rsid w:val="00B45B3F"/>
    <w:rsid w:val="00B468F2"/>
    <w:rsid w:val="00B469DE"/>
    <w:rsid w:val="00B47286"/>
    <w:rsid w:val="00B50234"/>
    <w:rsid w:val="00B51BF4"/>
    <w:rsid w:val="00B52C68"/>
    <w:rsid w:val="00B5372B"/>
    <w:rsid w:val="00B542FE"/>
    <w:rsid w:val="00B55A1B"/>
    <w:rsid w:val="00B561DB"/>
    <w:rsid w:val="00B56DF9"/>
    <w:rsid w:val="00B600BD"/>
    <w:rsid w:val="00B61274"/>
    <w:rsid w:val="00B61DCE"/>
    <w:rsid w:val="00B62188"/>
    <w:rsid w:val="00B62F79"/>
    <w:rsid w:val="00B62F82"/>
    <w:rsid w:val="00B6306A"/>
    <w:rsid w:val="00B635E3"/>
    <w:rsid w:val="00B65381"/>
    <w:rsid w:val="00B66298"/>
    <w:rsid w:val="00B662FF"/>
    <w:rsid w:val="00B66679"/>
    <w:rsid w:val="00B67136"/>
    <w:rsid w:val="00B67264"/>
    <w:rsid w:val="00B70145"/>
    <w:rsid w:val="00B71A92"/>
    <w:rsid w:val="00B721D8"/>
    <w:rsid w:val="00B730CA"/>
    <w:rsid w:val="00B734AA"/>
    <w:rsid w:val="00B747C5"/>
    <w:rsid w:val="00B74F2F"/>
    <w:rsid w:val="00B753ED"/>
    <w:rsid w:val="00B769BC"/>
    <w:rsid w:val="00B77349"/>
    <w:rsid w:val="00B7761E"/>
    <w:rsid w:val="00B80A3D"/>
    <w:rsid w:val="00B80B04"/>
    <w:rsid w:val="00B8127B"/>
    <w:rsid w:val="00B819E5"/>
    <w:rsid w:val="00B821E4"/>
    <w:rsid w:val="00B823E0"/>
    <w:rsid w:val="00B8260D"/>
    <w:rsid w:val="00B827DD"/>
    <w:rsid w:val="00B82B78"/>
    <w:rsid w:val="00B8402F"/>
    <w:rsid w:val="00B845B4"/>
    <w:rsid w:val="00B84662"/>
    <w:rsid w:val="00B84C74"/>
    <w:rsid w:val="00B85041"/>
    <w:rsid w:val="00B85191"/>
    <w:rsid w:val="00B858A1"/>
    <w:rsid w:val="00B85FEC"/>
    <w:rsid w:val="00B864A3"/>
    <w:rsid w:val="00B8667D"/>
    <w:rsid w:val="00B86C2A"/>
    <w:rsid w:val="00B878BE"/>
    <w:rsid w:val="00B902A5"/>
    <w:rsid w:val="00B90420"/>
    <w:rsid w:val="00B90848"/>
    <w:rsid w:val="00B91146"/>
    <w:rsid w:val="00B913E4"/>
    <w:rsid w:val="00B91DB9"/>
    <w:rsid w:val="00B91FF3"/>
    <w:rsid w:val="00B93B29"/>
    <w:rsid w:val="00B93EFE"/>
    <w:rsid w:val="00B944B9"/>
    <w:rsid w:val="00B94956"/>
    <w:rsid w:val="00B94C7F"/>
    <w:rsid w:val="00B94E93"/>
    <w:rsid w:val="00B956B5"/>
    <w:rsid w:val="00B96DF2"/>
    <w:rsid w:val="00B96E18"/>
    <w:rsid w:val="00B96F5A"/>
    <w:rsid w:val="00BA0B39"/>
    <w:rsid w:val="00BA0CB2"/>
    <w:rsid w:val="00BA0E26"/>
    <w:rsid w:val="00BA138B"/>
    <w:rsid w:val="00BA13F3"/>
    <w:rsid w:val="00BA305B"/>
    <w:rsid w:val="00BA31BF"/>
    <w:rsid w:val="00BA3FC7"/>
    <w:rsid w:val="00BA478B"/>
    <w:rsid w:val="00BA5224"/>
    <w:rsid w:val="00BA575E"/>
    <w:rsid w:val="00BA76B7"/>
    <w:rsid w:val="00BA7BAB"/>
    <w:rsid w:val="00BA7E3B"/>
    <w:rsid w:val="00BB05EC"/>
    <w:rsid w:val="00BB078D"/>
    <w:rsid w:val="00BB079C"/>
    <w:rsid w:val="00BB0D7A"/>
    <w:rsid w:val="00BB10E1"/>
    <w:rsid w:val="00BB21D4"/>
    <w:rsid w:val="00BB2471"/>
    <w:rsid w:val="00BB3035"/>
    <w:rsid w:val="00BB39C1"/>
    <w:rsid w:val="00BB3D69"/>
    <w:rsid w:val="00BB3DF5"/>
    <w:rsid w:val="00BB4CC3"/>
    <w:rsid w:val="00BB5D16"/>
    <w:rsid w:val="00BB6180"/>
    <w:rsid w:val="00BB69E6"/>
    <w:rsid w:val="00BB7BE5"/>
    <w:rsid w:val="00BC08BD"/>
    <w:rsid w:val="00BC11E8"/>
    <w:rsid w:val="00BC1B7A"/>
    <w:rsid w:val="00BC2C17"/>
    <w:rsid w:val="00BC3679"/>
    <w:rsid w:val="00BC3ACD"/>
    <w:rsid w:val="00BC3B20"/>
    <w:rsid w:val="00BC3EE4"/>
    <w:rsid w:val="00BC588C"/>
    <w:rsid w:val="00BC63B3"/>
    <w:rsid w:val="00BC6E73"/>
    <w:rsid w:val="00BC74D3"/>
    <w:rsid w:val="00BC7A0F"/>
    <w:rsid w:val="00BD0014"/>
    <w:rsid w:val="00BD01D8"/>
    <w:rsid w:val="00BD191B"/>
    <w:rsid w:val="00BD255F"/>
    <w:rsid w:val="00BD2895"/>
    <w:rsid w:val="00BD4236"/>
    <w:rsid w:val="00BD483B"/>
    <w:rsid w:val="00BD5CD4"/>
    <w:rsid w:val="00BD65D9"/>
    <w:rsid w:val="00BD66A3"/>
    <w:rsid w:val="00BD6DF3"/>
    <w:rsid w:val="00BD6E09"/>
    <w:rsid w:val="00BD6EF9"/>
    <w:rsid w:val="00BD7616"/>
    <w:rsid w:val="00BE0ACB"/>
    <w:rsid w:val="00BE2260"/>
    <w:rsid w:val="00BE3917"/>
    <w:rsid w:val="00BE50FD"/>
    <w:rsid w:val="00BE51CA"/>
    <w:rsid w:val="00BE537F"/>
    <w:rsid w:val="00BE5D77"/>
    <w:rsid w:val="00BE6D47"/>
    <w:rsid w:val="00BE7032"/>
    <w:rsid w:val="00BE7330"/>
    <w:rsid w:val="00BE75C2"/>
    <w:rsid w:val="00BF01C5"/>
    <w:rsid w:val="00BF05A9"/>
    <w:rsid w:val="00BF061A"/>
    <w:rsid w:val="00BF066A"/>
    <w:rsid w:val="00BF14CC"/>
    <w:rsid w:val="00BF1821"/>
    <w:rsid w:val="00BF245A"/>
    <w:rsid w:val="00BF4342"/>
    <w:rsid w:val="00BF4704"/>
    <w:rsid w:val="00BF4FFC"/>
    <w:rsid w:val="00BF5050"/>
    <w:rsid w:val="00BF50D1"/>
    <w:rsid w:val="00BF5422"/>
    <w:rsid w:val="00BF59B1"/>
    <w:rsid w:val="00BF6A78"/>
    <w:rsid w:val="00BF7695"/>
    <w:rsid w:val="00BF79B4"/>
    <w:rsid w:val="00BF7C61"/>
    <w:rsid w:val="00C01427"/>
    <w:rsid w:val="00C014C7"/>
    <w:rsid w:val="00C047AB"/>
    <w:rsid w:val="00C04945"/>
    <w:rsid w:val="00C058AF"/>
    <w:rsid w:val="00C06990"/>
    <w:rsid w:val="00C075B6"/>
    <w:rsid w:val="00C124C1"/>
    <w:rsid w:val="00C12566"/>
    <w:rsid w:val="00C128AE"/>
    <w:rsid w:val="00C12BA8"/>
    <w:rsid w:val="00C136D6"/>
    <w:rsid w:val="00C13902"/>
    <w:rsid w:val="00C13D5B"/>
    <w:rsid w:val="00C141D7"/>
    <w:rsid w:val="00C1711B"/>
    <w:rsid w:val="00C17AE2"/>
    <w:rsid w:val="00C17E00"/>
    <w:rsid w:val="00C20140"/>
    <w:rsid w:val="00C20F27"/>
    <w:rsid w:val="00C215CF"/>
    <w:rsid w:val="00C2244B"/>
    <w:rsid w:val="00C22711"/>
    <w:rsid w:val="00C2280A"/>
    <w:rsid w:val="00C22B0D"/>
    <w:rsid w:val="00C22BFF"/>
    <w:rsid w:val="00C23522"/>
    <w:rsid w:val="00C240C1"/>
    <w:rsid w:val="00C2421F"/>
    <w:rsid w:val="00C24AED"/>
    <w:rsid w:val="00C250D0"/>
    <w:rsid w:val="00C252AC"/>
    <w:rsid w:val="00C25C0F"/>
    <w:rsid w:val="00C26567"/>
    <w:rsid w:val="00C26923"/>
    <w:rsid w:val="00C27214"/>
    <w:rsid w:val="00C27597"/>
    <w:rsid w:val="00C27E5E"/>
    <w:rsid w:val="00C30382"/>
    <w:rsid w:val="00C30772"/>
    <w:rsid w:val="00C30D6F"/>
    <w:rsid w:val="00C31063"/>
    <w:rsid w:val="00C31B7E"/>
    <w:rsid w:val="00C322D1"/>
    <w:rsid w:val="00C3242A"/>
    <w:rsid w:val="00C32817"/>
    <w:rsid w:val="00C33201"/>
    <w:rsid w:val="00C33A39"/>
    <w:rsid w:val="00C33B57"/>
    <w:rsid w:val="00C34619"/>
    <w:rsid w:val="00C35D01"/>
    <w:rsid w:val="00C360B3"/>
    <w:rsid w:val="00C37027"/>
    <w:rsid w:val="00C37653"/>
    <w:rsid w:val="00C37B19"/>
    <w:rsid w:val="00C37EB1"/>
    <w:rsid w:val="00C413CB"/>
    <w:rsid w:val="00C42752"/>
    <w:rsid w:val="00C42973"/>
    <w:rsid w:val="00C445E8"/>
    <w:rsid w:val="00C44C69"/>
    <w:rsid w:val="00C4712A"/>
    <w:rsid w:val="00C5034F"/>
    <w:rsid w:val="00C503EA"/>
    <w:rsid w:val="00C50830"/>
    <w:rsid w:val="00C52479"/>
    <w:rsid w:val="00C5266E"/>
    <w:rsid w:val="00C52836"/>
    <w:rsid w:val="00C52C59"/>
    <w:rsid w:val="00C5349E"/>
    <w:rsid w:val="00C539FF"/>
    <w:rsid w:val="00C544BD"/>
    <w:rsid w:val="00C54D3D"/>
    <w:rsid w:val="00C55A30"/>
    <w:rsid w:val="00C56384"/>
    <w:rsid w:val="00C563F7"/>
    <w:rsid w:val="00C570FE"/>
    <w:rsid w:val="00C60F8C"/>
    <w:rsid w:val="00C61794"/>
    <w:rsid w:val="00C62A48"/>
    <w:rsid w:val="00C62AC4"/>
    <w:rsid w:val="00C62B59"/>
    <w:rsid w:val="00C62F96"/>
    <w:rsid w:val="00C631E1"/>
    <w:rsid w:val="00C638D8"/>
    <w:rsid w:val="00C63AE7"/>
    <w:rsid w:val="00C63D26"/>
    <w:rsid w:val="00C6540A"/>
    <w:rsid w:val="00C6664C"/>
    <w:rsid w:val="00C668A1"/>
    <w:rsid w:val="00C66DEC"/>
    <w:rsid w:val="00C66EBB"/>
    <w:rsid w:val="00C67223"/>
    <w:rsid w:val="00C707B8"/>
    <w:rsid w:val="00C712AC"/>
    <w:rsid w:val="00C71C15"/>
    <w:rsid w:val="00C71F3D"/>
    <w:rsid w:val="00C72F53"/>
    <w:rsid w:val="00C7313D"/>
    <w:rsid w:val="00C74035"/>
    <w:rsid w:val="00C748EA"/>
    <w:rsid w:val="00C77818"/>
    <w:rsid w:val="00C8063F"/>
    <w:rsid w:val="00C81282"/>
    <w:rsid w:val="00C827B4"/>
    <w:rsid w:val="00C83214"/>
    <w:rsid w:val="00C8329F"/>
    <w:rsid w:val="00C845FE"/>
    <w:rsid w:val="00C84F8A"/>
    <w:rsid w:val="00C85603"/>
    <w:rsid w:val="00C85BA4"/>
    <w:rsid w:val="00C8618F"/>
    <w:rsid w:val="00C8625D"/>
    <w:rsid w:val="00C8753A"/>
    <w:rsid w:val="00C90372"/>
    <w:rsid w:val="00C9041F"/>
    <w:rsid w:val="00C9166B"/>
    <w:rsid w:val="00C91A45"/>
    <w:rsid w:val="00C91FB4"/>
    <w:rsid w:val="00C92150"/>
    <w:rsid w:val="00C92328"/>
    <w:rsid w:val="00C92D42"/>
    <w:rsid w:val="00C938C2"/>
    <w:rsid w:val="00C93F8A"/>
    <w:rsid w:val="00C94EA1"/>
    <w:rsid w:val="00C9511B"/>
    <w:rsid w:val="00C95745"/>
    <w:rsid w:val="00C95902"/>
    <w:rsid w:val="00C962E3"/>
    <w:rsid w:val="00C978E2"/>
    <w:rsid w:val="00C97997"/>
    <w:rsid w:val="00CA10A2"/>
    <w:rsid w:val="00CA1D83"/>
    <w:rsid w:val="00CA25C0"/>
    <w:rsid w:val="00CA2D35"/>
    <w:rsid w:val="00CA3451"/>
    <w:rsid w:val="00CA35C6"/>
    <w:rsid w:val="00CA4948"/>
    <w:rsid w:val="00CA52F9"/>
    <w:rsid w:val="00CA5368"/>
    <w:rsid w:val="00CA568B"/>
    <w:rsid w:val="00CA573A"/>
    <w:rsid w:val="00CA5C58"/>
    <w:rsid w:val="00CB0901"/>
    <w:rsid w:val="00CB19D7"/>
    <w:rsid w:val="00CB19FE"/>
    <w:rsid w:val="00CB1C3F"/>
    <w:rsid w:val="00CB21F6"/>
    <w:rsid w:val="00CB2364"/>
    <w:rsid w:val="00CB304C"/>
    <w:rsid w:val="00CB3933"/>
    <w:rsid w:val="00CB53E8"/>
    <w:rsid w:val="00CB594A"/>
    <w:rsid w:val="00CB5CB2"/>
    <w:rsid w:val="00CB6979"/>
    <w:rsid w:val="00CB6E7D"/>
    <w:rsid w:val="00CB7DDE"/>
    <w:rsid w:val="00CB7F6D"/>
    <w:rsid w:val="00CC0A3D"/>
    <w:rsid w:val="00CC0E22"/>
    <w:rsid w:val="00CC1585"/>
    <w:rsid w:val="00CC3C53"/>
    <w:rsid w:val="00CC3D24"/>
    <w:rsid w:val="00CC3F91"/>
    <w:rsid w:val="00CC493F"/>
    <w:rsid w:val="00CC4ACD"/>
    <w:rsid w:val="00CC4B0A"/>
    <w:rsid w:val="00CC544A"/>
    <w:rsid w:val="00CC57EA"/>
    <w:rsid w:val="00CC5954"/>
    <w:rsid w:val="00CC629B"/>
    <w:rsid w:val="00CC6C4E"/>
    <w:rsid w:val="00CD009D"/>
    <w:rsid w:val="00CD05A2"/>
    <w:rsid w:val="00CD29D4"/>
    <w:rsid w:val="00CD2B5C"/>
    <w:rsid w:val="00CD2FF3"/>
    <w:rsid w:val="00CD3323"/>
    <w:rsid w:val="00CD38F5"/>
    <w:rsid w:val="00CD437E"/>
    <w:rsid w:val="00CD44A0"/>
    <w:rsid w:val="00CD5DAD"/>
    <w:rsid w:val="00CD653C"/>
    <w:rsid w:val="00CD72C5"/>
    <w:rsid w:val="00CD79A7"/>
    <w:rsid w:val="00CE0789"/>
    <w:rsid w:val="00CE0E8D"/>
    <w:rsid w:val="00CE1A03"/>
    <w:rsid w:val="00CE2346"/>
    <w:rsid w:val="00CE25B2"/>
    <w:rsid w:val="00CE3529"/>
    <w:rsid w:val="00CE35C8"/>
    <w:rsid w:val="00CE3962"/>
    <w:rsid w:val="00CE4D1A"/>
    <w:rsid w:val="00CE4E8A"/>
    <w:rsid w:val="00CE5105"/>
    <w:rsid w:val="00CE56BD"/>
    <w:rsid w:val="00CE5EC0"/>
    <w:rsid w:val="00CE6005"/>
    <w:rsid w:val="00CE63FE"/>
    <w:rsid w:val="00CE6F9F"/>
    <w:rsid w:val="00CE781A"/>
    <w:rsid w:val="00CE7B08"/>
    <w:rsid w:val="00CE7D52"/>
    <w:rsid w:val="00CF1D74"/>
    <w:rsid w:val="00CF2646"/>
    <w:rsid w:val="00CF2BE2"/>
    <w:rsid w:val="00CF3DEB"/>
    <w:rsid w:val="00CF55F9"/>
    <w:rsid w:val="00CF7074"/>
    <w:rsid w:val="00CF7495"/>
    <w:rsid w:val="00D0033D"/>
    <w:rsid w:val="00D01CF9"/>
    <w:rsid w:val="00D0334D"/>
    <w:rsid w:val="00D0374D"/>
    <w:rsid w:val="00D03A2D"/>
    <w:rsid w:val="00D06D7B"/>
    <w:rsid w:val="00D06DA5"/>
    <w:rsid w:val="00D07191"/>
    <w:rsid w:val="00D07F1D"/>
    <w:rsid w:val="00D10558"/>
    <w:rsid w:val="00D106EB"/>
    <w:rsid w:val="00D114EB"/>
    <w:rsid w:val="00D11529"/>
    <w:rsid w:val="00D11D4D"/>
    <w:rsid w:val="00D126DC"/>
    <w:rsid w:val="00D129E1"/>
    <w:rsid w:val="00D12B03"/>
    <w:rsid w:val="00D12EB9"/>
    <w:rsid w:val="00D13BE3"/>
    <w:rsid w:val="00D13CEB"/>
    <w:rsid w:val="00D13E70"/>
    <w:rsid w:val="00D15FCD"/>
    <w:rsid w:val="00D16C58"/>
    <w:rsid w:val="00D17019"/>
    <w:rsid w:val="00D176C7"/>
    <w:rsid w:val="00D17FC8"/>
    <w:rsid w:val="00D20B44"/>
    <w:rsid w:val="00D21168"/>
    <w:rsid w:val="00D2438C"/>
    <w:rsid w:val="00D2585A"/>
    <w:rsid w:val="00D259B0"/>
    <w:rsid w:val="00D26C3F"/>
    <w:rsid w:val="00D27185"/>
    <w:rsid w:val="00D30438"/>
    <w:rsid w:val="00D30EF8"/>
    <w:rsid w:val="00D32450"/>
    <w:rsid w:val="00D32518"/>
    <w:rsid w:val="00D33488"/>
    <w:rsid w:val="00D33AB3"/>
    <w:rsid w:val="00D33F24"/>
    <w:rsid w:val="00D34160"/>
    <w:rsid w:val="00D34521"/>
    <w:rsid w:val="00D346B8"/>
    <w:rsid w:val="00D34DCA"/>
    <w:rsid w:val="00D35AC8"/>
    <w:rsid w:val="00D36F87"/>
    <w:rsid w:val="00D37E4E"/>
    <w:rsid w:val="00D40DEF"/>
    <w:rsid w:val="00D417D8"/>
    <w:rsid w:val="00D41F78"/>
    <w:rsid w:val="00D42CD0"/>
    <w:rsid w:val="00D42E6C"/>
    <w:rsid w:val="00D4351C"/>
    <w:rsid w:val="00D43B80"/>
    <w:rsid w:val="00D44988"/>
    <w:rsid w:val="00D45B4C"/>
    <w:rsid w:val="00D45BA4"/>
    <w:rsid w:val="00D465D0"/>
    <w:rsid w:val="00D471AF"/>
    <w:rsid w:val="00D4724F"/>
    <w:rsid w:val="00D50519"/>
    <w:rsid w:val="00D5063D"/>
    <w:rsid w:val="00D51601"/>
    <w:rsid w:val="00D51ECB"/>
    <w:rsid w:val="00D522B9"/>
    <w:rsid w:val="00D5264C"/>
    <w:rsid w:val="00D52BBC"/>
    <w:rsid w:val="00D537FE"/>
    <w:rsid w:val="00D53CC9"/>
    <w:rsid w:val="00D54A6A"/>
    <w:rsid w:val="00D54B8F"/>
    <w:rsid w:val="00D55951"/>
    <w:rsid w:val="00D559F0"/>
    <w:rsid w:val="00D56E0D"/>
    <w:rsid w:val="00D57EB6"/>
    <w:rsid w:val="00D608C0"/>
    <w:rsid w:val="00D60D6D"/>
    <w:rsid w:val="00D6128C"/>
    <w:rsid w:val="00D62975"/>
    <w:rsid w:val="00D66CE1"/>
    <w:rsid w:val="00D66D8B"/>
    <w:rsid w:val="00D704E8"/>
    <w:rsid w:val="00D70849"/>
    <w:rsid w:val="00D72297"/>
    <w:rsid w:val="00D72A1C"/>
    <w:rsid w:val="00D72F92"/>
    <w:rsid w:val="00D7308F"/>
    <w:rsid w:val="00D7313E"/>
    <w:rsid w:val="00D73580"/>
    <w:rsid w:val="00D73802"/>
    <w:rsid w:val="00D73C2C"/>
    <w:rsid w:val="00D73D52"/>
    <w:rsid w:val="00D745E7"/>
    <w:rsid w:val="00D75552"/>
    <w:rsid w:val="00D75B5A"/>
    <w:rsid w:val="00D75E91"/>
    <w:rsid w:val="00D774ED"/>
    <w:rsid w:val="00D777C3"/>
    <w:rsid w:val="00D7797C"/>
    <w:rsid w:val="00D77C44"/>
    <w:rsid w:val="00D77F88"/>
    <w:rsid w:val="00D81AFA"/>
    <w:rsid w:val="00D81EAA"/>
    <w:rsid w:val="00D81FE2"/>
    <w:rsid w:val="00D8259F"/>
    <w:rsid w:val="00D825F2"/>
    <w:rsid w:val="00D8285C"/>
    <w:rsid w:val="00D828B1"/>
    <w:rsid w:val="00D82A55"/>
    <w:rsid w:val="00D83D49"/>
    <w:rsid w:val="00D84181"/>
    <w:rsid w:val="00D846AD"/>
    <w:rsid w:val="00D84754"/>
    <w:rsid w:val="00D84F27"/>
    <w:rsid w:val="00D853F0"/>
    <w:rsid w:val="00D85862"/>
    <w:rsid w:val="00D86782"/>
    <w:rsid w:val="00D86D47"/>
    <w:rsid w:val="00D8710C"/>
    <w:rsid w:val="00D873C6"/>
    <w:rsid w:val="00D9074A"/>
    <w:rsid w:val="00D9099E"/>
    <w:rsid w:val="00D9193A"/>
    <w:rsid w:val="00D923B2"/>
    <w:rsid w:val="00D92463"/>
    <w:rsid w:val="00D93E64"/>
    <w:rsid w:val="00D93F64"/>
    <w:rsid w:val="00D94CA4"/>
    <w:rsid w:val="00D95E99"/>
    <w:rsid w:val="00D965D5"/>
    <w:rsid w:val="00D97DA2"/>
    <w:rsid w:val="00DA18EE"/>
    <w:rsid w:val="00DA1A3A"/>
    <w:rsid w:val="00DA2351"/>
    <w:rsid w:val="00DA249E"/>
    <w:rsid w:val="00DA2D3D"/>
    <w:rsid w:val="00DA4C30"/>
    <w:rsid w:val="00DB145E"/>
    <w:rsid w:val="00DB1A94"/>
    <w:rsid w:val="00DB1D52"/>
    <w:rsid w:val="00DB1E2B"/>
    <w:rsid w:val="00DB1F62"/>
    <w:rsid w:val="00DB21E7"/>
    <w:rsid w:val="00DB2E03"/>
    <w:rsid w:val="00DB3742"/>
    <w:rsid w:val="00DB3E9B"/>
    <w:rsid w:val="00DB3F4B"/>
    <w:rsid w:val="00DB5375"/>
    <w:rsid w:val="00DB67C1"/>
    <w:rsid w:val="00DB6C0B"/>
    <w:rsid w:val="00DB70F4"/>
    <w:rsid w:val="00DB748A"/>
    <w:rsid w:val="00DB7978"/>
    <w:rsid w:val="00DC0A79"/>
    <w:rsid w:val="00DC1056"/>
    <w:rsid w:val="00DC1442"/>
    <w:rsid w:val="00DC21D8"/>
    <w:rsid w:val="00DC282A"/>
    <w:rsid w:val="00DC34DC"/>
    <w:rsid w:val="00DC3780"/>
    <w:rsid w:val="00DC3ADA"/>
    <w:rsid w:val="00DC3CC6"/>
    <w:rsid w:val="00DC3F55"/>
    <w:rsid w:val="00DC45BF"/>
    <w:rsid w:val="00DC4782"/>
    <w:rsid w:val="00DC514A"/>
    <w:rsid w:val="00DC67B1"/>
    <w:rsid w:val="00DC7FBC"/>
    <w:rsid w:val="00DD0019"/>
    <w:rsid w:val="00DD132B"/>
    <w:rsid w:val="00DD1725"/>
    <w:rsid w:val="00DD2159"/>
    <w:rsid w:val="00DD218B"/>
    <w:rsid w:val="00DD2A18"/>
    <w:rsid w:val="00DD3044"/>
    <w:rsid w:val="00DD32B0"/>
    <w:rsid w:val="00DD3985"/>
    <w:rsid w:val="00DD61E8"/>
    <w:rsid w:val="00DD62C0"/>
    <w:rsid w:val="00DD64DE"/>
    <w:rsid w:val="00DD76A3"/>
    <w:rsid w:val="00DD7859"/>
    <w:rsid w:val="00DD7B41"/>
    <w:rsid w:val="00DE0784"/>
    <w:rsid w:val="00DE085A"/>
    <w:rsid w:val="00DE0A1D"/>
    <w:rsid w:val="00DE15B2"/>
    <w:rsid w:val="00DE1A9A"/>
    <w:rsid w:val="00DE3D2C"/>
    <w:rsid w:val="00DE5E82"/>
    <w:rsid w:val="00DE5F9B"/>
    <w:rsid w:val="00DE5FA6"/>
    <w:rsid w:val="00DE660A"/>
    <w:rsid w:val="00DE6792"/>
    <w:rsid w:val="00DE6AA1"/>
    <w:rsid w:val="00DE7AAB"/>
    <w:rsid w:val="00DE7EF7"/>
    <w:rsid w:val="00DF015B"/>
    <w:rsid w:val="00DF02EC"/>
    <w:rsid w:val="00DF10FC"/>
    <w:rsid w:val="00DF1185"/>
    <w:rsid w:val="00DF1299"/>
    <w:rsid w:val="00DF1A70"/>
    <w:rsid w:val="00DF1E5F"/>
    <w:rsid w:val="00DF23A8"/>
    <w:rsid w:val="00DF2F27"/>
    <w:rsid w:val="00DF36B6"/>
    <w:rsid w:val="00DF4296"/>
    <w:rsid w:val="00DF53F0"/>
    <w:rsid w:val="00DF5F38"/>
    <w:rsid w:val="00DF637F"/>
    <w:rsid w:val="00DF6608"/>
    <w:rsid w:val="00DF6CCC"/>
    <w:rsid w:val="00DF6D0C"/>
    <w:rsid w:val="00DF6F64"/>
    <w:rsid w:val="00DF721E"/>
    <w:rsid w:val="00DF7B8A"/>
    <w:rsid w:val="00DF7C87"/>
    <w:rsid w:val="00E009B0"/>
    <w:rsid w:val="00E00A12"/>
    <w:rsid w:val="00E00C49"/>
    <w:rsid w:val="00E00E9A"/>
    <w:rsid w:val="00E01C9C"/>
    <w:rsid w:val="00E0219D"/>
    <w:rsid w:val="00E04C0F"/>
    <w:rsid w:val="00E0570B"/>
    <w:rsid w:val="00E10913"/>
    <w:rsid w:val="00E10B87"/>
    <w:rsid w:val="00E121CE"/>
    <w:rsid w:val="00E1478B"/>
    <w:rsid w:val="00E148B0"/>
    <w:rsid w:val="00E14FAC"/>
    <w:rsid w:val="00E15007"/>
    <w:rsid w:val="00E16277"/>
    <w:rsid w:val="00E16BDE"/>
    <w:rsid w:val="00E16EC7"/>
    <w:rsid w:val="00E219CE"/>
    <w:rsid w:val="00E24071"/>
    <w:rsid w:val="00E24EBC"/>
    <w:rsid w:val="00E2522C"/>
    <w:rsid w:val="00E2552F"/>
    <w:rsid w:val="00E2599B"/>
    <w:rsid w:val="00E2710C"/>
    <w:rsid w:val="00E27428"/>
    <w:rsid w:val="00E305B4"/>
    <w:rsid w:val="00E31AFA"/>
    <w:rsid w:val="00E31CB7"/>
    <w:rsid w:val="00E324EE"/>
    <w:rsid w:val="00E34DB1"/>
    <w:rsid w:val="00E35931"/>
    <w:rsid w:val="00E359FF"/>
    <w:rsid w:val="00E402C5"/>
    <w:rsid w:val="00E402F4"/>
    <w:rsid w:val="00E405F1"/>
    <w:rsid w:val="00E417DB"/>
    <w:rsid w:val="00E43054"/>
    <w:rsid w:val="00E43655"/>
    <w:rsid w:val="00E44440"/>
    <w:rsid w:val="00E46013"/>
    <w:rsid w:val="00E47099"/>
    <w:rsid w:val="00E47284"/>
    <w:rsid w:val="00E4730A"/>
    <w:rsid w:val="00E477C3"/>
    <w:rsid w:val="00E51E16"/>
    <w:rsid w:val="00E530D0"/>
    <w:rsid w:val="00E53730"/>
    <w:rsid w:val="00E5438D"/>
    <w:rsid w:val="00E54511"/>
    <w:rsid w:val="00E54ADC"/>
    <w:rsid w:val="00E54E50"/>
    <w:rsid w:val="00E55288"/>
    <w:rsid w:val="00E55332"/>
    <w:rsid w:val="00E57577"/>
    <w:rsid w:val="00E609E2"/>
    <w:rsid w:val="00E62043"/>
    <w:rsid w:val="00E626B9"/>
    <w:rsid w:val="00E627C9"/>
    <w:rsid w:val="00E630F3"/>
    <w:rsid w:val="00E6332F"/>
    <w:rsid w:val="00E637C9"/>
    <w:rsid w:val="00E63954"/>
    <w:rsid w:val="00E6402D"/>
    <w:rsid w:val="00E644AA"/>
    <w:rsid w:val="00E658BE"/>
    <w:rsid w:val="00E6680A"/>
    <w:rsid w:val="00E66F0D"/>
    <w:rsid w:val="00E70615"/>
    <w:rsid w:val="00E70AC4"/>
    <w:rsid w:val="00E7161E"/>
    <w:rsid w:val="00E7207B"/>
    <w:rsid w:val="00E7347A"/>
    <w:rsid w:val="00E75A47"/>
    <w:rsid w:val="00E75BB6"/>
    <w:rsid w:val="00E75D8C"/>
    <w:rsid w:val="00E777F2"/>
    <w:rsid w:val="00E802C9"/>
    <w:rsid w:val="00E80BFB"/>
    <w:rsid w:val="00E80E67"/>
    <w:rsid w:val="00E80F0A"/>
    <w:rsid w:val="00E815D4"/>
    <w:rsid w:val="00E8291B"/>
    <w:rsid w:val="00E82E70"/>
    <w:rsid w:val="00E82F92"/>
    <w:rsid w:val="00E8395F"/>
    <w:rsid w:val="00E8410F"/>
    <w:rsid w:val="00E849D7"/>
    <w:rsid w:val="00E85E41"/>
    <w:rsid w:val="00E85EA1"/>
    <w:rsid w:val="00E86703"/>
    <w:rsid w:val="00E90FE1"/>
    <w:rsid w:val="00E91044"/>
    <w:rsid w:val="00E910D3"/>
    <w:rsid w:val="00E92154"/>
    <w:rsid w:val="00E923CF"/>
    <w:rsid w:val="00E934B0"/>
    <w:rsid w:val="00E9352B"/>
    <w:rsid w:val="00E93685"/>
    <w:rsid w:val="00E93B65"/>
    <w:rsid w:val="00E93C8C"/>
    <w:rsid w:val="00E95111"/>
    <w:rsid w:val="00E95E1F"/>
    <w:rsid w:val="00E95FDF"/>
    <w:rsid w:val="00EA14C8"/>
    <w:rsid w:val="00EA2110"/>
    <w:rsid w:val="00EA283A"/>
    <w:rsid w:val="00EA2C90"/>
    <w:rsid w:val="00EA2E07"/>
    <w:rsid w:val="00EA383B"/>
    <w:rsid w:val="00EA48F3"/>
    <w:rsid w:val="00EA4CCB"/>
    <w:rsid w:val="00EA511B"/>
    <w:rsid w:val="00EA60BF"/>
    <w:rsid w:val="00EA6F6A"/>
    <w:rsid w:val="00EA7365"/>
    <w:rsid w:val="00EA763F"/>
    <w:rsid w:val="00EA77E9"/>
    <w:rsid w:val="00EB05D0"/>
    <w:rsid w:val="00EB1151"/>
    <w:rsid w:val="00EB1D49"/>
    <w:rsid w:val="00EB234C"/>
    <w:rsid w:val="00EB23D9"/>
    <w:rsid w:val="00EB39A0"/>
    <w:rsid w:val="00EB4507"/>
    <w:rsid w:val="00EB559F"/>
    <w:rsid w:val="00EB566C"/>
    <w:rsid w:val="00EB5F3D"/>
    <w:rsid w:val="00EB6D01"/>
    <w:rsid w:val="00EC0F4E"/>
    <w:rsid w:val="00EC1CEB"/>
    <w:rsid w:val="00EC1DC0"/>
    <w:rsid w:val="00EC1DC2"/>
    <w:rsid w:val="00EC21EC"/>
    <w:rsid w:val="00EC24B8"/>
    <w:rsid w:val="00EC268C"/>
    <w:rsid w:val="00EC3753"/>
    <w:rsid w:val="00EC4E71"/>
    <w:rsid w:val="00EC506B"/>
    <w:rsid w:val="00EC5F1C"/>
    <w:rsid w:val="00EC6599"/>
    <w:rsid w:val="00ED0365"/>
    <w:rsid w:val="00ED0865"/>
    <w:rsid w:val="00ED1C60"/>
    <w:rsid w:val="00ED2084"/>
    <w:rsid w:val="00ED2EB9"/>
    <w:rsid w:val="00ED3722"/>
    <w:rsid w:val="00ED3A31"/>
    <w:rsid w:val="00ED4469"/>
    <w:rsid w:val="00ED5424"/>
    <w:rsid w:val="00ED5F23"/>
    <w:rsid w:val="00ED6DC0"/>
    <w:rsid w:val="00ED7A7A"/>
    <w:rsid w:val="00EE0327"/>
    <w:rsid w:val="00EE038C"/>
    <w:rsid w:val="00EE2243"/>
    <w:rsid w:val="00EE28C5"/>
    <w:rsid w:val="00EE2F09"/>
    <w:rsid w:val="00EE2F13"/>
    <w:rsid w:val="00EE3654"/>
    <w:rsid w:val="00EE46C0"/>
    <w:rsid w:val="00EE47C5"/>
    <w:rsid w:val="00EE490C"/>
    <w:rsid w:val="00EE4E57"/>
    <w:rsid w:val="00EE5664"/>
    <w:rsid w:val="00EE5738"/>
    <w:rsid w:val="00EE58BD"/>
    <w:rsid w:val="00EE5E59"/>
    <w:rsid w:val="00EE6549"/>
    <w:rsid w:val="00EE73D0"/>
    <w:rsid w:val="00EE7CB0"/>
    <w:rsid w:val="00EF04A4"/>
    <w:rsid w:val="00EF08A8"/>
    <w:rsid w:val="00EF167B"/>
    <w:rsid w:val="00EF41A8"/>
    <w:rsid w:val="00EF44FB"/>
    <w:rsid w:val="00EF4895"/>
    <w:rsid w:val="00EF5122"/>
    <w:rsid w:val="00EF5554"/>
    <w:rsid w:val="00EF5AD8"/>
    <w:rsid w:val="00EF6B90"/>
    <w:rsid w:val="00EF7807"/>
    <w:rsid w:val="00EF79F7"/>
    <w:rsid w:val="00F006C0"/>
    <w:rsid w:val="00F0125F"/>
    <w:rsid w:val="00F019AA"/>
    <w:rsid w:val="00F0267E"/>
    <w:rsid w:val="00F02686"/>
    <w:rsid w:val="00F028B7"/>
    <w:rsid w:val="00F030C0"/>
    <w:rsid w:val="00F03291"/>
    <w:rsid w:val="00F042B9"/>
    <w:rsid w:val="00F0459B"/>
    <w:rsid w:val="00F04E15"/>
    <w:rsid w:val="00F05DF3"/>
    <w:rsid w:val="00F069EA"/>
    <w:rsid w:val="00F070E5"/>
    <w:rsid w:val="00F07DDE"/>
    <w:rsid w:val="00F11675"/>
    <w:rsid w:val="00F12557"/>
    <w:rsid w:val="00F13599"/>
    <w:rsid w:val="00F13B28"/>
    <w:rsid w:val="00F13DB6"/>
    <w:rsid w:val="00F14E01"/>
    <w:rsid w:val="00F156A0"/>
    <w:rsid w:val="00F15730"/>
    <w:rsid w:val="00F164B0"/>
    <w:rsid w:val="00F16C77"/>
    <w:rsid w:val="00F176A6"/>
    <w:rsid w:val="00F202C2"/>
    <w:rsid w:val="00F212F6"/>
    <w:rsid w:val="00F2237A"/>
    <w:rsid w:val="00F22756"/>
    <w:rsid w:val="00F23248"/>
    <w:rsid w:val="00F23890"/>
    <w:rsid w:val="00F2504D"/>
    <w:rsid w:val="00F2637F"/>
    <w:rsid w:val="00F268F7"/>
    <w:rsid w:val="00F30B83"/>
    <w:rsid w:val="00F30BDB"/>
    <w:rsid w:val="00F30CF8"/>
    <w:rsid w:val="00F31708"/>
    <w:rsid w:val="00F31EDF"/>
    <w:rsid w:val="00F32CDE"/>
    <w:rsid w:val="00F32D4C"/>
    <w:rsid w:val="00F3327E"/>
    <w:rsid w:val="00F338C3"/>
    <w:rsid w:val="00F34B14"/>
    <w:rsid w:val="00F34F58"/>
    <w:rsid w:val="00F35634"/>
    <w:rsid w:val="00F35960"/>
    <w:rsid w:val="00F35D17"/>
    <w:rsid w:val="00F35DA7"/>
    <w:rsid w:val="00F36A6A"/>
    <w:rsid w:val="00F40101"/>
    <w:rsid w:val="00F402FB"/>
    <w:rsid w:val="00F404F7"/>
    <w:rsid w:val="00F40CCA"/>
    <w:rsid w:val="00F41069"/>
    <w:rsid w:val="00F42C11"/>
    <w:rsid w:val="00F42D97"/>
    <w:rsid w:val="00F436B2"/>
    <w:rsid w:val="00F43813"/>
    <w:rsid w:val="00F43DB7"/>
    <w:rsid w:val="00F43FEE"/>
    <w:rsid w:val="00F45A72"/>
    <w:rsid w:val="00F46723"/>
    <w:rsid w:val="00F4706D"/>
    <w:rsid w:val="00F476E1"/>
    <w:rsid w:val="00F47D1D"/>
    <w:rsid w:val="00F47F29"/>
    <w:rsid w:val="00F50016"/>
    <w:rsid w:val="00F5118A"/>
    <w:rsid w:val="00F51A21"/>
    <w:rsid w:val="00F52614"/>
    <w:rsid w:val="00F5276E"/>
    <w:rsid w:val="00F52E9F"/>
    <w:rsid w:val="00F53304"/>
    <w:rsid w:val="00F539EA"/>
    <w:rsid w:val="00F53B81"/>
    <w:rsid w:val="00F540FE"/>
    <w:rsid w:val="00F54EF6"/>
    <w:rsid w:val="00F556FF"/>
    <w:rsid w:val="00F55D12"/>
    <w:rsid w:val="00F5687F"/>
    <w:rsid w:val="00F56D3F"/>
    <w:rsid w:val="00F575C7"/>
    <w:rsid w:val="00F57FD0"/>
    <w:rsid w:val="00F60305"/>
    <w:rsid w:val="00F61B12"/>
    <w:rsid w:val="00F63264"/>
    <w:rsid w:val="00F634E4"/>
    <w:rsid w:val="00F6379E"/>
    <w:rsid w:val="00F64047"/>
    <w:rsid w:val="00F65171"/>
    <w:rsid w:val="00F6560D"/>
    <w:rsid w:val="00F67844"/>
    <w:rsid w:val="00F70799"/>
    <w:rsid w:val="00F70A8B"/>
    <w:rsid w:val="00F70B8D"/>
    <w:rsid w:val="00F71936"/>
    <w:rsid w:val="00F724FB"/>
    <w:rsid w:val="00F726B8"/>
    <w:rsid w:val="00F72A26"/>
    <w:rsid w:val="00F733C3"/>
    <w:rsid w:val="00F746A1"/>
    <w:rsid w:val="00F74820"/>
    <w:rsid w:val="00F756DD"/>
    <w:rsid w:val="00F77F4E"/>
    <w:rsid w:val="00F80047"/>
    <w:rsid w:val="00F800C7"/>
    <w:rsid w:val="00F8104D"/>
    <w:rsid w:val="00F81158"/>
    <w:rsid w:val="00F81587"/>
    <w:rsid w:val="00F8288F"/>
    <w:rsid w:val="00F84033"/>
    <w:rsid w:val="00F84802"/>
    <w:rsid w:val="00F85B72"/>
    <w:rsid w:val="00F86540"/>
    <w:rsid w:val="00F865CE"/>
    <w:rsid w:val="00F8766F"/>
    <w:rsid w:val="00F91082"/>
    <w:rsid w:val="00F9116D"/>
    <w:rsid w:val="00F91A9A"/>
    <w:rsid w:val="00F91C67"/>
    <w:rsid w:val="00F9203B"/>
    <w:rsid w:val="00F93251"/>
    <w:rsid w:val="00F93ABB"/>
    <w:rsid w:val="00F94D79"/>
    <w:rsid w:val="00F9658C"/>
    <w:rsid w:val="00F97A7F"/>
    <w:rsid w:val="00FA07F4"/>
    <w:rsid w:val="00FA0889"/>
    <w:rsid w:val="00FA16E7"/>
    <w:rsid w:val="00FA31C7"/>
    <w:rsid w:val="00FA472D"/>
    <w:rsid w:val="00FB0CBF"/>
    <w:rsid w:val="00FB18F6"/>
    <w:rsid w:val="00FB23E5"/>
    <w:rsid w:val="00FB2A52"/>
    <w:rsid w:val="00FB3F92"/>
    <w:rsid w:val="00FB52C7"/>
    <w:rsid w:val="00FB57DC"/>
    <w:rsid w:val="00FB6E19"/>
    <w:rsid w:val="00FB71F6"/>
    <w:rsid w:val="00FC0AF8"/>
    <w:rsid w:val="00FC1483"/>
    <w:rsid w:val="00FC1C47"/>
    <w:rsid w:val="00FC3102"/>
    <w:rsid w:val="00FC39ED"/>
    <w:rsid w:val="00FC4419"/>
    <w:rsid w:val="00FC47E2"/>
    <w:rsid w:val="00FC4AA5"/>
    <w:rsid w:val="00FC4B88"/>
    <w:rsid w:val="00FC4BB8"/>
    <w:rsid w:val="00FC5148"/>
    <w:rsid w:val="00FC5A91"/>
    <w:rsid w:val="00FC6524"/>
    <w:rsid w:val="00FC75AC"/>
    <w:rsid w:val="00FD01BF"/>
    <w:rsid w:val="00FD022A"/>
    <w:rsid w:val="00FD0525"/>
    <w:rsid w:val="00FD0AB7"/>
    <w:rsid w:val="00FD297D"/>
    <w:rsid w:val="00FD2D13"/>
    <w:rsid w:val="00FD374D"/>
    <w:rsid w:val="00FD4D6A"/>
    <w:rsid w:val="00FD6071"/>
    <w:rsid w:val="00FD633B"/>
    <w:rsid w:val="00FE0794"/>
    <w:rsid w:val="00FE1041"/>
    <w:rsid w:val="00FE24CB"/>
    <w:rsid w:val="00FE323F"/>
    <w:rsid w:val="00FE3473"/>
    <w:rsid w:val="00FE4049"/>
    <w:rsid w:val="00FE4794"/>
    <w:rsid w:val="00FE480F"/>
    <w:rsid w:val="00FE4998"/>
    <w:rsid w:val="00FE57DE"/>
    <w:rsid w:val="00FE7A68"/>
    <w:rsid w:val="00FF0231"/>
    <w:rsid w:val="00FF0AE8"/>
    <w:rsid w:val="00FF1C9B"/>
    <w:rsid w:val="00FF1D49"/>
    <w:rsid w:val="00FF203B"/>
    <w:rsid w:val="00FF2562"/>
    <w:rsid w:val="00FF3A41"/>
    <w:rsid w:val="00FF3B2D"/>
    <w:rsid w:val="00FF3E5B"/>
    <w:rsid w:val="00FF56BA"/>
    <w:rsid w:val="00FF57E4"/>
    <w:rsid w:val="00FF72B5"/>
    <w:rsid w:val="00FF78E5"/>
    <w:rsid w:val="01172A03"/>
    <w:rsid w:val="01227D26"/>
    <w:rsid w:val="012D2227"/>
    <w:rsid w:val="01320784"/>
    <w:rsid w:val="014632E9"/>
    <w:rsid w:val="016C0FA1"/>
    <w:rsid w:val="01787946"/>
    <w:rsid w:val="01934780"/>
    <w:rsid w:val="01A544B3"/>
    <w:rsid w:val="01A8782A"/>
    <w:rsid w:val="01AF3D99"/>
    <w:rsid w:val="01CC7C92"/>
    <w:rsid w:val="01E21A57"/>
    <w:rsid w:val="01EC5C3E"/>
    <w:rsid w:val="01F36FCC"/>
    <w:rsid w:val="01F82835"/>
    <w:rsid w:val="01F9274C"/>
    <w:rsid w:val="020617E0"/>
    <w:rsid w:val="021138F7"/>
    <w:rsid w:val="021A6C4F"/>
    <w:rsid w:val="02306473"/>
    <w:rsid w:val="02447348"/>
    <w:rsid w:val="024E68F9"/>
    <w:rsid w:val="02511F9D"/>
    <w:rsid w:val="02A51D43"/>
    <w:rsid w:val="02B41DD9"/>
    <w:rsid w:val="02BE582C"/>
    <w:rsid w:val="02F738CD"/>
    <w:rsid w:val="02F96864"/>
    <w:rsid w:val="03015719"/>
    <w:rsid w:val="03195159"/>
    <w:rsid w:val="032A08BF"/>
    <w:rsid w:val="03305FFE"/>
    <w:rsid w:val="034D1D78"/>
    <w:rsid w:val="0376765D"/>
    <w:rsid w:val="03782989"/>
    <w:rsid w:val="03895316"/>
    <w:rsid w:val="038B1C37"/>
    <w:rsid w:val="03A10CAA"/>
    <w:rsid w:val="03A314B8"/>
    <w:rsid w:val="03B10EED"/>
    <w:rsid w:val="03C350C4"/>
    <w:rsid w:val="03D82B98"/>
    <w:rsid w:val="03DF2478"/>
    <w:rsid w:val="03E868D9"/>
    <w:rsid w:val="03F83E8B"/>
    <w:rsid w:val="04133956"/>
    <w:rsid w:val="04212517"/>
    <w:rsid w:val="042E253E"/>
    <w:rsid w:val="04415D9F"/>
    <w:rsid w:val="04455AD9"/>
    <w:rsid w:val="04477AA3"/>
    <w:rsid w:val="04561A95"/>
    <w:rsid w:val="045D72C7"/>
    <w:rsid w:val="04697A1A"/>
    <w:rsid w:val="0475016D"/>
    <w:rsid w:val="047F2D99"/>
    <w:rsid w:val="04E11CA6"/>
    <w:rsid w:val="04F27A0F"/>
    <w:rsid w:val="04F33787"/>
    <w:rsid w:val="04FA68C4"/>
    <w:rsid w:val="05055566"/>
    <w:rsid w:val="050F6813"/>
    <w:rsid w:val="05123FCC"/>
    <w:rsid w:val="0523406D"/>
    <w:rsid w:val="053718C6"/>
    <w:rsid w:val="053F0AAA"/>
    <w:rsid w:val="05475DF1"/>
    <w:rsid w:val="05485881"/>
    <w:rsid w:val="0548762F"/>
    <w:rsid w:val="056401E1"/>
    <w:rsid w:val="056B1570"/>
    <w:rsid w:val="056F1060"/>
    <w:rsid w:val="057271A5"/>
    <w:rsid w:val="058916A3"/>
    <w:rsid w:val="05972365"/>
    <w:rsid w:val="05A30D0A"/>
    <w:rsid w:val="05A87452"/>
    <w:rsid w:val="05BE78F1"/>
    <w:rsid w:val="05C313AC"/>
    <w:rsid w:val="05C56868"/>
    <w:rsid w:val="05C72C4A"/>
    <w:rsid w:val="05CC64B2"/>
    <w:rsid w:val="05CD222A"/>
    <w:rsid w:val="05D435B9"/>
    <w:rsid w:val="05D71325"/>
    <w:rsid w:val="05F41565"/>
    <w:rsid w:val="06022AF2"/>
    <w:rsid w:val="06030C17"/>
    <w:rsid w:val="06344057"/>
    <w:rsid w:val="06526B6D"/>
    <w:rsid w:val="067F3525"/>
    <w:rsid w:val="068E6852"/>
    <w:rsid w:val="069A65B0"/>
    <w:rsid w:val="069B7C96"/>
    <w:rsid w:val="06AA6352"/>
    <w:rsid w:val="06C673A5"/>
    <w:rsid w:val="06D373CC"/>
    <w:rsid w:val="06DD024B"/>
    <w:rsid w:val="06E94E42"/>
    <w:rsid w:val="06FE34E8"/>
    <w:rsid w:val="06FF6413"/>
    <w:rsid w:val="07222102"/>
    <w:rsid w:val="07293490"/>
    <w:rsid w:val="07342161"/>
    <w:rsid w:val="0737795B"/>
    <w:rsid w:val="07391925"/>
    <w:rsid w:val="074402CA"/>
    <w:rsid w:val="074F578B"/>
    <w:rsid w:val="076369A2"/>
    <w:rsid w:val="0765096C"/>
    <w:rsid w:val="07697032"/>
    <w:rsid w:val="076D7821"/>
    <w:rsid w:val="07B72767"/>
    <w:rsid w:val="07B92A66"/>
    <w:rsid w:val="07CD7F0F"/>
    <w:rsid w:val="07F86735"/>
    <w:rsid w:val="08077E72"/>
    <w:rsid w:val="08181E9B"/>
    <w:rsid w:val="081E0B1B"/>
    <w:rsid w:val="082537F9"/>
    <w:rsid w:val="082C148A"/>
    <w:rsid w:val="083A27B3"/>
    <w:rsid w:val="083A448F"/>
    <w:rsid w:val="084762C4"/>
    <w:rsid w:val="084F0D25"/>
    <w:rsid w:val="087D7F38"/>
    <w:rsid w:val="087E2252"/>
    <w:rsid w:val="08882DD0"/>
    <w:rsid w:val="08BA6A96"/>
    <w:rsid w:val="08CC4A1B"/>
    <w:rsid w:val="08D221DF"/>
    <w:rsid w:val="08E41D65"/>
    <w:rsid w:val="08F31FA8"/>
    <w:rsid w:val="09075A53"/>
    <w:rsid w:val="090B5DDC"/>
    <w:rsid w:val="091B06DA"/>
    <w:rsid w:val="091C32AD"/>
    <w:rsid w:val="09300B06"/>
    <w:rsid w:val="096133B5"/>
    <w:rsid w:val="09616F12"/>
    <w:rsid w:val="096419CE"/>
    <w:rsid w:val="09722ECD"/>
    <w:rsid w:val="097F55EA"/>
    <w:rsid w:val="09811362"/>
    <w:rsid w:val="09867E3B"/>
    <w:rsid w:val="09975029"/>
    <w:rsid w:val="099D39BD"/>
    <w:rsid w:val="09AA4D5C"/>
    <w:rsid w:val="09B96265"/>
    <w:rsid w:val="09BB0D18"/>
    <w:rsid w:val="09CC2AAC"/>
    <w:rsid w:val="09D23055"/>
    <w:rsid w:val="09D26E76"/>
    <w:rsid w:val="0A026946"/>
    <w:rsid w:val="0A0F4BBF"/>
    <w:rsid w:val="0A206DCD"/>
    <w:rsid w:val="0A652D3E"/>
    <w:rsid w:val="0A726EFC"/>
    <w:rsid w:val="0A740EC6"/>
    <w:rsid w:val="0A894972"/>
    <w:rsid w:val="0A8C0317"/>
    <w:rsid w:val="0A917CCA"/>
    <w:rsid w:val="0A94050E"/>
    <w:rsid w:val="0AB21F41"/>
    <w:rsid w:val="0AD4176A"/>
    <w:rsid w:val="0ADD7C07"/>
    <w:rsid w:val="0AE465EC"/>
    <w:rsid w:val="0AE918B4"/>
    <w:rsid w:val="0AFC15E8"/>
    <w:rsid w:val="0AFD710E"/>
    <w:rsid w:val="0B054889"/>
    <w:rsid w:val="0B0B182B"/>
    <w:rsid w:val="0B3115BB"/>
    <w:rsid w:val="0B326F2A"/>
    <w:rsid w:val="0B3F7726"/>
    <w:rsid w:val="0B41524D"/>
    <w:rsid w:val="0B460AB5"/>
    <w:rsid w:val="0B462863"/>
    <w:rsid w:val="0B470389"/>
    <w:rsid w:val="0B6D6042"/>
    <w:rsid w:val="0B6E3B68"/>
    <w:rsid w:val="0B6E5916"/>
    <w:rsid w:val="0B7C7A64"/>
    <w:rsid w:val="0B8373EF"/>
    <w:rsid w:val="0B93537C"/>
    <w:rsid w:val="0B9A670B"/>
    <w:rsid w:val="0B9C06D5"/>
    <w:rsid w:val="0BBC2B25"/>
    <w:rsid w:val="0BD04822"/>
    <w:rsid w:val="0BD1074A"/>
    <w:rsid w:val="0BD6088D"/>
    <w:rsid w:val="0BEB1CB2"/>
    <w:rsid w:val="0BEC2BDA"/>
    <w:rsid w:val="0BF40511"/>
    <w:rsid w:val="0C0B7609"/>
    <w:rsid w:val="0C1E2888"/>
    <w:rsid w:val="0C230DF6"/>
    <w:rsid w:val="0C403756"/>
    <w:rsid w:val="0C405504"/>
    <w:rsid w:val="0C416B0C"/>
    <w:rsid w:val="0C434FF4"/>
    <w:rsid w:val="0C460641"/>
    <w:rsid w:val="0C474AE5"/>
    <w:rsid w:val="0C92213C"/>
    <w:rsid w:val="0C923886"/>
    <w:rsid w:val="0C965124"/>
    <w:rsid w:val="0CA05B8A"/>
    <w:rsid w:val="0CA37841"/>
    <w:rsid w:val="0CAE1672"/>
    <w:rsid w:val="0CB10355"/>
    <w:rsid w:val="0CB24EC7"/>
    <w:rsid w:val="0CC52908"/>
    <w:rsid w:val="0CC71781"/>
    <w:rsid w:val="0CCE1629"/>
    <w:rsid w:val="0CDB6FDB"/>
    <w:rsid w:val="0D0F4ED6"/>
    <w:rsid w:val="0D110C4F"/>
    <w:rsid w:val="0D15073F"/>
    <w:rsid w:val="0D156991"/>
    <w:rsid w:val="0D181FDD"/>
    <w:rsid w:val="0D200115"/>
    <w:rsid w:val="0D222E5C"/>
    <w:rsid w:val="0D2B7F62"/>
    <w:rsid w:val="0D3F57BC"/>
    <w:rsid w:val="0D6D6016"/>
    <w:rsid w:val="0D705975"/>
    <w:rsid w:val="0D75742F"/>
    <w:rsid w:val="0D772CA5"/>
    <w:rsid w:val="0D7C07BE"/>
    <w:rsid w:val="0D837D9E"/>
    <w:rsid w:val="0D84032B"/>
    <w:rsid w:val="0D8458C4"/>
    <w:rsid w:val="0D9F625A"/>
    <w:rsid w:val="0DA375B0"/>
    <w:rsid w:val="0DC43F13"/>
    <w:rsid w:val="0DED6FC6"/>
    <w:rsid w:val="0DEF3128"/>
    <w:rsid w:val="0DEF71E2"/>
    <w:rsid w:val="0DF16980"/>
    <w:rsid w:val="0DF76096"/>
    <w:rsid w:val="0DF91E0E"/>
    <w:rsid w:val="0E176739"/>
    <w:rsid w:val="0E261A1B"/>
    <w:rsid w:val="0E5E1C72"/>
    <w:rsid w:val="0E9E4764"/>
    <w:rsid w:val="0EA16002"/>
    <w:rsid w:val="0EBA3EC5"/>
    <w:rsid w:val="0EC17841"/>
    <w:rsid w:val="0ECA7307"/>
    <w:rsid w:val="0EF11457"/>
    <w:rsid w:val="0F000F7B"/>
    <w:rsid w:val="0F0942D3"/>
    <w:rsid w:val="0F0C746F"/>
    <w:rsid w:val="0F1A64E0"/>
    <w:rsid w:val="0F256C33"/>
    <w:rsid w:val="0F2A74C4"/>
    <w:rsid w:val="0F3330FE"/>
    <w:rsid w:val="0F334EAC"/>
    <w:rsid w:val="0F3F1AA3"/>
    <w:rsid w:val="0F447297"/>
    <w:rsid w:val="0F5A4B2F"/>
    <w:rsid w:val="0F5A68DD"/>
    <w:rsid w:val="0F5B5315"/>
    <w:rsid w:val="0F621C35"/>
    <w:rsid w:val="0F84395A"/>
    <w:rsid w:val="0F864741"/>
    <w:rsid w:val="0FA94931"/>
    <w:rsid w:val="0FAE09D7"/>
    <w:rsid w:val="0FC14BAE"/>
    <w:rsid w:val="0FD348ED"/>
    <w:rsid w:val="0FF26B15"/>
    <w:rsid w:val="0FFD54BA"/>
    <w:rsid w:val="100969B2"/>
    <w:rsid w:val="100F3B6B"/>
    <w:rsid w:val="1033098C"/>
    <w:rsid w:val="10354C54"/>
    <w:rsid w:val="10401F77"/>
    <w:rsid w:val="10523A58"/>
    <w:rsid w:val="1057106E"/>
    <w:rsid w:val="107240FA"/>
    <w:rsid w:val="10861954"/>
    <w:rsid w:val="109B245A"/>
    <w:rsid w:val="10A148E1"/>
    <w:rsid w:val="10A27F31"/>
    <w:rsid w:val="10B61D0E"/>
    <w:rsid w:val="10C2298C"/>
    <w:rsid w:val="10D27B32"/>
    <w:rsid w:val="10E50428"/>
    <w:rsid w:val="10EA5A3E"/>
    <w:rsid w:val="110F36F7"/>
    <w:rsid w:val="112B1986"/>
    <w:rsid w:val="1131366D"/>
    <w:rsid w:val="116B0543"/>
    <w:rsid w:val="116E48C1"/>
    <w:rsid w:val="117479FE"/>
    <w:rsid w:val="118061DD"/>
    <w:rsid w:val="11922EE2"/>
    <w:rsid w:val="11927058"/>
    <w:rsid w:val="119836EC"/>
    <w:rsid w:val="11AB1672"/>
    <w:rsid w:val="11B02492"/>
    <w:rsid w:val="11B20C52"/>
    <w:rsid w:val="11D34725"/>
    <w:rsid w:val="11D471CF"/>
    <w:rsid w:val="11DA1F57"/>
    <w:rsid w:val="11E15093"/>
    <w:rsid w:val="11F0700F"/>
    <w:rsid w:val="120174E4"/>
    <w:rsid w:val="12053D30"/>
    <w:rsid w:val="120668A8"/>
    <w:rsid w:val="121C60CC"/>
    <w:rsid w:val="12227E74"/>
    <w:rsid w:val="1223388A"/>
    <w:rsid w:val="12463148"/>
    <w:rsid w:val="124675EC"/>
    <w:rsid w:val="1257731A"/>
    <w:rsid w:val="125D5C3D"/>
    <w:rsid w:val="126D2DCB"/>
    <w:rsid w:val="12744159"/>
    <w:rsid w:val="127777A6"/>
    <w:rsid w:val="12837EF9"/>
    <w:rsid w:val="12863E8D"/>
    <w:rsid w:val="12883761"/>
    <w:rsid w:val="1288550F"/>
    <w:rsid w:val="12AA49A2"/>
    <w:rsid w:val="12C32F26"/>
    <w:rsid w:val="12C624DB"/>
    <w:rsid w:val="12D22C2E"/>
    <w:rsid w:val="12D85778"/>
    <w:rsid w:val="12E0534B"/>
    <w:rsid w:val="12E110C3"/>
    <w:rsid w:val="13010D7D"/>
    <w:rsid w:val="13053004"/>
    <w:rsid w:val="130A36C0"/>
    <w:rsid w:val="130C25E4"/>
    <w:rsid w:val="13223BB5"/>
    <w:rsid w:val="13255454"/>
    <w:rsid w:val="132D60B6"/>
    <w:rsid w:val="1340403C"/>
    <w:rsid w:val="135C37D3"/>
    <w:rsid w:val="13897791"/>
    <w:rsid w:val="138A52B7"/>
    <w:rsid w:val="13A04ADA"/>
    <w:rsid w:val="13A46379"/>
    <w:rsid w:val="13AC16D1"/>
    <w:rsid w:val="13AF4F03"/>
    <w:rsid w:val="13C54541"/>
    <w:rsid w:val="13CB7DA9"/>
    <w:rsid w:val="13D529D6"/>
    <w:rsid w:val="13D57C19"/>
    <w:rsid w:val="13E96481"/>
    <w:rsid w:val="13F13588"/>
    <w:rsid w:val="13FA068E"/>
    <w:rsid w:val="13FB7F63"/>
    <w:rsid w:val="13FC61B5"/>
    <w:rsid w:val="140C2170"/>
    <w:rsid w:val="140E413A"/>
    <w:rsid w:val="1417554F"/>
    <w:rsid w:val="141A2ADF"/>
    <w:rsid w:val="144813FA"/>
    <w:rsid w:val="145A227E"/>
    <w:rsid w:val="14706BA3"/>
    <w:rsid w:val="14736E66"/>
    <w:rsid w:val="147F458F"/>
    <w:rsid w:val="14832432"/>
    <w:rsid w:val="14B545B5"/>
    <w:rsid w:val="14B95A53"/>
    <w:rsid w:val="14BC0E10"/>
    <w:rsid w:val="14CD482F"/>
    <w:rsid w:val="14D7452C"/>
    <w:rsid w:val="14D958EC"/>
    <w:rsid w:val="14F275B8"/>
    <w:rsid w:val="14F74BCE"/>
    <w:rsid w:val="15003A82"/>
    <w:rsid w:val="15023C9F"/>
    <w:rsid w:val="15227E9D"/>
    <w:rsid w:val="152D239E"/>
    <w:rsid w:val="1534169A"/>
    <w:rsid w:val="15437E13"/>
    <w:rsid w:val="15512530"/>
    <w:rsid w:val="15520056"/>
    <w:rsid w:val="156C1118"/>
    <w:rsid w:val="1580506D"/>
    <w:rsid w:val="15842905"/>
    <w:rsid w:val="15892AE3"/>
    <w:rsid w:val="15915022"/>
    <w:rsid w:val="159643E7"/>
    <w:rsid w:val="15AC08FC"/>
    <w:rsid w:val="15AF7257"/>
    <w:rsid w:val="15BE749A"/>
    <w:rsid w:val="15C03E03"/>
    <w:rsid w:val="15CF16A7"/>
    <w:rsid w:val="15D32D5F"/>
    <w:rsid w:val="15F555B1"/>
    <w:rsid w:val="15FD6214"/>
    <w:rsid w:val="1602382A"/>
    <w:rsid w:val="16027CCE"/>
    <w:rsid w:val="161F43DC"/>
    <w:rsid w:val="162A25EB"/>
    <w:rsid w:val="164400B1"/>
    <w:rsid w:val="164B33F4"/>
    <w:rsid w:val="16573B76"/>
    <w:rsid w:val="167C538B"/>
    <w:rsid w:val="16866209"/>
    <w:rsid w:val="168801D3"/>
    <w:rsid w:val="16990A88"/>
    <w:rsid w:val="16BE59A3"/>
    <w:rsid w:val="16C94348"/>
    <w:rsid w:val="16D54D03"/>
    <w:rsid w:val="16D57191"/>
    <w:rsid w:val="16FD2A55"/>
    <w:rsid w:val="1705751F"/>
    <w:rsid w:val="17067C1A"/>
    <w:rsid w:val="170B19CF"/>
    <w:rsid w:val="17162C2F"/>
    <w:rsid w:val="172979D8"/>
    <w:rsid w:val="17365E81"/>
    <w:rsid w:val="17366761"/>
    <w:rsid w:val="174A5489"/>
    <w:rsid w:val="176C53FF"/>
    <w:rsid w:val="17760616"/>
    <w:rsid w:val="17780248"/>
    <w:rsid w:val="177C01F0"/>
    <w:rsid w:val="1791130A"/>
    <w:rsid w:val="179766B3"/>
    <w:rsid w:val="17B31280"/>
    <w:rsid w:val="17C70888"/>
    <w:rsid w:val="17C90AA4"/>
    <w:rsid w:val="17CE6630"/>
    <w:rsid w:val="17EA0A1A"/>
    <w:rsid w:val="180970F2"/>
    <w:rsid w:val="18300B23"/>
    <w:rsid w:val="1834087D"/>
    <w:rsid w:val="1840063A"/>
    <w:rsid w:val="185540E5"/>
    <w:rsid w:val="186C17CA"/>
    <w:rsid w:val="18803812"/>
    <w:rsid w:val="1881312C"/>
    <w:rsid w:val="1885001A"/>
    <w:rsid w:val="18A230A3"/>
    <w:rsid w:val="18B84674"/>
    <w:rsid w:val="18D444B8"/>
    <w:rsid w:val="18E831AB"/>
    <w:rsid w:val="18ED07C2"/>
    <w:rsid w:val="18F63219"/>
    <w:rsid w:val="1901426D"/>
    <w:rsid w:val="190478B9"/>
    <w:rsid w:val="1904793D"/>
    <w:rsid w:val="19094ED0"/>
    <w:rsid w:val="191065C7"/>
    <w:rsid w:val="191C2E55"/>
    <w:rsid w:val="197113F3"/>
    <w:rsid w:val="197C1B46"/>
    <w:rsid w:val="197D7D98"/>
    <w:rsid w:val="199944A6"/>
    <w:rsid w:val="19C07C84"/>
    <w:rsid w:val="19C257AA"/>
    <w:rsid w:val="19C72DC1"/>
    <w:rsid w:val="19CD49E1"/>
    <w:rsid w:val="19E5593D"/>
    <w:rsid w:val="1A023DF9"/>
    <w:rsid w:val="1A073B05"/>
    <w:rsid w:val="1A1F2BFD"/>
    <w:rsid w:val="1A241497"/>
    <w:rsid w:val="1A332204"/>
    <w:rsid w:val="1A381F10"/>
    <w:rsid w:val="1A401FFC"/>
    <w:rsid w:val="1A4428B3"/>
    <w:rsid w:val="1A530AF8"/>
    <w:rsid w:val="1A54013D"/>
    <w:rsid w:val="1A5F0EA6"/>
    <w:rsid w:val="1A66082C"/>
    <w:rsid w:val="1A69031C"/>
    <w:rsid w:val="1A8C4B73"/>
    <w:rsid w:val="1AA13BF7"/>
    <w:rsid w:val="1ACD08AB"/>
    <w:rsid w:val="1ADA2FC8"/>
    <w:rsid w:val="1AFF0AFE"/>
    <w:rsid w:val="1B035D36"/>
    <w:rsid w:val="1B0B4F2F"/>
    <w:rsid w:val="1B154000"/>
    <w:rsid w:val="1B2304CB"/>
    <w:rsid w:val="1B4F19F8"/>
    <w:rsid w:val="1B522B5E"/>
    <w:rsid w:val="1B593CC6"/>
    <w:rsid w:val="1B724FAE"/>
    <w:rsid w:val="1B855497"/>
    <w:rsid w:val="1B974A15"/>
    <w:rsid w:val="1B9F38CF"/>
    <w:rsid w:val="1BC670A8"/>
    <w:rsid w:val="1BDE43F2"/>
    <w:rsid w:val="1BFC2ACA"/>
    <w:rsid w:val="1C18411F"/>
    <w:rsid w:val="1C226F03"/>
    <w:rsid w:val="1C314E69"/>
    <w:rsid w:val="1C4E77C9"/>
    <w:rsid w:val="1C536B8E"/>
    <w:rsid w:val="1C632B49"/>
    <w:rsid w:val="1C67088B"/>
    <w:rsid w:val="1C840017"/>
    <w:rsid w:val="1C933A8A"/>
    <w:rsid w:val="1C9C6787"/>
    <w:rsid w:val="1CA57245"/>
    <w:rsid w:val="1CBF7A13"/>
    <w:rsid w:val="1CC7757C"/>
    <w:rsid w:val="1CDF6A28"/>
    <w:rsid w:val="1CF3211F"/>
    <w:rsid w:val="1CF814E3"/>
    <w:rsid w:val="1D0B7468"/>
    <w:rsid w:val="1D1F1166"/>
    <w:rsid w:val="1D2828ED"/>
    <w:rsid w:val="1D2D73DF"/>
    <w:rsid w:val="1D344C11"/>
    <w:rsid w:val="1D4110DC"/>
    <w:rsid w:val="1D4209B0"/>
    <w:rsid w:val="1D5F77B4"/>
    <w:rsid w:val="1D644DCB"/>
    <w:rsid w:val="1D703E21"/>
    <w:rsid w:val="1D734930"/>
    <w:rsid w:val="1D7E79F5"/>
    <w:rsid w:val="1D8B67FB"/>
    <w:rsid w:val="1DC85359"/>
    <w:rsid w:val="1DCA10D2"/>
    <w:rsid w:val="1DD261D8"/>
    <w:rsid w:val="1DD43CFE"/>
    <w:rsid w:val="1DDB508D"/>
    <w:rsid w:val="1DFB2EC7"/>
    <w:rsid w:val="1E0068A1"/>
    <w:rsid w:val="1E220F0E"/>
    <w:rsid w:val="1E426EBA"/>
    <w:rsid w:val="1E576CB6"/>
    <w:rsid w:val="1E5D1F46"/>
    <w:rsid w:val="1E5D3CF4"/>
    <w:rsid w:val="1E5E181A"/>
    <w:rsid w:val="1E6C55D3"/>
    <w:rsid w:val="1E786D7F"/>
    <w:rsid w:val="1E965458"/>
    <w:rsid w:val="1EB12B65"/>
    <w:rsid w:val="1EBE5AFE"/>
    <w:rsid w:val="1ECC44FA"/>
    <w:rsid w:val="1ED80E47"/>
    <w:rsid w:val="1F063325"/>
    <w:rsid w:val="1F09049D"/>
    <w:rsid w:val="1F1A1BE5"/>
    <w:rsid w:val="1F2667DB"/>
    <w:rsid w:val="1F316F2E"/>
    <w:rsid w:val="1F354C71"/>
    <w:rsid w:val="1F4713AC"/>
    <w:rsid w:val="1F4B48B0"/>
    <w:rsid w:val="1F615A66"/>
    <w:rsid w:val="1F686DF4"/>
    <w:rsid w:val="1F6D7F66"/>
    <w:rsid w:val="1F707A57"/>
    <w:rsid w:val="1F8F74CF"/>
    <w:rsid w:val="1FAD0CAB"/>
    <w:rsid w:val="1FB5190D"/>
    <w:rsid w:val="1FBC5DF5"/>
    <w:rsid w:val="1FBF1EFD"/>
    <w:rsid w:val="1FEA5A5B"/>
    <w:rsid w:val="1FF90588"/>
    <w:rsid w:val="20016901"/>
    <w:rsid w:val="20083858"/>
    <w:rsid w:val="200C3C23"/>
    <w:rsid w:val="201D2D1F"/>
    <w:rsid w:val="2020147D"/>
    <w:rsid w:val="202D4459"/>
    <w:rsid w:val="203F5C04"/>
    <w:rsid w:val="20713A86"/>
    <w:rsid w:val="20740CEB"/>
    <w:rsid w:val="207B66B3"/>
    <w:rsid w:val="20970C07"/>
    <w:rsid w:val="20A661B2"/>
    <w:rsid w:val="20B3409F"/>
    <w:rsid w:val="20C31E08"/>
    <w:rsid w:val="20C3623F"/>
    <w:rsid w:val="20D65FDF"/>
    <w:rsid w:val="20DB35F6"/>
    <w:rsid w:val="20DD2ECA"/>
    <w:rsid w:val="20E314F5"/>
    <w:rsid w:val="20EA6193"/>
    <w:rsid w:val="20FA3A7C"/>
    <w:rsid w:val="20FC3C98"/>
    <w:rsid w:val="211A2370"/>
    <w:rsid w:val="21274A8D"/>
    <w:rsid w:val="2130749E"/>
    <w:rsid w:val="215D7649"/>
    <w:rsid w:val="21691C4B"/>
    <w:rsid w:val="21781212"/>
    <w:rsid w:val="2188552B"/>
    <w:rsid w:val="218B501C"/>
    <w:rsid w:val="219A700D"/>
    <w:rsid w:val="21A20310"/>
    <w:rsid w:val="21B83F86"/>
    <w:rsid w:val="21BE2CFB"/>
    <w:rsid w:val="21E87D78"/>
    <w:rsid w:val="221178A8"/>
    <w:rsid w:val="221213CF"/>
    <w:rsid w:val="22160D89"/>
    <w:rsid w:val="22327A92"/>
    <w:rsid w:val="22350AE4"/>
    <w:rsid w:val="223728B2"/>
    <w:rsid w:val="223E208E"/>
    <w:rsid w:val="22574EFE"/>
    <w:rsid w:val="22600256"/>
    <w:rsid w:val="2265761B"/>
    <w:rsid w:val="2279335C"/>
    <w:rsid w:val="227E3026"/>
    <w:rsid w:val="228E694F"/>
    <w:rsid w:val="229900B1"/>
    <w:rsid w:val="229F33DA"/>
    <w:rsid w:val="22AF0896"/>
    <w:rsid w:val="22B1149B"/>
    <w:rsid w:val="22C34341"/>
    <w:rsid w:val="230063DC"/>
    <w:rsid w:val="2302130E"/>
    <w:rsid w:val="23052BAC"/>
    <w:rsid w:val="231D53A2"/>
    <w:rsid w:val="231F6004"/>
    <w:rsid w:val="23294AEC"/>
    <w:rsid w:val="23306766"/>
    <w:rsid w:val="233A2855"/>
    <w:rsid w:val="234207E5"/>
    <w:rsid w:val="23496F3C"/>
    <w:rsid w:val="234B4A63"/>
    <w:rsid w:val="23546710"/>
    <w:rsid w:val="23603619"/>
    <w:rsid w:val="2366364A"/>
    <w:rsid w:val="236D5383"/>
    <w:rsid w:val="2370007A"/>
    <w:rsid w:val="23AB0F1B"/>
    <w:rsid w:val="23B7504C"/>
    <w:rsid w:val="23DC4258"/>
    <w:rsid w:val="23DE58D7"/>
    <w:rsid w:val="23EB3467"/>
    <w:rsid w:val="23FA1FE5"/>
    <w:rsid w:val="24002495"/>
    <w:rsid w:val="240D7F6A"/>
    <w:rsid w:val="240F5831"/>
    <w:rsid w:val="24134E54"/>
    <w:rsid w:val="241C01AD"/>
    <w:rsid w:val="243E62C9"/>
    <w:rsid w:val="24571307"/>
    <w:rsid w:val="245F1650"/>
    <w:rsid w:val="24701892"/>
    <w:rsid w:val="24861ACA"/>
    <w:rsid w:val="248D4730"/>
    <w:rsid w:val="24AB32DF"/>
    <w:rsid w:val="24C50845"/>
    <w:rsid w:val="24D82326"/>
    <w:rsid w:val="24E10292"/>
    <w:rsid w:val="250E3F9A"/>
    <w:rsid w:val="25110A2A"/>
    <w:rsid w:val="252217F3"/>
    <w:rsid w:val="2527505B"/>
    <w:rsid w:val="256C0944"/>
    <w:rsid w:val="258E6E89"/>
    <w:rsid w:val="25A22934"/>
    <w:rsid w:val="25BD776E"/>
    <w:rsid w:val="25D26CDC"/>
    <w:rsid w:val="25DD4E4D"/>
    <w:rsid w:val="261C26E6"/>
    <w:rsid w:val="262805A9"/>
    <w:rsid w:val="26345C82"/>
    <w:rsid w:val="264439EB"/>
    <w:rsid w:val="26446DE3"/>
    <w:rsid w:val="26527EB6"/>
    <w:rsid w:val="265C0D35"/>
    <w:rsid w:val="267A33BB"/>
    <w:rsid w:val="269669E7"/>
    <w:rsid w:val="26C96D36"/>
    <w:rsid w:val="26D7699F"/>
    <w:rsid w:val="26ED5E31"/>
    <w:rsid w:val="270F17A0"/>
    <w:rsid w:val="271D1DBA"/>
    <w:rsid w:val="272E0923"/>
    <w:rsid w:val="273D2914"/>
    <w:rsid w:val="27473793"/>
    <w:rsid w:val="275859A0"/>
    <w:rsid w:val="275E288B"/>
    <w:rsid w:val="27711845"/>
    <w:rsid w:val="279152B4"/>
    <w:rsid w:val="27934C2A"/>
    <w:rsid w:val="27962024"/>
    <w:rsid w:val="27982240"/>
    <w:rsid w:val="279A1B15"/>
    <w:rsid w:val="27B8623F"/>
    <w:rsid w:val="27C272BD"/>
    <w:rsid w:val="27C76682"/>
    <w:rsid w:val="27D63767"/>
    <w:rsid w:val="27D84FB5"/>
    <w:rsid w:val="280A3758"/>
    <w:rsid w:val="280B47C0"/>
    <w:rsid w:val="28105ECB"/>
    <w:rsid w:val="282835C4"/>
    <w:rsid w:val="282B1959"/>
    <w:rsid w:val="28577A06"/>
    <w:rsid w:val="286D07E3"/>
    <w:rsid w:val="28771E56"/>
    <w:rsid w:val="28856053"/>
    <w:rsid w:val="28926C90"/>
    <w:rsid w:val="289C7B0E"/>
    <w:rsid w:val="28AF15F0"/>
    <w:rsid w:val="28DF17A9"/>
    <w:rsid w:val="28FF047D"/>
    <w:rsid w:val="28FF3C9A"/>
    <w:rsid w:val="29042132"/>
    <w:rsid w:val="290C07F0"/>
    <w:rsid w:val="29192F0D"/>
    <w:rsid w:val="29357A0F"/>
    <w:rsid w:val="29422464"/>
    <w:rsid w:val="294423CE"/>
    <w:rsid w:val="29567CBD"/>
    <w:rsid w:val="295959FF"/>
    <w:rsid w:val="29663529"/>
    <w:rsid w:val="298011DE"/>
    <w:rsid w:val="2984158E"/>
    <w:rsid w:val="298C7B83"/>
    <w:rsid w:val="29A70519"/>
    <w:rsid w:val="29B64C00"/>
    <w:rsid w:val="29C242ED"/>
    <w:rsid w:val="29C25353"/>
    <w:rsid w:val="29CA4159"/>
    <w:rsid w:val="29D07A70"/>
    <w:rsid w:val="29D82DC8"/>
    <w:rsid w:val="2A102562"/>
    <w:rsid w:val="2A16751A"/>
    <w:rsid w:val="2A1D6A2D"/>
    <w:rsid w:val="2A241B69"/>
    <w:rsid w:val="2A524929"/>
    <w:rsid w:val="2A83591B"/>
    <w:rsid w:val="2A9A4101"/>
    <w:rsid w:val="2AA1140C"/>
    <w:rsid w:val="2AB47391"/>
    <w:rsid w:val="2AC375D4"/>
    <w:rsid w:val="2ADE440E"/>
    <w:rsid w:val="2AE31A25"/>
    <w:rsid w:val="2AE8528D"/>
    <w:rsid w:val="2B202F57"/>
    <w:rsid w:val="2B2362C5"/>
    <w:rsid w:val="2B2C517A"/>
    <w:rsid w:val="2B4101B8"/>
    <w:rsid w:val="2B457FE9"/>
    <w:rsid w:val="2B522706"/>
    <w:rsid w:val="2B593A95"/>
    <w:rsid w:val="2B774624"/>
    <w:rsid w:val="2B793FF1"/>
    <w:rsid w:val="2B977C2C"/>
    <w:rsid w:val="2BBC76AB"/>
    <w:rsid w:val="2BC2788C"/>
    <w:rsid w:val="2BDB26FC"/>
    <w:rsid w:val="2BF57C61"/>
    <w:rsid w:val="2BF65788"/>
    <w:rsid w:val="2BF65EA6"/>
    <w:rsid w:val="2BF81500"/>
    <w:rsid w:val="2C2A71DF"/>
    <w:rsid w:val="2C553777"/>
    <w:rsid w:val="2C610E53"/>
    <w:rsid w:val="2C6B7F24"/>
    <w:rsid w:val="2C7A72BE"/>
    <w:rsid w:val="2C9A7D75"/>
    <w:rsid w:val="2CA60F5C"/>
    <w:rsid w:val="2CA945A8"/>
    <w:rsid w:val="2CBA67B5"/>
    <w:rsid w:val="2CC17412"/>
    <w:rsid w:val="2CE451F3"/>
    <w:rsid w:val="2CED6B8B"/>
    <w:rsid w:val="2CF77A09"/>
    <w:rsid w:val="2D090EC1"/>
    <w:rsid w:val="2D406ACD"/>
    <w:rsid w:val="2D4F6EFD"/>
    <w:rsid w:val="2D7746A6"/>
    <w:rsid w:val="2D956219"/>
    <w:rsid w:val="2DA51213"/>
    <w:rsid w:val="2DAF2092"/>
    <w:rsid w:val="2DBA168B"/>
    <w:rsid w:val="2DBF6186"/>
    <w:rsid w:val="2DC85545"/>
    <w:rsid w:val="2DCE076A"/>
    <w:rsid w:val="2DDD6BFF"/>
    <w:rsid w:val="2E165C6D"/>
    <w:rsid w:val="2E183793"/>
    <w:rsid w:val="2E184E1D"/>
    <w:rsid w:val="2E20089A"/>
    <w:rsid w:val="2E3D58F0"/>
    <w:rsid w:val="2E3F51C4"/>
    <w:rsid w:val="2E514EF7"/>
    <w:rsid w:val="2E8157DC"/>
    <w:rsid w:val="2E8928E3"/>
    <w:rsid w:val="2E8C4181"/>
    <w:rsid w:val="2E980D78"/>
    <w:rsid w:val="2E9976CE"/>
    <w:rsid w:val="2ED139E0"/>
    <w:rsid w:val="2EE144CD"/>
    <w:rsid w:val="2F3E386C"/>
    <w:rsid w:val="2F401D3C"/>
    <w:rsid w:val="2F5B24E1"/>
    <w:rsid w:val="2F963509"/>
    <w:rsid w:val="2F974B8C"/>
    <w:rsid w:val="2FA7273E"/>
    <w:rsid w:val="2FA95C88"/>
    <w:rsid w:val="2FBC2844"/>
    <w:rsid w:val="2FBC58F8"/>
    <w:rsid w:val="2FBE480E"/>
    <w:rsid w:val="2FC516F9"/>
    <w:rsid w:val="2FC71915"/>
    <w:rsid w:val="2FD14541"/>
    <w:rsid w:val="2FE56189"/>
    <w:rsid w:val="2FFD0E93"/>
    <w:rsid w:val="30055F99"/>
    <w:rsid w:val="300852DE"/>
    <w:rsid w:val="300974C0"/>
    <w:rsid w:val="300A35B0"/>
    <w:rsid w:val="302A1EA4"/>
    <w:rsid w:val="302A3C52"/>
    <w:rsid w:val="3041370F"/>
    <w:rsid w:val="30476C56"/>
    <w:rsid w:val="30562C99"/>
    <w:rsid w:val="306C09DE"/>
    <w:rsid w:val="307B625B"/>
    <w:rsid w:val="30B57CC4"/>
    <w:rsid w:val="30BA6D84"/>
    <w:rsid w:val="30C0431E"/>
    <w:rsid w:val="30C47C02"/>
    <w:rsid w:val="30D81900"/>
    <w:rsid w:val="30DB6CFA"/>
    <w:rsid w:val="310444A3"/>
    <w:rsid w:val="31061FC9"/>
    <w:rsid w:val="31232B7B"/>
    <w:rsid w:val="312B50A3"/>
    <w:rsid w:val="314B0324"/>
    <w:rsid w:val="31505D6B"/>
    <w:rsid w:val="31890F05"/>
    <w:rsid w:val="318D4498"/>
    <w:rsid w:val="3195334D"/>
    <w:rsid w:val="31B41A25"/>
    <w:rsid w:val="31B47C77"/>
    <w:rsid w:val="31BD26AB"/>
    <w:rsid w:val="31D672E1"/>
    <w:rsid w:val="31D77103"/>
    <w:rsid w:val="321150C9"/>
    <w:rsid w:val="3216448E"/>
    <w:rsid w:val="32252923"/>
    <w:rsid w:val="3227669B"/>
    <w:rsid w:val="322F37A1"/>
    <w:rsid w:val="32382656"/>
    <w:rsid w:val="323B0398"/>
    <w:rsid w:val="32453A27"/>
    <w:rsid w:val="3263064A"/>
    <w:rsid w:val="326351F9"/>
    <w:rsid w:val="32711639"/>
    <w:rsid w:val="327A2C6E"/>
    <w:rsid w:val="328062C5"/>
    <w:rsid w:val="328B4E7C"/>
    <w:rsid w:val="32936470"/>
    <w:rsid w:val="329830F5"/>
    <w:rsid w:val="329D070B"/>
    <w:rsid w:val="32A25D21"/>
    <w:rsid w:val="32A43132"/>
    <w:rsid w:val="32AB107A"/>
    <w:rsid w:val="32AC0C06"/>
    <w:rsid w:val="32CF5820"/>
    <w:rsid w:val="32E26A66"/>
    <w:rsid w:val="330B1B18"/>
    <w:rsid w:val="330B38C7"/>
    <w:rsid w:val="331210F9"/>
    <w:rsid w:val="33150BE9"/>
    <w:rsid w:val="33184235"/>
    <w:rsid w:val="331F7372"/>
    <w:rsid w:val="332104E6"/>
    <w:rsid w:val="33344EF5"/>
    <w:rsid w:val="33723946"/>
    <w:rsid w:val="337335C5"/>
    <w:rsid w:val="33813B89"/>
    <w:rsid w:val="33AD2BD0"/>
    <w:rsid w:val="33B61EB0"/>
    <w:rsid w:val="33C46DBF"/>
    <w:rsid w:val="33DE0FDB"/>
    <w:rsid w:val="33EA5BD2"/>
    <w:rsid w:val="340C5B48"/>
    <w:rsid w:val="34126ED7"/>
    <w:rsid w:val="341354DD"/>
    <w:rsid w:val="34145801"/>
    <w:rsid w:val="341C299F"/>
    <w:rsid w:val="342310E4"/>
    <w:rsid w:val="34255A9B"/>
    <w:rsid w:val="342C709C"/>
    <w:rsid w:val="34663AA5"/>
    <w:rsid w:val="346E1088"/>
    <w:rsid w:val="34823063"/>
    <w:rsid w:val="34963664"/>
    <w:rsid w:val="34983880"/>
    <w:rsid w:val="34CA155F"/>
    <w:rsid w:val="34D10B40"/>
    <w:rsid w:val="34E268A9"/>
    <w:rsid w:val="35092088"/>
    <w:rsid w:val="350D79AB"/>
    <w:rsid w:val="351D1FD7"/>
    <w:rsid w:val="35335357"/>
    <w:rsid w:val="3537750C"/>
    <w:rsid w:val="3537798C"/>
    <w:rsid w:val="354457B6"/>
    <w:rsid w:val="35510676"/>
    <w:rsid w:val="357F234A"/>
    <w:rsid w:val="358A17B9"/>
    <w:rsid w:val="35944047"/>
    <w:rsid w:val="35B217E1"/>
    <w:rsid w:val="35C13FC9"/>
    <w:rsid w:val="35CF507F"/>
    <w:rsid w:val="35D703D8"/>
    <w:rsid w:val="35E30B2B"/>
    <w:rsid w:val="35FF414A"/>
    <w:rsid w:val="360F7B72"/>
    <w:rsid w:val="3619454C"/>
    <w:rsid w:val="36356EAC"/>
    <w:rsid w:val="363D46DF"/>
    <w:rsid w:val="364257B6"/>
    <w:rsid w:val="36745C27"/>
    <w:rsid w:val="36AA1648"/>
    <w:rsid w:val="36B83D65"/>
    <w:rsid w:val="36C4095C"/>
    <w:rsid w:val="36C546D4"/>
    <w:rsid w:val="36CE3589"/>
    <w:rsid w:val="36D5408F"/>
    <w:rsid w:val="36E52680"/>
    <w:rsid w:val="37083255"/>
    <w:rsid w:val="37386C54"/>
    <w:rsid w:val="37395AB2"/>
    <w:rsid w:val="373A29CC"/>
    <w:rsid w:val="373A6E70"/>
    <w:rsid w:val="373C4996"/>
    <w:rsid w:val="373D7BFA"/>
    <w:rsid w:val="3744782D"/>
    <w:rsid w:val="374A1C29"/>
    <w:rsid w:val="37737C8C"/>
    <w:rsid w:val="37797999"/>
    <w:rsid w:val="3793032E"/>
    <w:rsid w:val="379320DC"/>
    <w:rsid w:val="379C154A"/>
    <w:rsid w:val="379C5435"/>
    <w:rsid w:val="37B207B5"/>
    <w:rsid w:val="37B502A5"/>
    <w:rsid w:val="37C130EE"/>
    <w:rsid w:val="37C52BDE"/>
    <w:rsid w:val="37CD1A92"/>
    <w:rsid w:val="37EA5922"/>
    <w:rsid w:val="381E5C22"/>
    <w:rsid w:val="38276B93"/>
    <w:rsid w:val="382C4A0B"/>
    <w:rsid w:val="382D0783"/>
    <w:rsid w:val="383B2EA0"/>
    <w:rsid w:val="38443C47"/>
    <w:rsid w:val="38547ABE"/>
    <w:rsid w:val="386817BB"/>
    <w:rsid w:val="38912AC0"/>
    <w:rsid w:val="389B393F"/>
    <w:rsid w:val="389B7C14"/>
    <w:rsid w:val="38AC3431"/>
    <w:rsid w:val="38B93DC5"/>
    <w:rsid w:val="38CC7F9C"/>
    <w:rsid w:val="38D35375"/>
    <w:rsid w:val="38D56570"/>
    <w:rsid w:val="38F23D96"/>
    <w:rsid w:val="392B2E21"/>
    <w:rsid w:val="392C4597"/>
    <w:rsid w:val="392F2E16"/>
    <w:rsid w:val="39311BAD"/>
    <w:rsid w:val="393D2C48"/>
    <w:rsid w:val="39415F1A"/>
    <w:rsid w:val="395B4E7C"/>
    <w:rsid w:val="396C0E37"/>
    <w:rsid w:val="3981786B"/>
    <w:rsid w:val="39932516"/>
    <w:rsid w:val="39A35E40"/>
    <w:rsid w:val="39A86313"/>
    <w:rsid w:val="39B90520"/>
    <w:rsid w:val="39CB4426"/>
    <w:rsid w:val="39CB4D8C"/>
    <w:rsid w:val="39E00529"/>
    <w:rsid w:val="39E649DB"/>
    <w:rsid w:val="39F03816"/>
    <w:rsid w:val="3A086DB2"/>
    <w:rsid w:val="3A0B64A7"/>
    <w:rsid w:val="3A1E053A"/>
    <w:rsid w:val="3A211C22"/>
    <w:rsid w:val="3A267238"/>
    <w:rsid w:val="3A335ECF"/>
    <w:rsid w:val="3A574DDA"/>
    <w:rsid w:val="3A5E4C24"/>
    <w:rsid w:val="3A614714"/>
    <w:rsid w:val="3A6A35C8"/>
    <w:rsid w:val="3A6C5593"/>
    <w:rsid w:val="3A726921"/>
    <w:rsid w:val="3A7601BF"/>
    <w:rsid w:val="3A7E52C6"/>
    <w:rsid w:val="3A8716DF"/>
    <w:rsid w:val="3A873B57"/>
    <w:rsid w:val="3A9934A9"/>
    <w:rsid w:val="3A995C5C"/>
    <w:rsid w:val="3ABC194A"/>
    <w:rsid w:val="3AD3075A"/>
    <w:rsid w:val="3ADD023E"/>
    <w:rsid w:val="3AE07D2F"/>
    <w:rsid w:val="3AEA64B7"/>
    <w:rsid w:val="3AED1748"/>
    <w:rsid w:val="3AF74C02"/>
    <w:rsid w:val="3AFC0239"/>
    <w:rsid w:val="3B065169"/>
    <w:rsid w:val="3B077069"/>
    <w:rsid w:val="3B125684"/>
    <w:rsid w:val="3B1D4ADF"/>
    <w:rsid w:val="3B201ED9"/>
    <w:rsid w:val="3B455DE4"/>
    <w:rsid w:val="3B53405D"/>
    <w:rsid w:val="3B615BF5"/>
    <w:rsid w:val="3B783AC3"/>
    <w:rsid w:val="3BA7084C"/>
    <w:rsid w:val="3BAB3E99"/>
    <w:rsid w:val="3BCB38B6"/>
    <w:rsid w:val="3BD11D17"/>
    <w:rsid w:val="3BDF3B42"/>
    <w:rsid w:val="3BE92C13"/>
    <w:rsid w:val="3C0059A5"/>
    <w:rsid w:val="3C134E78"/>
    <w:rsid w:val="3C16141A"/>
    <w:rsid w:val="3C1A2DCC"/>
    <w:rsid w:val="3C2B6D87"/>
    <w:rsid w:val="3C313070"/>
    <w:rsid w:val="3C4165AB"/>
    <w:rsid w:val="3C4936B2"/>
    <w:rsid w:val="3C545963"/>
    <w:rsid w:val="3C666012"/>
    <w:rsid w:val="3C7249B6"/>
    <w:rsid w:val="3C7E4C35"/>
    <w:rsid w:val="3C8C0310"/>
    <w:rsid w:val="3C8C2BC5"/>
    <w:rsid w:val="3C9E1C4F"/>
    <w:rsid w:val="3CA37266"/>
    <w:rsid w:val="3CAE37CE"/>
    <w:rsid w:val="3CB72D11"/>
    <w:rsid w:val="3CBE5E4E"/>
    <w:rsid w:val="3CFC0724"/>
    <w:rsid w:val="3D0F3EBA"/>
    <w:rsid w:val="3D2860FD"/>
    <w:rsid w:val="3D3D6D72"/>
    <w:rsid w:val="3D4D2D2E"/>
    <w:rsid w:val="3D6E0A76"/>
    <w:rsid w:val="3D70248E"/>
    <w:rsid w:val="3D7B5AED"/>
    <w:rsid w:val="3D8E5820"/>
    <w:rsid w:val="3D9A6E6F"/>
    <w:rsid w:val="3DA45043"/>
    <w:rsid w:val="3DBB3FD3"/>
    <w:rsid w:val="3DC01751"/>
    <w:rsid w:val="3DC76F84"/>
    <w:rsid w:val="3DDA2813"/>
    <w:rsid w:val="3DE10046"/>
    <w:rsid w:val="3DEC7285"/>
    <w:rsid w:val="3DF31B27"/>
    <w:rsid w:val="3DF6345D"/>
    <w:rsid w:val="3E012496"/>
    <w:rsid w:val="3E0B0C1F"/>
    <w:rsid w:val="3E2B5515"/>
    <w:rsid w:val="3E3839DE"/>
    <w:rsid w:val="3E3D0FF4"/>
    <w:rsid w:val="3E4966C9"/>
    <w:rsid w:val="3E4D4F28"/>
    <w:rsid w:val="3E584271"/>
    <w:rsid w:val="3E721583"/>
    <w:rsid w:val="3E740EBA"/>
    <w:rsid w:val="3E86112E"/>
    <w:rsid w:val="3E86299B"/>
    <w:rsid w:val="3E9926CE"/>
    <w:rsid w:val="3E9F580B"/>
    <w:rsid w:val="3EA177D5"/>
    <w:rsid w:val="3EA64DEB"/>
    <w:rsid w:val="3EAB2402"/>
    <w:rsid w:val="3EAF1EF2"/>
    <w:rsid w:val="3EB26E2D"/>
    <w:rsid w:val="3ECC1C88"/>
    <w:rsid w:val="3EE13701"/>
    <w:rsid w:val="3EE15E23"/>
    <w:rsid w:val="3F0538C0"/>
    <w:rsid w:val="3F1A4BB3"/>
    <w:rsid w:val="3F5605BF"/>
    <w:rsid w:val="3F620D12"/>
    <w:rsid w:val="3F631A22"/>
    <w:rsid w:val="3F7939EC"/>
    <w:rsid w:val="3F7B6278"/>
    <w:rsid w:val="3F80563C"/>
    <w:rsid w:val="3F9D7F9C"/>
    <w:rsid w:val="3FB023F5"/>
    <w:rsid w:val="3FB90C6E"/>
    <w:rsid w:val="3FC92B3F"/>
    <w:rsid w:val="3FCF3ECE"/>
    <w:rsid w:val="401235AF"/>
    <w:rsid w:val="40192BA6"/>
    <w:rsid w:val="402334C8"/>
    <w:rsid w:val="40251D40"/>
    <w:rsid w:val="402E32EA"/>
    <w:rsid w:val="40352A13"/>
    <w:rsid w:val="404C3770"/>
    <w:rsid w:val="40526FD9"/>
    <w:rsid w:val="40583EC3"/>
    <w:rsid w:val="405A7C3B"/>
    <w:rsid w:val="40644F5E"/>
    <w:rsid w:val="406A0A5D"/>
    <w:rsid w:val="40764075"/>
    <w:rsid w:val="40786313"/>
    <w:rsid w:val="408244D3"/>
    <w:rsid w:val="40953369"/>
    <w:rsid w:val="40AB3370"/>
    <w:rsid w:val="40AE7F87"/>
    <w:rsid w:val="40B05AAD"/>
    <w:rsid w:val="40C33A32"/>
    <w:rsid w:val="40C652D1"/>
    <w:rsid w:val="40DC28F6"/>
    <w:rsid w:val="40FA31CC"/>
    <w:rsid w:val="41061B71"/>
    <w:rsid w:val="41160006"/>
    <w:rsid w:val="411A185C"/>
    <w:rsid w:val="412546ED"/>
    <w:rsid w:val="413722F8"/>
    <w:rsid w:val="413D6362"/>
    <w:rsid w:val="41526B64"/>
    <w:rsid w:val="41605725"/>
    <w:rsid w:val="41766EA9"/>
    <w:rsid w:val="4194717D"/>
    <w:rsid w:val="419929E5"/>
    <w:rsid w:val="41C21F3C"/>
    <w:rsid w:val="41DD55EC"/>
    <w:rsid w:val="41E73751"/>
    <w:rsid w:val="41F45E6E"/>
    <w:rsid w:val="421504C2"/>
    <w:rsid w:val="42213106"/>
    <w:rsid w:val="42240501"/>
    <w:rsid w:val="423170C2"/>
    <w:rsid w:val="423C1CEE"/>
    <w:rsid w:val="42430FD4"/>
    <w:rsid w:val="42550A18"/>
    <w:rsid w:val="42554B5E"/>
    <w:rsid w:val="42577281"/>
    <w:rsid w:val="425D1C65"/>
    <w:rsid w:val="42674DCF"/>
    <w:rsid w:val="42813BA5"/>
    <w:rsid w:val="428B0580"/>
    <w:rsid w:val="42982C9D"/>
    <w:rsid w:val="429D496A"/>
    <w:rsid w:val="42BC0C0E"/>
    <w:rsid w:val="42C95ABE"/>
    <w:rsid w:val="42DF267A"/>
    <w:rsid w:val="42E97153"/>
    <w:rsid w:val="42EE226F"/>
    <w:rsid w:val="42F473A1"/>
    <w:rsid w:val="430417B4"/>
    <w:rsid w:val="430761BF"/>
    <w:rsid w:val="430F7403"/>
    <w:rsid w:val="431459AA"/>
    <w:rsid w:val="431467C7"/>
    <w:rsid w:val="43192030"/>
    <w:rsid w:val="433F61DB"/>
    <w:rsid w:val="437D25BE"/>
    <w:rsid w:val="4383394D"/>
    <w:rsid w:val="439873F8"/>
    <w:rsid w:val="43AC4C52"/>
    <w:rsid w:val="43C36D68"/>
    <w:rsid w:val="43C43565"/>
    <w:rsid w:val="43E066A9"/>
    <w:rsid w:val="44071E88"/>
    <w:rsid w:val="44112D07"/>
    <w:rsid w:val="44151FF9"/>
    <w:rsid w:val="441E62C0"/>
    <w:rsid w:val="441F5424"/>
    <w:rsid w:val="443640EC"/>
    <w:rsid w:val="4464061F"/>
    <w:rsid w:val="44827761"/>
    <w:rsid w:val="4495671A"/>
    <w:rsid w:val="44A771C7"/>
    <w:rsid w:val="44D426B2"/>
    <w:rsid w:val="44E35A2E"/>
    <w:rsid w:val="44F03307"/>
    <w:rsid w:val="44F543D6"/>
    <w:rsid w:val="44FA379B"/>
    <w:rsid w:val="44FE0DBC"/>
    <w:rsid w:val="45156827"/>
    <w:rsid w:val="45192D66"/>
    <w:rsid w:val="45325D14"/>
    <w:rsid w:val="45350C77"/>
    <w:rsid w:val="454C31E3"/>
    <w:rsid w:val="457D6C89"/>
    <w:rsid w:val="45811C7C"/>
    <w:rsid w:val="4587329F"/>
    <w:rsid w:val="45906116"/>
    <w:rsid w:val="45A063C7"/>
    <w:rsid w:val="45C049E4"/>
    <w:rsid w:val="45C53DA9"/>
    <w:rsid w:val="45CA13BF"/>
    <w:rsid w:val="45CA7611"/>
    <w:rsid w:val="45CC5A45"/>
    <w:rsid w:val="45D86D8A"/>
    <w:rsid w:val="45DE30BD"/>
    <w:rsid w:val="46012F69"/>
    <w:rsid w:val="46031658"/>
    <w:rsid w:val="460C6D7B"/>
    <w:rsid w:val="4619502A"/>
    <w:rsid w:val="46277145"/>
    <w:rsid w:val="46285ECE"/>
    <w:rsid w:val="4631435D"/>
    <w:rsid w:val="463F7FFF"/>
    <w:rsid w:val="46483E95"/>
    <w:rsid w:val="465700F4"/>
    <w:rsid w:val="465B295F"/>
    <w:rsid w:val="46794B93"/>
    <w:rsid w:val="467C4DAF"/>
    <w:rsid w:val="468B3EFB"/>
    <w:rsid w:val="46935C55"/>
    <w:rsid w:val="46C93D6D"/>
    <w:rsid w:val="46E464B1"/>
    <w:rsid w:val="46FC6684"/>
    <w:rsid w:val="47011080"/>
    <w:rsid w:val="470A6193"/>
    <w:rsid w:val="4726763D"/>
    <w:rsid w:val="47385210"/>
    <w:rsid w:val="474A6C5C"/>
    <w:rsid w:val="47574ED5"/>
    <w:rsid w:val="477517FF"/>
    <w:rsid w:val="477C493B"/>
    <w:rsid w:val="47811F51"/>
    <w:rsid w:val="47946129"/>
    <w:rsid w:val="47AF4D11"/>
    <w:rsid w:val="47BD7860"/>
    <w:rsid w:val="47C6260A"/>
    <w:rsid w:val="47DC4F5C"/>
    <w:rsid w:val="47E0136E"/>
    <w:rsid w:val="47F00E85"/>
    <w:rsid w:val="47F170D7"/>
    <w:rsid w:val="47FB61A8"/>
    <w:rsid w:val="480212E4"/>
    <w:rsid w:val="480C3F11"/>
    <w:rsid w:val="48164D90"/>
    <w:rsid w:val="48182EDA"/>
    <w:rsid w:val="482E7317"/>
    <w:rsid w:val="483B47F6"/>
    <w:rsid w:val="484A67E7"/>
    <w:rsid w:val="48557C54"/>
    <w:rsid w:val="486024AF"/>
    <w:rsid w:val="488B752C"/>
    <w:rsid w:val="48A26623"/>
    <w:rsid w:val="48A837B8"/>
    <w:rsid w:val="48B40671"/>
    <w:rsid w:val="48CB3DCC"/>
    <w:rsid w:val="48CC3039"/>
    <w:rsid w:val="48CC36A0"/>
    <w:rsid w:val="48D507A7"/>
    <w:rsid w:val="48E47700"/>
    <w:rsid w:val="48F13107"/>
    <w:rsid w:val="48F52BF7"/>
    <w:rsid w:val="48F74BC1"/>
    <w:rsid w:val="490C1CEF"/>
    <w:rsid w:val="491237A9"/>
    <w:rsid w:val="491D3EFC"/>
    <w:rsid w:val="49247038"/>
    <w:rsid w:val="49290AF3"/>
    <w:rsid w:val="4930390F"/>
    <w:rsid w:val="49351245"/>
    <w:rsid w:val="4944592C"/>
    <w:rsid w:val="4961203A"/>
    <w:rsid w:val="4977360C"/>
    <w:rsid w:val="49851138"/>
    <w:rsid w:val="499845B9"/>
    <w:rsid w:val="49997A26"/>
    <w:rsid w:val="499B5738"/>
    <w:rsid w:val="499C12C5"/>
    <w:rsid w:val="499F244D"/>
    <w:rsid w:val="49A34401"/>
    <w:rsid w:val="49AB4C68"/>
    <w:rsid w:val="49CD5922"/>
    <w:rsid w:val="49F20EE5"/>
    <w:rsid w:val="4A01737A"/>
    <w:rsid w:val="4A08695A"/>
    <w:rsid w:val="4A133393"/>
    <w:rsid w:val="4A443E36"/>
    <w:rsid w:val="4A4473E5"/>
    <w:rsid w:val="4A477482"/>
    <w:rsid w:val="4A6E2C61"/>
    <w:rsid w:val="4A7519C8"/>
    <w:rsid w:val="4A825CBB"/>
    <w:rsid w:val="4A834233"/>
    <w:rsid w:val="4A842484"/>
    <w:rsid w:val="4A884E90"/>
    <w:rsid w:val="4A90687D"/>
    <w:rsid w:val="4A91694F"/>
    <w:rsid w:val="4A924F66"/>
    <w:rsid w:val="4A973F3F"/>
    <w:rsid w:val="4AA77F21"/>
    <w:rsid w:val="4AB663B6"/>
    <w:rsid w:val="4AE271AB"/>
    <w:rsid w:val="4AF95C0F"/>
    <w:rsid w:val="4AF96BC7"/>
    <w:rsid w:val="4B1D6435"/>
    <w:rsid w:val="4B35552D"/>
    <w:rsid w:val="4B4E311B"/>
    <w:rsid w:val="4B58746D"/>
    <w:rsid w:val="4B5A416B"/>
    <w:rsid w:val="4B6041BB"/>
    <w:rsid w:val="4B614574"/>
    <w:rsid w:val="4B6427CB"/>
    <w:rsid w:val="4B6776B0"/>
    <w:rsid w:val="4B683B54"/>
    <w:rsid w:val="4B7324F9"/>
    <w:rsid w:val="4B862A85"/>
    <w:rsid w:val="4B863FDA"/>
    <w:rsid w:val="4B886636"/>
    <w:rsid w:val="4BA206E8"/>
    <w:rsid w:val="4BB02171"/>
    <w:rsid w:val="4BB65FC2"/>
    <w:rsid w:val="4BC028A6"/>
    <w:rsid w:val="4BC66ACD"/>
    <w:rsid w:val="4BE447B1"/>
    <w:rsid w:val="4C24201D"/>
    <w:rsid w:val="4C3954F1"/>
    <w:rsid w:val="4C771844"/>
    <w:rsid w:val="4C991AEB"/>
    <w:rsid w:val="4CB1449E"/>
    <w:rsid w:val="4CB37051"/>
    <w:rsid w:val="4CBD10D5"/>
    <w:rsid w:val="4CCE5C39"/>
    <w:rsid w:val="4CD53F06"/>
    <w:rsid w:val="4CDF1BF4"/>
    <w:rsid w:val="4CE30FB8"/>
    <w:rsid w:val="4CEF36E2"/>
    <w:rsid w:val="4CEF4DC5"/>
    <w:rsid w:val="4CFF4044"/>
    <w:rsid w:val="4D0C050F"/>
    <w:rsid w:val="4D0E7878"/>
    <w:rsid w:val="4D245859"/>
    <w:rsid w:val="4D2B6632"/>
    <w:rsid w:val="4D4F113F"/>
    <w:rsid w:val="4D8B1D7C"/>
    <w:rsid w:val="4D8F6027"/>
    <w:rsid w:val="4DA93FB0"/>
    <w:rsid w:val="4DC21528"/>
    <w:rsid w:val="4DD10735"/>
    <w:rsid w:val="4DE90850"/>
    <w:rsid w:val="4DEE584B"/>
    <w:rsid w:val="4E047438"/>
    <w:rsid w:val="4E0F475B"/>
    <w:rsid w:val="4E21623C"/>
    <w:rsid w:val="4E257655"/>
    <w:rsid w:val="4E361CE8"/>
    <w:rsid w:val="4E6323B1"/>
    <w:rsid w:val="4E654842"/>
    <w:rsid w:val="4E7C16C5"/>
    <w:rsid w:val="4E8E7871"/>
    <w:rsid w:val="4E922C96"/>
    <w:rsid w:val="4ECF2A66"/>
    <w:rsid w:val="4F0F0727"/>
    <w:rsid w:val="4F1F09CE"/>
    <w:rsid w:val="4F23002F"/>
    <w:rsid w:val="4F247D92"/>
    <w:rsid w:val="4F337931"/>
    <w:rsid w:val="4F372380"/>
    <w:rsid w:val="4F372FFB"/>
    <w:rsid w:val="4F6B59C1"/>
    <w:rsid w:val="4F6F1BB2"/>
    <w:rsid w:val="4F8545A9"/>
    <w:rsid w:val="4FAB18F7"/>
    <w:rsid w:val="4FCB3D0E"/>
    <w:rsid w:val="4FCB6460"/>
    <w:rsid w:val="4FE439C5"/>
    <w:rsid w:val="4FE44631"/>
    <w:rsid w:val="4FE6773D"/>
    <w:rsid w:val="4FFA0AF3"/>
    <w:rsid w:val="4FFF25AD"/>
    <w:rsid w:val="50146059"/>
    <w:rsid w:val="50203983"/>
    <w:rsid w:val="50231535"/>
    <w:rsid w:val="5025116D"/>
    <w:rsid w:val="50483F54"/>
    <w:rsid w:val="50574197"/>
    <w:rsid w:val="50762F1F"/>
    <w:rsid w:val="507B2BDD"/>
    <w:rsid w:val="50E13A61"/>
    <w:rsid w:val="50E27F05"/>
    <w:rsid w:val="50E517A3"/>
    <w:rsid w:val="50F43FE4"/>
    <w:rsid w:val="5100038B"/>
    <w:rsid w:val="51096E67"/>
    <w:rsid w:val="51246EB8"/>
    <w:rsid w:val="512E314A"/>
    <w:rsid w:val="513F5357"/>
    <w:rsid w:val="5161398A"/>
    <w:rsid w:val="51703763"/>
    <w:rsid w:val="518C66BB"/>
    <w:rsid w:val="519555A0"/>
    <w:rsid w:val="51C17EA0"/>
    <w:rsid w:val="51C92E73"/>
    <w:rsid w:val="51CB5C0F"/>
    <w:rsid w:val="51DB6702"/>
    <w:rsid w:val="51E8779D"/>
    <w:rsid w:val="51F06651"/>
    <w:rsid w:val="522C47C1"/>
    <w:rsid w:val="522E0F28"/>
    <w:rsid w:val="52336282"/>
    <w:rsid w:val="523429E2"/>
    <w:rsid w:val="5237602E"/>
    <w:rsid w:val="52395ECD"/>
    <w:rsid w:val="524B3888"/>
    <w:rsid w:val="527A416D"/>
    <w:rsid w:val="52943481"/>
    <w:rsid w:val="52B0193D"/>
    <w:rsid w:val="52C10D75"/>
    <w:rsid w:val="531315CF"/>
    <w:rsid w:val="531F686F"/>
    <w:rsid w:val="532E1E14"/>
    <w:rsid w:val="53430A03"/>
    <w:rsid w:val="53453DBE"/>
    <w:rsid w:val="536270DB"/>
    <w:rsid w:val="53745413"/>
    <w:rsid w:val="537777FE"/>
    <w:rsid w:val="53862E55"/>
    <w:rsid w:val="53894668"/>
    <w:rsid w:val="53A616BE"/>
    <w:rsid w:val="53B810A1"/>
    <w:rsid w:val="53C02053"/>
    <w:rsid w:val="53C27FF8"/>
    <w:rsid w:val="53DD2C05"/>
    <w:rsid w:val="53E45D42"/>
    <w:rsid w:val="53E64970"/>
    <w:rsid w:val="53E67D0C"/>
    <w:rsid w:val="53ED6794"/>
    <w:rsid w:val="54012CCD"/>
    <w:rsid w:val="540909EB"/>
    <w:rsid w:val="540B7773"/>
    <w:rsid w:val="54183C3E"/>
    <w:rsid w:val="5422686A"/>
    <w:rsid w:val="542809AE"/>
    <w:rsid w:val="542C05D8"/>
    <w:rsid w:val="542D593B"/>
    <w:rsid w:val="54302D35"/>
    <w:rsid w:val="5435659E"/>
    <w:rsid w:val="54584C7B"/>
    <w:rsid w:val="545C7FCE"/>
    <w:rsid w:val="546D5D37"/>
    <w:rsid w:val="547F3CBD"/>
    <w:rsid w:val="548968E9"/>
    <w:rsid w:val="54947768"/>
    <w:rsid w:val="549E1A80"/>
    <w:rsid w:val="54C658F4"/>
    <w:rsid w:val="54CA318A"/>
    <w:rsid w:val="54E67898"/>
    <w:rsid w:val="55067F3A"/>
    <w:rsid w:val="550C4BD7"/>
    <w:rsid w:val="5527238A"/>
    <w:rsid w:val="55320D2F"/>
    <w:rsid w:val="55341040"/>
    <w:rsid w:val="55425416"/>
    <w:rsid w:val="554C1D56"/>
    <w:rsid w:val="554F368F"/>
    <w:rsid w:val="55572986"/>
    <w:rsid w:val="555D05FC"/>
    <w:rsid w:val="556233C2"/>
    <w:rsid w:val="556D1D67"/>
    <w:rsid w:val="557650C0"/>
    <w:rsid w:val="55A00C7C"/>
    <w:rsid w:val="55A03EEB"/>
    <w:rsid w:val="55C062DD"/>
    <w:rsid w:val="55C0633B"/>
    <w:rsid w:val="55D31987"/>
    <w:rsid w:val="55E95892"/>
    <w:rsid w:val="55EE4C56"/>
    <w:rsid w:val="55F940F1"/>
    <w:rsid w:val="55FD758F"/>
    <w:rsid w:val="55FF3307"/>
    <w:rsid w:val="56226FF5"/>
    <w:rsid w:val="564167D7"/>
    <w:rsid w:val="564868FC"/>
    <w:rsid w:val="565340FA"/>
    <w:rsid w:val="56552F27"/>
    <w:rsid w:val="565847C5"/>
    <w:rsid w:val="56652C5B"/>
    <w:rsid w:val="568832FC"/>
    <w:rsid w:val="56A41BB6"/>
    <w:rsid w:val="56B22127"/>
    <w:rsid w:val="56B91708"/>
    <w:rsid w:val="56D007FF"/>
    <w:rsid w:val="56D227CA"/>
    <w:rsid w:val="56F6276E"/>
    <w:rsid w:val="56F72230"/>
    <w:rsid w:val="5712706A"/>
    <w:rsid w:val="57160908"/>
    <w:rsid w:val="5723343E"/>
    <w:rsid w:val="5737087F"/>
    <w:rsid w:val="573D7EAB"/>
    <w:rsid w:val="574A2360"/>
    <w:rsid w:val="57530B53"/>
    <w:rsid w:val="575B27BF"/>
    <w:rsid w:val="576378C6"/>
    <w:rsid w:val="5765719A"/>
    <w:rsid w:val="577613A7"/>
    <w:rsid w:val="57813603"/>
    <w:rsid w:val="578A4E52"/>
    <w:rsid w:val="57A2219C"/>
    <w:rsid w:val="57B10631"/>
    <w:rsid w:val="57B349D2"/>
    <w:rsid w:val="57B97E77"/>
    <w:rsid w:val="57C2639A"/>
    <w:rsid w:val="57D936E4"/>
    <w:rsid w:val="581F37ED"/>
    <w:rsid w:val="5838665C"/>
    <w:rsid w:val="58450D79"/>
    <w:rsid w:val="58532FAE"/>
    <w:rsid w:val="58584F50"/>
    <w:rsid w:val="587753D7"/>
    <w:rsid w:val="5878114F"/>
    <w:rsid w:val="587873A1"/>
    <w:rsid w:val="58B21713"/>
    <w:rsid w:val="58C3061C"/>
    <w:rsid w:val="58C61EBA"/>
    <w:rsid w:val="58DE5456"/>
    <w:rsid w:val="58E96D38"/>
    <w:rsid w:val="591C5F7E"/>
    <w:rsid w:val="59476B94"/>
    <w:rsid w:val="59590F80"/>
    <w:rsid w:val="59A321FB"/>
    <w:rsid w:val="59AA17DC"/>
    <w:rsid w:val="59AE02DE"/>
    <w:rsid w:val="59B461B6"/>
    <w:rsid w:val="59E36A9C"/>
    <w:rsid w:val="59FA62BF"/>
    <w:rsid w:val="5A1A5D9F"/>
    <w:rsid w:val="5A1F5D26"/>
    <w:rsid w:val="5A2F2CC8"/>
    <w:rsid w:val="5A36306F"/>
    <w:rsid w:val="5A3B1C1E"/>
    <w:rsid w:val="5A3B2D8E"/>
    <w:rsid w:val="5A3D7F5A"/>
    <w:rsid w:val="5A474401"/>
    <w:rsid w:val="5A5B7493"/>
    <w:rsid w:val="5A672C25"/>
    <w:rsid w:val="5A7F0572"/>
    <w:rsid w:val="5A9E7E3F"/>
    <w:rsid w:val="5AB04DB2"/>
    <w:rsid w:val="5AB741B0"/>
    <w:rsid w:val="5AD031F3"/>
    <w:rsid w:val="5AE12BFC"/>
    <w:rsid w:val="5AEE4E71"/>
    <w:rsid w:val="5AF727FF"/>
    <w:rsid w:val="5B26435E"/>
    <w:rsid w:val="5B294982"/>
    <w:rsid w:val="5B372BFB"/>
    <w:rsid w:val="5B4377F2"/>
    <w:rsid w:val="5B5163B3"/>
    <w:rsid w:val="5B6F1E2E"/>
    <w:rsid w:val="5B7D706E"/>
    <w:rsid w:val="5B8A3673"/>
    <w:rsid w:val="5BA26962"/>
    <w:rsid w:val="5BA504AD"/>
    <w:rsid w:val="5BB02924"/>
    <w:rsid w:val="5BC40F58"/>
    <w:rsid w:val="5BCF5DAD"/>
    <w:rsid w:val="5C02145B"/>
    <w:rsid w:val="5C073582"/>
    <w:rsid w:val="5C10702D"/>
    <w:rsid w:val="5C115B42"/>
    <w:rsid w:val="5C152601"/>
    <w:rsid w:val="5C2515ED"/>
    <w:rsid w:val="5C427AAA"/>
    <w:rsid w:val="5C4C0928"/>
    <w:rsid w:val="5C5477DD"/>
    <w:rsid w:val="5C591F03"/>
    <w:rsid w:val="5C6A5252"/>
    <w:rsid w:val="5C6B34A4"/>
    <w:rsid w:val="5C797243"/>
    <w:rsid w:val="5C7A36E7"/>
    <w:rsid w:val="5C8A1B2F"/>
    <w:rsid w:val="5C936557"/>
    <w:rsid w:val="5CC44962"/>
    <w:rsid w:val="5CD821BC"/>
    <w:rsid w:val="5CE86853"/>
    <w:rsid w:val="5D042FB1"/>
    <w:rsid w:val="5D246832"/>
    <w:rsid w:val="5D277664"/>
    <w:rsid w:val="5D2C3AEB"/>
    <w:rsid w:val="5D557CB0"/>
    <w:rsid w:val="5D691DFA"/>
    <w:rsid w:val="5D79399F"/>
    <w:rsid w:val="5D8822F6"/>
    <w:rsid w:val="5D8D2FA6"/>
    <w:rsid w:val="5D914004"/>
    <w:rsid w:val="5DA54B0D"/>
    <w:rsid w:val="5DAA1DAA"/>
    <w:rsid w:val="5DC56BE4"/>
    <w:rsid w:val="5DCF35BF"/>
    <w:rsid w:val="5DDE1A54"/>
    <w:rsid w:val="5DE8108B"/>
    <w:rsid w:val="5DEA7DBC"/>
    <w:rsid w:val="5DFB43B4"/>
    <w:rsid w:val="5DFE20F6"/>
    <w:rsid w:val="5E033269"/>
    <w:rsid w:val="5E3653EC"/>
    <w:rsid w:val="5E39312E"/>
    <w:rsid w:val="5E3B0C54"/>
    <w:rsid w:val="5E3E0745"/>
    <w:rsid w:val="5E547F68"/>
    <w:rsid w:val="5E6C52B2"/>
    <w:rsid w:val="5E7B72A3"/>
    <w:rsid w:val="5EAC56AE"/>
    <w:rsid w:val="5EB57238"/>
    <w:rsid w:val="5EBF3633"/>
    <w:rsid w:val="5ED846F5"/>
    <w:rsid w:val="5EE700B0"/>
    <w:rsid w:val="5EE72758"/>
    <w:rsid w:val="5EF56E14"/>
    <w:rsid w:val="5F100333"/>
    <w:rsid w:val="5F13572D"/>
    <w:rsid w:val="5F2C67EF"/>
    <w:rsid w:val="5F401ED1"/>
    <w:rsid w:val="5F47780E"/>
    <w:rsid w:val="5F48187B"/>
    <w:rsid w:val="5F5024DD"/>
    <w:rsid w:val="5F561B72"/>
    <w:rsid w:val="5F776DCD"/>
    <w:rsid w:val="5F830324"/>
    <w:rsid w:val="5F8605F5"/>
    <w:rsid w:val="5F9F5213"/>
    <w:rsid w:val="5FA82319"/>
    <w:rsid w:val="5FB46F10"/>
    <w:rsid w:val="5FB7255D"/>
    <w:rsid w:val="5FC44C79"/>
    <w:rsid w:val="5FCD3B2E"/>
    <w:rsid w:val="5FE5431B"/>
    <w:rsid w:val="5FE80968"/>
    <w:rsid w:val="5FF4730D"/>
    <w:rsid w:val="600E12A1"/>
    <w:rsid w:val="601259E5"/>
    <w:rsid w:val="6032709C"/>
    <w:rsid w:val="604178C6"/>
    <w:rsid w:val="605C51B8"/>
    <w:rsid w:val="606007BB"/>
    <w:rsid w:val="606D5311"/>
    <w:rsid w:val="606D70BF"/>
    <w:rsid w:val="606F4BE5"/>
    <w:rsid w:val="608C5797"/>
    <w:rsid w:val="60A01243"/>
    <w:rsid w:val="60AC7F66"/>
    <w:rsid w:val="60C2740B"/>
    <w:rsid w:val="60DB029C"/>
    <w:rsid w:val="60F11A9E"/>
    <w:rsid w:val="611C2FBF"/>
    <w:rsid w:val="61246BEF"/>
    <w:rsid w:val="61406582"/>
    <w:rsid w:val="61410E47"/>
    <w:rsid w:val="61447E20"/>
    <w:rsid w:val="619239A0"/>
    <w:rsid w:val="619C04EF"/>
    <w:rsid w:val="61B067C2"/>
    <w:rsid w:val="61B52ACC"/>
    <w:rsid w:val="61B551C2"/>
    <w:rsid w:val="61BE3783"/>
    <w:rsid w:val="61BF10D9"/>
    <w:rsid w:val="61D70C94"/>
    <w:rsid w:val="61DA3D4C"/>
    <w:rsid w:val="61DA69D6"/>
    <w:rsid w:val="62065A1D"/>
    <w:rsid w:val="62195750"/>
    <w:rsid w:val="621B36F3"/>
    <w:rsid w:val="621C0D9D"/>
    <w:rsid w:val="621E4B15"/>
    <w:rsid w:val="622B7232"/>
    <w:rsid w:val="622D6B06"/>
    <w:rsid w:val="62341565"/>
    <w:rsid w:val="62353C0D"/>
    <w:rsid w:val="62402CDD"/>
    <w:rsid w:val="62532A44"/>
    <w:rsid w:val="62726C0F"/>
    <w:rsid w:val="629D1EDE"/>
    <w:rsid w:val="62A354A9"/>
    <w:rsid w:val="62A96AD4"/>
    <w:rsid w:val="62AC2121"/>
    <w:rsid w:val="62AC22DC"/>
    <w:rsid w:val="62CD55BB"/>
    <w:rsid w:val="62F6339C"/>
    <w:rsid w:val="63116428"/>
    <w:rsid w:val="631B1054"/>
    <w:rsid w:val="631D4DCC"/>
    <w:rsid w:val="631D6B7A"/>
    <w:rsid w:val="633914DA"/>
    <w:rsid w:val="63464323"/>
    <w:rsid w:val="634C56B2"/>
    <w:rsid w:val="63504565"/>
    <w:rsid w:val="63576530"/>
    <w:rsid w:val="63585E05"/>
    <w:rsid w:val="63753FEA"/>
    <w:rsid w:val="63754E3A"/>
    <w:rsid w:val="637833E8"/>
    <w:rsid w:val="639332E1"/>
    <w:rsid w:val="6398122E"/>
    <w:rsid w:val="639C0744"/>
    <w:rsid w:val="63A252D2"/>
    <w:rsid w:val="63BD3EBA"/>
    <w:rsid w:val="63CE60C7"/>
    <w:rsid w:val="63D1719A"/>
    <w:rsid w:val="63D77671"/>
    <w:rsid w:val="63E36016"/>
    <w:rsid w:val="63E87188"/>
    <w:rsid w:val="63F7561D"/>
    <w:rsid w:val="6421269A"/>
    <w:rsid w:val="64267313"/>
    <w:rsid w:val="64436AB5"/>
    <w:rsid w:val="64601415"/>
    <w:rsid w:val="648275DD"/>
    <w:rsid w:val="648F5856"/>
    <w:rsid w:val="64917820"/>
    <w:rsid w:val="649D6684"/>
    <w:rsid w:val="64AC28AC"/>
    <w:rsid w:val="64D140C0"/>
    <w:rsid w:val="64D15E6F"/>
    <w:rsid w:val="64E262CE"/>
    <w:rsid w:val="64E45EF7"/>
    <w:rsid w:val="65052EF2"/>
    <w:rsid w:val="65055B18"/>
    <w:rsid w:val="65167D25"/>
    <w:rsid w:val="65183A9D"/>
    <w:rsid w:val="6518584B"/>
    <w:rsid w:val="652A7F0D"/>
    <w:rsid w:val="65404DA2"/>
    <w:rsid w:val="654523B9"/>
    <w:rsid w:val="65516FAF"/>
    <w:rsid w:val="65842EE1"/>
    <w:rsid w:val="658729D1"/>
    <w:rsid w:val="65A74E21"/>
    <w:rsid w:val="65A826FA"/>
    <w:rsid w:val="65A90B99"/>
    <w:rsid w:val="65AB2B63"/>
    <w:rsid w:val="65AC068A"/>
    <w:rsid w:val="65B23EF2"/>
    <w:rsid w:val="65BD2897"/>
    <w:rsid w:val="65E5517B"/>
    <w:rsid w:val="65EF7ACC"/>
    <w:rsid w:val="65F63CF3"/>
    <w:rsid w:val="65FA7647"/>
    <w:rsid w:val="65FF6A0B"/>
    <w:rsid w:val="66081D64"/>
    <w:rsid w:val="66091638"/>
    <w:rsid w:val="66184849"/>
    <w:rsid w:val="661C136B"/>
    <w:rsid w:val="66212E26"/>
    <w:rsid w:val="663A6C47"/>
    <w:rsid w:val="66422590"/>
    <w:rsid w:val="66503A40"/>
    <w:rsid w:val="665705F5"/>
    <w:rsid w:val="665925BF"/>
    <w:rsid w:val="66737C6D"/>
    <w:rsid w:val="667704F0"/>
    <w:rsid w:val="668F7D8F"/>
    <w:rsid w:val="6691014E"/>
    <w:rsid w:val="66925AD1"/>
    <w:rsid w:val="669B429F"/>
    <w:rsid w:val="66A55805"/>
    <w:rsid w:val="66AA497C"/>
    <w:rsid w:val="66B15B81"/>
    <w:rsid w:val="66B3780A"/>
    <w:rsid w:val="66BB6DD6"/>
    <w:rsid w:val="66C87CCE"/>
    <w:rsid w:val="66CF4630"/>
    <w:rsid w:val="66DD4F9F"/>
    <w:rsid w:val="66E1291B"/>
    <w:rsid w:val="66F45E44"/>
    <w:rsid w:val="671B7875"/>
    <w:rsid w:val="67277FC8"/>
    <w:rsid w:val="67281F92"/>
    <w:rsid w:val="67397CFB"/>
    <w:rsid w:val="673E0C66"/>
    <w:rsid w:val="6753700F"/>
    <w:rsid w:val="67650AF0"/>
    <w:rsid w:val="677435B2"/>
    <w:rsid w:val="677C0558"/>
    <w:rsid w:val="679631B0"/>
    <w:rsid w:val="67B4104A"/>
    <w:rsid w:val="67BD26DA"/>
    <w:rsid w:val="67D174B9"/>
    <w:rsid w:val="67E027FB"/>
    <w:rsid w:val="67EF75F1"/>
    <w:rsid w:val="67F00D02"/>
    <w:rsid w:val="68021D6B"/>
    <w:rsid w:val="68386205"/>
    <w:rsid w:val="684D4EDF"/>
    <w:rsid w:val="68790CF7"/>
    <w:rsid w:val="688F22C8"/>
    <w:rsid w:val="68984D56"/>
    <w:rsid w:val="68A12A5C"/>
    <w:rsid w:val="68AE634B"/>
    <w:rsid w:val="68B406B1"/>
    <w:rsid w:val="68E5013A"/>
    <w:rsid w:val="68EA5751"/>
    <w:rsid w:val="690507DD"/>
    <w:rsid w:val="69124F16"/>
    <w:rsid w:val="693C1432"/>
    <w:rsid w:val="694A5205"/>
    <w:rsid w:val="694E2184"/>
    <w:rsid w:val="695D5F23"/>
    <w:rsid w:val="69605A13"/>
    <w:rsid w:val="696668F3"/>
    <w:rsid w:val="69884D00"/>
    <w:rsid w:val="6994390F"/>
    <w:rsid w:val="69966CB4"/>
    <w:rsid w:val="69A47FF6"/>
    <w:rsid w:val="69CD5C14"/>
    <w:rsid w:val="69CF0D33"/>
    <w:rsid w:val="69D41F5D"/>
    <w:rsid w:val="6A0445F0"/>
    <w:rsid w:val="6A164324"/>
    <w:rsid w:val="6A363195"/>
    <w:rsid w:val="6A3A061E"/>
    <w:rsid w:val="6A445335"/>
    <w:rsid w:val="6A496760"/>
    <w:rsid w:val="6A550E2D"/>
    <w:rsid w:val="6A674B7F"/>
    <w:rsid w:val="6A696B49"/>
    <w:rsid w:val="6A885221"/>
    <w:rsid w:val="6A95793E"/>
    <w:rsid w:val="6AA10942"/>
    <w:rsid w:val="6AB37DC4"/>
    <w:rsid w:val="6AC8063E"/>
    <w:rsid w:val="6ACB7804"/>
    <w:rsid w:val="6AD42215"/>
    <w:rsid w:val="6AE4490D"/>
    <w:rsid w:val="6AEE5FBB"/>
    <w:rsid w:val="6B1B3DAE"/>
    <w:rsid w:val="6B2334C7"/>
    <w:rsid w:val="6B347157"/>
    <w:rsid w:val="6B5746C2"/>
    <w:rsid w:val="6B5E15F0"/>
    <w:rsid w:val="6B657311"/>
    <w:rsid w:val="6B6C4B43"/>
    <w:rsid w:val="6B7834E8"/>
    <w:rsid w:val="6B7B2FD8"/>
    <w:rsid w:val="6B8E59E1"/>
    <w:rsid w:val="6B9145AA"/>
    <w:rsid w:val="6B9946B3"/>
    <w:rsid w:val="6BC33CCE"/>
    <w:rsid w:val="6BCF6E80"/>
    <w:rsid w:val="6BD340AB"/>
    <w:rsid w:val="6BD6020E"/>
    <w:rsid w:val="6BD91AAD"/>
    <w:rsid w:val="6BE96194"/>
    <w:rsid w:val="6BEC17E0"/>
    <w:rsid w:val="6BEE5558"/>
    <w:rsid w:val="6C2C29A8"/>
    <w:rsid w:val="6C423AF6"/>
    <w:rsid w:val="6C4C6167"/>
    <w:rsid w:val="6C5775A1"/>
    <w:rsid w:val="6C6121CE"/>
    <w:rsid w:val="6C615D2A"/>
    <w:rsid w:val="6C643A6C"/>
    <w:rsid w:val="6C662189"/>
    <w:rsid w:val="6C6E0EB7"/>
    <w:rsid w:val="6C7007C7"/>
    <w:rsid w:val="6C711CE5"/>
    <w:rsid w:val="6C726189"/>
    <w:rsid w:val="6C7A5A27"/>
    <w:rsid w:val="6C7F30D3"/>
    <w:rsid w:val="6C8639E2"/>
    <w:rsid w:val="6C9003BD"/>
    <w:rsid w:val="6CAB169B"/>
    <w:rsid w:val="6CAF20DF"/>
    <w:rsid w:val="6CE81FA7"/>
    <w:rsid w:val="6D064B23"/>
    <w:rsid w:val="6D151A83"/>
    <w:rsid w:val="6D165569"/>
    <w:rsid w:val="6D2D0302"/>
    <w:rsid w:val="6D473553"/>
    <w:rsid w:val="6D54763D"/>
    <w:rsid w:val="6D5533B5"/>
    <w:rsid w:val="6D6655C2"/>
    <w:rsid w:val="6D725D15"/>
    <w:rsid w:val="6D806684"/>
    <w:rsid w:val="6D885538"/>
    <w:rsid w:val="6DBC462A"/>
    <w:rsid w:val="6DE36C13"/>
    <w:rsid w:val="6DE76850"/>
    <w:rsid w:val="6DEF7365"/>
    <w:rsid w:val="6E3226E4"/>
    <w:rsid w:val="6E3C53A4"/>
    <w:rsid w:val="6E4A4966"/>
    <w:rsid w:val="6E891568"/>
    <w:rsid w:val="6E8E3022"/>
    <w:rsid w:val="6EA047B7"/>
    <w:rsid w:val="6EA445F4"/>
    <w:rsid w:val="6EDE1966"/>
    <w:rsid w:val="6EF30A38"/>
    <w:rsid w:val="6F003164"/>
    <w:rsid w:val="6F082DD5"/>
    <w:rsid w:val="6F3D3A4B"/>
    <w:rsid w:val="6F410095"/>
    <w:rsid w:val="6F4638FD"/>
    <w:rsid w:val="6F5248B0"/>
    <w:rsid w:val="6F8306AD"/>
    <w:rsid w:val="6F993A2D"/>
    <w:rsid w:val="6FB20BD4"/>
    <w:rsid w:val="6FB22D40"/>
    <w:rsid w:val="6FB650F7"/>
    <w:rsid w:val="6FBA59BE"/>
    <w:rsid w:val="6FBF710B"/>
    <w:rsid w:val="6FF45107"/>
    <w:rsid w:val="7000585A"/>
    <w:rsid w:val="70074E3A"/>
    <w:rsid w:val="701E3F32"/>
    <w:rsid w:val="701F03D6"/>
    <w:rsid w:val="70296B3E"/>
    <w:rsid w:val="70324462"/>
    <w:rsid w:val="70394621"/>
    <w:rsid w:val="703A6FBE"/>
    <w:rsid w:val="70441BEA"/>
    <w:rsid w:val="705F07D2"/>
    <w:rsid w:val="70611204"/>
    <w:rsid w:val="707F53AF"/>
    <w:rsid w:val="708E10B8"/>
    <w:rsid w:val="709F3D3A"/>
    <w:rsid w:val="70A24B63"/>
    <w:rsid w:val="70EE5FFA"/>
    <w:rsid w:val="70F21646"/>
    <w:rsid w:val="71063344"/>
    <w:rsid w:val="710E3FA6"/>
    <w:rsid w:val="712832BA"/>
    <w:rsid w:val="712C0C0E"/>
    <w:rsid w:val="7139206C"/>
    <w:rsid w:val="713954C7"/>
    <w:rsid w:val="716F0EE9"/>
    <w:rsid w:val="71744751"/>
    <w:rsid w:val="718F6E95"/>
    <w:rsid w:val="71A16BC9"/>
    <w:rsid w:val="71C70D25"/>
    <w:rsid w:val="71C8684B"/>
    <w:rsid w:val="71EC42E8"/>
    <w:rsid w:val="71ED62B2"/>
    <w:rsid w:val="71FB3FB6"/>
    <w:rsid w:val="721909E8"/>
    <w:rsid w:val="72345C8F"/>
    <w:rsid w:val="723C7655"/>
    <w:rsid w:val="727C77DB"/>
    <w:rsid w:val="729C5939"/>
    <w:rsid w:val="72B33057"/>
    <w:rsid w:val="72B34FAE"/>
    <w:rsid w:val="72BA6194"/>
    <w:rsid w:val="72BB6CD2"/>
    <w:rsid w:val="72CC6E7C"/>
    <w:rsid w:val="72DE213A"/>
    <w:rsid w:val="72E05D86"/>
    <w:rsid w:val="72E3289C"/>
    <w:rsid w:val="72EB0A43"/>
    <w:rsid w:val="72FC68B9"/>
    <w:rsid w:val="730613D9"/>
    <w:rsid w:val="733C129F"/>
    <w:rsid w:val="73445350"/>
    <w:rsid w:val="734F0FD2"/>
    <w:rsid w:val="73505172"/>
    <w:rsid w:val="73506AF8"/>
    <w:rsid w:val="736E5255"/>
    <w:rsid w:val="7375030D"/>
    <w:rsid w:val="737A1DC7"/>
    <w:rsid w:val="737C78ED"/>
    <w:rsid w:val="737F2F3A"/>
    <w:rsid w:val="73964142"/>
    <w:rsid w:val="73BE3A62"/>
    <w:rsid w:val="73F05BE5"/>
    <w:rsid w:val="73F26870"/>
    <w:rsid w:val="7408658E"/>
    <w:rsid w:val="745B39A7"/>
    <w:rsid w:val="7463285B"/>
    <w:rsid w:val="746740F9"/>
    <w:rsid w:val="747B1BB3"/>
    <w:rsid w:val="747B2D9D"/>
    <w:rsid w:val="748D1686"/>
    <w:rsid w:val="74D43C38"/>
    <w:rsid w:val="74F11C15"/>
    <w:rsid w:val="74FA2C30"/>
    <w:rsid w:val="74FF67F2"/>
    <w:rsid w:val="750758DC"/>
    <w:rsid w:val="750A2136"/>
    <w:rsid w:val="751C3136"/>
    <w:rsid w:val="7524023C"/>
    <w:rsid w:val="75284986"/>
    <w:rsid w:val="75475CD9"/>
    <w:rsid w:val="754764B0"/>
    <w:rsid w:val="754D5C4B"/>
    <w:rsid w:val="75550D0E"/>
    <w:rsid w:val="7561323F"/>
    <w:rsid w:val="75745D3F"/>
    <w:rsid w:val="75774810"/>
    <w:rsid w:val="757A60AE"/>
    <w:rsid w:val="758111EB"/>
    <w:rsid w:val="75931266"/>
    <w:rsid w:val="75A82C1C"/>
    <w:rsid w:val="75AF3FAA"/>
    <w:rsid w:val="75C87993"/>
    <w:rsid w:val="75DDADFE"/>
    <w:rsid w:val="75E2374B"/>
    <w:rsid w:val="75E342E9"/>
    <w:rsid w:val="75F0011F"/>
    <w:rsid w:val="75F17FA5"/>
    <w:rsid w:val="75F61BD9"/>
    <w:rsid w:val="75FE6CDF"/>
    <w:rsid w:val="760342F6"/>
    <w:rsid w:val="76106762"/>
    <w:rsid w:val="7621614B"/>
    <w:rsid w:val="76417A12"/>
    <w:rsid w:val="764A782F"/>
    <w:rsid w:val="765608C9"/>
    <w:rsid w:val="765C4908"/>
    <w:rsid w:val="76654669"/>
    <w:rsid w:val="76872831"/>
    <w:rsid w:val="76A10F92"/>
    <w:rsid w:val="76AA443D"/>
    <w:rsid w:val="76C21ABB"/>
    <w:rsid w:val="76C240A7"/>
    <w:rsid w:val="76E732D0"/>
    <w:rsid w:val="76E75C21"/>
    <w:rsid w:val="76FA74A7"/>
    <w:rsid w:val="77046592"/>
    <w:rsid w:val="770664D6"/>
    <w:rsid w:val="77075720"/>
    <w:rsid w:val="771421D2"/>
    <w:rsid w:val="77163BB5"/>
    <w:rsid w:val="77185B7F"/>
    <w:rsid w:val="7725204A"/>
    <w:rsid w:val="77301BCD"/>
    <w:rsid w:val="775246B7"/>
    <w:rsid w:val="776963DA"/>
    <w:rsid w:val="776B3F01"/>
    <w:rsid w:val="776E4B73"/>
    <w:rsid w:val="777F5BFE"/>
    <w:rsid w:val="778154D2"/>
    <w:rsid w:val="778C1B05"/>
    <w:rsid w:val="77BE04D4"/>
    <w:rsid w:val="77C0740E"/>
    <w:rsid w:val="77D47CF8"/>
    <w:rsid w:val="77EE068E"/>
    <w:rsid w:val="780126CE"/>
    <w:rsid w:val="781E69D1"/>
    <w:rsid w:val="78342545"/>
    <w:rsid w:val="78362761"/>
    <w:rsid w:val="784B5AE0"/>
    <w:rsid w:val="784D1858"/>
    <w:rsid w:val="7861229C"/>
    <w:rsid w:val="78754C70"/>
    <w:rsid w:val="787B63C5"/>
    <w:rsid w:val="789F751B"/>
    <w:rsid w:val="78AA797A"/>
    <w:rsid w:val="78B062FB"/>
    <w:rsid w:val="78B2790D"/>
    <w:rsid w:val="78C25DA2"/>
    <w:rsid w:val="78C45205"/>
    <w:rsid w:val="78CD4747"/>
    <w:rsid w:val="78FF4906"/>
    <w:rsid w:val="78FF6FF6"/>
    <w:rsid w:val="79030B7F"/>
    <w:rsid w:val="7905019A"/>
    <w:rsid w:val="791505C8"/>
    <w:rsid w:val="791B54B2"/>
    <w:rsid w:val="794E7636"/>
    <w:rsid w:val="7956298E"/>
    <w:rsid w:val="795804B5"/>
    <w:rsid w:val="795A247F"/>
    <w:rsid w:val="79646E59"/>
    <w:rsid w:val="79703A50"/>
    <w:rsid w:val="797A70A5"/>
    <w:rsid w:val="798C63B0"/>
    <w:rsid w:val="79C30024"/>
    <w:rsid w:val="7A1E34AC"/>
    <w:rsid w:val="7A263B6B"/>
    <w:rsid w:val="7A2A00A3"/>
    <w:rsid w:val="7A313888"/>
    <w:rsid w:val="7A320D06"/>
    <w:rsid w:val="7A3902E6"/>
    <w:rsid w:val="7A3E58FC"/>
    <w:rsid w:val="7A4226B2"/>
    <w:rsid w:val="7A523292"/>
    <w:rsid w:val="7A6F1F5A"/>
    <w:rsid w:val="7AAC3494"/>
    <w:rsid w:val="7AB4796D"/>
    <w:rsid w:val="7AC2652D"/>
    <w:rsid w:val="7AD6607C"/>
    <w:rsid w:val="7AF03942"/>
    <w:rsid w:val="7AF46346"/>
    <w:rsid w:val="7B002BB2"/>
    <w:rsid w:val="7B0F5EBF"/>
    <w:rsid w:val="7B130FB9"/>
    <w:rsid w:val="7B226FCC"/>
    <w:rsid w:val="7B340AAD"/>
    <w:rsid w:val="7B560A24"/>
    <w:rsid w:val="7B6273C9"/>
    <w:rsid w:val="7B917CAE"/>
    <w:rsid w:val="7B95779E"/>
    <w:rsid w:val="7BC6204D"/>
    <w:rsid w:val="7BD209F2"/>
    <w:rsid w:val="7BEE3D32"/>
    <w:rsid w:val="7BF64EDE"/>
    <w:rsid w:val="7BFC15CB"/>
    <w:rsid w:val="7C262AEC"/>
    <w:rsid w:val="7C400C1E"/>
    <w:rsid w:val="7C4A7F77"/>
    <w:rsid w:val="7C5238E1"/>
    <w:rsid w:val="7C606BB1"/>
    <w:rsid w:val="7C6545D6"/>
    <w:rsid w:val="7C7B135B"/>
    <w:rsid w:val="7C7E237D"/>
    <w:rsid w:val="7C8A4E29"/>
    <w:rsid w:val="7C8D66C7"/>
    <w:rsid w:val="7C914409"/>
    <w:rsid w:val="7C923EE4"/>
    <w:rsid w:val="7CB87CB0"/>
    <w:rsid w:val="7CC74D90"/>
    <w:rsid w:val="7CCF6CE0"/>
    <w:rsid w:val="7CDC115D"/>
    <w:rsid w:val="7CFF7D28"/>
    <w:rsid w:val="7D083FA0"/>
    <w:rsid w:val="7D096D41"/>
    <w:rsid w:val="7D1032D5"/>
    <w:rsid w:val="7D14415B"/>
    <w:rsid w:val="7D152EC3"/>
    <w:rsid w:val="7D20578D"/>
    <w:rsid w:val="7D2A1397"/>
    <w:rsid w:val="7D2A690E"/>
    <w:rsid w:val="7D4F13AA"/>
    <w:rsid w:val="7D513B99"/>
    <w:rsid w:val="7D52346D"/>
    <w:rsid w:val="7D572A32"/>
    <w:rsid w:val="7D586CD5"/>
    <w:rsid w:val="7D711B45"/>
    <w:rsid w:val="7D7653AD"/>
    <w:rsid w:val="7D87580C"/>
    <w:rsid w:val="7D9677FD"/>
    <w:rsid w:val="7D9A07FE"/>
    <w:rsid w:val="7DA71A0B"/>
    <w:rsid w:val="7DA939D5"/>
    <w:rsid w:val="7DA95783"/>
    <w:rsid w:val="7DB14637"/>
    <w:rsid w:val="7DB3215D"/>
    <w:rsid w:val="7DB55ED6"/>
    <w:rsid w:val="7DD00F61"/>
    <w:rsid w:val="7DD11708"/>
    <w:rsid w:val="7DD56578"/>
    <w:rsid w:val="7DE70059"/>
    <w:rsid w:val="7DEA1D90"/>
    <w:rsid w:val="7E0D5D12"/>
    <w:rsid w:val="7E10135E"/>
    <w:rsid w:val="7E123328"/>
    <w:rsid w:val="7E2F6A52"/>
    <w:rsid w:val="7E35461F"/>
    <w:rsid w:val="7E386B07"/>
    <w:rsid w:val="7E762F0A"/>
    <w:rsid w:val="7E7933A7"/>
    <w:rsid w:val="7E81225C"/>
    <w:rsid w:val="7EA90D5A"/>
    <w:rsid w:val="7EAB72D9"/>
    <w:rsid w:val="7EB31BE7"/>
    <w:rsid w:val="7EBD579E"/>
    <w:rsid w:val="7EC167BD"/>
    <w:rsid w:val="7ED76320"/>
    <w:rsid w:val="7EE2719E"/>
    <w:rsid w:val="7EE84089"/>
    <w:rsid w:val="7EF70770"/>
    <w:rsid w:val="7F1D01D6"/>
    <w:rsid w:val="7F2257ED"/>
    <w:rsid w:val="7F272D9E"/>
    <w:rsid w:val="7F2C666B"/>
    <w:rsid w:val="7F3E639F"/>
    <w:rsid w:val="7F4C64A1"/>
    <w:rsid w:val="7F5B2AAD"/>
    <w:rsid w:val="7F6000C3"/>
    <w:rsid w:val="7F62208D"/>
    <w:rsid w:val="7F6776A3"/>
    <w:rsid w:val="7F765B38"/>
    <w:rsid w:val="7F8364BF"/>
    <w:rsid w:val="7F981674"/>
    <w:rsid w:val="7F9938EF"/>
    <w:rsid w:val="7FAF2DF8"/>
    <w:rsid w:val="7FD665D7"/>
    <w:rsid w:val="7FDD34C2"/>
    <w:rsid w:val="7FE505C8"/>
    <w:rsid w:val="7FFB7DEC"/>
    <w:rsid w:val="7FFC4D5A"/>
    <w:rsid w:val="7FFF4D6E"/>
    <w:rsid w:val="96ED6041"/>
    <w:rsid w:val="A5FFDC41"/>
    <w:rsid w:val="DFF7C2A8"/>
    <w:rsid w:val="FB7F8AA2"/>
    <w:rsid w:val="FFBD4FA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nhideWhenUsed="0" w:uiPriority="9" w:semiHidden="0" w:name="heading 5"/>
    <w:lsdException w:qFormat="1" w:uiPriority="9" w:name="heading 6"/>
    <w:lsdException w:qFormat="1" w:uiPriority="9"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iPriority="99" w:semiHidden="0" w:name="page number"/>
    <w:lsdException w:qFormat="1" w:uiPriority="99" w:semiHidden="0"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uiPriority="99" w:name="List Bullet"/>
    <w:lsdException w:qFormat="1" w:uiPriority="99"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qFormat="1" w:uiPriority="99" w:semiHidden="0" w:name="Body Text First Indent 2"/>
    <w:lsdException w:uiPriority="99" w:name="Note Heading"/>
    <w:lsdException w:uiPriority="99"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99" w:semiHidden="0" w:name="Plain Text"/>
    <w:lsdException w:uiPriority="99" w:name="E-mail Signature"/>
    <w:lsdException w:qFormat="1" w:uiPriority="99"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9"/>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48"/>
    <w:qFormat/>
    <w:uiPriority w:val="9"/>
    <w:pPr>
      <w:keepNext/>
      <w:keepLines/>
      <w:spacing w:before="260" w:after="260" w:line="416" w:lineRule="auto"/>
      <w:outlineLvl w:val="1"/>
    </w:pPr>
    <w:rPr>
      <w:rFonts w:ascii="Cambria" w:hAnsi="Cambria"/>
      <w:b/>
      <w:bCs/>
      <w:sz w:val="32"/>
      <w:szCs w:val="32"/>
    </w:rPr>
  </w:style>
  <w:style w:type="paragraph" w:styleId="5">
    <w:name w:val="heading 3"/>
    <w:basedOn w:val="1"/>
    <w:next w:val="1"/>
    <w:link w:val="50"/>
    <w:qFormat/>
    <w:uiPriority w:val="9"/>
    <w:pPr>
      <w:keepNext/>
      <w:keepLines/>
      <w:spacing w:before="260" w:after="260" w:line="416" w:lineRule="auto"/>
      <w:outlineLvl w:val="2"/>
    </w:pPr>
    <w:rPr>
      <w:b/>
      <w:bCs/>
      <w:sz w:val="32"/>
      <w:szCs w:val="32"/>
    </w:rPr>
  </w:style>
  <w:style w:type="paragraph" w:styleId="6">
    <w:name w:val="heading 4"/>
    <w:basedOn w:val="1"/>
    <w:next w:val="7"/>
    <w:qFormat/>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7"/>
    <w:link w:val="51"/>
    <w:qFormat/>
    <w:uiPriority w:val="9"/>
    <w:pPr>
      <w:keepNext/>
      <w:keepLines/>
      <w:spacing w:before="280" w:after="290" w:line="376" w:lineRule="auto"/>
      <w:outlineLvl w:val="4"/>
    </w:pPr>
    <w:rPr>
      <w:b/>
      <w:bCs/>
      <w:sz w:val="28"/>
      <w:szCs w:val="28"/>
    </w:rPr>
  </w:style>
  <w:style w:type="paragraph" w:styleId="9">
    <w:name w:val="heading 8"/>
    <w:basedOn w:val="1"/>
    <w:next w:val="1"/>
    <w:link w:val="52"/>
    <w:qFormat/>
    <w:uiPriority w:val="9"/>
    <w:pPr>
      <w:keepNext/>
      <w:keepLines/>
      <w:spacing w:before="240" w:after="64" w:line="320" w:lineRule="auto"/>
      <w:outlineLvl w:val="7"/>
    </w:pPr>
    <w:rPr>
      <w:rFonts w:ascii="等线 Light" w:hAnsi="等线 Light" w:eastAsia="等线 Light"/>
      <w:sz w:val="24"/>
    </w:rPr>
  </w:style>
  <w:style w:type="paragraph" w:styleId="10">
    <w:name w:val="heading 9"/>
    <w:basedOn w:val="1"/>
    <w:next w:val="1"/>
    <w:link w:val="53"/>
    <w:qFormat/>
    <w:uiPriority w:val="9"/>
    <w:pPr>
      <w:keepNext/>
      <w:keepLines/>
      <w:spacing w:before="240" w:after="64" w:line="320" w:lineRule="auto"/>
      <w:outlineLvl w:val="8"/>
    </w:pPr>
    <w:rPr>
      <w:rFonts w:ascii="Cambria" w:hAnsi="Cambria"/>
      <w:szCs w:val="21"/>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footer"/>
    <w:basedOn w:val="1"/>
    <w:next w:val="1"/>
    <w:link w:val="61"/>
    <w:unhideWhenUsed/>
    <w:qFormat/>
    <w:uiPriority w:val="99"/>
    <w:pPr>
      <w:tabs>
        <w:tab w:val="center" w:pos="4153"/>
        <w:tab w:val="right" w:pos="8306"/>
      </w:tabs>
      <w:snapToGrid w:val="0"/>
      <w:jc w:val="left"/>
    </w:pPr>
    <w:rPr>
      <w:kern w:val="0"/>
      <w:sz w:val="18"/>
      <w:szCs w:val="18"/>
    </w:rPr>
  </w:style>
  <w:style w:type="paragraph" w:styleId="7">
    <w:name w:val="Normal Indent"/>
    <w:basedOn w:val="1"/>
    <w:qFormat/>
    <w:uiPriority w:val="0"/>
    <w:pPr>
      <w:ind w:firstLine="420"/>
    </w:pPr>
    <w:rPr>
      <w:szCs w:val="20"/>
    </w:rPr>
  </w:style>
  <w:style w:type="paragraph" w:styleId="11">
    <w:name w:val="index 8"/>
    <w:basedOn w:val="1"/>
    <w:next w:val="1"/>
    <w:qFormat/>
    <w:uiPriority w:val="0"/>
    <w:pPr>
      <w:ind w:left="2940"/>
    </w:pPr>
  </w:style>
  <w:style w:type="paragraph" w:styleId="12">
    <w:name w:val="List Number"/>
    <w:basedOn w:val="1"/>
    <w:unhideWhenUsed/>
    <w:qFormat/>
    <w:uiPriority w:val="99"/>
    <w:pPr>
      <w:widowControl/>
      <w:tabs>
        <w:tab w:val="left" w:pos="454"/>
        <w:tab w:val="left" w:pos="720"/>
        <w:tab w:val="left" w:pos="840"/>
      </w:tabs>
      <w:spacing w:afterLines="50"/>
      <w:ind w:left="454" w:hanging="284"/>
      <w:jc w:val="left"/>
    </w:pPr>
    <w:rPr>
      <w:kern w:val="0"/>
      <w:sz w:val="24"/>
      <w:szCs w:val="20"/>
    </w:rPr>
  </w:style>
  <w:style w:type="paragraph" w:styleId="13">
    <w:name w:val="Document Map"/>
    <w:basedOn w:val="1"/>
    <w:link w:val="127"/>
    <w:semiHidden/>
    <w:unhideWhenUsed/>
    <w:qFormat/>
    <w:uiPriority w:val="99"/>
    <w:rPr>
      <w:rFonts w:ascii="宋体"/>
      <w:sz w:val="18"/>
      <w:szCs w:val="18"/>
    </w:rPr>
  </w:style>
  <w:style w:type="paragraph" w:styleId="14">
    <w:name w:val="annotation text"/>
    <w:basedOn w:val="1"/>
    <w:link w:val="54"/>
    <w:qFormat/>
    <w:uiPriority w:val="99"/>
    <w:pPr>
      <w:jc w:val="left"/>
    </w:pPr>
  </w:style>
  <w:style w:type="paragraph" w:styleId="15">
    <w:name w:val="Body Text 3"/>
    <w:basedOn w:val="1"/>
    <w:link w:val="55"/>
    <w:unhideWhenUsed/>
    <w:qFormat/>
    <w:uiPriority w:val="99"/>
    <w:pPr>
      <w:spacing w:after="120"/>
    </w:pPr>
    <w:rPr>
      <w:sz w:val="16"/>
      <w:szCs w:val="16"/>
    </w:rPr>
  </w:style>
  <w:style w:type="paragraph" w:styleId="16">
    <w:name w:val="Body Text"/>
    <w:basedOn w:val="1"/>
    <w:next w:val="1"/>
    <w:link w:val="56"/>
    <w:unhideWhenUsed/>
    <w:qFormat/>
    <w:uiPriority w:val="99"/>
    <w:pPr>
      <w:spacing w:after="120"/>
    </w:pPr>
  </w:style>
  <w:style w:type="paragraph" w:styleId="17">
    <w:name w:val="Body Text Indent"/>
    <w:basedOn w:val="1"/>
    <w:link w:val="57"/>
    <w:unhideWhenUsed/>
    <w:qFormat/>
    <w:uiPriority w:val="99"/>
    <w:pPr>
      <w:ind w:firstLine="830" w:firstLineChars="352"/>
    </w:pPr>
    <w:rPr>
      <w:rFonts w:ascii="仿宋_GB2312" w:eastAsia="仿宋_GB2312"/>
      <w:kern w:val="0"/>
      <w:sz w:val="32"/>
      <w:szCs w:val="20"/>
    </w:rPr>
  </w:style>
  <w:style w:type="paragraph" w:styleId="18">
    <w:name w:val="List 2"/>
    <w:basedOn w:val="1"/>
    <w:unhideWhenUsed/>
    <w:qFormat/>
    <w:uiPriority w:val="99"/>
    <w:pPr>
      <w:ind w:left="100" w:leftChars="200" w:hanging="200" w:hangingChars="200"/>
      <w:contextualSpacing/>
    </w:pPr>
  </w:style>
  <w:style w:type="paragraph" w:styleId="19">
    <w:name w:val="toc 3"/>
    <w:basedOn w:val="1"/>
    <w:next w:val="1"/>
    <w:unhideWhenUsed/>
    <w:qFormat/>
    <w:uiPriority w:val="39"/>
    <w:pPr>
      <w:ind w:left="840" w:leftChars="400"/>
    </w:pPr>
  </w:style>
  <w:style w:type="paragraph" w:styleId="20">
    <w:name w:val="Plain Text"/>
    <w:basedOn w:val="1"/>
    <w:next w:val="6"/>
    <w:link w:val="58"/>
    <w:qFormat/>
    <w:uiPriority w:val="99"/>
    <w:rPr>
      <w:rFonts w:ascii="宋体" w:hAnsi="Courier New"/>
      <w:kern w:val="0"/>
      <w:sz w:val="20"/>
      <w:szCs w:val="21"/>
    </w:rPr>
  </w:style>
  <w:style w:type="paragraph" w:styleId="21">
    <w:name w:val="Date"/>
    <w:basedOn w:val="1"/>
    <w:next w:val="1"/>
    <w:link w:val="59"/>
    <w:unhideWhenUsed/>
    <w:qFormat/>
    <w:uiPriority w:val="99"/>
    <w:pPr>
      <w:ind w:left="100" w:leftChars="2500"/>
    </w:pPr>
  </w:style>
  <w:style w:type="paragraph" w:styleId="22">
    <w:name w:val="Balloon Text"/>
    <w:basedOn w:val="1"/>
    <w:link w:val="60"/>
    <w:unhideWhenUsed/>
    <w:qFormat/>
    <w:uiPriority w:val="99"/>
    <w:rPr>
      <w:sz w:val="18"/>
      <w:szCs w:val="18"/>
    </w:rPr>
  </w:style>
  <w:style w:type="paragraph" w:styleId="23">
    <w:name w:val="header"/>
    <w:basedOn w:val="1"/>
    <w:link w:val="62"/>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4">
    <w:name w:val="toc 1"/>
    <w:basedOn w:val="1"/>
    <w:next w:val="1"/>
    <w:unhideWhenUsed/>
    <w:qFormat/>
    <w:uiPriority w:val="39"/>
  </w:style>
  <w:style w:type="paragraph" w:styleId="25">
    <w:name w:val="List"/>
    <w:basedOn w:val="1"/>
    <w:unhideWhenUsed/>
    <w:qFormat/>
    <w:uiPriority w:val="99"/>
    <w:pPr>
      <w:ind w:left="200" w:hanging="200" w:hangingChars="200"/>
      <w:contextualSpacing/>
    </w:pPr>
  </w:style>
  <w:style w:type="paragraph" w:styleId="26">
    <w:name w:val="toc 2"/>
    <w:basedOn w:val="1"/>
    <w:next w:val="1"/>
    <w:unhideWhenUsed/>
    <w:qFormat/>
    <w:uiPriority w:val="39"/>
    <w:pPr>
      <w:tabs>
        <w:tab w:val="right" w:leader="dot" w:pos="8296"/>
      </w:tabs>
      <w:ind w:left="420" w:leftChars="200"/>
    </w:pPr>
  </w:style>
  <w:style w:type="paragraph" w:styleId="27">
    <w:name w:val="Normal (Web)"/>
    <w:basedOn w:val="1"/>
    <w:unhideWhenUsed/>
    <w:qFormat/>
    <w:uiPriority w:val="99"/>
    <w:rPr>
      <w:rFonts w:ascii="Calibri" w:hAnsi="Calibri"/>
      <w:kern w:val="0"/>
      <w:sz w:val="24"/>
    </w:rPr>
  </w:style>
  <w:style w:type="paragraph" w:styleId="28">
    <w:name w:val="Title"/>
    <w:basedOn w:val="1"/>
    <w:link w:val="63"/>
    <w:qFormat/>
    <w:uiPriority w:val="10"/>
    <w:pPr>
      <w:widowControl/>
      <w:overflowPunct w:val="0"/>
      <w:autoSpaceDE w:val="0"/>
      <w:autoSpaceDN w:val="0"/>
      <w:adjustRightInd w:val="0"/>
      <w:jc w:val="center"/>
      <w:textAlignment w:val="baseline"/>
    </w:pPr>
    <w:rPr>
      <w:rFonts w:ascii="Cambria" w:hAnsi="Cambria"/>
      <w:b/>
      <w:bCs/>
      <w:sz w:val="32"/>
      <w:szCs w:val="32"/>
    </w:rPr>
  </w:style>
  <w:style w:type="paragraph" w:styleId="29">
    <w:name w:val="annotation subject"/>
    <w:basedOn w:val="14"/>
    <w:next w:val="14"/>
    <w:link w:val="64"/>
    <w:unhideWhenUsed/>
    <w:qFormat/>
    <w:uiPriority w:val="99"/>
    <w:rPr>
      <w:b/>
      <w:bCs/>
    </w:rPr>
  </w:style>
  <w:style w:type="paragraph" w:styleId="30">
    <w:name w:val="Body Text First Indent 2"/>
    <w:basedOn w:val="17"/>
    <w:link w:val="65"/>
    <w:unhideWhenUsed/>
    <w:qFormat/>
    <w:uiPriority w:val="99"/>
    <w:pPr>
      <w:spacing w:after="120"/>
      <w:ind w:left="420" w:leftChars="200" w:firstLine="420" w:firstLineChars="200"/>
    </w:pPr>
    <w:rPr>
      <w:rFonts w:ascii="Times New Roman" w:eastAsia="宋体"/>
      <w:kern w:val="2"/>
      <w:sz w:val="21"/>
      <w:szCs w:val="24"/>
    </w:rPr>
  </w:style>
  <w:style w:type="table" w:styleId="32">
    <w:name w:val="Table Grid"/>
    <w:basedOn w:val="31"/>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4">
    <w:name w:val="Strong"/>
    <w:qFormat/>
    <w:uiPriority w:val="22"/>
    <w:rPr>
      <w:rFonts w:ascii="Times New Roman" w:hAnsi="Times New Roman" w:eastAsia="宋体" w:cs="Times New Roman"/>
      <w:b/>
      <w:bCs/>
    </w:rPr>
  </w:style>
  <w:style w:type="character" w:styleId="35">
    <w:name w:val="endnote reference"/>
    <w:unhideWhenUsed/>
    <w:qFormat/>
    <w:uiPriority w:val="99"/>
    <w:rPr>
      <w:vertAlign w:val="superscript"/>
    </w:rPr>
  </w:style>
  <w:style w:type="character" w:styleId="36">
    <w:name w:val="page number"/>
    <w:basedOn w:val="33"/>
    <w:unhideWhenUsed/>
    <w:qFormat/>
    <w:uiPriority w:val="99"/>
    <w:rPr>
      <w:rFonts w:ascii="Arial" w:hAnsi="Arial" w:eastAsia="黑体" w:cs="Arial"/>
      <w:snapToGrid w:val="0"/>
      <w:kern w:val="0"/>
      <w:szCs w:val="21"/>
    </w:rPr>
  </w:style>
  <w:style w:type="character" w:styleId="37">
    <w:name w:val="FollowedHyperlink"/>
    <w:unhideWhenUsed/>
    <w:qFormat/>
    <w:uiPriority w:val="99"/>
    <w:rPr>
      <w:color w:val="800080"/>
      <w:u w:val="single"/>
    </w:rPr>
  </w:style>
  <w:style w:type="character" w:styleId="38">
    <w:name w:val="HTML Definition"/>
    <w:unhideWhenUsed/>
    <w:qFormat/>
    <w:uiPriority w:val="99"/>
    <w:rPr>
      <w:rFonts w:ascii="Times New Roman" w:hAnsi="Times New Roman" w:eastAsia="宋体" w:cs="Times New Roman"/>
      <w:i/>
      <w:iCs/>
    </w:rPr>
  </w:style>
  <w:style w:type="character" w:styleId="39">
    <w:name w:val="HTML Acronym"/>
    <w:unhideWhenUsed/>
    <w:qFormat/>
    <w:uiPriority w:val="99"/>
    <w:rPr>
      <w:rFonts w:ascii="Times New Roman" w:hAnsi="Times New Roman" w:eastAsia="宋体" w:cs="Times New Roman"/>
    </w:rPr>
  </w:style>
  <w:style w:type="character" w:styleId="40">
    <w:name w:val="HTML Variable"/>
    <w:unhideWhenUsed/>
    <w:qFormat/>
    <w:uiPriority w:val="99"/>
    <w:rPr>
      <w:rFonts w:ascii="Times New Roman" w:hAnsi="Times New Roman" w:eastAsia="宋体" w:cs="Times New Roman"/>
    </w:rPr>
  </w:style>
  <w:style w:type="character" w:styleId="41">
    <w:name w:val="Hyperlink"/>
    <w:unhideWhenUsed/>
    <w:qFormat/>
    <w:uiPriority w:val="99"/>
    <w:rPr>
      <w:color w:val="0000FF"/>
      <w:u w:val="single"/>
    </w:rPr>
  </w:style>
  <w:style w:type="character" w:styleId="42">
    <w:name w:val="HTML Code"/>
    <w:unhideWhenUsed/>
    <w:qFormat/>
    <w:uiPriority w:val="99"/>
    <w:rPr>
      <w:rFonts w:hint="default" w:ascii="serif" w:hAnsi="serif" w:eastAsia="serif" w:cs="serif"/>
      <w:sz w:val="21"/>
      <w:szCs w:val="21"/>
    </w:rPr>
  </w:style>
  <w:style w:type="character" w:styleId="43">
    <w:name w:val="annotation reference"/>
    <w:unhideWhenUsed/>
    <w:qFormat/>
    <w:uiPriority w:val="99"/>
    <w:rPr>
      <w:sz w:val="21"/>
      <w:szCs w:val="21"/>
    </w:rPr>
  </w:style>
  <w:style w:type="character" w:styleId="44">
    <w:name w:val="HTML Cite"/>
    <w:unhideWhenUsed/>
    <w:qFormat/>
    <w:uiPriority w:val="99"/>
    <w:rPr>
      <w:rFonts w:ascii="Times New Roman" w:hAnsi="Times New Roman" w:eastAsia="宋体" w:cs="Times New Roman"/>
    </w:rPr>
  </w:style>
  <w:style w:type="character" w:styleId="45">
    <w:name w:val="HTML Keyboard"/>
    <w:unhideWhenUsed/>
    <w:qFormat/>
    <w:uiPriority w:val="99"/>
    <w:rPr>
      <w:rFonts w:hint="default" w:ascii="serif" w:hAnsi="serif" w:eastAsia="serif" w:cs="serif"/>
      <w:sz w:val="21"/>
      <w:szCs w:val="21"/>
    </w:rPr>
  </w:style>
  <w:style w:type="character" w:styleId="46">
    <w:name w:val="HTML Sample"/>
    <w:unhideWhenUsed/>
    <w:qFormat/>
    <w:uiPriority w:val="99"/>
    <w:rPr>
      <w:rFonts w:ascii="serif" w:hAnsi="serif" w:eastAsia="serif" w:cs="serif"/>
      <w:sz w:val="21"/>
      <w:szCs w:val="21"/>
    </w:rPr>
  </w:style>
  <w:style w:type="paragraph" w:customStyle="1" w:styleId="47">
    <w:name w:val="Default"/>
    <w:next w:val="1"/>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48">
    <w:name w:val="标题 2 字符"/>
    <w:link w:val="4"/>
    <w:qFormat/>
    <w:uiPriority w:val="9"/>
    <w:rPr>
      <w:rFonts w:ascii="Cambria" w:hAnsi="Cambria" w:eastAsia="宋体" w:cs="Times New Roman"/>
      <w:b/>
      <w:bCs/>
      <w:kern w:val="2"/>
      <w:sz w:val="32"/>
      <w:szCs w:val="32"/>
    </w:rPr>
  </w:style>
  <w:style w:type="character" w:customStyle="1" w:styleId="49">
    <w:name w:val="标题 1 字符"/>
    <w:link w:val="3"/>
    <w:qFormat/>
    <w:uiPriority w:val="9"/>
    <w:rPr>
      <w:b/>
      <w:bCs/>
      <w:kern w:val="44"/>
      <w:sz w:val="44"/>
      <w:szCs w:val="44"/>
    </w:rPr>
  </w:style>
  <w:style w:type="character" w:customStyle="1" w:styleId="50">
    <w:name w:val="标题 3 字符"/>
    <w:link w:val="5"/>
    <w:qFormat/>
    <w:uiPriority w:val="9"/>
    <w:rPr>
      <w:b/>
      <w:bCs/>
      <w:kern w:val="2"/>
      <w:sz w:val="32"/>
      <w:szCs w:val="32"/>
    </w:rPr>
  </w:style>
  <w:style w:type="character" w:customStyle="1" w:styleId="51">
    <w:name w:val="标题 5 字符"/>
    <w:link w:val="8"/>
    <w:qFormat/>
    <w:uiPriority w:val="9"/>
    <w:rPr>
      <w:rFonts w:ascii="Times New Roman" w:hAnsi="Times New Roman"/>
      <w:b/>
      <w:bCs/>
      <w:kern w:val="2"/>
      <w:sz w:val="28"/>
      <w:szCs w:val="28"/>
    </w:rPr>
  </w:style>
  <w:style w:type="character" w:customStyle="1" w:styleId="52">
    <w:name w:val="标题 8 字符"/>
    <w:link w:val="9"/>
    <w:qFormat/>
    <w:uiPriority w:val="9"/>
    <w:rPr>
      <w:rFonts w:ascii="等线 Light" w:hAnsi="等线 Light" w:eastAsia="等线 Light" w:cs="Times New Roman"/>
      <w:kern w:val="2"/>
      <w:sz w:val="24"/>
      <w:szCs w:val="24"/>
    </w:rPr>
  </w:style>
  <w:style w:type="character" w:customStyle="1" w:styleId="53">
    <w:name w:val="标题 9 字符"/>
    <w:link w:val="10"/>
    <w:qFormat/>
    <w:uiPriority w:val="9"/>
    <w:rPr>
      <w:rFonts w:ascii="Cambria" w:hAnsi="Cambria" w:eastAsia="宋体" w:cs="Times New Roman"/>
      <w:kern w:val="2"/>
      <w:sz w:val="21"/>
      <w:szCs w:val="21"/>
    </w:rPr>
  </w:style>
  <w:style w:type="character" w:customStyle="1" w:styleId="54">
    <w:name w:val="批注文字 字符3"/>
    <w:link w:val="14"/>
    <w:qFormat/>
    <w:uiPriority w:val="99"/>
    <w:rPr>
      <w:rFonts w:ascii="Times New Roman" w:hAnsi="Times New Roman"/>
      <w:kern w:val="2"/>
      <w:sz w:val="21"/>
      <w:szCs w:val="24"/>
    </w:rPr>
  </w:style>
  <w:style w:type="character" w:customStyle="1" w:styleId="55">
    <w:name w:val="正文文本 3 字符"/>
    <w:link w:val="15"/>
    <w:qFormat/>
    <w:uiPriority w:val="99"/>
    <w:rPr>
      <w:kern w:val="2"/>
      <w:sz w:val="16"/>
      <w:szCs w:val="16"/>
    </w:rPr>
  </w:style>
  <w:style w:type="character" w:customStyle="1" w:styleId="56">
    <w:name w:val="正文文本 字符1"/>
    <w:link w:val="16"/>
    <w:qFormat/>
    <w:uiPriority w:val="99"/>
    <w:rPr>
      <w:rFonts w:ascii="Times New Roman" w:hAnsi="Times New Roman"/>
      <w:kern w:val="2"/>
      <w:sz w:val="21"/>
      <w:szCs w:val="24"/>
    </w:rPr>
  </w:style>
  <w:style w:type="character" w:customStyle="1" w:styleId="57">
    <w:name w:val="正文文本缩进 字符1"/>
    <w:link w:val="17"/>
    <w:qFormat/>
    <w:uiPriority w:val="99"/>
    <w:rPr>
      <w:rFonts w:ascii="仿宋_GB2312" w:hAnsi="Times New Roman" w:eastAsia="仿宋_GB2312" w:cs="Times New Roman"/>
      <w:sz w:val="32"/>
      <w:szCs w:val="20"/>
    </w:rPr>
  </w:style>
  <w:style w:type="character" w:customStyle="1" w:styleId="58">
    <w:name w:val="纯文本 字符3"/>
    <w:link w:val="20"/>
    <w:qFormat/>
    <w:uiPriority w:val="99"/>
    <w:rPr>
      <w:rFonts w:ascii="宋体" w:hAnsi="Courier New" w:eastAsia="宋体" w:cs="Courier New"/>
      <w:szCs w:val="21"/>
    </w:rPr>
  </w:style>
  <w:style w:type="character" w:customStyle="1" w:styleId="59">
    <w:name w:val="日期 字符"/>
    <w:link w:val="21"/>
    <w:qFormat/>
    <w:uiPriority w:val="99"/>
    <w:rPr>
      <w:rFonts w:ascii="Times New Roman" w:hAnsi="Times New Roman"/>
      <w:kern w:val="2"/>
      <w:sz w:val="21"/>
      <w:szCs w:val="24"/>
    </w:rPr>
  </w:style>
  <w:style w:type="character" w:customStyle="1" w:styleId="60">
    <w:name w:val="批注框文本 字符"/>
    <w:link w:val="22"/>
    <w:semiHidden/>
    <w:qFormat/>
    <w:uiPriority w:val="99"/>
    <w:rPr>
      <w:kern w:val="2"/>
      <w:sz w:val="18"/>
      <w:szCs w:val="18"/>
    </w:rPr>
  </w:style>
  <w:style w:type="character" w:customStyle="1" w:styleId="61">
    <w:name w:val="页脚 字符"/>
    <w:link w:val="2"/>
    <w:qFormat/>
    <w:uiPriority w:val="99"/>
    <w:rPr>
      <w:sz w:val="18"/>
      <w:szCs w:val="18"/>
    </w:rPr>
  </w:style>
  <w:style w:type="character" w:customStyle="1" w:styleId="62">
    <w:name w:val="页眉 字符1"/>
    <w:link w:val="23"/>
    <w:qFormat/>
    <w:uiPriority w:val="99"/>
    <w:rPr>
      <w:sz w:val="18"/>
      <w:szCs w:val="18"/>
    </w:rPr>
  </w:style>
  <w:style w:type="character" w:customStyle="1" w:styleId="63">
    <w:name w:val="标题 字符"/>
    <w:link w:val="28"/>
    <w:qFormat/>
    <w:uiPriority w:val="10"/>
    <w:rPr>
      <w:rFonts w:ascii="Cambria" w:hAnsi="Cambria" w:cs="Times New Roman"/>
      <w:b/>
      <w:bCs/>
      <w:kern w:val="2"/>
      <w:sz w:val="32"/>
      <w:szCs w:val="32"/>
    </w:rPr>
  </w:style>
  <w:style w:type="character" w:customStyle="1" w:styleId="64">
    <w:name w:val="批注主题 字符"/>
    <w:link w:val="29"/>
    <w:qFormat/>
    <w:uiPriority w:val="99"/>
    <w:rPr>
      <w:rFonts w:ascii="Times New Roman" w:hAnsi="Times New Roman"/>
      <w:b/>
      <w:bCs/>
      <w:kern w:val="2"/>
      <w:sz w:val="21"/>
      <w:szCs w:val="24"/>
    </w:rPr>
  </w:style>
  <w:style w:type="character" w:customStyle="1" w:styleId="65">
    <w:name w:val="正文首行缩进 2 字符4"/>
    <w:link w:val="30"/>
    <w:qFormat/>
    <w:uiPriority w:val="99"/>
    <w:rPr>
      <w:kern w:val="2"/>
      <w:sz w:val="21"/>
      <w:szCs w:val="24"/>
    </w:rPr>
  </w:style>
  <w:style w:type="character" w:customStyle="1" w:styleId="66">
    <w:name w:val="批注文字 Char"/>
    <w:qFormat/>
    <w:uiPriority w:val="0"/>
    <w:rPr>
      <w:rFonts w:ascii="Times New Roman" w:hAnsi="Times New Roman"/>
      <w:kern w:val="2"/>
      <w:sz w:val="21"/>
      <w:szCs w:val="24"/>
    </w:rPr>
  </w:style>
  <w:style w:type="character" w:customStyle="1" w:styleId="67">
    <w:name w:val="纯文本 Char"/>
    <w:qFormat/>
    <w:uiPriority w:val="0"/>
    <w:rPr>
      <w:rFonts w:ascii="宋体" w:hAnsi="Courier New" w:eastAsia="宋体" w:cs="Courier New"/>
      <w:kern w:val="2"/>
      <w:sz w:val="21"/>
      <w:szCs w:val="21"/>
    </w:rPr>
  </w:style>
  <w:style w:type="character" w:customStyle="1" w:styleId="68">
    <w:name w:val="页脚 Char"/>
    <w:qFormat/>
    <w:uiPriority w:val="99"/>
    <w:rPr>
      <w:sz w:val="18"/>
      <w:szCs w:val="18"/>
    </w:rPr>
  </w:style>
  <w:style w:type="character" w:customStyle="1" w:styleId="69">
    <w:name w:val="页眉 Char"/>
    <w:qFormat/>
    <w:uiPriority w:val="99"/>
    <w:rPr>
      <w:lang w:eastAsia="zh-CN"/>
    </w:rPr>
  </w:style>
  <w:style w:type="character" w:customStyle="1" w:styleId="70">
    <w:name w:val="批注文字 Char1"/>
    <w:qFormat/>
    <w:uiPriority w:val="0"/>
    <w:rPr>
      <w:kern w:val="2"/>
      <w:sz w:val="21"/>
      <w:szCs w:val="24"/>
    </w:rPr>
  </w:style>
  <w:style w:type="character" w:customStyle="1" w:styleId="71">
    <w:name w:val="标题 Char1"/>
    <w:qFormat/>
    <w:uiPriority w:val="0"/>
    <w:rPr>
      <w:rFonts w:ascii="Calibri" w:hAnsi="Calibri"/>
      <w:b/>
      <w:sz w:val="24"/>
      <w:lang w:val="en-GB"/>
    </w:rPr>
  </w:style>
  <w:style w:type="character" w:customStyle="1" w:styleId="72">
    <w:name w:val="标题 8 Char"/>
    <w:qFormat/>
    <w:uiPriority w:val="0"/>
    <w:rPr>
      <w:rFonts w:ascii="Arial" w:hAnsi="Arial" w:eastAsia="黑体"/>
      <w:kern w:val="2"/>
      <w:sz w:val="24"/>
      <w:szCs w:val="24"/>
    </w:rPr>
  </w:style>
  <w:style w:type="character" w:customStyle="1" w:styleId="73">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74">
    <w:name w:val="正文文本 字符"/>
    <w:qFormat/>
    <w:uiPriority w:val="99"/>
    <w:rPr>
      <w:rFonts w:ascii="Times New Roman" w:hAnsi="Times New Roman"/>
      <w:kern w:val="2"/>
      <w:sz w:val="21"/>
      <w:szCs w:val="24"/>
    </w:rPr>
  </w:style>
  <w:style w:type="character" w:customStyle="1" w:styleId="75">
    <w:name w:val="纯文本 Char11"/>
    <w:qFormat/>
    <w:uiPriority w:val="0"/>
    <w:rPr>
      <w:rFonts w:ascii="宋体" w:hAnsi="Courier New" w:eastAsia="宋体" w:cs="Courier New"/>
      <w:szCs w:val="21"/>
    </w:rPr>
  </w:style>
  <w:style w:type="character" w:customStyle="1" w:styleId="76">
    <w:name w:val="正文文本 Char"/>
    <w:qFormat/>
    <w:uiPriority w:val="0"/>
    <w:rPr>
      <w:rFonts w:ascii="Times New Roman" w:hAnsi="Times New Roman"/>
      <w:kern w:val="2"/>
      <w:sz w:val="21"/>
      <w:szCs w:val="24"/>
    </w:rPr>
  </w:style>
  <w:style w:type="character" w:customStyle="1" w:styleId="77">
    <w:name w:val="批注文字 字符1"/>
    <w:qFormat/>
    <w:uiPriority w:val="0"/>
    <w:rPr>
      <w:rFonts w:ascii="Times New Roman" w:hAnsi="Times New Roman"/>
      <w:kern w:val="2"/>
      <w:sz w:val="21"/>
      <w:szCs w:val="24"/>
    </w:rPr>
  </w:style>
  <w:style w:type="character" w:customStyle="1" w:styleId="78">
    <w:name w:val="标题 2 Char"/>
    <w:qFormat/>
    <w:uiPriority w:val="9"/>
    <w:rPr>
      <w:rFonts w:ascii="Cambria" w:hAnsi="Cambria" w:eastAsia="宋体" w:cs="Times New Roman"/>
      <w:b/>
      <w:bCs/>
      <w:kern w:val="2"/>
      <w:sz w:val="32"/>
      <w:szCs w:val="32"/>
    </w:rPr>
  </w:style>
  <w:style w:type="character" w:customStyle="1" w:styleId="79">
    <w:name w:val="批注文字 字符"/>
    <w:qFormat/>
    <w:uiPriority w:val="99"/>
    <w:rPr>
      <w:rFonts w:ascii="Times New Roman" w:hAnsi="Times New Roman"/>
      <w:kern w:val="2"/>
      <w:sz w:val="21"/>
      <w:szCs w:val="24"/>
    </w:rPr>
  </w:style>
  <w:style w:type="character" w:customStyle="1" w:styleId="80">
    <w:name w:val="_Style 78"/>
    <w:unhideWhenUsed/>
    <w:qFormat/>
    <w:uiPriority w:val="99"/>
    <w:rPr>
      <w:color w:val="605E5C"/>
      <w:shd w:val="clear" w:color="auto" w:fill="E1DFDD"/>
    </w:rPr>
  </w:style>
  <w:style w:type="character" w:customStyle="1" w:styleId="81">
    <w:name w:val="apple-style-span"/>
    <w:qFormat/>
    <w:uiPriority w:val="0"/>
  </w:style>
  <w:style w:type="character" w:customStyle="1" w:styleId="82">
    <w:name w:val="纯文本 字符2"/>
    <w:qFormat/>
    <w:uiPriority w:val="0"/>
    <w:rPr>
      <w:rFonts w:ascii="宋体" w:hAnsi="Courier New" w:eastAsia="宋体" w:cs="Courier New"/>
      <w:szCs w:val="21"/>
    </w:rPr>
  </w:style>
  <w:style w:type="character" w:customStyle="1" w:styleId="83">
    <w:name w:val="textcontents"/>
    <w:qFormat/>
    <w:uiPriority w:val="0"/>
  </w:style>
  <w:style w:type="character" w:customStyle="1" w:styleId="84">
    <w:name w:val="纯文本 字符1"/>
    <w:qFormat/>
    <w:uiPriority w:val="0"/>
    <w:rPr>
      <w:rFonts w:ascii="宋体" w:hAnsi="Courier New"/>
    </w:rPr>
  </w:style>
  <w:style w:type="character" w:customStyle="1" w:styleId="85">
    <w:name w:val="标题 1 字符1"/>
    <w:qFormat/>
    <w:uiPriority w:val="0"/>
    <w:rPr>
      <w:b/>
      <w:bCs/>
      <w:kern w:val="44"/>
      <w:sz w:val="44"/>
      <w:szCs w:val="44"/>
    </w:rPr>
  </w:style>
  <w:style w:type="character" w:customStyle="1" w:styleId="86">
    <w:name w:val="纯文本 字符"/>
    <w:qFormat/>
    <w:uiPriority w:val="0"/>
    <w:rPr>
      <w:rFonts w:ascii="宋体" w:hAnsi="Courier New" w:eastAsia="宋体" w:cs="Courier New"/>
      <w:szCs w:val="21"/>
    </w:rPr>
  </w:style>
  <w:style w:type="paragraph" w:customStyle="1" w:styleId="87">
    <w:name w:val="Char Char Char Char"/>
    <w:basedOn w:val="1"/>
    <w:qFormat/>
    <w:uiPriority w:val="99"/>
    <w:pPr>
      <w:widowControl/>
      <w:spacing w:after="160" w:line="240" w:lineRule="exact"/>
      <w:jc w:val="left"/>
    </w:pPr>
  </w:style>
  <w:style w:type="paragraph" w:customStyle="1" w:styleId="88">
    <w:name w:val="默认段落字体 Para Char Char Char Char Char Char Char Char Char1 Char Char Char Char"/>
    <w:basedOn w:val="1"/>
    <w:qFormat/>
    <w:uiPriority w:val="99"/>
    <w:rPr>
      <w:rFonts w:ascii="Tahoma" w:hAnsi="Tahoma"/>
      <w:sz w:val="24"/>
      <w:szCs w:val="20"/>
    </w:rPr>
  </w:style>
  <w:style w:type="paragraph" w:styleId="89">
    <w:name w:val="List Paragraph"/>
    <w:basedOn w:val="1"/>
    <w:qFormat/>
    <w:uiPriority w:val="34"/>
    <w:pPr>
      <w:ind w:firstLine="420" w:firstLineChars="200"/>
    </w:pPr>
  </w:style>
  <w:style w:type="paragraph" w:customStyle="1" w:styleId="90">
    <w:name w:val="_Style 88"/>
    <w:basedOn w:val="3"/>
    <w:next w:val="1"/>
    <w:qFormat/>
    <w:uiPriority w:val="39"/>
    <w:pPr>
      <w:widowControl/>
      <w:spacing w:before="240" w:after="0" w:line="259" w:lineRule="auto"/>
      <w:jc w:val="left"/>
      <w:outlineLvl w:val="9"/>
    </w:pPr>
    <w:rPr>
      <w:rFonts w:ascii="等线 Light" w:hAnsi="等线 Light" w:eastAsia="等线 Light"/>
      <w:b w:val="0"/>
      <w:bCs w:val="0"/>
      <w:color w:val="2F5496"/>
      <w:kern w:val="0"/>
      <w:sz w:val="32"/>
      <w:szCs w:val="32"/>
    </w:rPr>
  </w:style>
  <w:style w:type="paragraph" w:customStyle="1" w:styleId="91">
    <w:name w:val="表内文字"/>
    <w:basedOn w:val="1"/>
    <w:qFormat/>
    <w:uiPriority w:val="99"/>
    <w:pPr>
      <w:snapToGrid w:val="0"/>
      <w:spacing w:before="50" w:after="50"/>
      <w:jc w:val="center"/>
    </w:pPr>
    <w:rPr>
      <w:rFonts w:ascii="仿宋_GB2312" w:hAnsi="宋体" w:eastAsia="仿宋_GB2312"/>
      <w:b/>
      <w:color w:val="000000"/>
      <w:sz w:val="32"/>
      <w:szCs w:val="32"/>
    </w:rPr>
  </w:style>
  <w:style w:type="paragraph" w:customStyle="1" w:styleId="92">
    <w:name w:val="Table Paragraph"/>
    <w:basedOn w:val="1"/>
    <w:qFormat/>
    <w:uiPriority w:val="1"/>
    <w:pPr>
      <w:jc w:val="left"/>
    </w:pPr>
    <w:rPr>
      <w:rFonts w:ascii="Calibri" w:hAnsi="Calibri"/>
      <w:kern w:val="0"/>
      <w:sz w:val="22"/>
      <w:szCs w:val="22"/>
      <w:lang w:eastAsia="en-US"/>
    </w:rPr>
  </w:style>
  <w:style w:type="character" w:customStyle="1" w:styleId="93">
    <w:name w:val="正文文本缩进 字符"/>
    <w:qFormat/>
    <w:uiPriority w:val="99"/>
    <w:rPr>
      <w:rFonts w:ascii="仿宋_GB2312" w:hAnsi="Times New Roman" w:eastAsia="仿宋_GB2312" w:cs="Times New Roman"/>
      <w:sz w:val="32"/>
      <w:szCs w:val="20"/>
    </w:rPr>
  </w:style>
  <w:style w:type="character" w:customStyle="1" w:styleId="94">
    <w:name w:val="正文2 Char Char"/>
    <w:link w:val="95"/>
    <w:qFormat/>
    <w:uiPriority w:val="0"/>
    <w:rPr>
      <w:sz w:val="24"/>
    </w:rPr>
  </w:style>
  <w:style w:type="paragraph" w:customStyle="1" w:styleId="95">
    <w:name w:val="正文2"/>
    <w:basedOn w:val="1"/>
    <w:link w:val="94"/>
    <w:qFormat/>
    <w:uiPriority w:val="0"/>
    <w:pPr>
      <w:adjustRightInd w:val="0"/>
      <w:spacing w:before="156" w:line="360" w:lineRule="auto"/>
      <w:ind w:firstLine="510" w:firstLineChars="200"/>
    </w:pPr>
    <w:rPr>
      <w:kern w:val="0"/>
      <w:sz w:val="24"/>
      <w:szCs w:val="20"/>
    </w:rPr>
  </w:style>
  <w:style w:type="character" w:customStyle="1" w:styleId="96">
    <w:name w:val="纯文本 Char2"/>
    <w:qFormat/>
    <w:uiPriority w:val="0"/>
    <w:rPr>
      <w:rFonts w:ascii="宋体" w:hAnsi="Courier New" w:cs="Arial"/>
      <w:snapToGrid w:val="0"/>
      <w:szCs w:val="21"/>
    </w:rPr>
  </w:style>
  <w:style w:type="paragraph" w:customStyle="1" w:styleId="97">
    <w:name w:val="表格文字"/>
    <w:basedOn w:val="1"/>
    <w:next w:val="16"/>
    <w:qFormat/>
    <w:uiPriority w:val="99"/>
    <w:pPr>
      <w:adjustRightInd w:val="0"/>
      <w:spacing w:line="420" w:lineRule="atLeast"/>
      <w:jc w:val="left"/>
      <w:textAlignment w:val="baseline"/>
    </w:pPr>
    <w:rPr>
      <w:kern w:val="0"/>
    </w:rPr>
  </w:style>
  <w:style w:type="paragraph" w:customStyle="1" w:styleId="98">
    <w:name w:val="样式5"/>
    <w:basedOn w:val="1"/>
    <w:qFormat/>
    <w:uiPriority w:val="99"/>
    <w:pPr>
      <w:adjustRightInd w:val="0"/>
      <w:spacing w:line="440" w:lineRule="exact"/>
      <w:ind w:left="2" w:firstLine="480" w:firstLineChars="200"/>
    </w:pPr>
    <w:rPr>
      <w:rFonts w:ascii="仿宋_GB2312" w:hAnsi="仿宋" w:eastAsia="仿宋_GB2312"/>
      <w:sz w:val="24"/>
    </w:rPr>
  </w:style>
  <w:style w:type="paragraph" w:customStyle="1" w:styleId="99">
    <w:name w:val="正文缩进1"/>
    <w:basedOn w:val="1"/>
    <w:next w:val="17"/>
    <w:qFormat/>
    <w:uiPriority w:val="99"/>
    <w:pPr>
      <w:autoSpaceDE w:val="0"/>
      <w:autoSpaceDN w:val="0"/>
      <w:adjustRightInd w:val="0"/>
      <w:snapToGrid w:val="0"/>
      <w:spacing w:after="120" w:line="360" w:lineRule="auto"/>
      <w:ind w:left="420" w:leftChars="200" w:firstLine="480" w:firstLineChars="200"/>
    </w:pPr>
    <w:rPr>
      <w:sz w:val="24"/>
      <w:szCs w:val="21"/>
    </w:rPr>
  </w:style>
  <w:style w:type="character" w:customStyle="1" w:styleId="100">
    <w:name w:val="NormalCharacter"/>
    <w:qFormat/>
    <w:uiPriority w:val="0"/>
  </w:style>
  <w:style w:type="character" w:customStyle="1" w:styleId="101">
    <w:name w:val="正文首行缩进 2 字符"/>
    <w:qFormat/>
    <w:uiPriority w:val="99"/>
    <w:rPr>
      <w:rFonts w:ascii="仿宋_GB2312" w:hAnsi="Times New Roman" w:eastAsia="仿宋_GB2312" w:cs="Times New Roman"/>
      <w:kern w:val="2"/>
      <w:sz w:val="21"/>
      <w:szCs w:val="24"/>
    </w:rPr>
  </w:style>
  <w:style w:type="character" w:customStyle="1" w:styleId="102">
    <w:name w:val="纯文本 Char1"/>
    <w:qFormat/>
    <w:uiPriority w:val="0"/>
    <w:rPr>
      <w:rFonts w:ascii="宋体" w:hAnsi="Courier New" w:eastAsia="宋体" w:cs="Times New Roman"/>
      <w:kern w:val="0"/>
      <w:sz w:val="20"/>
      <w:szCs w:val="21"/>
    </w:rPr>
  </w:style>
  <w:style w:type="paragraph" w:customStyle="1" w:styleId="103">
    <w:name w:val="_Style 93"/>
    <w:basedOn w:val="1"/>
    <w:next w:val="89"/>
    <w:qFormat/>
    <w:uiPriority w:val="99"/>
    <w:pPr>
      <w:ind w:firstLine="420" w:firstLineChars="200"/>
    </w:pPr>
  </w:style>
  <w:style w:type="character" w:customStyle="1" w:styleId="104">
    <w:name w:val="标题 1 Char"/>
    <w:qFormat/>
    <w:uiPriority w:val="9"/>
    <w:rPr>
      <w:b/>
      <w:bCs/>
      <w:kern w:val="44"/>
      <w:sz w:val="44"/>
      <w:szCs w:val="44"/>
    </w:rPr>
  </w:style>
  <w:style w:type="character" w:customStyle="1" w:styleId="105">
    <w:name w:val="标题 2 Char1"/>
    <w:qFormat/>
    <w:uiPriority w:val="9"/>
    <w:rPr>
      <w:rFonts w:ascii="Cambria" w:hAnsi="Cambria"/>
      <w:b/>
      <w:bCs/>
      <w:kern w:val="2"/>
      <w:sz w:val="32"/>
      <w:szCs w:val="32"/>
    </w:rPr>
  </w:style>
  <w:style w:type="character" w:customStyle="1" w:styleId="106">
    <w:name w:val="标题 3 Char"/>
    <w:qFormat/>
    <w:uiPriority w:val="9"/>
    <w:rPr>
      <w:b/>
      <w:bCs/>
      <w:kern w:val="2"/>
      <w:sz w:val="32"/>
      <w:szCs w:val="32"/>
    </w:rPr>
  </w:style>
  <w:style w:type="character" w:customStyle="1" w:styleId="107">
    <w:name w:val="标题 5 Char"/>
    <w:qFormat/>
    <w:uiPriority w:val="9"/>
    <w:rPr>
      <w:b/>
      <w:bCs/>
      <w:kern w:val="2"/>
      <w:sz w:val="28"/>
      <w:szCs w:val="28"/>
    </w:rPr>
  </w:style>
  <w:style w:type="character" w:customStyle="1" w:styleId="108">
    <w:name w:val="标题 8 Char1"/>
    <w:qFormat/>
    <w:uiPriority w:val="9"/>
    <w:rPr>
      <w:rFonts w:ascii="等线 Light" w:hAnsi="等线 Light" w:eastAsia="等线 Light"/>
      <w:kern w:val="2"/>
      <w:sz w:val="24"/>
      <w:szCs w:val="24"/>
    </w:rPr>
  </w:style>
  <w:style w:type="character" w:customStyle="1" w:styleId="109">
    <w:name w:val="正文文本 3 Char"/>
    <w:qFormat/>
    <w:uiPriority w:val="99"/>
    <w:rPr>
      <w:kern w:val="2"/>
      <w:sz w:val="16"/>
      <w:szCs w:val="16"/>
    </w:rPr>
  </w:style>
  <w:style w:type="character" w:customStyle="1" w:styleId="110">
    <w:name w:val="正文文本 Char1"/>
    <w:qFormat/>
    <w:uiPriority w:val="0"/>
    <w:rPr>
      <w:kern w:val="2"/>
      <w:sz w:val="21"/>
      <w:szCs w:val="24"/>
    </w:rPr>
  </w:style>
  <w:style w:type="character" w:customStyle="1" w:styleId="111">
    <w:name w:val="正文文本缩进 Char"/>
    <w:qFormat/>
    <w:uiPriority w:val="0"/>
    <w:rPr>
      <w:rFonts w:ascii="仿宋_GB2312" w:eastAsia="仿宋_GB2312"/>
      <w:sz w:val="32"/>
    </w:rPr>
  </w:style>
  <w:style w:type="character" w:customStyle="1" w:styleId="112">
    <w:name w:val="日期 Char"/>
    <w:qFormat/>
    <w:uiPriority w:val="99"/>
    <w:rPr>
      <w:kern w:val="2"/>
      <w:sz w:val="21"/>
      <w:szCs w:val="24"/>
    </w:rPr>
  </w:style>
  <w:style w:type="character" w:customStyle="1" w:styleId="113">
    <w:name w:val="批注主题 Char"/>
    <w:qFormat/>
    <w:uiPriority w:val="99"/>
    <w:rPr>
      <w:b/>
      <w:bCs/>
      <w:kern w:val="2"/>
      <w:sz w:val="21"/>
      <w:szCs w:val="24"/>
    </w:rPr>
  </w:style>
  <w:style w:type="paragraph" w:customStyle="1" w:styleId="114">
    <w:name w:val="_Style 106"/>
    <w:unhideWhenUsed/>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15">
    <w:name w:val="_Style 107"/>
    <w:basedOn w:val="1"/>
    <w:next w:val="1"/>
    <w:unhideWhenUsed/>
    <w:qFormat/>
    <w:uiPriority w:val="99"/>
    <w:pPr>
      <w:tabs>
        <w:tab w:val="right" w:leader="dot" w:pos="8296"/>
      </w:tabs>
      <w:ind w:left="420" w:leftChars="200"/>
    </w:pPr>
  </w:style>
  <w:style w:type="character" w:customStyle="1" w:styleId="116">
    <w:name w:val="正文首行缩进 2 字符1"/>
    <w:semiHidden/>
    <w:qFormat/>
    <w:uiPriority w:val="99"/>
    <w:rPr>
      <w:rFonts w:ascii="仿宋_GB2312" w:hAnsi="Times New Roman" w:eastAsia="仿宋_GB2312" w:cs="Times New Roman"/>
      <w:kern w:val="2"/>
      <w:sz w:val="21"/>
      <w:szCs w:val="24"/>
    </w:rPr>
  </w:style>
  <w:style w:type="character" w:customStyle="1" w:styleId="117">
    <w:name w:val="正文首行缩进 2 字符2"/>
    <w:semiHidden/>
    <w:qFormat/>
    <w:uiPriority w:val="99"/>
    <w:rPr>
      <w:rFonts w:ascii="仿宋_GB2312" w:hAnsi="Times New Roman" w:eastAsia="仿宋_GB2312" w:cs="Times New Roman"/>
      <w:kern w:val="2"/>
      <w:sz w:val="21"/>
      <w:szCs w:val="24"/>
    </w:rPr>
  </w:style>
  <w:style w:type="paragraph" w:customStyle="1" w:styleId="118">
    <w:name w:val="msonormal"/>
    <w:basedOn w:val="1"/>
    <w:qFormat/>
    <w:uiPriority w:val="99"/>
    <w:rPr>
      <w:rFonts w:ascii="Calibri" w:hAnsi="Calibri"/>
      <w:kern w:val="0"/>
      <w:sz w:val="24"/>
    </w:rPr>
  </w:style>
  <w:style w:type="character" w:customStyle="1" w:styleId="119">
    <w:name w:val="正文首行缩进 2 字符3"/>
    <w:semiHidden/>
    <w:qFormat/>
    <w:locked/>
    <w:uiPriority w:val="99"/>
    <w:rPr>
      <w:rFonts w:ascii="仿宋_GB2312" w:hAnsi="Times New Roman" w:eastAsia="仿宋_GB2312" w:cs="Times New Roman"/>
      <w:kern w:val="2"/>
      <w:sz w:val="21"/>
      <w:szCs w:val="24"/>
    </w:rPr>
  </w:style>
  <w:style w:type="paragraph" w:customStyle="1" w:styleId="120">
    <w:name w:val="列出段落1"/>
    <w:basedOn w:val="1"/>
    <w:qFormat/>
    <w:uiPriority w:val="0"/>
    <w:pPr>
      <w:widowControl/>
      <w:adjustRightInd w:val="0"/>
      <w:snapToGrid w:val="0"/>
      <w:spacing w:after="200"/>
      <w:ind w:firstLine="420" w:firstLineChars="200"/>
      <w:jc w:val="left"/>
    </w:pPr>
    <w:rPr>
      <w:rFonts w:ascii="Calibri" w:hAnsi="Calibri" w:eastAsia="微软雅黑" w:cs="Calibri"/>
      <w:kern w:val="0"/>
      <w:sz w:val="22"/>
      <w:szCs w:val="21"/>
    </w:rPr>
  </w:style>
  <w:style w:type="paragraph" w:customStyle="1" w:styleId="121">
    <w:name w:val="正文首行缩进 21"/>
    <w:basedOn w:val="1"/>
    <w:qFormat/>
    <w:uiPriority w:val="0"/>
    <w:pPr>
      <w:spacing w:after="120"/>
      <w:ind w:left="420" w:leftChars="200" w:firstLine="420" w:firstLineChars="200"/>
    </w:pPr>
    <w:rPr>
      <w:rFonts w:ascii="Calibri" w:hAnsi="Calibri" w:eastAsia="仿宋" w:cs="仿宋"/>
      <w:sz w:val="28"/>
      <w:szCs w:val="22"/>
    </w:rPr>
  </w:style>
  <w:style w:type="character" w:customStyle="1" w:styleId="122">
    <w:name w:val="页眉 字符"/>
    <w:qFormat/>
    <w:uiPriority w:val="0"/>
    <w:rPr>
      <w:rFonts w:ascii="Times New Roman" w:hAnsi="Times New Roman" w:eastAsia="宋体" w:cs="Times New Roman"/>
      <w:kern w:val="2"/>
      <w:sz w:val="18"/>
      <w:lang w:val="en-US" w:eastAsia="zh-CN" w:bidi="ar-SA"/>
    </w:rPr>
  </w:style>
  <w:style w:type="character" w:customStyle="1" w:styleId="123">
    <w:name w:val="批注文字 字符2"/>
    <w:qFormat/>
    <w:uiPriority w:val="99"/>
    <w:rPr>
      <w:rFonts w:ascii="Times New Roman" w:hAnsi="Times New Roman"/>
      <w:kern w:val="2"/>
      <w:sz w:val="21"/>
      <w:szCs w:val="24"/>
    </w:rPr>
  </w:style>
  <w:style w:type="paragraph" w:customStyle="1" w:styleId="124">
    <w:name w:val="正文文本 (2)"/>
    <w:basedOn w:val="1"/>
    <w:qFormat/>
    <w:uiPriority w:val="0"/>
    <w:pPr>
      <w:shd w:val="clear" w:color="auto" w:fill="FFFFFF"/>
      <w:spacing w:before="680" w:after="1460" w:line="300" w:lineRule="exact"/>
      <w:jc w:val="center"/>
    </w:pPr>
    <w:rPr>
      <w:rFonts w:ascii="MingLiU" w:hAnsi="MingLiU" w:eastAsia="MingLiU" w:cs="MingLiU"/>
      <w:spacing w:val="30"/>
      <w:kern w:val="0"/>
      <w:sz w:val="30"/>
      <w:szCs w:val="30"/>
    </w:rPr>
  </w:style>
  <w:style w:type="paragraph" w:customStyle="1" w:styleId="125">
    <w:name w:val="_Style 123"/>
    <w:unhideWhenUsed/>
    <w:qFormat/>
    <w:uiPriority w:val="99"/>
    <w:rPr>
      <w:rFonts w:ascii="Times New Roman" w:hAnsi="Times New Roman" w:eastAsia="宋体" w:cs="Times New Roman"/>
      <w:kern w:val="2"/>
      <w:sz w:val="21"/>
      <w:szCs w:val="24"/>
      <w:lang w:val="en-US" w:eastAsia="zh-CN" w:bidi="ar-SA"/>
    </w:rPr>
  </w:style>
  <w:style w:type="paragraph" w:customStyle="1" w:styleId="126">
    <w:name w:val="[正文行首缩进]"/>
    <w:qFormat/>
    <w:uiPriority w:val="0"/>
    <w:pPr>
      <w:widowControl w:val="0"/>
      <w:spacing w:line="360" w:lineRule="auto"/>
      <w:ind w:firstLine="200" w:firstLineChars="200"/>
      <w:jc w:val="both"/>
    </w:pPr>
    <w:rPr>
      <w:rFonts w:ascii="宋体" w:hAnsi="宋体" w:eastAsia="宋体" w:cs="Times New Roman"/>
      <w:bCs/>
      <w:color w:val="000000"/>
      <w:kern w:val="2"/>
      <w:sz w:val="24"/>
      <w:szCs w:val="24"/>
      <w:lang w:val="en-US" w:eastAsia="zh-CN" w:bidi="ar-SA"/>
    </w:rPr>
  </w:style>
  <w:style w:type="character" w:customStyle="1" w:styleId="127">
    <w:name w:val="文档结构图 字符"/>
    <w:basedOn w:val="33"/>
    <w:link w:val="13"/>
    <w:semiHidden/>
    <w:qFormat/>
    <w:uiPriority w:val="99"/>
    <w:rPr>
      <w:rFonts w:ascii="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广西云龙招标有限公司</Company>
  <Pages>126</Pages>
  <Words>13554</Words>
  <Characters>14067</Characters>
  <Lines>653</Lines>
  <Paragraphs>183</Paragraphs>
  <TotalTime>3</TotalTime>
  <ScaleCrop>false</ScaleCrop>
  <LinksUpToDate>false</LinksUpToDate>
  <CharactersWithSpaces>14308</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2024-11-05T00:19:00Z</dcterms:created>
  <dc:creator>Administrator</dc:creator>
  <cp:lastModifiedBy>Liang</cp:lastModifiedBy>
  <cp:lastPrinted>2022-07-19T16:06:00Z</cp:lastPrinted>
  <dcterms:modified xsi:type="dcterms:W3CDTF">2024-11-28T09:26:18Z</dcterms:modified>
  <dc:title>竞争性谈判文件规范</dc:title>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93CC9DBDD9ED4A74A47AACAC9E2232AD_13</vt:lpwstr>
  </property>
</Properties>
</file>