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050D1">
      <w:pPr>
        <w:spacing w:line="360" w:lineRule="auto"/>
        <w:jc w:val="center"/>
        <w:rPr>
          <w:rFonts w:ascii="方正小标宋简体" w:hAnsi="宋体" w:eastAsia="方正小标宋简体"/>
          <w:color w:val="auto"/>
          <w:sz w:val="52"/>
          <w:szCs w:val="52"/>
          <w:highlight w:val="none"/>
        </w:rPr>
      </w:pPr>
    </w:p>
    <w:p w14:paraId="183F8B81">
      <w:pPr>
        <w:spacing w:line="360" w:lineRule="auto"/>
        <w:jc w:val="center"/>
        <w:rPr>
          <w:rFonts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063CD5A2">
      <w:pPr>
        <w:spacing w:line="360" w:lineRule="auto"/>
        <w:jc w:val="center"/>
        <w:rPr>
          <w:rFonts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 xml:space="preserve"> </w:t>
      </w:r>
    </w:p>
    <w:p w14:paraId="36FC020F">
      <w:pPr>
        <w:spacing w:line="360" w:lineRule="auto"/>
        <w:jc w:val="center"/>
        <w:rPr>
          <w:rFonts w:ascii="方正小标宋简体" w:hAnsi="方正小标宋简体" w:eastAsia="方正小标宋简体" w:cs="方正小标宋简体"/>
          <w:b/>
          <w:color w:val="auto"/>
          <w:sz w:val="44"/>
          <w:szCs w:val="44"/>
          <w:highlight w:val="none"/>
        </w:rPr>
      </w:pPr>
    </w:p>
    <w:p w14:paraId="609A3566">
      <w:pPr>
        <w:snapToGrid w:val="0"/>
        <w:spacing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76EC8AD2">
      <w:pPr>
        <w:snapToGrid w:val="0"/>
        <w:spacing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242E1B1B">
      <w:pPr>
        <w:snapToGrid w:val="0"/>
        <w:spacing w:line="360" w:lineRule="auto"/>
        <w:rPr>
          <w:rFonts w:ascii="仿宋_GB2312" w:hAnsi="宋体" w:eastAsia="仿宋_GB2312"/>
          <w:color w:val="auto"/>
          <w:sz w:val="30"/>
          <w:szCs w:val="72"/>
          <w:highlight w:val="none"/>
        </w:rPr>
      </w:pPr>
    </w:p>
    <w:p w14:paraId="18F00260">
      <w:pPr>
        <w:pStyle w:val="18"/>
        <w:snapToGrid w:val="0"/>
        <w:spacing w:line="360" w:lineRule="auto"/>
        <w:ind w:left="708" w:leftChars="337" w:firstLine="852" w:firstLineChars="283"/>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Cs/>
          <w:color w:val="auto"/>
          <w:sz w:val="30"/>
          <w:szCs w:val="30"/>
          <w:highlight w:val="none"/>
        </w:rPr>
        <w:t>：</w:t>
      </w:r>
      <w:r>
        <w:rPr>
          <w:rFonts w:hint="eastAsia" w:ascii="仿宋_GB2312" w:hAnsi="宋体" w:eastAsia="仿宋_GB2312"/>
          <w:b/>
          <w:bCs/>
          <w:color w:val="auto"/>
          <w:sz w:val="30"/>
          <w:szCs w:val="30"/>
          <w:highlight w:val="none"/>
          <w:lang w:eastAsia="zh-CN"/>
        </w:rPr>
        <w:t>海城区廉州湾垌尾海域非法养殖占海设施清理项目</w:t>
      </w:r>
    </w:p>
    <w:p w14:paraId="78777D84">
      <w:pPr>
        <w:snapToGrid w:val="0"/>
        <w:spacing w:line="360" w:lineRule="auto"/>
        <w:ind w:firstLine="1482" w:firstLineChars="518"/>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Cs/>
          <w:color w:val="auto"/>
          <w:w w:val="95"/>
          <w:sz w:val="30"/>
          <w:szCs w:val="30"/>
          <w:highlight w:val="none"/>
        </w:rPr>
        <w:t>：</w:t>
      </w:r>
      <w:r>
        <w:rPr>
          <w:rFonts w:hint="eastAsia" w:ascii="仿宋_GB2312" w:hAnsi="宋体" w:eastAsia="仿宋_GB2312"/>
          <w:b/>
          <w:bCs/>
          <w:color w:val="auto"/>
          <w:w w:val="95"/>
          <w:kern w:val="0"/>
          <w:sz w:val="30"/>
          <w:szCs w:val="30"/>
          <w:highlight w:val="none"/>
          <w:lang w:eastAsia="zh-CN"/>
        </w:rPr>
        <w:t>BHZC2025-C3-020017-YZLZ</w:t>
      </w:r>
    </w:p>
    <w:p w14:paraId="698704E1">
      <w:pPr>
        <w:pStyle w:val="18"/>
        <w:snapToGrid w:val="0"/>
        <w:spacing w:line="360" w:lineRule="auto"/>
        <w:ind w:firstLine="1482" w:firstLineChars="518"/>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Cs/>
          <w:color w:val="auto"/>
          <w:w w:val="95"/>
          <w:sz w:val="30"/>
          <w:szCs w:val="30"/>
          <w:highlight w:val="none"/>
        </w:rPr>
        <w:t>：</w:t>
      </w:r>
      <w:r>
        <w:rPr>
          <w:rFonts w:hint="eastAsia" w:ascii="仿宋_GB2312" w:hAnsi="宋体" w:eastAsia="仿宋_GB2312"/>
          <w:b/>
          <w:bCs/>
          <w:color w:val="auto"/>
          <w:w w:val="95"/>
          <w:sz w:val="30"/>
          <w:szCs w:val="30"/>
          <w:highlight w:val="none"/>
        </w:rPr>
        <w:t>北海市海城区海洋局</w:t>
      </w:r>
    </w:p>
    <w:p w14:paraId="74159543">
      <w:pPr>
        <w:pStyle w:val="18"/>
        <w:snapToGrid w:val="0"/>
        <w:spacing w:line="360" w:lineRule="auto"/>
        <w:ind w:firstLine="1482" w:firstLineChars="518"/>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Cs/>
          <w:color w:val="auto"/>
          <w:w w:val="95"/>
          <w:sz w:val="30"/>
          <w:szCs w:val="30"/>
          <w:highlight w:val="none"/>
        </w:rPr>
        <w:t>：</w:t>
      </w:r>
      <w:r>
        <w:rPr>
          <w:rFonts w:hint="eastAsia" w:ascii="仿宋_GB2312" w:hAnsi="宋体" w:eastAsia="仿宋_GB2312"/>
          <w:b/>
          <w:bCs/>
          <w:color w:val="auto"/>
          <w:w w:val="95"/>
          <w:sz w:val="30"/>
          <w:szCs w:val="30"/>
          <w:highlight w:val="none"/>
        </w:rPr>
        <w:t>云之龙</w:t>
      </w:r>
      <w:r>
        <w:rPr>
          <w:rFonts w:ascii="仿宋_GB2312" w:hAnsi="宋体" w:eastAsia="仿宋_GB2312"/>
          <w:b/>
          <w:bCs/>
          <w:color w:val="auto"/>
          <w:w w:val="95"/>
          <w:sz w:val="30"/>
          <w:szCs w:val="30"/>
          <w:highlight w:val="none"/>
        </w:rPr>
        <w:t>咨询集团有限公司</w:t>
      </w:r>
    </w:p>
    <w:p w14:paraId="36576144">
      <w:pPr>
        <w:pStyle w:val="18"/>
        <w:snapToGrid w:val="0"/>
        <w:spacing w:line="360" w:lineRule="auto"/>
        <w:ind w:firstLine="1125" w:firstLineChars="393"/>
        <w:rPr>
          <w:rFonts w:ascii="仿宋_GB2312" w:hAnsi="宋体" w:eastAsia="仿宋_GB2312"/>
          <w:b/>
          <w:bCs/>
          <w:color w:val="auto"/>
          <w:w w:val="95"/>
          <w:sz w:val="30"/>
          <w:szCs w:val="30"/>
          <w:highlight w:val="none"/>
        </w:rPr>
      </w:pPr>
    </w:p>
    <w:p w14:paraId="32716900">
      <w:pPr>
        <w:pStyle w:val="18"/>
        <w:snapToGrid w:val="0"/>
        <w:spacing w:line="360" w:lineRule="auto"/>
        <w:ind w:firstLine="1125" w:firstLineChars="393"/>
        <w:rPr>
          <w:rFonts w:ascii="仿宋_GB2312" w:hAnsi="宋体" w:eastAsia="仿宋_GB2312"/>
          <w:b/>
          <w:bCs/>
          <w:color w:val="auto"/>
          <w:w w:val="95"/>
          <w:sz w:val="30"/>
          <w:szCs w:val="30"/>
          <w:highlight w:val="none"/>
        </w:rPr>
      </w:pPr>
    </w:p>
    <w:p w14:paraId="7527161D">
      <w:pPr>
        <w:pStyle w:val="18"/>
        <w:snapToGrid w:val="0"/>
        <w:spacing w:line="360" w:lineRule="auto"/>
        <w:ind w:left="420" w:firstLine="841" w:firstLineChars="294"/>
        <w:rPr>
          <w:rFonts w:hAnsi="宋体" w:eastAsia="仿宋_GB2312" w:cs="宋体"/>
          <w:b/>
          <w:bCs/>
          <w:color w:val="auto"/>
          <w:sz w:val="32"/>
          <w:szCs w:val="32"/>
          <w:highlight w:val="none"/>
        </w:rPr>
      </w:pPr>
      <w:r>
        <w:rPr>
          <w:rFonts w:hint="eastAsia" w:ascii="仿宋_GB2312" w:hAnsi="宋体" w:eastAsia="仿宋_GB2312"/>
          <w:b/>
          <w:bCs/>
          <w:color w:val="auto"/>
          <w:w w:val="95"/>
          <w:sz w:val="30"/>
          <w:szCs w:val="30"/>
          <w:highlight w:val="none"/>
        </w:rPr>
        <w:t xml:space="preserve">               2025年4月30日</w:t>
      </w:r>
    </w:p>
    <w:p w14:paraId="6FC69C1E">
      <w:pPr>
        <w:spacing w:line="360" w:lineRule="auto"/>
        <w:jc w:val="center"/>
        <w:rPr>
          <w:rFonts w:ascii="宋体" w:hAnsi="宋体" w:cs="宋体"/>
          <w:b/>
          <w:bCs/>
          <w:color w:val="auto"/>
          <w:kern w:val="0"/>
          <w:sz w:val="32"/>
          <w:szCs w:val="32"/>
          <w:highlight w:val="none"/>
        </w:rPr>
      </w:pPr>
    </w:p>
    <w:p w14:paraId="604AB881">
      <w:pPr>
        <w:spacing w:line="360" w:lineRule="auto"/>
        <w:jc w:val="center"/>
        <w:rPr>
          <w:rFonts w:ascii="宋体" w:hAnsi="宋体" w:cs="宋体"/>
          <w:b/>
          <w:bCs/>
          <w:color w:val="auto"/>
          <w:kern w:val="0"/>
          <w:sz w:val="32"/>
          <w:szCs w:val="32"/>
          <w:highlight w:val="none"/>
        </w:rPr>
      </w:pPr>
    </w:p>
    <w:p w14:paraId="373E4E3E">
      <w:pPr>
        <w:spacing w:line="360" w:lineRule="auto"/>
        <w:jc w:val="center"/>
        <w:rPr>
          <w:rFonts w:ascii="宋体" w:hAnsi="宋体"/>
          <w:b/>
          <w:color w:val="auto"/>
          <w:sz w:val="44"/>
          <w:szCs w:val="44"/>
          <w:highlight w:val="none"/>
        </w:rPr>
      </w:pPr>
      <w:r>
        <w:rPr>
          <w:rFonts w:ascii="黑体" w:hAnsi="黑体" w:eastAsia="黑体" w:cs="宋体"/>
          <w:b/>
          <w:bCs/>
          <w:color w:val="auto"/>
          <w:kern w:val="0"/>
          <w:sz w:val="32"/>
          <w:szCs w:val="32"/>
          <w:highlight w:val="none"/>
        </w:rPr>
        <w:br w:type="page"/>
      </w:r>
    </w:p>
    <w:p w14:paraId="23395017">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74698E8D">
      <w:pPr>
        <w:spacing w:line="400" w:lineRule="exact"/>
        <w:jc w:val="center"/>
        <w:rPr>
          <w:rFonts w:ascii="宋体" w:hAnsi="宋体"/>
          <w:b/>
          <w:color w:val="auto"/>
          <w:sz w:val="44"/>
          <w:szCs w:val="44"/>
          <w:highlight w:val="none"/>
        </w:rPr>
      </w:pPr>
    </w:p>
    <w:p w14:paraId="67881C4A">
      <w:pPr>
        <w:pStyle w:val="23"/>
        <w:tabs>
          <w:tab w:val="right" w:leader="dot" w:pos="8879"/>
        </w:tabs>
        <w:rPr>
          <w:rFonts w:ascii="宋体" w:hAnsi="宋体" w:cs="宋体"/>
          <w:b/>
          <w:bCs/>
          <w:color w:val="auto"/>
          <w:sz w:val="24"/>
          <w:szCs w:val="32"/>
          <w:highlight w:val="none"/>
        </w:rPr>
      </w:pPr>
      <w:r>
        <w:rPr>
          <w:rFonts w:ascii="宋体" w:hAnsi="宋体"/>
          <w:b/>
          <w:bCs/>
          <w:color w:val="auto"/>
          <w:sz w:val="24"/>
          <w:highlight w:val="none"/>
        </w:rPr>
        <w:fldChar w:fldCharType="begin"/>
      </w:r>
      <w:r>
        <w:rPr>
          <w:rFonts w:ascii="宋体" w:hAnsi="宋体"/>
          <w:b/>
          <w:bCs/>
          <w:color w:val="auto"/>
          <w:sz w:val="24"/>
          <w:highlight w:val="none"/>
        </w:rPr>
        <w:instrText xml:space="preserve"> </w:instrText>
      </w:r>
      <w:r>
        <w:rPr>
          <w:rFonts w:hint="eastAsia" w:ascii="宋体" w:hAnsi="宋体"/>
          <w:b/>
          <w:bCs/>
          <w:color w:val="auto"/>
          <w:sz w:val="24"/>
          <w:highlight w:val="none"/>
        </w:rPr>
        <w:instrText xml:space="preserve">TOC \o "1-3" \h \z \u</w:instrText>
      </w:r>
      <w:r>
        <w:rPr>
          <w:rFonts w:ascii="宋体" w:hAnsi="宋体"/>
          <w:b/>
          <w:bCs/>
          <w:color w:val="auto"/>
          <w:sz w:val="24"/>
          <w:highlight w:val="none"/>
        </w:rPr>
        <w:instrText xml:space="preserve"> </w:instrText>
      </w:r>
      <w:r>
        <w:rPr>
          <w:rFonts w:ascii="宋体" w:hAnsi="宋体"/>
          <w:b/>
          <w:bCs/>
          <w:color w:val="auto"/>
          <w:sz w:val="24"/>
          <w:highlight w:val="none"/>
        </w:rPr>
        <w:fldChar w:fldCharType="separate"/>
      </w:r>
      <w:r>
        <w:rPr>
          <w:color w:val="auto"/>
          <w:highlight w:val="none"/>
        </w:rPr>
        <w:fldChar w:fldCharType="begin"/>
      </w:r>
      <w:r>
        <w:rPr>
          <w:color w:val="auto"/>
          <w:highlight w:val="none"/>
        </w:rPr>
        <w:instrText xml:space="preserve"> HYPERLINK \l "_Toc21591" </w:instrText>
      </w:r>
      <w:r>
        <w:rPr>
          <w:color w:val="auto"/>
          <w:highlight w:val="none"/>
        </w:rPr>
        <w:fldChar w:fldCharType="separate"/>
      </w:r>
      <w:r>
        <w:rPr>
          <w:rFonts w:hint="eastAsia" w:ascii="宋体" w:hAnsi="宋体" w:cs="宋体"/>
          <w:b/>
          <w:bCs/>
          <w:color w:val="auto"/>
          <w:sz w:val="24"/>
          <w:szCs w:val="32"/>
          <w:highlight w:val="none"/>
        </w:rPr>
        <w:t>第一章 竞争性磋商公告</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_Toc21591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591A2A4D">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"_Toc29576" </w:instrText>
      </w:r>
      <w:r>
        <w:rPr>
          <w:color w:val="auto"/>
          <w:highlight w:val="none"/>
        </w:rPr>
        <w:fldChar w:fldCharType="separate"/>
      </w:r>
      <w:r>
        <w:rPr>
          <w:rFonts w:hint="eastAsia" w:ascii="宋体" w:hAnsi="宋体" w:cs="宋体"/>
          <w:b/>
          <w:bCs/>
          <w:color w:val="auto"/>
          <w:sz w:val="24"/>
          <w:szCs w:val="32"/>
          <w:highlight w:val="none"/>
        </w:rPr>
        <w:t>第二章 供应商须知</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_Toc29576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5</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6AEC62C6">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"_Toc20857" </w:instrText>
      </w:r>
      <w:r>
        <w:rPr>
          <w:color w:val="auto"/>
          <w:highlight w:val="none"/>
        </w:rPr>
        <w:fldChar w:fldCharType="separate"/>
      </w:r>
      <w:r>
        <w:rPr>
          <w:rFonts w:hint="eastAsia" w:ascii="宋体" w:hAnsi="宋体" w:cs="宋体"/>
          <w:b/>
          <w:bCs/>
          <w:color w:val="auto"/>
          <w:sz w:val="24"/>
          <w:szCs w:val="32"/>
          <w:highlight w:val="none"/>
        </w:rPr>
        <w:t>第三章 采购需求</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_Toc20857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26</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52FD18C3">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"_Toc4095" </w:instrText>
      </w:r>
      <w:r>
        <w:rPr>
          <w:color w:val="auto"/>
          <w:highlight w:val="none"/>
        </w:rPr>
        <w:fldChar w:fldCharType="separate"/>
      </w:r>
      <w:r>
        <w:rPr>
          <w:rFonts w:hint="eastAsia" w:ascii="宋体" w:hAnsi="宋体" w:cs="宋体"/>
          <w:b/>
          <w:bCs/>
          <w:color w:val="auto"/>
          <w:sz w:val="24"/>
          <w:szCs w:val="32"/>
          <w:highlight w:val="none"/>
        </w:rPr>
        <w:t>第四章 评审程序、评审方法和评审标准</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_Toc4095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34</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5583CE2F">
      <w:pPr>
        <w:pStyle w:val="23"/>
        <w:tabs>
          <w:tab w:val="right" w:leader="dot" w:pos="8879"/>
        </w:tabs>
        <w:rPr>
          <w:rFonts w:ascii="宋体" w:hAnsi="宋体" w:cs="宋体"/>
          <w:b/>
          <w:bCs/>
          <w:color w:val="auto"/>
          <w:sz w:val="24"/>
          <w:szCs w:val="32"/>
          <w:highlight w:val="none"/>
        </w:rPr>
      </w:pPr>
      <w:r>
        <w:rPr>
          <w:color w:val="auto"/>
          <w:highlight w:val="none"/>
        </w:rPr>
        <w:fldChar w:fldCharType="begin"/>
      </w:r>
      <w:r>
        <w:rPr>
          <w:color w:val="auto"/>
          <w:highlight w:val="none"/>
        </w:rPr>
        <w:instrText xml:space="preserve"> HYPERLINK \l "_Toc3198" </w:instrText>
      </w:r>
      <w:r>
        <w:rPr>
          <w:color w:val="auto"/>
          <w:highlight w:val="none"/>
        </w:rPr>
        <w:fldChar w:fldCharType="separate"/>
      </w:r>
      <w:r>
        <w:rPr>
          <w:rFonts w:hint="eastAsia" w:ascii="宋体" w:hAnsi="宋体" w:cs="宋体"/>
          <w:b/>
          <w:bCs/>
          <w:color w:val="auto"/>
          <w:sz w:val="24"/>
          <w:szCs w:val="32"/>
          <w:highlight w:val="none"/>
        </w:rPr>
        <w:t>第五章 响应文件格式</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_Toc3198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42</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1D62AF04">
      <w:pPr>
        <w:pStyle w:val="23"/>
        <w:tabs>
          <w:tab w:val="right" w:leader="dot" w:pos="8879"/>
        </w:tabs>
        <w:rPr>
          <w:b/>
          <w:bCs/>
          <w:color w:val="auto"/>
          <w:highlight w:val="none"/>
        </w:rPr>
      </w:pPr>
      <w:r>
        <w:rPr>
          <w:color w:val="auto"/>
          <w:highlight w:val="none"/>
        </w:rPr>
        <w:fldChar w:fldCharType="begin"/>
      </w:r>
      <w:r>
        <w:rPr>
          <w:color w:val="auto"/>
          <w:highlight w:val="none"/>
        </w:rPr>
        <w:instrText xml:space="preserve"> HYPERLINK \l "_Toc10542" </w:instrText>
      </w:r>
      <w:r>
        <w:rPr>
          <w:color w:val="auto"/>
          <w:highlight w:val="none"/>
        </w:rPr>
        <w:fldChar w:fldCharType="separate"/>
      </w:r>
      <w:r>
        <w:rPr>
          <w:rFonts w:hint="eastAsia" w:ascii="宋体" w:hAnsi="宋体" w:cs="宋体"/>
          <w:b/>
          <w:bCs/>
          <w:color w:val="auto"/>
          <w:sz w:val="24"/>
          <w:szCs w:val="32"/>
          <w:highlight w:val="none"/>
        </w:rPr>
        <w:t>第六章 合同文本</w:t>
      </w:r>
      <w:r>
        <w:rPr>
          <w:rFonts w:hint="eastAsia" w:ascii="宋体" w:hAnsi="宋体" w:cs="宋体"/>
          <w:b/>
          <w:bCs/>
          <w:color w:val="auto"/>
          <w:sz w:val="24"/>
          <w:szCs w:val="32"/>
          <w:highlight w:val="none"/>
        </w:rPr>
        <w:tab/>
      </w:r>
      <w:r>
        <w:rPr>
          <w:rFonts w:hint="eastAsia" w:ascii="宋体" w:hAnsi="宋体" w:cs="宋体"/>
          <w:b/>
          <w:bCs/>
          <w:color w:val="auto"/>
          <w:sz w:val="24"/>
          <w:szCs w:val="32"/>
          <w:highlight w:val="none"/>
        </w:rPr>
        <w:fldChar w:fldCharType="begin"/>
      </w:r>
      <w:r>
        <w:rPr>
          <w:rFonts w:hint="eastAsia" w:ascii="宋体" w:hAnsi="宋体" w:cs="宋体"/>
          <w:b/>
          <w:bCs/>
          <w:color w:val="auto"/>
          <w:sz w:val="24"/>
          <w:szCs w:val="32"/>
          <w:highlight w:val="none"/>
        </w:rPr>
        <w:instrText xml:space="preserve"> PAGEREF _Toc10542 \h </w:instrText>
      </w:r>
      <w:r>
        <w:rPr>
          <w:rFonts w:hint="eastAsia" w:ascii="宋体" w:hAnsi="宋体" w:cs="宋体"/>
          <w:b/>
          <w:bCs/>
          <w:color w:val="auto"/>
          <w:sz w:val="24"/>
          <w:szCs w:val="32"/>
          <w:highlight w:val="none"/>
        </w:rPr>
        <w:fldChar w:fldCharType="separate"/>
      </w:r>
      <w:r>
        <w:rPr>
          <w:rFonts w:hint="eastAsia" w:ascii="宋体" w:hAnsi="宋体" w:cs="宋体"/>
          <w:b/>
          <w:bCs/>
          <w:color w:val="auto"/>
          <w:sz w:val="24"/>
          <w:szCs w:val="32"/>
          <w:highlight w:val="none"/>
        </w:rPr>
        <w:t>70</w:t>
      </w:r>
      <w:r>
        <w:rPr>
          <w:rFonts w:hint="eastAsia" w:ascii="宋体" w:hAnsi="宋体" w:cs="宋体"/>
          <w:b/>
          <w:bCs/>
          <w:color w:val="auto"/>
          <w:sz w:val="24"/>
          <w:szCs w:val="32"/>
          <w:highlight w:val="none"/>
        </w:rPr>
        <w:fldChar w:fldCharType="end"/>
      </w:r>
      <w:r>
        <w:rPr>
          <w:rFonts w:hint="eastAsia" w:ascii="宋体" w:hAnsi="宋体" w:cs="宋体"/>
          <w:b/>
          <w:bCs/>
          <w:color w:val="auto"/>
          <w:sz w:val="24"/>
          <w:szCs w:val="32"/>
          <w:highlight w:val="none"/>
        </w:rPr>
        <w:fldChar w:fldCharType="end"/>
      </w:r>
    </w:p>
    <w:p w14:paraId="07AAA94B">
      <w:pPr>
        <w:pStyle w:val="24"/>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bCs/>
          <w:color w:val="auto"/>
          <w:highlight w:val="none"/>
        </w:rPr>
        <w:fldChar w:fldCharType="end"/>
      </w:r>
    </w:p>
    <w:p w14:paraId="0C2CCC86">
      <w:pPr>
        <w:spacing w:line="400" w:lineRule="exact"/>
        <w:jc w:val="left"/>
        <w:rPr>
          <w:rFonts w:ascii="宋体" w:hAnsi="宋体"/>
          <w:b/>
          <w:color w:val="auto"/>
          <w:sz w:val="32"/>
          <w:szCs w:val="32"/>
          <w:highlight w:val="none"/>
        </w:rPr>
      </w:pPr>
    </w:p>
    <w:p w14:paraId="638274C1">
      <w:pPr>
        <w:spacing w:line="400" w:lineRule="exact"/>
        <w:jc w:val="center"/>
        <w:rPr>
          <w:rFonts w:ascii="宋体" w:hAnsi="宋体"/>
          <w:b/>
          <w:color w:val="auto"/>
          <w:sz w:val="32"/>
          <w:szCs w:val="32"/>
          <w:highlight w:val="none"/>
        </w:rPr>
      </w:pPr>
    </w:p>
    <w:p w14:paraId="1CD71415">
      <w:pPr>
        <w:spacing w:line="400" w:lineRule="exact"/>
        <w:jc w:val="center"/>
        <w:rPr>
          <w:rFonts w:ascii="宋体" w:hAnsi="宋体"/>
          <w:b/>
          <w:color w:val="auto"/>
          <w:sz w:val="32"/>
          <w:szCs w:val="32"/>
          <w:highlight w:val="none"/>
        </w:rPr>
      </w:pPr>
    </w:p>
    <w:p w14:paraId="2BA1BDF2">
      <w:pPr>
        <w:spacing w:line="400" w:lineRule="exact"/>
        <w:jc w:val="center"/>
        <w:rPr>
          <w:rFonts w:ascii="宋体" w:hAnsi="宋体"/>
          <w:b/>
          <w:color w:val="auto"/>
          <w:sz w:val="32"/>
          <w:szCs w:val="32"/>
          <w:highlight w:val="none"/>
        </w:rPr>
      </w:pPr>
    </w:p>
    <w:p w14:paraId="643A628D">
      <w:pPr>
        <w:spacing w:line="400" w:lineRule="exact"/>
        <w:jc w:val="center"/>
        <w:rPr>
          <w:rFonts w:ascii="宋体" w:hAnsi="宋体"/>
          <w:b/>
          <w:color w:val="auto"/>
          <w:sz w:val="32"/>
          <w:szCs w:val="32"/>
          <w:highlight w:val="none"/>
        </w:rPr>
      </w:pPr>
    </w:p>
    <w:p w14:paraId="527B415C">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013BD970">
      <w:pPr>
        <w:pStyle w:val="5"/>
        <w:jc w:val="center"/>
        <w:rPr>
          <w:color w:val="auto"/>
          <w:highlight w:val="none"/>
        </w:rPr>
      </w:pPr>
      <w:bookmarkStart w:id="0" w:name="_Toc21591"/>
      <w:r>
        <w:rPr>
          <w:rFonts w:hint="eastAsia"/>
          <w:color w:val="auto"/>
          <w:highlight w:val="none"/>
        </w:rPr>
        <w:t>第一章 竞争性磋商公告</w:t>
      </w:r>
      <w:bookmarkEnd w:id="0"/>
    </w:p>
    <w:p w14:paraId="66FEE799">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14:paraId="004C3BD3">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2C87EBCA">
      <w:pPr>
        <w:pBdr>
          <w:top w:val="single" w:color="auto" w:sz="4" w:space="1"/>
          <w:left w:val="single" w:color="auto" w:sz="4" w:space="4"/>
          <w:bottom w:val="single" w:color="auto" w:sz="4" w:space="1"/>
          <w:right w:val="single" w:color="auto" w:sz="4" w:space="4"/>
        </w:pBdr>
        <w:wordWrap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海城区廉州湾垌尾海域非法养殖占海设施清理项目</w:t>
      </w:r>
      <w:r>
        <w:rPr>
          <w:rFonts w:hint="eastAsia" w:ascii="宋体" w:hAnsi="宋体"/>
          <w:color w:val="auto"/>
          <w:szCs w:val="21"/>
          <w:highlight w:val="none"/>
        </w:rPr>
        <w:t>采购项目的潜在供应商应在广西政府采购云平台（https：//www.gcy.zfcg.gxzf.gov.cn/）获取（下载）竞争磋商文件，并于</w:t>
      </w:r>
      <w:r>
        <w:rPr>
          <w:rFonts w:hint="eastAsia" w:ascii="宋体" w:hAnsi="宋体"/>
          <w:color w:val="auto"/>
          <w:szCs w:val="21"/>
          <w:highlight w:val="none"/>
          <w:u w:val="single"/>
        </w:rPr>
        <w:t>2025年5月13日</w:t>
      </w:r>
      <w:r>
        <w:rPr>
          <w:rFonts w:hint="eastAsia" w:ascii="宋体" w:hAnsi="宋体"/>
          <w:color w:val="auto"/>
          <w:szCs w:val="21"/>
          <w:highlight w:val="none"/>
          <w:u w:val="single"/>
          <w:lang w:eastAsia="zh-CN"/>
        </w:rPr>
        <w:t>15时30分</w:t>
      </w:r>
      <w:r>
        <w:rPr>
          <w:rFonts w:hint="eastAsia" w:ascii="宋体" w:hAnsi="宋体"/>
          <w:bCs/>
          <w:color w:val="auto"/>
          <w:szCs w:val="21"/>
          <w:highlight w:val="none"/>
          <w:u w:val="single"/>
        </w:rPr>
        <w:t>（</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7D2D4785">
      <w:pPr>
        <w:spacing w:line="360" w:lineRule="exact"/>
        <w:ind w:firstLine="354" w:firstLineChars="147"/>
        <w:rPr>
          <w:rFonts w:ascii="黑体" w:hAnsi="黑体" w:eastAsia="黑体"/>
          <w:b/>
          <w:color w:val="auto"/>
          <w:sz w:val="24"/>
          <w:highlight w:val="none"/>
        </w:rPr>
      </w:pPr>
      <w:bookmarkStart w:id="2" w:name="_Toc71365905"/>
      <w:bookmarkStart w:id="3" w:name="_Toc35393798"/>
      <w:bookmarkStart w:id="4" w:name="_Toc44229878"/>
      <w:bookmarkStart w:id="5" w:name="_Toc28359012"/>
      <w:bookmarkStart w:id="6" w:name="_Toc28359089"/>
      <w:bookmarkStart w:id="7" w:name="_Toc35393629"/>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455D713B">
      <w:pPr>
        <w:spacing w:line="3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BHZC2025-C3-020017-YZLZ</w:t>
      </w:r>
    </w:p>
    <w:p w14:paraId="6F7C36F1">
      <w:pPr>
        <w:spacing w:line="36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海城区廉州湾垌尾海域非法养殖占海设施清理项目</w:t>
      </w:r>
    </w:p>
    <w:p w14:paraId="060BEA0A">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59D2B93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eastAsia="zh-CN"/>
        </w:rPr>
        <w:t>2,865,863.43</w:t>
      </w:r>
      <w:r>
        <w:rPr>
          <w:rFonts w:hint="eastAsia" w:ascii="宋体" w:hAnsi="宋体"/>
          <w:color w:val="auto"/>
          <w:szCs w:val="21"/>
          <w:highlight w:val="none"/>
        </w:rPr>
        <w:t>元</w:t>
      </w:r>
    </w:p>
    <w:p w14:paraId="6E3A61F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w:t>
      </w:r>
      <w:r>
        <w:rPr>
          <w:rFonts w:ascii="宋体" w:hAnsi="宋体"/>
          <w:color w:val="auto"/>
          <w:szCs w:val="21"/>
          <w:highlight w:val="none"/>
        </w:rPr>
        <w:t>/</w:t>
      </w:r>
    </w:p>
    <w:p w14:paraId="4891CC2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采购需求： </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160"/>
        <w:gridCol w:w="1295"/>
        <w:gridCol w:w="4625"/>
      </w:tblGrid>
      <w:tr w14:paraId="4BB7A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42F87479">
            <w:pPr>
              <w:spacing w:line="360" w:lineRule="exact"/>
              <w:jc w:val="left"/>
              <w:rPr>
                <w:rFonts w:ascii="宋体" w:hAnsi="宋体"/>
                <w:color w:val="auto"/>
                <w:szCs w:val="21"/>
                <w:highlight w:val="none"/>
              </w:rPr>
            </w:pPr>
            <w:r>
              <w:rPr>
                <w:rFonts w:hint="eastAsia" w:ascii="宋体" w:hAnsi="宋体"/>
                <w:color w:val="auto"/>
                <w:szCs w:val="21"/>
                <w:highlight w:val="none"/>
              </w:rPr>
              <w:t>预算金额：人民币</w:t>
            </w:r>
            <w:r>
              <w:rPr>
                <w:rFonts w:hint="eastAsia" w:ascii="宋体" w:hAnsi="宋体"/>
                <w:color w:val="auto"/>
                <w:szCs w:val="21"/>
                <w:highlight w:val="none"/>
                <w:lang w:eastAsia="zh-CN"/>
              </w:rPr>
              <w:t>2,865,863.43</w:t>
            </w:r>
            <w:r>
              <w:rPr>
                <w:rFonts w:hint="eastAsia" w:ascii="宋体" w:hAnsi="宋体"/>
                <w:color w:val="auto"/>
                <w:szCs w:val="21"/>
                <w:highlight w:val="none"/>
              </w:rPr>
              <w:t>元</w:t>
            </w:r>
          </w:p>
        </w:tc>
      </w:tr>
      <w:tr w14:paraId="447BF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A0FF78A">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C3A263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1295" w:type="dxa"/>
            <w:tcBorders>
              <w:top w:val="single" w:color="auto" w:sz="4" w:space="0"/>
              <w:left w:val="single" w:color="auto" w:sz="4" w:space="0"/>
              <w:bottom w:val="single" w:color="auto" w:sz="4" w:space="0"/>
              <w:right w:val="single" w:color="auto" w:sz="4" w:space="0"/>
            </w:tcBorders>
            <w:vAlign w:val="center"/>
          </w:tcPr>
          <w:p w14:paraId="740E0633">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数量及单位</w:t>
            </w:r>
          </w:p>
        </w:tc>
        <w:tc>
          <w:tcPr>
            <w:tcW w:w="4625" w:type="dxa"/>
            <w:tcBorders>
              <w:top w:val="single" w:color="auto" w:sz="4" w:space="0"/>
              <w:left w:val="single" w:color="auto" w:sz="4" w:space="0"/>
              <w:bottom w:val="single" w:color="auto" w:sz="4" w:space="0"/>
              <w:right w:val="single" w:color="auto" w:sz="4" w:space="0"/>
            </w:tcBorders>
            <w:vAlign w:val="center"/>
          </w:tcPr>
          <w:p w14:paraId="7A9C1B75">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6D23B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533EA5D">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2160" w:type="dxa"/>
            <w:tcBorders>
              <w:top w:val="single" w:color="auto" w:sz="4" w:space="0"/>
              <w:left w:val="single" w:color="auto" w:sz="4" w:space="0"/>
              <w:bottom w:val="single" w:color="auto" w:sz="4" w:space="0"/>
              <w:right w:val="single" w:color="auto" w:sz="4" w:space="0"/>
            </w:tcBorders>
            <w:vAlign w:val="center"/>
          </w:tcPr>
          <w:p w14:paraId="726B488A">
            <w:pPr>
              <w:snapToGrid w:val="0"/>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海城区廉州湾垌尾海域非法养殖占海设施清理项目</w:t>
            </w:r>
          </w:p>
        </w:tc>
        <w:tc>
          <w:tcPr>
            <w:tcW w:w="1295" w:type="dxa"/>
            <w:tcBorders>
              <w:top w:val="single" w:color="auto" w:sz="4" w:space="0"/>
              <w:left w:val="single" w:color="auto" w:sz="4" w:space="0"/>
              <w:bottom w:val="single" w:color="auto" w:sz="4" w:space="0"/>
              <w:right w:val="single" w:color="auto" w:sz="4" w:space="0"/>
            </w:tcBorders>
            <w:vAlign w:val="center"/>
          </w:tcPr>
          <w:p w14:paraId="318D69E5">
            <w:pPr>
              <w:snapToGrid w:val="0"/>
              <w:spacing w:line="36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w:t>
            </w:r>
          </w:p>
        </w:tc>
        <w:tc>
          <w:tcPr>
            <w:tcW w:w="4625" w:type="dxa"/>
            <w:tcBorders>
              <w:top w:val="single" w:color="auto" w:sz="4" w:space="0"/>
              <w:left w:val="single" w:color="auto" w:sz="4" w:space="0"/>
              <w:bottom w:val="single" w:color="auto" w:sz="4" w:space="0"/>
              <w:right w:val="single" w:color="auto" w:sz="4" w:space="0"/>
            </w:tcBorders>
            <w:vAlign w:val="center"/>
          </w:tcPr>
          <w:p w14:paraId="6ACCA93D">
            <w:pPr>
              <w:snapToGrid w:val="0"/>
              <w:spacing w:line="360" w:lineRule="exact"/>
              <w:rPr>
                <w:rFonts w:ascii="宋体" w:hAnsi="宋体"/>
                <w:color w:val="auto"/>
                <w:szCs w:val="21"/>
                <w:highlight w:val="none"/>
              </w:rPr>
            </w:pPr>
            <w:r>
              <w:rPr>
                <w:rFonts w:hint="eastAsia" w:ascii="宋体" w:hAnsi="宋体"/>
                <w:color w:val="auto"/>
                <w:szCs w:val="21"/>
                <w:highlight w:val="none"/>
              </w:rPr>
              <w:t>对海城区廉州湾垌尾海域内存在的非法养殖占海设施进行清理拆除</w:t>
            </w:r>
            <w:r>
              <w:rPr>
                <w:rFonts w:hint="eastAsia" w:ascii="宋体" w:hAnsi="宋体"/>
                <w:color w:val="auto"/>
                <w:szCs w:val="21"/>
                <w:highlight w:val="none"/>
                <w:lang w:eastAsia="zh-CN"/>
              </w:rPr>
              <w:t>，</w:t>
            </w:r>
            <w:r>
              <w:rPr>
                <w:rFonts w:hint="eastAsia" w:ascii="宋体" w:hAnsi="宋体"/>
                <w:color w:val="auto"/>
                <w:szCs w:val="21"/>
                <w:highlight w:val="none"/>
              </w:rPr>
              <w:t>包含水泥</w:t>
            </w:r>
            <w:r>
              <w:rPr>
                <w:rFonts w:hint="eastAsia" w:ascii="宋体" w:hAnsi="宋体"/>
                <w:color w:val="auto"/>
                <w:szCs w:val="21"/>
                <w:highlight w:val="none"/>
                <w:lang w:eastAsia="zh-CN"/>
              </w:rPr>
              <w:t>蚝</w:t>
            </w:r>
            <w:r>
              <w:rPr>
                <w:rFonts w:hint="eastAsia" w:ascii="宋体" w:hAnsi="宋体"/>
                <w:color w:val="auto"/>
                <w:szCs w:val="21"/>
                <w:highlight w:val="none"/>
              </w:rPr>
              <w:t>桩拆除、废弃</w:t>
            </w:r>
            <w:r>
              <w:rPr>
                <w:rFonts w:hint="eastAsia" w:ascii="宋体" w:hAnsi="宋体"/>
                <w:color w:val="auto"/>
                <w:szCs w:val="21"/>
                <w:highlight w:val="none"/>
                <w:lang w:eastAsia="zh-CN"/>
              </w:rPr>
              <w:t>蚝</w:t>
            </w:r>
            <w:r>
              <w:rPr>
                <w:rFonts w:hint="eastAsia" w:ascii="宋体" w:hAnsi="宋体"/>
                <w:color w:val="auto"/>
                <w:szCs w:val="21"/>
                <w:highlight w:val="none"/>
              </w:rPr>
              <w:t>堆拆除、渔箔拆除等；具体内容</w:t>
            </w:r>
            <w:r>
              <w:rPr>
                <w:rFonts w:ascii="宋体" w:hAnsi="宋体"/>
                <w:color w:val="auto"/>
                <w:szCs w:val="21"/>
                <w:highlight w:val="none"/>
              </w:rPr>
              <w:t>详见竞争性磋商文件</w:t>
            </w:r>
            <w:r>
              <w:rPr>
                <w:rFonts w:hint="eastAsia" w:ascii="宋体" w:hAnsi="宋体"/>
                <w:color w:val="auto"/>
                <w:szCs w:val="21"/>
                <w:highlight w:val="none"/>
              </w:rPr>
              <w:t>。</w:t>
            </w:r>
          </w:p>
        </w:tc>
      </w:tr>
    </w:tbl>
    <w:p w14:paraId="6336C8CA">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合同履行期限：自合同签订之日起45日内完成整治工作，并达到验收条件。</w:t>
      </w:r>
    </w:p>
    <w:p w14:paraId="627723E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本项目否接受联合体。</w:t>
      </w:r>
    </w:p>
    <w:p w14:paraId="49E04CD1">
      <w:pPr>
        <w:spacing w:line="360" w:lineRule="exact"/>
        <w:ind w:firstLine="354" w:firstLineChars="147"/>
        <w:rPr>
          <w:rFonts w:ascii="黑体" w:hAnsi="黑体" w:eastAsia="黑体"/>
          <w:b/>
          <w:color w:val="auto"/>
          <w:sz w:val="24"/>
          <w:highlight w:val="none"/>
        </w:rPr>
      </w:pPr>
      <w:bookmarkStart w:id="8" w:name="_Toc28359090"/>
      <w:bookmarkStart w:id="9" w:name="_Toc35393799"/>
      <w:bookmarkStart w:id="10" w:name="_Toc35393630"/>
      <w:bookmarkStart w:id="11" w:name="_Toc71365906"/>
      <w:bookmarkStart w:id="12" w:name="_Toc44229879"/>
      <w:bookmarkStart w:id="13" w:name="_Toc28359013"/>
      <w:r>
        <w:rPr>
          <w:rFonts w:hint="eastAsia" w:ascii="黑体" w:hAnsi="黑体" w:eastAsia="黑体"/>
          <w:b/>
          <w:color w:val="auto"/>
          <w:sz w:val="24"/>
          <w:highlight w:val="none"/>
        </w:rPr>
        <w:t>二、申请人的资格条件</w:t>
      </w:r>
      <w:bookmarkEnd w:id="8"/>
      <w:bookmarkEnd w:id="9"/>
      <w:bookmarkEnd w:id="10"/>
      <w:bookmarkEnd w:id="11"/>
      <w:bookmarkEnd w:id="12"/>
      <w:bookmarkEnd w:id="13"/>
      <w:r>
        <w:rPr>
          <w:rFonts w:hint="eastAsia" w:ascii="黑体" w:hAnsi="黑体" w:eastAsia="黑体"/>
          <w:color w:val="auto"/>
          <w:sz w:val="24"/>
          <w:highlight w:val="none"/>
        </w:rPr>
        <w:t>：</w:t>
      </w:r>
    </w:p>
    <w:p w14:paraId="6ABBFD2D">
      <w:pPr>
        <w:spacing w:line="360" w:lineRule="exact"/>
        <w:ind w:firstLine="420" w:firstLineChars="200"/>
        <w:rPr>
          <w:rFonts w:ascii="宋体" w:hAnsi="宋体"/>
          <w:color w:val="auto"/>
          <w:szCs w:val="21"/>
          <w:highlight w:val="none"/>
        </w:rPr>
      </w:pPr>
      <w:bookmarkStart w:id="14" w:name="_Toc28359014"/>
      <w:bookmarkStart w:id="15" w:name="_Toc35393631"/>
      <w:bookmarkStart w:id="16" w:name="_Toc35393800"/>
      <w:bookmarkStart w:id="17" w:name="_Toc44229880"/>
      <w:bookmarkStart w:id="18" w:name="_Toc28359091"/>
      <w:r>
        <w:rPr>
          <w:rFonts w:hint="eastAsia" w:ascii="宋体" w:hAnsi="宋体"/>
          <w:color w:val="auto"/>
          <w:szCs w:val="21"/>
          <w:highlight w:val="none"/>
        </w:rPr>
        <w:t>1.满足《中华人民共和国政府采购法》第二十二条规定；</w:t>
      </w:r>
    </w:p>
    <w:p w14:paraId="4928BE61">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u w:val="single"/>
        </w:rPr>
        <w:t>本项目为专门面向中小企业采购的项目,供应商应为中小微企业、监狱企业、残疾人福利性单位；</w:t>
      </w:r>
    </w:p>
    <w:p w14:paraId="109B5A0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u w:val="single"/>
        </w:rPr>
        <w:t>无。</w:t>
      </w:r>
    </w:p>
    <w:p w14:paraId="7AAE94CD">
      <w:pPr>
        <w:spacing w:line="360" w:lineRule="exact"/>
        <w:ind w:firstLine="354" w:firstLineChars="147"/>
        <w:rPr>
          <w:rFonts w:ascii="黑体" w:hAnsi="黑体" w:eastAsia="黑体"/>
          <w:b/>
          <w:color w:val="auto"/>
          <w:sz w:val="24"/>
          <w:highlight w:val="none"/>
        </w:rPr>
      </w:pPr>
      <w:bookmarkStart w:id="19" w:name="_Toc71365907"/>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17F44B01">
      <w:pPr>
        <w:spacing w:line="360" w:lineRule="exact"/>
        <w:ind w:firstLine="420" w:firstLineChars="200"/>
        <w:rPr>
          <w:rFonts w:ascii="宋体" w:hAnsi="宋体" w:cs="宋体"/>
          <w:bCs/>
          <w:color w:val="auto"/>
          <w:kern w:val="0"/>
          <w:szCs w:val="21"/>
          <w:highlight w:val="none"/>
        </w:rPr>
      </w:pPr>
      <w:bookmarkStart w:id="20" w:name="_Toc35393632"/>
      <w:bookmarkStart w:id="21" w:name="_Toc28359092"/>
      <w:bookmarkStart w:id="22" w:name="_Toc28359015"/>
      <w:bookmarkStart w:id="23" w:name="_Toc35393801"/>
      <w:bookmarkStart w:id="24" w:name="_Toc44229881"/>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rPr>
        <w:t>2025年4月30日至</w:t>
      </w:r>
      <w:r>
        <w:rPr>
          <w:rFonts w:hint="eastAsia" w:ascii="宋体" w:hAnsi="宋体"/>
          <w:bCs/>
          <w:color w:val="auto"/>
          <w:szCs w:val="21"/>
          <w:highlight w:val="none"/>
          <w:u w:val="single"/>
        </w:rPr>
        <w:t>2025年5月12日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00：00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w:t>
      </w:r>
      <w:r>
        <w:rPr>
          <w:rFonts w:ascii="宋体" w:hAnsi="宋体" w:cs="宋体"/>
          <w:bCs/>
          <w:color w:val="auto"/>
          <w:kern w:val="0"/>
          <w:szCs w:val="21"/>
          <w:highlight w:val="none"/>
          <w:u w:val="single"/>
        </w:rPr>
        <w:t>2</w:t>
      </w:r>
      <w:r>
        <w:rPr>
          <w:rFonts w:hint="eastAsia" w:ascii="宋体" w:hAnsi="宋体" w:cs="宋体"/>
          <w:bCs/>
          <w:color w:val="auto"/>
          <w:kern w:val="0"/>
          <w:szCs w:val="21"/>
          <w:highlight w:val="none"/>
          <w:u w:val="single"/>
        </w:rPr>
        <w:t>：00</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23：59</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12CA0EF9">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7316B720">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1F62F50C">
      <w:pPr>
        <w:spacing w:line="36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43C3D2EA">
      <w:pPr>
        <w:spacing w:line="360" w:lineRule="exact"/>
        <w:ind w:firstLine="354" w:firstLineChars="147"/>
        <w:rPr>
          <w:rFonts w:ascii="黑体" w:hAnsi="黑体" w:eastAsia="黑体"/>
          <w:b/>
          <w:color w:val="auto"/>
          <w:sz w:val="24"/>
          <w:highlight w:val="none"/>
        </w:rPr>
      </w:pPr>
      <w:bookmarkStart w:id="25" w:name="_Toc71365908"/>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24F239C6">
      <w:pPr>
        <w:spacing w:line="360" w:lineRule="exact"/>
        <w:ind w:firstLine="420" w:firstLineChars="200"/>
        <w:rPr>
          <w:rFonts w:ascii="宋体" w:hAnsi="宋体" w:cs="宋体"/>
          <w:color w:val="auto"/>
          <w:szCs w:val="21"/>
          <w:highlight w:val="none"/>
          <w:u w:val="single"/>
        </w:rPr>
      </w:pPr>
      <w:bookmarkStart w:id="26" w:name="_Toc44229882"/>
      <w:bookmarkStart w:id="27" w:name="_Toc35393802"/>
      <w:bookmarkStart w:id="28" w:name="_Toc28359016"/>
      <w:bookmarkStart w:id="29" w:name="_Toc28359093"/>
      <w:bookmarkStart w:id="30" w:name="_Toc35393633"/>
      <w:r>
        <w:rPr>
          <w:rFonts w:hint="eastAsia" w:ascii="宋体" w:hAnsi="宋体"/>
          <w:color w:val="auto"/>
          <w:szCs w:val="21"/>
          <w:highlight w:val="none"/>
        </w:rPr>
        <w:t>截止时间：</w:t>
      </w:r>
      <w:r>
        <w:rPr>
          <w:rFonts w:hint="eastAsia" w:ascii="宋体" w:hAnsi="宋体"/>
          <w:bCs/>
          <w:color w:val="auto"/>
          <w:szCs w:val="21"/>
          <w:highlight w:val="none"/>
          <w:u w:val="single"/>
        </w:rPr>
        <w:t>2025年5月13日</w:t>
      </w:r>
      <w:r>
        <w:rPr>
          <w:rFonts w:hint="eastAsia" w:ascii="宋体" w:hAnsi="宋体"/>
          <w:bCs/>
          <w:color w:val="auto"/>
          <w:szCs w:val="21"/>
          <w:highlight w:val="none"/>
          <w:u w:val="single"/>
          <w:lang w:eastAsia="zh-CN"/>
        </w:rPr>
        <w:t>15时30分</w:t>
      </w:r>
      <w:r>
        <w:rPr>
          <w:rFonts w:hint="eastAsia" w:ascii="宋体" w:hAnsi="宋体"/>
          <w:bCs/>
          <w:color w:val="auto"/>
          <w:szCs w:val="21"/>
          <w:highlight w:val="none"/>
        </w:rPr>
        <w:t>（北京时间）</w:t>
      </w:r>
    </w:p>
    <w:p w14:paraId="4C7A29D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6B8576F8">
      <w:pPr>
        <w:spacing w:line="360" w:lineRule="exact"/>
        <w:ind w:firstLine="354" w:firstLineChars="147"/>
        <w:rPr>
          <w:rFonts w:ascii="黑体" w:hAnsi="黑体" w:eastAsia="黑体"/>
          <w:b/>
          <w:color w:val="auto"/>
          <w:sz w:val="24"/>
          <w:highlight w:val="none"/>
        </w:rPr>
      </w:pPr>
      <w:bookmarkStart w:id="31" w:name="_Toc71365909"/>
      <w:r>
        <w:rPr>
          <w:rFonts w:hint="eastAsia" w:ascii="黑体" w:hAnsi="黑体" w:eastAsia="黑体"/>
          <w:b/>
          <w:color w:val="auto"/>
          <w:sz w:val="24"/>
          <w:highlight w:val="none"/>
        </w:rPr>
        <w:t>五、开启</w:t>
      </w:r>
      <w:bookmarkEnd w:id="26"/>
      <w:bookmarkEnd w:id="27"/>
      <w:bookmarkEnd w:id="28"/>
      <w:bookmarkEnd w:id="29"/>
      <w:bookmarkEnd w:id="30"/>
      <w:bookmarkEnd w:id="31"/>
    </w:p>
    <w:p w14:paraId="61149F0B">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color w:val="auto"/>
          <w:szCs w:val="21"/>
          <w:highlight w:val="none"/>
          <w:u w:val="single"/>
        </w:rPr>
        <w:t>2025年5月13日</w:t>
      </w:r>
      <w:r>
        <w:rPr>
          <w:rFonts w:hint="eastAsia" w:ascii="宋体" w:hAnsi="宋体"/>
          <w:color w:val="auto"/>
          <w:szCs w:val="21"/>
          <w:highlight w:val="none"/>
          <w:u w:val="single"/>
          <w:lang w:eastAsia="zh-CN"/>
        </w:rPr>
        <w:t>15时30分</w:t>
      </w:r>
      <w:r>
        <w:rPr>
          <w:rFonts w:hint="eastAsia" w:ascii="宋体" w:hAnsi="宋体"/>
          <w:bCs/>
          <w:color w:val="auto"/>
          <w:szCs w:val="21"/>
          <w:highlight w:val="none"/>
        </w:rPr>
        <w:t>（北京时间）</w:t>
      </w:r>
    </w:p>
    <w:p w14:paraId="1242DB3D">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698719AA">
      <w:pPr>
        <w:spacing w:line="360" w:lineRule="exact"/>
        <w:ind w:firstLine="354" w:firstLineChars="147"/>
        <w:rPr>
          <w:rFonts w:ascii="黑体" w:hAnsi="黑体" w:eastAsia="黑体"/>
          <w:b/>
          <w:color w:val="auto"/>
          <w:sz w:val="24"/>
          <w:highlight w:val="none"/>
        </w:rPr>
      </w:pPr>
      <w:bookmarkStart w:id="32" w:name="_Toc71365910"/>
      <w:bookmarkStart w:id="33" w:name="_Toc35393634"/>
      <w:bookmarkStart w:id="34" w:name="_Toc44229883"/>
      <w:bookmarkStart w:id="35" w:name="_Toc28359017"/>
      <w:bookmarkStart w:id="36" w:name="_Toc28359094"/>
      <w:bookmarkStart w:id="37" w:name="_Toc35393803"/>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012B6541">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365B7B3">
      <w:pPr>
        <w:spacing w:line="360" w:lineRule="exact"/>
        <w:ind w:firstLine="354" w:firstLineChars="147"/>
        <w:rPr>
          <w:rFonts w:ascii="黑体" w:hAnsi="黑体" w:eastAsia="黑体"/>
          <w:b/>
          <w:color w:val="auto"/>
          <w:sz w:val="24"/>
          <w:highlight w:val="none"/>
        </w:rPr>
      </w:pPr>
      <w:bookmarkStart w:id="38" w:name="_Toc35393635"/>
      <w:bookmarkStart w:id="39" w:name="_Toc44229884"/>
      <w:bookmarkStart w:id="40" w:name="_Toc35393804"/>
      <w:bookmarkStart w:id="41" w:name="_Toc71365911"/>
      <w:r>
        <w:rPr>
          <w:rFonts w:hint="eastAsia" w:ascii="黑体" w:hAnsi="黑体" w:eastAsia="黑体"/>
          <w:b/>
          <w:color w:val="auto"/>
          <w:sz w:val="24"/>
          <w:highlight w:val="none"/>
        </w:rPr>
        <w:t>七、其他补充事宜</w:t>
      </w:r>
      <w:bookmarkEnd w:id="38"/>
      <w:bookmarkEnd w:id="39"/>
      <w:bookmarkEnd w:id="40"/>
      <w:bookmarkEnd w:id="41"/>
    </w:p>
    <w:p w14:paraId="748C8F04">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071C3B6E">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w:t>
      </w:r>
    </w:p>
    <w:p w14:paraId="4E855593">
      <w:pPr>
        <w:spacing w:line="360" w:lineRule="exact"/>
        <w:ind w:firstLine="424" w:firstLineChars="202"/>
        <w:rPr>
          <w:rFonts w:ascii="宋体" w:hAnsi="宋体" w:cs="宋体"/>
          <w:color w:val="auto"/>
          <w:kern w:val="0"/>
          <w:szCs w:val="21"/>
          <w:highlight w:val="none"/>
        </w:rPr>
      </w:pPr>
      <w:bookmarkStart w:id="42" w:name="_Hlk37429674"/>
      <w:bookmarkStart w:id="43" w:name="_Toc35393805"/>
      <w:bookmarkStart w:id="44" w:name="_Toc28359018"/>
      <w:bookmarkStart w:id="45" w:name="_Toc44229885"/>
      <w:bookmarkStart w:id="46" w:name="_Toc28359095"/>
      <w:bookmarkStart w:id="47" w:name="_Toc35393636"/>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56133576">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4E3B286B">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1236CABE">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47B89241">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3DA90DDD">
      <w:pPr>
        <w:spacing w:line="36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bookmarkEnd w:id="42"/>
    <w:p w14:paraId="270E67CC">
      <w:pPr>
        <w:widowControl/>
        <w:spacing w:line="36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24359546">
      <w:pPr>
        <w:widowControl/>
        <w:wordWrap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2E0AB39E">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1BF10B33">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0A7CBD11">
      <w:pPr>
        <w:widowControl/>
        <w:spacing w:line="36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6D946F7">
      <w:pPr>
        <w:spacing w:line="36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6F1D675C">
      <w:pPr>
        <w:adjustRightInd w:val="0"/>
        <w:snapToGrid w:val="0"/>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szCs w:val="21"/>
          <w:highlight w:val="none"/>
        </w:rPr>
        <w:t>4.</w:t>
      </w:r>
      <w:r>
        <w:rPr>
          <w:rFonts w:hint="eastAsia" w:ascii="宋体" w:hAnsi="宋体" w:cs="宋体"/>
          <w:bCs/>
          <w:color w:val="auto"/>
          <w:kern w:val="0"/>
          <w:szCs w:val="21"/>
          <w:highlight w:val="none"/>
        </w:rPr>
        <w:t>磋商保证金：</w:t>
      </w:r>
      <w:r>
        <w:rPr>
          <w:rFonts w:hint="eastAsia" w:ascii="宋体" w:hAnsi="宋体" w:cs="宋体"/>
          <w:bCs/>
          <w:color w:val="auto"/>
          <w:kern w:val="0"/>
          <w:szCs w:val="21"/>
          <w:highlight w:val="none"/>
          <w:u w:val="single"/>
        </w:rPr>
        <w:t>人民币贰万陆元整（¥26000.00）。</w:t>
      </w:r>
    </w:p>
    <w:p w14:paraId="04AFC04A">
      <w:pPr>
        <w:spacing w:line="360" w:lineRule="exact"/>
        <w:ind w:firstLine="420" w:firstLineChars="200"/>
        <w:rPr>
          <w:rFonts w:ascii="宋体" w:hAnsi="宋体" w:cs="宋体"/>
          <w:b/>
          <w:color w:val="auto"/>
          <w:kern w:val="0"/>
          <w:szCs w:val="21"/>
          <w:highlight w:val="none"/>
        </w:rPr>
      </w:pPr>
      <w:r>
        <w:rPr>
          <w:rFonts w:hint="eastAsia" w:ascii="宋体" w:hAnsi="宋体" w:cs="宋体"/>
          <w:bCs/>
          <w:color w:val="auto"/>
          <w:kern w:val="0"/>
          <w:szCs w:val="21"/>
          <w:highlight w:val="none"/>
        </w:rPr>
        <w:t>磋商保证金的形式：银行转账、支票、汇票、本票或者银行、保险机构出具的保函</w:t>
      </w:r>
      <w:r>
        <w:rPr>
          <w:rFonts w:hint="eastAsia" w:ascii="宋体" w:hAnsi="宋体" w:cs="宋体"/>
          <w:color w:val="auto"/>
          <w:kern w:val="0"/>
          <w:szCs w:val="21"/>
          <w:highlight w:val="none"/>
        </w:rPr>
        <w:t>（包含电子保函）</w:t>
      </w:r>
      <w:r>
        <w:rPr>
          <w:rFonts w:hint="eastAsia" w:ascii="宋体" w:hAnsi="宋体" w:cs="宋体"/>
          <w:bCs/>
          <w:color w:val="auto"/>
          <w:kern w:val="0"/>
          <w:szCs w:val="21"/>
          <w:highlight w:val="none"/>
        </w:rPr>
        <w:t>，禁止采用现钞方式。采用银行转账方式的，在响应文件提交截止时间前交到云之龙咨询集团有限公司指定账户并且到账</w:t>
      </w:r>
      <w:r>
        <w:rPr>
          <w:rFonts w:hint="eastAsia" w:ascii="宋体" w:hAnsi="宋体" w:cs="宋体"/>
          <w:bCs/>
          <w:color w:val="auto"/>
          <w:kern w:val="0"/>
          <w:szCs w:val="21"/>
          <w:highlight w:val="none"/>
          <w:u w:val="single"/>
        </w:rPr>
        <w:t>（账户名称：云之龙咨询集团有限公司北海分公司，开户银行：中信银行南宁东葛支行，</w:t>
      </w:r>
      <w:r>
        <w:rPr>
          <w:rFonts w:hint="eastAsia" w:ascii="宋体" w:hAnsi="宋体" w:cs="宋体"/>
          <w:color w:val="auto"/>
          <w:kern w:val="0"/>
          <w:szCs w:val="21"/>
          <w:highlight w:val="none"/>
          <w:u w:val="single"/>
        </w:rPr>
        <w:t>银行账号：8113001013400074639</w:t>
      </w:r>
      <w:r>
        <w:rPr>
          <w:rFonts w:hint="eastAsia" w:ascii="宋体" w:hAnsi="宋体" w:cs="宋体"/>
          <w:bCs/>
          <w:color w:val="auto"/>
          <w:kern w:val="0"/>
          <w:szCs w:val="21"/>
          <w:highlight w:val="none"/>
          <w:u w:val="single"/>
        </w:rPr>
        <w:t>）</w:t>
      </w:r>
      <w:r>
        <w:rPr>
          <w:rFonts w:hint="eastAsia" w:ascii="宋体" w:hAnsi="宋体" w:cs="宋体"/>
          <w:bCs/>
          <w:color w:val="auto"/>
          <w:kern w:val="0"/>
          <w:szCs w:val="21"/>
          <w:highlight w:val="none"/>
        </w:rPr>
        <w:t>；采用支票、汇票、本票或者保函等方式的，在响应文件提交截止时间前，供应商应当递交单独密封的支票、汇票、本票或者保函原件</w:t>
      </w:r>
      <w:r>
        <w:rPr>
          <w:rFonts w:hint="eastAsia" w:ascii="宋体" w:hAnsi="宋体" w:cs="宋体"/>
          <w:b/>
          <w:color w:val="auto"/>
          <w:kern w:val="0"/>
          <w:szCs w:val="21"/>
          <w:highlight w:val="none"/>
        </w:rPr>
        <w:t>。否则视为无效磋商保证金。</w:t>
      </w:r>
    </w:p>
    <w:p w14:paraId="4AE65A5A">
      <w:pPr>
        <w:spacing w:line="360" w:lineRule="exact"/>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5.本项目采用远程异地评标。</w:t>
      </w:r>
    </w:p>
    <w:p w14:paraId="098B35EC">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3"/>
      <w:bookmarkEnd w:id="44"/>
      <w:bookmarkEnd w:id="45"/>
      <w:bookmarkEnd w:id="46"/>
      <w:bookmarkEnd w:id="47"/>
    </w:p>
    <w:p w14:paraId="20EB13A5">
      <w:pPr>
        <w:spacing w:line="360" w:lineRule="exact"/>
        <w:ind w:firstLine="420" w:firstLineChars="200"/>
        <w:rPr>
          <w:rFonts w:ascii="宋体" w:hAnsi="宋体" w:cs="宋体"/>
          <w:color w:val="auto"/>
          <w:kern w:val="0"/>
          <w:szCs w:val="21"/>
          <w:highlight w:val="none"/>
        </w:rPr>
      </w:pPr>
      <w:bookmarkStart w:id="48" w:name="_Toc28359019"/>
      <w:bookmarkStart w:id="49" w:name="_Toc35393806"/>
      <w:bookmarkStart w:id="50" w:name="_Toc28359096"/>
      <w:bookmarkStart w:id="51" w:name="_Toc35393637"/>
      <w:r>
        <w:rPr>
          <w:rFonts w:hint="eastAsia" w:ascii="宋体" w:hAnsi="宋体" w:cs="宋体"/>
          <w:color w:val="auto"/>
          <w:kern w:val="0"/>
          <w:szCs w:val="21"/>
          <w:highlight w:val="none"/>
        </w:rPr>
        <w:t>1.采购人信息</w:t>
      </w:r>
      <w:bookmarkEnd w:id="48"/>
      <w:bookmarkEnd w:id="49"/>
      <w:bookmarkEnd w:id="50"/>
      <w:bookmarkEnd w:id="51"/>
    </w:p>
    <w:p w14:paraId="31CB5FCD">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北海市海城区海洋局</w:t>
      </w:r>
    </w:p>
    <w:p w14:paraId="6783067A">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北海市海城区海角路41号1栋  </w:t>
      </w:r>
    </w:p>
    <w:p w14:paraId="422C0EB4">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s="宋体"/>
          <w:color w:val="auto"/>
          <w:szCs w:val="21"/>
          <w:highlight w:val="none"/>
          <w:u w:val="single"/>
        </w:rPr>
        <w:t xml:space="preserve">肖伟 0779-3068700   </w:t>
      </w:r>
    </w:p>
    <w:p w14:paraId="70859B39">
      <w:pPr>
        <w:spacing w:line="360" w:lineRule="exact"/>
        <w:ind w:firstLine="420" w:firstLineChars="200"/>
        <w:rPr>
          <w:rFonts w:ascii="宋体" w:hAnsi="宋体" w:cs="宋体"/>
          <w:color w:val="auto"/>
          <w:kern w:val="0"/>
          <w:szCs w:val="21"/>
          <w:highlight w:val="none"/>
        </w:rPr>
      </w:pPr>
      <w:bookmarkStart w:id="52" w:name="_Toc35393807"/>
      <w:bookmarkStart w:id="53" w:name="_Toc28359097"/>
      <w:bookmarkStart w:id="54" w:name="_Toc28359020"/>
      <w:bookmarkStart w:id="55" w:name="_Toc35393638"/>
      <w:r>
        <w:rPr>
          <w:rFonts w:hint="eastAsia" w:ascii="宋体" w:hAnsi="宋体" w:cs="宋体"/>
          <w:color w:val="auto"/>
          <w:kern w:val="0"/>
          <w:szCs w:val="21"/>
          <w:highlight w:val="none"/>
        </w:rPr>
        <w:t>2.采购代理机构信息</w:t>
      </w:r>
      <w:bookmarkEnd w:id="52"/>
      <w:bookmarkEnd w:id="53"/>
      <w:bookmarkEnd w:id="54"/>
      <w:bookmarkEnd w:id="55"/>
    </w:p>
    <w:p w14:paraId="57289BF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w:t>
      </w:r>
    </w:p>
    <w:p w14:paraId="64599BA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广西北海市北部湾中路60号779财富中心15楼1505号</w:t>
      </w:r>
    </w:p>
    <w:p w14:paraId="5F9DB3BE">
      <w:pPr>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rPr>
        <w:t>0779-3227361/3227538</w:t>
      </w:r>
    </w:p>
    <w:p w14:paraId="3B269E37">
      <w:pPr>
        <w:spacing w:line="360" w:lineRule="exact"/>
        <w:ind w:firstLine="420" w:firstLineChars="200"/>
        <w:rPr>
          <w:rFonts w:ascii="宋体" w:hAnsi="宋体" w:cs="宋体"/>
          <w:color w:val="auto"/>
          <w:kern w:val="0"/>
          <w:szCs w:val="21"/>
          <w:highlight w:val="none"/>
        </w:rPr>
      </w:pPr>
      <w:bookmarkStart w:id="56" w:name="_Toc35393808"/>
      <w:bookmarkStart w:id="57" w:name="_Toc35393639"/>
      <w:bookmarkStart w:id="58" w:name="_Toc28359098"/>
      <w:bookmarkStart w:id="59" w:name="_Toc28359021"/>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6"/>
      <w:bookmarkEnd w:id="57"/>
      <w:bookmarkEnd w:id="58"/>
      <w:bookmarkEnd w:id="59"/>
    </w:p>
    <w:p w14:paraId="4C1274B5">
      <w:pPr>
        <w:pStyle w:val="18"/>
        <w:spacing w:line="360" w:lineRule="exact"/>
        <w:ind w:firstLine="420" w:firstLineChars="200"/>
        <w:rPr>
          <w:rFonts w:hAnsi="宋体"/>
          <w:color w:val="auto"/>
          <w:sz w:val="21"/>
          <w:highlight w:val="none"/>
        </w:rPr>
      </w:pPr>
      <w:r>
        <w:rPr>
          <w:rFonts w:hint="eastAsia" w:hAnsi="宋体"/>
          <w:color w:val="auto"/>
          <w:sz w:val="21"/>
          <w:highlight w:val="none"/>
        </w:rPr>
        <w:t>项目联系人：</w:t>
      </w:r>
      <w:r>
        <w:rPr>
          <w:rFonts w:hint="eastAsia" w:hAnsi="宋体"/>
          <w:color w:val="auto"/>
          <w:sz w:val="21"/>
          <w:highlight w:val="none"/>
          <w:u w:val="single"/>
        </w:rPr>
        <w:t>翁娜娜</w:t>
      </w:r>
    </w:p>
    <w:p w14:paraId="61613788">
      <w:pPr>
        <w:spacing w:line="360" w:lineRule="exact"/>
        <w:ind w:firstLine="420" w:firstLineChars="200"/>
        <w:rPr>
          <w:color w:val="auto"/>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0779-3227361/3227538</w:t>
      </w:r>
      <w:bookmarkEnd w:id="1"/>
    </w:p>
    <w:p w14:paraId="363566F7">
      <w:pPr>
        <w:pStyle w:val="5"/>
        <w:jc w:val="center"/>
        <w:rPr>
          <w:color w:val="auto"/>
          <w:highlight w:val="none"/>
        </w:rPr>
      </w:pPr>
      <w:r>
        <w:rPr>
          <w:rFonts w:hint="eastAsia"/>
          <w:color w:val="auto"/>
          <w:highlight w:val="none"/>
        </w:rPr>
        <w:br w:type="page"/>
      </w:r>
      <w:bookmarkStart w:id="60" w:name="_Toc29576"/>
      <w:r>
        <w:rPr>
          <w:rFonts w:hint="eastAsia"/>
          <w:color w:val="auto"/>
          <w:highlight w:val="none"/>
        </w:rPr>
        <w:t>第二章 供应商须知</w:t>
      </w:r>
      <w:bookmarkEnd w:id="60"/>
    </w:p>
    <w:p w14:paraId="10FA0F85">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57F34692">
      <w:pPr>
        <w:spacing w:line="400" w:lineRule="exact"/>
        <w:jc w:val="center"/>
        <w:rPr>
          <w:rFonts w:ascii="宋体" w:hAnsi="宋体"/>
          <w:b/>
          <w:color w:val="auto"/>
          <w:sz w:val="32"/>
          <w:szCs w:val="32"/>
          <w:highlight w:val="none"/>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B045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tcPr>
          <w:p w14:paraId="1A45B422">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36774D97">
            <w:pPr>
              <w:wordWrap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2B510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602335B">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3792F6DD">
            <w:pPr>
              <w:wordWrap w:val="0"/>
              <w:spacing w:line="360" w:lineRule="auto"/>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7C7D38D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1B30376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F60240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ECC951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3.供应商的资格要求（供应商须在响应文件中提供《北海市政府采购供应商信用承诺函》对以下内容进行承诺，格式附后）：</w:t>
            </w:r>
          </w:p>
          <w:p w14:paraId="292D981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供应商</w:t>
            </w:r>
            <w:r>
              <w:rPr>
                <w:rFonts w:hint="eastAsia" w:ascii="宋体" w:hAnsi="宋体" w:cs="宋体"/>
                <w:color w:val="auto"/>
                <w:szCs w:val="21"/>
                <w:highlight w:val="none"/>
              </w:rPr>
              <w:t>具备有效的</w:t>
            </w:r>
            <w:r>
              <w:rPr>
                <w:rFonts w:ascii="宋体" w:hAnsi="宋体" w:cs="宋体"/>
                <w:color w:val="auto"/>
                <w:szCs w:val="21"/>
                <w:highlight w:val="none"/>
              </w:rPr>
              <w:t>营业执照或者事业单位法人证书或者执业许可证或者登记证书等</w:t>
            </w:r>
            <w:r>
              <w:rPr>
                <w:rFonts w:hint="eastAsia" w:ascii="宋体" w:hAnsi="宋体" w:cs="宋体"/>
                <w:color w:val="auto"/>
                <w:szCs w:val="21"/>
                <w:highlight w:val="none"/>
              </w:rPr>
              <w:t>；</w:t>
            </w:r>
          </w:p>
          <w:p w14:paraId="5C2F1E2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供应商20</w:t>
            </w:r>
            <w:r>
              <w:rPr>
                <w:rFonts w:hint="eastAsia" w:ascii="宋体" w:hAnsi="宋体" w:cs="宋体"/>
                <w:color w:val="auto"/>
                <w:szCs w:val="21"/>
                <w:highlight w:val="none"/>
              </w:rPr>
              <w:t>24</w:t>
            </w:r>
            <w:r>
              <w:rPr>
                <w:rFonts w:ascii="宋体" w:hAnsi="宋体" w:cs="宋体"/>
                <w:color w:val="auto"/>
                <w:szCs w:val="21"/>
                <w:highlight w:val="none"/>
              </w:rPr>
              <w:t>年</w:t>
            </w:r>
            <w:r>
              <w:rPr>
                <w:rFonts w:hint="eastAsia" w:ascii="宋体" w:hAnsi="宋体" w:cs="宋体"/>
                <w:color w:val="auto"/>
                <w:szCs w:val="21"/>
                <w:highlight w:val="none"/>
              </w:rPr>
              <w:t>以来</w:t>
            </w:r>
            <w:r>
              <w:rPr>
                <w:rFonts w:ascii="宋体" w:hAnsi="宋体" w:cs="宋体"/>
                <w:color w:val="auto"/>
                <w:szCs w:val="21"/>
                <w:highlight w:val="none"/>
              </w:rPr>
              <w:t>连续三个月的</w:t>
            </w:r>
            <w:r>
              <w:rPr>
                <w:rFonts w:hint="eastAsia" w:ascii="宋体" w:hAnsi="宋体" w:cs="宋体"/>
                <w:color w:val="auto"/>
                <w:szCs w:val="21"/>
                <w:highlight w:val="none"/>
              </w:rPr>
              <w:t>已</w:t>
            </w:r>
            <w:r>
              <w:rPr>
                <w:rFonts w:ascii="宋体" w:hAnsi="宋体" w:cs="宋体"/>
                <w:color w:val="auto"/>
                <w:szCs w:val="21"/>
                <w:highlight w:val="none"/>
              </w:rPr>
              <w:t>依法缴纳税收</w:t>
            </w:r>
            <w:r>
              <w:rPr>
                <w:rFonts w:hint="eastAsia" w:ascii="宋体" w:hAnsi="宋体" w:cs="宋体"/>
                <w:color w:val="auto"/>
                <w:szCs w:val="21"/>
                <w:highlight w:val="none"/>
              </w:rPr>
              <w:t>，或</w:t>
            </w:r>
            <w:r>
              <w:rPr>
                <w:rFonts w:ascii="宋体" w:hAnsi="宋体" w:cs="宋体"/>
                <w:color w:val="auto"/>
                <w:szCs w:val="21"/>
                <w:highlight w:val="none"/>
              </w:rPr>
              <w:t>依法免税的</w:t>
            </w:r>
            <w:r>
              <w:rPr>
                <w:rFonts w:hint="eastAsia" w:ascii="宋体" w:hAnsi="宋体" w:cs="宋体"/>
                <w:color w:val="auto"/>
                <w:szCs w:val="21"/>
                <w:highlight w:val="none"/>
              </w:rPr>
              <w:t>；</w:t>
            </w:r>
            <w:r>
              <w:rPr>
                <w:rFonts w:ascii="宋体" w:hAnsi="宋体" w:cs="宋体"/>
                <w:color w:val="auto"/>
                <w:szCs w:val="21"/>
                <w:highlight w:val="none"/>
              </w:rPr>
              <w:t>从成立之日起到响应文件提交截止时间止不足要求月数的，从成立之日起</w:t>
            </w:r>
            <w:r>
              <w:rPr>
                <w:rFonts w:hint="eastAsia" w:ascii="宋体" w:hAnsi="宋体" w:cs="宋体"/>
                <w:color w:val="auto"/>
                <w:szCs w:val="21"/>
                <w:highlight w:val="none"/>
              </w:rPr>
              <w:t>已</w:t>
            </w:r>
            <w:r>
              <w:rPr>
                <w:rFonts w:ascii="宋体" w:hAnsi="宋体" w:cs="宋体"/>
                <w:color w:val="auto"/>
                <w:szCs w:val="21"/>
                <w:highlight w:val="none"/>
              </w:rPr>
              <w:t>依法缴纳税收</w:t>
            </w:r>
            <w:r>
              <w:rPr>
                <w:rFonts w:hint="eastAsia" w:ascii="宋体" w:hAnsi="宋体" w:cs="宋体"/>
                <w:color w:val="auto"/>
                <w:szCs w:val="21"/>
                <w:highlight w:val="none"/>
              </w:rPr>
              <w:t>；</w:t>
            </w:r>
          </w:p>
          <w:p w14:paraId="55B8F70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供应商202</w:t>
            </w:r>
            <w:r>
              <w:rPr>
                <w:rFonts w:hint="eastAsia" w:ascii="宋体" w:hAnsi="宋体" w:cs="宋体"/>
                <w:color w:val="auto"/>
                <w:szCs w:val="21"/>
                <w:highlight w:val="none"/>
              </w:rPr>
              <w:t>4</w:t>
            </w:r>
            <w:r>
              <w:rPr>
                <w:rFonts w:ascii="宋体" w:hAnsi="宋体" w:cs="宋体"/>
                <w:color w:val="auto"/>
                <w:szCs w:val="21"/>
                <w:highlight w:val="none"/>
              </w:rPr>
              <w:t>年</w:t>
            </w:r>
            <w:r>
              <w:rPr>
                <w:rFonts w:hint="eastAsia" w:ascii="宋体" w:hAnsi="宋体" w:cs="宋体"/>
                <w:color w:val="auto"/>
                <w:szCs w:val="21"/>
                <w:highlight w:val="none"/>
              </w:rPr>
              <w:t>以来</w:t>
            </w:r>
            <w:r>
              <w:rPr>
                <w:rFonts w:ascii="宋体" w:hAnsi="宋体" w:cs="宋体"/>
                <w:color w:val="auto"/>
                <w:szCs w:val="21"/>
                <w:highlight w:val="none"/>
              </w:rPr>
              <w:t>连续三个月</w:t>
            </w:r>
            <w:r>
              <w:rPr>
                <w:rFonts w:hint="eastAsia" w:ascii="宋体" w:hAnsi="宋体" w:cs="宋体"/>
                <w:color w:val="auto"/>
                <w:szCs w:val="21"/>
                <w:highlight w:val="none"/>
              </w:rPr>
              <w:t>已</w:t>
            </w:r>
            <w:r>
              <w:rPr>
                <w:rFonts w:ascii="宋体" w:hAnsi="宋体" w:cs="宋体"/>
                <w:color w:val="auto"/>
                <w:szCs w:val="21"/>
                <w:highlight w:val="none"/>
              </w:rPr>
              <w:t>依法缴纳社会保障资金</w:t>
            </w:r>
            <w:r>
              <w:rPr>
                <w:rFonts w:hint="eastAsia" w:ascii="宋体" w:hAnsi="宋体" w:cs="宋体"/>
                <w:color w:val="auto"/>
                <w:szCs w:val="21"/>
                <w:highlight w:val="none"/>
              </w:rPr>
              <w:t>，或</w:t>
            </w:r>
            <w:r>
              <w:rPr>
                <w:rFonts w:ascii="宋体" w:hAnsi="宋体" w:cs="宋体"/>
                <w:color w:val="auto"/>
                <w:szCs w:val="21"/>
                <w:highlight w:val="none"/>
              </w:rPr>
              <w:t>依法不需要缴纳社会保障资金的</w:t>
            </w:r>
            <w:r>
              <w:rPr>
                <w:rFonts w:hint="eastAsia" w:ascii="宋体" w:hAnsi="宋体" w:cs="宋体"/>
                <w:color w:val="auto"/>
                <w:szCs w:val="21"/>
                <w:highlight w:val="none"/>
              </w:rPr>
              <w:t>；</w:t>
            </w:r>
            <w:r>
              <w:rPr>
                <w:rFonts w:ascii="宋体" w:hAnsi="宋体" w:cs="宋体"/>
                <w:color w:val="auto"/>
                <w:szCs w:val="21"/>
                <w:highlight w:val="none"/>
              </w:rPr>
              <w:t>从成立之日起到响应文件提交截止时间止不足要求月数的</w:t>
            </w:r>
            <w:r>
              <w:rPr>
                <w:rFonts w:hint="eastAsia" w:ascii="宋体" w:hAnsi="宋体" w:cs="宋体"/>
                <w:color w:val="auto"/>
                <w:szCs w:val="21"/>
                <w:highlight w:val="none"/>
              </w:rPr>
              <w:t>，</w:t>
            </w:r>
            <w:r>
              <w:rPr>
                <w:rFonts w:ascii="宋体" w:hAnsi="宋体" w:cs="宋体"/>
                <w:color w:val="auto"/>
                <w:szCs w:val="21"/>
                <w:highlight w:val="none"/>
              </w:rPr>
              <w:t>从成立之日起</w:t>
            </w:r>
            <w:r>
              <w:rPr>
                <w:rFonts w:hint="eastAsia" w:ascii="宋体" w:hAnsi="宋体" w:cs="宋体"/>
                <w:color w:val="auto"/>
                <w:szCs w:val="21"/>
                <w:highlight w:val="none"/>
              </w:rPr>
              <w:t>已</w:t>
            </w:r>
            <w:r>
              <w:rPr>
                <w:rFonts w:ascii="宋体" w:hAnsi="宋体" w:cs="宋体"/>
                <w:color w:val="auto"/>
                <w:szCs w:val="21"/>
                <w:highlight w:val="none"/>
              </w:rPr>
              <w:t>依法缴纳社会保障资金；</w:t>
            </w:r>
          </w:p>
          <w:p w14:paraId="39CB3F4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（4）供应商财务状况报告（2024年年度财务报表或经审计的财务报告；供应商属于成立时间在规定年度之后的法人或其他组织，需具备成立之日起至响应文件提交截止时间前的月报表）。</w:t>
            </w:r>
          </w:p>
        </w:tc>
      </w:tr>
      <w:tr w14:paraId="00118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4E1A15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727C9C6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4019A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5BB369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2E23AA11">
            <w:pPr>
              <w:wordWrap w:val="0"/>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6088C57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375FD3D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02F15BA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各方承担责任与义务的分工必须符合采购需求，否则，联合体竞标无效</w:t>
            </w:r>
            <w:r>
              <w:rPr>
                <w:rFonts w:hint="eastAsia" w:ascii="宋体" w:hAnsi="宋体" w:cs="宋体"/>
                <w:color w:val="auto"/>
                <w:szCs w:val="21"/>
                <w:highlight w:val="none"/>
              </w:rPr>
              <w:t>），并将联合竞标协议放入响应文件。联合体各方必须共同与采购人签订采购合同，就采购合同约定的事项对采购人承担连带责任。</w:t>
            </w:r>
          </w:p>
          <w:p w14:paraId="3FDF7AD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42B70BB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0EC1FB0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联合体竞标业绩、履约能力按照联合体各方中较高的一方认定并计算（磋商文件另有规定的除外）。</w:t>
            </w:r>
          </w:p>
          <w:p w14:paraId="2D74895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供应商为联合体的，可以由联合体中的一方或者多方共同交纳磋商保证金，其交纳的保证金对联合体各方均具有约束力。</w:t>
            </w:r>
          </w:p>
          <w:p w14:paraId="021990B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联合体各方均应按照磋商文件的规定提交资格证明文件。</w:t>
            </w:r>
          </w:p>
        </w:tc>
      </w:tr>
      <w:tr w14:paraId="70F55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1C7263D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108836BF">
            <w:pPr>
              <w:pStyle w:val="14"/>
              <w:wordWrap w:val="0"/>
              <w:spacing w:line="360" w:lineRule="auto"/>
              <w:rPr>
                <w:rFonts w:ascii="宋体" w:hAnsi="宋体"/>
                <w:color w:val="auto"/>
                <w:szCs w:val="21"/>
                <w:highlight w:val="none"/>
              </w:rPr>
            </w:pPr>
            <w:r>
              <w:rPr>
                <w:rFonts w:hint="eastAsia" w:ascii="宋体" w:hAnsi="宋体"/>
                <w:color w:val="auto"/>
                <w:szCs w:val="21"/>
                <w:highlight w:val="none"/>
              </w:rPr>
              <w:t>☑不允许分包</w:t>
            </w:r>
          </w:p>
          <w:p w14:paraId="030EDB00">
            <w:pPr>
              <w:pStyle w:val="14"/>
              <w:wordWrap w:val="0"/>
              <w:spacing w:line="360" w:lineRule="auto"/>
              <w:rPr>
                <w:rFonts w:ascii="宋体" w:hAnsi="宋体"/>
                <w:color w:val="auto"/>
                <w:szCs w:val="21"/>
                <w:highlight w:val="none"/>
              </w:rPr>
            </w:pPr>
            <w:r>
              <w:rPr>
                <w:rFonts w:hint="eastAsia" w:ascii="宋体" w:hAnsi="宋体"/>
                <w:color w:val="auto"/>
                <w:szCs w:val="21"/>
                <w:highlight w:val="none"/>
              </w:rPr>
              <w:t>□允许分包</w:t>
            </w:r>
          </w:p>
          <w:p w14:paraId="3333F707">
            <w:pPr>
              <w:pStyle w:val="14"/>
              <w:wordWrap w:val="0"/>
              <w:spacing w:line="360" w:lineRule="auto"/>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14:paraId="19CCC3C3">
            <w:pPr>
              <w:pStyle w:val="14"/>
              <w:wordWrap w:val="0"/>
              <w:spacing w:line="360" w:lineRule="auto"/>
              <w:rPr>
                <w:rFonts w:ascii="宋体" w:hAnsi="宋体" w:cs="宋体"/>
                <w:color w:val="auto"/>
                <w:szCs w:val="21"/>
                <w:highlight w:val="non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14:paraId="61FCC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7473330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1B848DAA">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3E8E5333">
            <w:pPr>
              <w:pStyle w:val="14"/>
              <w:wordWrap w:val="0"/>
              <w:spacing w:line="360" w:lineRule="auto"/>
              <w:rPr>
                <w:rFonts w:ascii="宋体" w:hAnsi="宋体"/>
                <w:color w:val="auto"/>
                <w:szCs w:val="21"/>
                <w:highlight w:val="none"/>
              </w:rPr>
            </w:pPr>
            <w:r>
              <w:rPr>
                <w:rFonts w:hint="eastAsia" w:ascii="宋体" w:hAnsi="宋体" w:cs="宋体"/>
                <w:color w:val="auto"/>
                <w:szCs w:val="21"/>
                <w:highlight w:val="none"/>
              </w:rPr>
              <w:t>1.供应商应当在响应文件中以书面形式作出信用承诺（承诺函格式见附件）；</w:t>
            </w:r>
            <w:r>
              <w:rPr>
                <w:rFonts w:hint="eastAsia" w:ascii="宋体" w:hAnsi="宋体" w:cs="宋体"/>
                <w:b/>
                <w:bCs/>
                <w:color w:val="auto"/>
                <w:szCs w:val="21"/>
                <w:highlight w:val="none"/>
              </w:rPr>
              <w:t>（必须提供，否则响应文件按无效响应处理）</w:t>
            </w:r>
          </w:p>
          <w:p w14:paraId="56ACF2DF">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2.供应商直接控股股东信息表（格式后附）；（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DC78CC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D0DCC53">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50D2734">
            <w:pPr>
              <w:wordWrap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5.供应商在广西政府采购云平台下载采购文件</w:t>
            </w:r>
            <w:r>
              <w:rPr>
                <w:rFonts w:ascii="宋体" w:hAnsi="宋体" w:cs="宋体"/>
                <w:color w:val="auto"/>
                <w:szCs w:val="21"/>
                <w:highlight w:val="none"/>
              </w:rPr>
              <w:t>的</w:t>
            </w:r>
            <w:r>
              <w:rPr>
                <w:rFonts w:hint="eastAsia" w:ascii="宋体" w:hAnsi="宋体" w:cs="宋体"/>
                <w:color w:val="auto"/>
                <w:szCs w:val="21"/>
                <w:highlight w:val="none"/>
              </w:rPr>
              <w:t>证明文件；</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047C5113">
            <w:pPr>
              <w:wordWrap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w:t>
            </w:r>
            <w:r>
              <w:rPr>
                <w:rFonts w:hint="eastAsia" w:ascii="宋体" w:hAnsi="宋体"/>
                <w:color w:val="auto"/>
                <w:szCs w:val="21"/>
                <w:highlight w:val="none"/>
              </w:rPr>
              <w:t>中小企业声明函或残疾人福利性单位声明函或供应商属于监狱企业的证明材料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必须提供，否则响应文件按无效响应处理</w:t>
            </w:r>
            <w:r>
              <w:rPr>
                <w:rFonts w:hint="eastAsia" w:ascii="宋体" w:hAnsi="宋体"/>
                <w:color w:val="auto"/>
                <w:szCs w:val="21"/>
                <w:highlight w:val="none"/>
              </w:rPr>
              <w:t>）</w:t>
            </w:r>
          </w:p>
          <w:p w14:paraId="661453BD">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7.除磋商文件规定必须提供以外，供应商认为需要提供的其他证明材料；</w:t>
            </w:r>
          </w:p>
          <w:p w14:paraId="7FA562ED">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w:t>
            </w:r>
          </w:p>
          <w:p w14:paraId="4B786EA3">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ascii="宋体" w:hAnsi="宋体"/>
                <w:b/>
                <w:color w:val="auto"/>
                <w:szCs w:val="21"/>
                <w:highlight w:val="none"/>
              </w:rPr>
              <w:t>电子签章</w:t>
            </w:r>
            <w:r>
              <w:rPr>
                <w:rFonts w:hint="eastAsia" w:ascii="宋体" w:hAnsi="宋体" w:cs="宋体"/>
                <w:b/>
                <w:color w:val="auto"/>
                <w:szCs w:val="21"/>
                <w:highlight w:val="none"/>
              </w:rPr>
              <w:t>，否则响应文件按无效处理。</w:t>
            </w:r>
          </w:p>
          <w:p w14:paraId="2B63A09E">
            <w:pPr>
              <w:pStyle w:val="14"/>
              <w:wordWrap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b/>
                <w:bCs/>
                <w:color w:val="auto"/>
                <w:szCs w:val="21"/>
                <w:highlight w:val="none"/>
              </w:rPr>
              <w:t>分公司参加竞标的，应当取得总公司授权，并在响应文件中提供相关证明材料，否则响应文件按无效响应处理。</w:t>
            </w:r>
          </w:p>
        </w:tc>
      </w:tr>
      <w:tr w14:paraId="3D603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7B668C1">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6E4937E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5AF485D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282EB49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3FCC2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4353501">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01F6E3EA">
            <w:pPr>
              <w:wordWrap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31DBE1C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F9A7992">
            <w:pPr>
              <w:wordWrap w:val="0"/>
              <w:snapToGrid w:val="0"/>
              <w:spacing w:line="360" w:lineRule="auto"/>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E699FE9">
            <w:pPr>
              <w:wordWrap w:val="0"/>
              <w:spacing w:line="360" w:lineRule="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3841F15F">
            <w:pPr>
              <w:wordWrap w:val="0"/>
              <w:spacing w:line="360" w:lineRule="auto"/>
              <w:rPr>
                <w:rFonts w:ascii="宋体" w:hAns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.磋商保证金提交凭证；（</w:t>
            </w:r>
            <w:r>
              <w:rPr>
                <w:rFonts w:hint="eastAsia"/>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C711A3B">
            <w:pPr>
              <w:wordWrap w:val="0"/>
              <w:spacing w:line="360" w:lineRule="auto"/>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2DD8F3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6.服务承诺（格式自拟）；（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B3D211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7.技术要求偏离表（格式后附）；（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EE357C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8.项目实施方案（格式自拟）；（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45730A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9.人员配置方案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包含但不限于</w:t>
            </w:r>
            <w:r>
              <w:rPr>
                <w:rFonts w:hint="eastAsia" w:ascii="宋体" w:hAnsi="宋体" w:cs="宋体"/>
                <w:bCs/>
                <w:color w:val="auto"/>
                <w:szCs w:val="21"/>
                <w:highlight w:val="none"/>
              </w:rPr>
              <w:t>项目实施人员一览表</w:t>
            </w:r>
            <w:r>
              <w:rPr>
                <w:rFonts w:hint="eastAsia" w:ascii="宋体" w:hAnsi="宋体" w:cs="宋体"/>
                <w:color w:val="auto"/>
                <w:szCs w:val="21"/>
                <w:highlight w:val="none"/>
                <w:lang w:eastAsia="zh-CN"/>
              </w:rPr>
              <w:t>）</w:t>
            </w:r>
            <w:r>
              <w:rPr>
                <w:rFonts w:hint="eastAsia" w:ascii="宋体" w:hAnsi="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615E86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10.作业质量和安全保障方案；（如有，请提供）</w:t>
            </w:r>
          </w:p>
          <w:p w14:paraId="56A114B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11.应急方案；（如有，请提供）</w:t>
            </w:r>
          </w:p>
          <w:p w14:paraId="5D05404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12.对应采购需求的技术要求、商务要求提供的其他文件资料（格式自拟）；</w:t>
            </w:r>
          </w:p>
          <w:p w14:paraId="144A14A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13.供应商认为需要提供的其他有关资料。</w:t>
            </w:r>
          </w:p>
          <w:p w14:paraId="450A5462">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w:t>
            </w:r>
            <w:r>
              <w:rPr>
                <w:rFonts w:hint="eastAsia" w:ascii="宋体" w:hAnsi="宋体" w:cs="宋体"/>
                <w:b/>
                <w:color w:val="auto"/>
                <w:szCs w:val="21"/>
                <w:highlight w:val="none"/>
              </w:rPr>
              <w:t>以上标明“必须提供”的材料属于复印件的，必须加盖供应商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0BB9F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609C50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5F435B83">
            <w:pPr>
              <w:wordWrap w:val="0"/>
              <w:spacing w:line="360" w:lineRule="auto"/>
              <w:contextualSpacing/>
              <w:jc w:val="left"/>
              <w:rPr>
                <w:rFonts w:ascii="宋体" w:hAnsi="宋体"/>
                <w:b/>
                <w:color w:val="auto"/>
                <w:szCs w:val="21"/>
                <w:highlight w:val="none"/>
              </w:rPr>
            </w:pPr>
            <w:r>
              <w:rPr>
                <w:rFonts w:hint="eastAsia" w:ascii="宋体" w:hAnsi="宋体"/>
                <w:bCs/>
                <w:color w:val="auto"/>
                <w:szCs w:val="21"/>
                <w:highlight w:val="none"/>
              </w:rPr>
              <w:t>竞标报价必须含以下部分，包括但不限于整体服务价格及设备、人员成本、管理、利润、税金、保险、搬运、包装、运输、培训、验收、检测及其它所有成本、费用的总和。</w:t>
            </w:r>
          </w:p>
        </w:tc>
      </w:tr>
      <w:tr w14:paraId="74E62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423315A7">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292633D4">
            <w:pPr>
              <w:pStyle w:val="11"/>
              <w:widowControl w:val="0"/>
              <w:tabs>
                <w:tab w:val="clear" w:pos="454"/>
              </w:tabs>
              <w:wordWrap w:val="0"/>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4D191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0FE17BB">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18204D3A">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□本项目不收取磋商保证金。</w:t>
            </w:r>
          </w:p>
          <w:p w14:paraId="1ED79A0C">
            <w:pPr>
              <w:wordWrap w:val="0"/>
              <w:snapToGrid w:val="0"/>
              <w:spacing w:line="360" w:lineRule="auto"/>
              <w:rPr>
                <w:rFonts w:ascii="宋体" w:hAnsi="宋体"/>
                <w:color w:val="auto"/>
                <w:szCs w:val="21"/>
                <w:highlight w:val="none"/>
              </w:rPr>
            </w:pPr>
            <w:r>
              <w:rPr>
                <w:rFonts w:ascii="Segoe UI Symbol" w:hAnsi="Segoe UI Symbol" w:cs="Segoe UI Symbol"/>
                <w:color w:val="auto"/>
                <w:szCs w:val="21"/>
                <w:highlight w:val="none"/>
              </w:rPr>
              <w:t>☑</w:t>
            </w:r>
            <w:r>
              <w:rPr>
                <w:rFonts w:hint="eastAsia" w:ascii="宋体" w:hAnsi="宋体"/>
                <w:color w:val="auto"/>
                <w:szCs w:val="21"/>
                <w:highlight w:val="none"/>
              </w:rPr>
              <w:t>本项目收取磋商保证金，具体规定如下：</w:t>
            </w:r>
          </w:p>
          <w:p w14:paraId="58E44417">
            <w:pPr>
              <w:wordWrap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bCs/>
                <w:color w:val="auto"/>
                <w:kern w:val="0"/>
                <w:szCs w:val="21"/>
                <w:highlight w:val="none"/>
                <w:u w:val="single"/>
              </w:rPr>
              <w:t>贰万陆元整（¥26000.00）</w:t>
            </w:r>
            <w:r>
              <w:rPr>
                <w:rFonts w:hint="eastAsia" w:ascii="宋体" w:hAnsi="宋体" w:cs="宋体"/>
                <w:color w:val="auto"/>
                <w:kern w:val="0"/>
                <w:szCs w:val="21"/>
                <w:highlight w:val="none"/>
              </w:rPr>
              <w:t>。</w:t>
            </w:r>
          </w:p>
          <w:p w14:paraId="38121BC9">
            <w:pPr>
              <w:wordWrap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磋商保证金的交纳方式：银行转账、支票、汇票、本票或者银行、保险机构出具的保函（包含电子保函），禁止采用现钞方式。采用银行转账方式的，在响应文件提交截止时间前交至</w:t>
            </w:r>
            <w:r>
              <w:rPr>
                <w:rFonts w:hint="eastAsia" w:ascii="宋体" w:hAnsi="宋体" w:cs="宋体"/>
                <w:color w:val="auto"/>
                <w:kern w:val="0"/>
                <w:szCs w:val="21"/>
                <w:highlight w:val="none"/>
                <w:u w:val="single"/>
              </w:rPr>
              <w:t>云之龙咨询集团有限公司指定账户并且到账（账户名称：云之龙咨询集团有限公司北海分公司，开户银行：中信银行南宁东葛支行，银行账号：8113001013400074639</w:t>
            </w:r>
            <w:r>
              <w:rPr>
                <w:rFonts w:hint="eastAsia" w:ascii="宋体" w:hAnsi="宋体" w:cs="宋体"/>
                <w:color w:val="auto"/>
                <w:kern w:val="0"/>
                <w:szCs w:val="21"/>
                <w:highlight w:val="none"/>
              </w:rPr>
              <w:t>）；采用支票、汇票、本票或者保函（包含电子保函）等方式的，在响应文件提交截止时间前，供应商必须提交单独密封的支票、汇票、本票或者保函原件。</w:t>
            </w:r>
            <w:r>
              <w:rPr>
                <w:rFonts w:hint="eastAsia" w:ascii="宋体" w:hAnsi="宋体" w:cs="宋体"/>
                <w:b/>
                <w:bCs/>
                <w:color w:val="auto"/>
                <w:kern w:val="0"/>
                <w:szCs w:val="21"/>
                <w:highlight w:val="none"/>
              </w:rPr>
              <w:t>否则视为无效磋商保证金。</w:t>
            </w:r>
          </w:p>
          <w:p w14:paraId="3BF07813">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04C2ACCD">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4811CDD5">
            <w:pPr>
              <w:wordWrap w:val="0"/>
              <w:snapToGrid w:val="0"/>
              <w:spacing w:line="360" w:lineRule="auto"/>
              <w:rPr>
                <w:rFonts w:ascii="宋体" w:hAnsi="宋体"/>
                <w:color w:val="auto"/>
                <w:szCs w:val="21"/>
                <w:highlight w:val="none"/>
              </w:rPr>
            </w:pPr>
            <w:r>
              <w:rPr>
                <w:rFonts w:hint="eastAsia" w:ascii="宋体" w:hAnsi="宋体"/>
                <w:color w:val="auto"/>
                <w:szCs w:val="21"/>
                <w:highlight w:val="none"/>
              </w:rPr>
              <w:t>2.磋商保证金采用支票、汇票、本票或者银行、保险机构出具的保函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ascii="宋体" w:hAnsi="宋体" w:cs="宋体"/>
                <w:color w:val="auto"/>
                <w:kern w:val="0"/>
                <w:szCs w:val="21"/>
                <w:highlight w:val="none"/>
              </w:rPr>
              <w:t>（包含电子保函）</w:t>
            </w:r>
            <w:r>
              <w:rPr>
                <w:rFonts w:hint="eastAsia" w:ascii="宋体" w:hAnsi="宋体"/>
                <w:color w:val="auto"/>
                <w:szCs w:val="21"/>
                <w:highlight w:val="none"/>
              </w:rPr>
              <w:t>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w:t>
            </w:r>
            <w:r>
              <w:rPr>
                <w:rFonts w:hint="eastAsia" w:ascii="宋体" w:hAnsi="宋体" w:cs="宋体"/>
                <w:color w:val="auto"/>
                <w:szCs w:val="21"/>
                <w:highlight w:val="none"/>
              </w:rPr>
              <w:t>现场提交地址或邮寄地址：</w:t>
            </w:r>
            <w:r>
              <w:rPr>
                <w:rFonts w:hint="eastAsia" w:ascii="宋体" w:hAnsi="宋体" w:cs="宋体"/>
                <w:color w:val="auto"/>
                <w:szCs w:val="21"/>
                <w:highlight w:val="none"/>
                <w:u w:val="single"/>
              </w:rPr>
              <w:t>广西北海市北部湾中路60号779财富中心15楼1505号云之龙咨询集团有限公司。</w:t>
            </w:r>
            <w:r>
              <w:rPr>
                <w:rFonts w:hint="eastAsia" w:ascii="宋体" w:hAnsi="宋体" w:cs="宋体"/>
                <w:b/>
                <w:bCs/>
                <w:color w:val="auto"/>
                <w:szCs w:val="21"/>
                <w:highlight w:val="none"/>
                <w:u w:val="single"/>
              </w:rPr>
              <w:t>本项目拒收到付邮件，通过邮寄方式送达的，请合理安排邮寄时间，因邮寄原因未能在规定时间内送达的后果由供应商自行承担，逾期送达按无效响应处理</w:t>
            </w:r>
            <w:r>
              <w:rPr>
                <w:rFonts w:hint="eastAsia" w:ascii="宋体" w:hAnsi="宋体" w:cs="宋体"/>
                <w:color w:val="auto"/>
                <w:szCs w:val="21"/>
                <w:highlight w:val="none"/>
              </w:rPr>
              <w:t>，收件人：</w:t>
            </w:r>
            <w:r>
              <w:rPr>
                <w:rFonts w:hint="eastAsia" w:ascii="宋体" w:hAnsi="宋体" w:cs="宋体"/>
                <w:color w:val="auto"/>
                <w:szCs w:val="21"/>
                <w:highlight w:val="none"/>
                <w:u w:val="single"/>
              </w:rPr>
              <w:t>翁娜娜</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0779-3227361</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3C83796B">
            <w:pPr>
              <w:wordWrap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175A42CC">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14:paraId="38B57A23">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2E707F17">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2.供应商采用现钞方式或者从个人账户（自然人竞标除外）转出的磋商保证金，视为无效磋商保证金。</w:t>
            </w:r>
          </w:p>
          <w:p w14:paraId="60A67D6A">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39E7949F">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768B3487">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5.采用银行、保险机构出具保函的，必须为无条件保函，否则视为无效磋商保证金。</w:t>
            </w:r>
          </w:p>
        </w:tc>
      </w:tr>
      <w:tr w14:paraId="3E1A4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435F574F">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2EB60869">
            <w:pPr>
              <w:wordWrap w:val="0"/>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p w14:paraId="0AFF8C0A">
            <w:pPr>
              <w:wordWrap w:val="0"/>
              <w:autoSpaceDE w:val="0"/>
              <w:autoSpaceDN w:val="0"/>
              <w:adjustRightInd w:val="0"/>
              <w:spacing w:line="360" w:lineRule="auto"/>
              <w:textAlignment w:val="bottom"/>
              <w:rPr>
                <w:color w:val="auto"/>
                <w:highlight w:val="none"/>
              </w:rPr>
            </w:pPr>
            <w:r>
              <w:rPr>
                <w:rFonts w:hint="eastAsia" w:ascii="宋体" w:hAnsi="宋体"/>
                <w:color w:val="auto"/>
                <w:szCs w:val="21"/>
                <w:highlight w:val="none"/>
              </w:rPr>
              <w:t>☑</w:t>
            </w:r>
            <w:r>
              <w:rPr>
                <w:rFonts w:hint="eastAsia"/>
                <w:color w:val="auto"/>
                <w:highlight w:val="none"/>
              </w:rPr>
              <w:t>本项目接受电子备份响应文件。</w:t>
            </w:r>
          </w:p>
          <w:p w14:paraId="47D3D890">
            <w:pPr>
              <w:wordWrap w:val="0"/>
              <w:autoSpaceDE w:val="0"/>
              <w:autoSpaceDN w:val="0"/>
              <w:adjustRightInd w:val="0"/>
              <w:spacing w:line="360" w:lineRule="auto"/>
              <w:ind w:firstLine="420" w:firstLineChars="200"/>
              <w:textAlignment w:val="bottom"/>
              <w:rPr>
                <w:color w:val="auto"/>
                <w:highlight w:val="none"/>
              </w:rPr>
            </w:pPr>
            <w:r>
              <w:rPr>
                <w:rFonts w:hint="eastAsia"/>
                <w:color w:val="auto"/>
                <w:highlight w:val="none"/>
              </w:rPr>
              <w:t>电子</w:t>
            </w:r>
            <w:r>
              <w:rPr>
                <w:rFonts w:hint="eastAsia" w:ascii="宋体" w:hAnsi="宋体"/>
                <w:color w:val="auto"/>
                <w:szCs w:val="21"/>
                <w:highlight w:val="none"/>
              </w:rPr>
              <w:t>备份响应文件</w:t>
            </w:r>
            <w:r>
              <w:rPr>
                <w:rFonts w:hint="eastAsia"/>
                <w:color w:val="auto"/>
                <w:highlight w:val="none"/>
              </w:rPr>
              <w:t>提交方式：供应商可以在响应截止时间前采用以下</w:t>
            </w:r>
            <w:r>
              <w:rPr>
                <w:color w:val="auto"/>
                <w:highlight w:val="none"/>
                <w:u w:val="single"/>
              </w:rPr>
              <w:t xml:space="preserve"> </w:t>
            </w:r>
            <w:r>
              <w:rPr>
                <w:rFonts w:hint="eastAsia"/>
                <w:color w:val="auto"/>
                <w:highlight w:val="none"/>
                <w:u w:val="single"/>
              </w:rPr>
              <w:t>（1）或（3）</w:t>
            </w:r>
            <w:r>
              <w:rPr>
                <w:color w:val="auto"/>
                <w:highlight w:val="none"/>
                <w:u w:val="single"/>
              </w:rPr>
              <w:t xml:space="preserve">  </w:t>
            </w:r>
            <w:r>
              <w:rPr>
                <w:rFonts w:hint="eastAsia"/>
                <w:color w:val="auto"/>
                <w:highlight w:val="none"/>
              </w:rPr>
              <w:t>种方式向采购代理机构提交电子备份响应文件：</w:t>
            </w:r>
          </w:p>
          <w:p w14:paraId="489E01E5">
            <w:pPr>
              <w:wordWrap w:val="0"/>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1</w:t>
            </w:r>
            <w:r>
              <w:rPr>
                <w:rFonts w:hint="eastAsia"/>
                <w:color w:val="auto"/>
                <w:highlight w:val="none"/>
              </w:rPr>
              <w:t>）现场提交方式，应采用</w:t>
            </w:r>
            <w:r>
              <w:rPr>
                <w:color w:val="auto"/>
                <w:highlight w:val="none"/>
              </w:rPr>
              <w:t>U</w:t>
            </w:r>
            <w:r>
              <w:rPr>
                <w:rFonts w:hint="eastAsia"/>
                <w:color w:val="auto"/>
                <w:highlight w:val="none"/>
              </w:rPr>
              <w:t>盘进行存储，提交地址：</w:t>
            </w:r>
            <w:r>
              <w:rPr>
                <w:rFonts w:hint="eastAsia" w:ascii="宋体" w:hAnsi="宋体"/>
                <w:color w:val="auto"/>
                <w:szCs w:val="21"/>
                <w:highlight w:val="none"/>
                <w:u w:val="single"/>
              </w:rPr>
              <w:t>广西北海市北部湾中路60号779财富中心15楼1505号云之龙咨询集团有限公司</w:t>
            </w:r>
            <w:r>
              <w:rPr>
                <w:rFonts w:hint="eastAsia"/>
                <w:color w:val="auto"/>
                <w:highlight w:val="none"/>
              </w:rPr>
              <w:t>；提交截止时间</w:t>
            </w:r>
            <w:r>
              <w:rPr>
                <w:rFonts w:hint="eastAsia"/>
                <w:color w:val="auto"/>
                <w:highlight w:val="none"/>
                <w:u w:val="single"/>
              </w:rPr>
              <w:t>：响应文件提交截止时间前；</w:t>
            </w:r>
            <w:r>
              <w:rPr>
                <w:rFonts w:hint="eastAsia"/>
                <w:color w:val="auto"/>
                <w:highlight w:val="none"/>
              </w:rPr>
              <w:t>外包装上注明供应商名称、项目名称及项目编号（外包装不作密封要求）。</w:t>
            </w:r>
          </w:p>
          <w:p w14:paraId="03B93D26">
            <w:pPr>
              <w:wordWrap w:val="0"/>
              <w:autoSpaceDE w:val="0"/>
              <w:autoSpaceDN w:val="0"/>
              <w:adjustRightInd w:val="0"/>
              <w:spacing w:line="360" w:lineRule="auto"/>
              <w:textAlignment w:val="bottom"/>
              <w:rPr>
                <w:color w:val="auto"/>
                <w:highlight w:val="none"/>
              </w:rPr>
            </w:pPr>
            <w:r>
              <w:rPr>
                <w:rFonts w:hint="eastAsia"/>
                <w:color w:val="auto"/>
                <w:highlight w:val="none"/>
              </w:rPr>
              <w:t>（</w:t>
            </w:r>
            <w:r>
              <w:rPr>
                <w:color w:val="auto"/>
                <w:highlight w:val="none"/>
              </w:rPr>
              <w:t>2</w:t>
            </w:r>
            <w:r>
              <w:rPr>
                <w:rFonts w:hint="eastAsia"/>
                <w:color w:val="auto"/>
                <w:highlight w:val="none"/>
              </w:rPr>
              <w:t>）电子邮件方式，接收电子备份响应文件的电子邮箱为：</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color w:val="auto"/>
                <w:highlight w:val="none"/>
              </w:rPr>
              <w:t>。</w:t>
            </w:r>
          </w:p>
          <w:p w14:paraId="576412E5">
            <w:pPr>
              <w:pStyle w:val="14"/>
              <w:wordWrap w:val="0"/>
              <w:spacing w:line="360" w:lineRule="auto"/>
              <w:jc w:val="both"/>
              <w:rPr>
                <w:color w:val="auto"/>
                <w:highlight w:val="none"/>
              </w:rPr>
            </w:pPr>
            <w:r>
              <w:rPr>
                <w:rFonts w:hint="eastAsia"/>
                <w:color w:val="auto"/>
                <w:highlight w:val="none"/>
              </w:rPr>
              <w:t>（</w:t>
            </w:r>
            <w:r>
              <w:rPr>
                <w:color w:val="auto"/>
                <w:highlight w:val="none"/>
              </w:rPr>
              <w:t>3</w:t>
            </w:r>
            <w:r>
              <w:rPr>
                <w:rFonts w:hint="eastAsia"/>
                <w:color w:val="auto"/>
                <w:highlight w:val="none"/>
              </w:rPr>
              <w:t>）邮寄方式，应采用</w:t>
            </w:r>
            <w:r>
              <w:rPr>
                <w:color w:val="auto"/>
                <w:highlight w:val="none"/>
              </w:rPr>
              <w:t>U</w:t>
            </w:r>
            <w:r>
              <w:rPr>
                <w:rFonts w:hint="eastAsia"/>
                <w:color w:val="auto"/>
                <w:highlight w:val="none"/>
              </w:rPr>
              <w:t>盘进行存储，邮寄地址：</w:t>
            </w:r>
            <w:r>
              <w:rPr>
                <w:rFonts w:hint="eastAsia" w:ascii="宋体" w:hAnsi="宋体"/>
                <w:color w:val="auto"/>
                <w:szCs w:val="21"/>
                <w:highlight w:val="none"/>
                <w:u w:val="single"/>
              </w:rPr>
              <w:t>广西北海市北部湾中路60号779财富中心15楼1505号云之龙咨询集团有限公司</w:t>
            </w:r>
            <w:r>
              <w:rPr>
                <w:rFonts w:hint="eastAsia"/>
                <w:color w:val="auto"/>
                <w:highlight w:val="none"/>
              </w:rPr>
              <w:t>，截止接收时间：</w:t>
            </w:r>
            <w:r>
              <w:rPr>
                <w:rFonts w:hint="eastAsia"/>
                <w:color w:val="auto"/>
                <w:highlight w:val="none"/>
                <w:u w:val="single"/>
              </w:rPr>
              <w:t>响应文件提交截止时间前</w:t>
            </w:r>
            <w:r>
              <w:rPr>
                <w:rFonts w:hint="eastAsia"/>
                <w:color w:val="auto"/>
                <w:highlight w:val="none"/>
              </w:rPr>
              <w:t>，收件人：</w:t>
            </w:r>
            <w:r>
              <w:rPr>
                <w:rFonts w:hint="eastAsia"/>
                <w:color w:val="auto"/>
                <w:highlight w:val="none"/>
                <w:u w:val="single"/>
              </w:rPr>
              <w:t>翁娜娜</w:t>
            </w:r>
            <w:r>
              <w:rPr>
                <w:rFonts w:hint="eastAsia"/>
                <w:color w:val="auto"/>
                <w:highlight w:val="none"/>
              </w:rPr>
              <w:t>，联系方式：</w:t>
            </w:r>
            <w:r>
              <w:rPr>
                <w:rFonts w:ascii="宋体" w:hAnsi="宋体" w:cs="宋体"/>
                <w:color w:val="auto"/>
                <w:szCs w:val="21"/>
                <w:highlight w:val="none"/>
                <w:u w:val="single"/>
              </w:rPr>
              <w:t>0779-3227361</w:t>
            </w:r>
            <w:r>
              <w:rPr>
                <w:rFonts w:hint="eastAsia"/>
                <w:color w:val="auto"/>
                <w:highlight w:val="none"/>
              </w:rPr>
              <w:t>；外包装上注明供应商名称、项目名称及项目编号（外包装不作密封要求）。</w:t>
            </w:r>
          </w:p>
          <w:p w14:paraId="401AD954">
            <w:pPr>
              <w:wordWrap w:val="0"/>
              <w:autoSpaceDE w:val="0"/>
              <w:autoSpaceDN w:val="0"/>
              <w:snapToGrid w:val="0"/>
              <w:spacing w:line="360" w:lineRule="auto"/>
              <w:textAlignment w:val="bottom"/>
              <w:rPr>
                <w:rFonts w:ascii="宋体" w:hAnsi="宋体" w:cs="宋体"/>
                <w:color w:val="auto"/>
                <w:szCs w:val="21"/>
                <w:highlight w:val="none"/>
              </w:rPr>
            </w:pPr>
            <w:r>
              <w:rPr>
                <w:rFonts w:hint="eastAsia"/>
                <w:color w:val="auto"/>
                <w:highlight w:val="none"/>
              </w:rPr>
              <w:t>供应商未按上述规定提交的电子备份响应文件，采购代理机构不予接收或承认。若电子加密响应文件解密成功，电子备份响应文件自动失效。若供应商无法在规定的时间内解密响应文件或者解密失败的，采购代理机构将电子备份响应文件按“广西政府采购云平台”操作规范上传至“广西政府采购云平台”，电子备份响应文件上传成功后，供应商原上传的电子加密响应文件自动失效。若供应商在规定时间内无法解密或解密失败且未提供电子备份响应文件的（包含提供的电子备份响应文件无效或无法解读的情况），</w:t>
            </w:r>
            <w:r>
              <w:rPr>
                <w:rFonts w:hint="eastAsia"/>
                <w:b/>
                <w:color w:val="auto"/>
                <w:highlight w:val="none"/>
              </w:rPr>
              <w:t>供应商的响应文件作无效处理</w:t>
            </w:r>
            <w:r>
              <w:rPr>
                <w:rFonts w:hint="eastAsia"/>
                <w:color w:val="auto"/>
                <w:highlight w:val="none"/>
              </w:rPr>
              <w:t>。</w:t>
            </w:r>
          </w:p>
        </w:tc>
      </w:tr>
      <w:tr w14:paraId="39FB7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6949DEF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4A66C73A">
            <w:pPr>
              <w:wordWrap w:val="0"/>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29A42111">
            <w:pPr>
              <w:wordWrap w:val="0"/>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0F796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4BF33991">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12227D90">
            <w:pPr>
              <w:wordWrap w:val="0"/>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14:paraId="1A991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FC0DE1E">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0DEB7FCA">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726F2A55">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ascii="宋体" w:hAnsi="宋体"/>
                <w:color w:val="auto"/>
                <w:szCs w:val="21"/>
                <w:highlight w:val="none"/>
                <w:u w:val="single"/>
              </w:rPr>
              <w:t>30</w:t>
            </w:r>
            <w:r>
              <w:rPr>
                <w:rFonts w:hint="eastAsia" w:ascii="宋体" w:hAnsi="宋体"/>
                <w:color w:val="auto"/>
                <w:szCs w:val="21"/>
                <w:highlight w:val="none"/>
              </w:rPr>
              <w:t>分钟。</w:t>
            </w:r>
          </w:p>
        </w:tc>
      </w:tr>
      <w:tr w14:paraId="08CAC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643E37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1AFC934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0A1B3B37">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629E5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1F3CE82">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7C30FB1C">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本项目不收取履约保证金</w:t>
            </w:r>
            <w:r>
              <w:rPr>
                <w:rFonts w:hint="eastAsia" w:ascii="宋体" w:hAnsi="宋体" w:cs="宋体"/>
                <w:color w:val="auto"/>
                <w:szCs w:val="21"/>
                <w:highlight w:val="none"/>
              </w:rPr>
              <w:t>。</w:t>
            </w:r>
          </w:p>
        </w:tc>
      </w:tr>
      <w:tr w14:paraId="03B98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5066035C">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4C8FCE4C">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0EFFF302">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26B5C057">
            <w:pPr>
              <w:wordWrap w:val="0"/>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1EA61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25A6BA7E">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2F5685A5">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602BE480">
            <w:pPr>
              <w:pStyle w:val="18"/>
              <w:wordWrap w:val="0"/>
              <w:snapToGrid w:val="0"/>
              <w:spacing w:line="360" w:lineRule="auto"/>
              <w:rPr>
                <w:rFonts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云之龙咨询集团有限公司北海分公司</w:t>
            </w:r>
            <w:r>
              <w:rPr>
                <w:rFonts w:hint="eastAsia" w:hAnsi="宋体" w:cs="宋体"/>
                <w:color w:val="auto"/>
                <w:kern w:val="2"/>
                <w:sz w:val="21"/>
                <w:highlight w:val="none"/>
              </w:rPr>
              <w:t>，联系电话：</w:t>
            </w:r>
            <w:r>
              <w:rPr>
                <w:rFonts w:hint="eastAsia" w:hAnsi="宋体" w:cs="宋体"/>
                <w:color w:val="auto"/>
                <w:kern w:val="2"/>
                <w:sz w:val="21"/>
                <w:highlight w:val="none"/>
                <w:u w:val="single"/>
              </w:rPr>
              <w:t>0779-3227361/3227538</w:t>
            </w:r>
            <w:r>
              <w:rPr>
                <w:rFonts w:hint="eastAsia" w:hAnsi="宋体" w:cs="宋体"/>
                <w:color w:val="auto"/>
                <w:kern w:val="2"/>
                <w:sz w:val="21"/>
                <w:highlight w:val="none"/>
              </w:rPr>
              <w:t>，通讯地址：</w:t>
            </w:r>
            <w:r>
              <w:rPr>
                <w:rFonts w:hint="eastAsia" w:hAnsi="宋体" w:cs="宋体"/>
                <w:color w:val="auto"/>
                <w:kern w:val="2"/>
                <w:sz w:val="21"/>
                <w:highlight w:val="none"/>
                <w:u w:val="single"/>
              </w:rPr>
              <w:t>广西北海市北部湾中路60号779财富中心15楼1505号</w:t>
            </w:r>
          </w:p>
          <w:p w14:paraId="7D8EDB4A">
            <w:pPr>
              <w:wordWrap w:val="0"/>
              <w:autoSpaceDE w:val="0"/>
              <w:autoSpaceDN w:val="0"/>
              <w:snapToGrid w:val="0"/>
              <w:spacing w:line="360" w:lineRule="auto"/>
              <w:textAlignment w:val="bottom"/>
              <w:rPr>
                <w:rFonts w:ascii="宋体" w:hAnsi="宋体"/>
                <w:color w:val="auto"/>
                <w:szCs w:val="21"/>
                <w:highlight w:val="none"/>
              </w:rPr>
            </w:pPr>
            <w:r>
              <w:rPr>
                <w:rFonts w:hint="eastAsia" w:ascii="宋体" w:hAnsi="宋体" w:cs="宋体"/>
                <w:color w:val="auto"/>
                <w:szCs w:val="21"/>
                <w:highlight w:val="none"/>
              </w:rPr>
              <w:t>业务时间：上午8时00分到12时00分，下午</w:t>
            </w:r>
            <w:r>
              <w:rPr>
                <w:rFonts w:ascii="宋体" w:hAnsi="宋体" w:cs="宋体"/>
                <w:color w:val="auto"/>
                <w:szCs w:val="21"/>
                <w:highlight w:val="none"/>
              </w:rPr>
              <w:t>3</w:t>
            </w:r>
            <w:r>
              <w:rPr>
                <w:rFonts w:hint="eastAsia" w:ascii="宋体" w:hAnsi="宋体" w:cs="宋体"/>
                <w:color w:val="auto"/>
                <w:szCs w:val="21"/>
                <w:highlight w:val="none"/>
              </w:rPr>
              <w:t>时00分到</w:t>
            </w:r>
            <w:r>
              <w:rPr>
                <w:rFonts w:ascii="宋体" w:hAnsi="宋体" w:cs="宋体"/>
                <w:color w:val="auto"/>
                <w:szCs w:val="21"/>
                <w:highlight w:val="none"/>
              </w:rPr>
              <w:t>6</w:t>
            </w:r>
            <w:r>
              <w:rPr>
                <w:rFonts w:hint="eastAsia" w:ascii="宋体" w:hAnsi="宋体" w:cs="宋体"/>
                <w:color w:val="auto"/>
                <w:szCs w:val="21"/>
                <w:highlight w:val="none"/>
              </w:rPr>
              <w:t>时00分</w:t>
            </w:r>
          </w:p>
        </w:tc>
      </w:tr>
      <w:tr w14:paraId="37080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01103A0">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5B052E8A">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309771C9">
            <w:pPr>
              <w:pStyle w:val="18"/>
              <w:wordWrap w:val="0"/>
              <w:snapToGrid w:val="0"/>
              <w:spacing w:line="360" w:lineRule="auto"/>
              <w:rPr>
                <w:rFonts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领取成交通知书后三个工作日内，一次性向采购代理机构支付。</w:t>
            </w:r>
          </w:p>
          <w:p w14:paraId="292BF900">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76F9B117">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14:paraId="22015AB2">
            <w:pPr>
              <w:pStyle w:val="18"/>
              <w:wordWrap w:val="0"/>
              <w:snapToGrid w:val="0"/>
              <w:spacing w:line="360" w:lineRule="auto"/>
              <w:rPr>
                <w:rFonts w:hAnsi="宋体" w:cs="宋体"/>
                <w:color w:val="auto"/>
                <w:sz w:val="21"/>
                <w:highlight w:val="none"/>
              </w:rPr>
            </w:pPr>
            <w:r>
              <w:rPr>
                <w:rFonts w:hint="eastAsia" w:hAnsi="宋体"/>
                <w:color w:val="auto"/>
                <w:highlight w:val="none"/>
              </w:rPr>
              <w:t>☑</w:t>
            </w:r>
            <w:r>
              <w:rPr>
                <w:rFonts w:hint="eastAsia" w:hAnsi="宋体" w:cs="宋体"/>
                <w:color w:val="auto"/>
                <w:sz w:val="21"/>
                <w:highlight w:val="none"/>
              </w:rPr>
              <w:t>以（</w:t>
            </w:r>
            <w:r>
              <w:rPr>
                <w:rFonts w:hint="eastAsia" w:hAnsi="宋体"/>
                <w:color w:val="auto"/>
                <w:highlight w:val="none"/>
              </w:rPr>
              <w:t>☑</w:t>
            </w:r>
            <w:r>
              <w:rPr>
                <w:rFonts w:hint="eastAsia" w:hAnsi="宋体" w:cs="宋体"/>
                <w:color w:val="auto"/>
                <w:sz w:val="21"/>
                <w:highlight w:val="none"/>
              </w:rPr>
              <w:t>成交金额/□采购预算/□暂定成交金额/□其他</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rPr>
              <w:t>）为计费额，按本须知正文第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条规定的收费计算标准（□货物类/</w:t>
            </w:r>
            <w:r>
              <w:rPr>
                <w:rFonts w:hint="eastAsia" w:hAnsi="宋体"/>
                <w:color w:val="auto"/>
                <w:highlight w:val="none"/>
              </w:rPr>
              <w:t>☑</w:t>
            </w:r>
            <w:r>
              <w:rPr>
                <w:rFonts w:hint="eastAsia" w:hAnsi="宋体" w:cs="宋体"/>
                <w:color w:val="auto"/>
                <w:sz w:val="21"/>
                <w:highlight w:val="none"/>
              </w:rPr>
              <w:t>服务类/□工程类）采用差额定率累进法计算出收费基准价格，采购代理收费以（</w:t>
            </w:r>
            <w:r>
              <w:rPr>
                <w:rFonts w:hint="eastAsia" w:hAnsi="宋体"/>
                <w:color w:val="auto"/>
                <w:highlight w:val="none"/>
              </w:rPr>
              <w:t>☑</w:t>
            </w:r>
            <w:r>
              <w:rPr>
                <w:rFonts w:hint="eastAsia" w:hAnsi="宋体" w:cs="宋体"/>
                <w:color w:val="auto"/>
                <w:sz w:val="21"/>
                <w:highlight w:val="none"/>
              </w:rPr>
              <w:t>收费基准价格/□收费基准价格下浮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int="eastAsia" w:hAnsi="宋体" w:cs="宋体"/>
                <w:color w:val="auto"/>
                <w:sz w:val="21"/>
                <w:highlight w:val="none"/>
              </w:rPr>
              <w:t>）收取。最低收费伍仟元，不足伍仟元按伍仟元收取。</w:t>
            </w:r>
          </w:p>
          <w:p w14:paraId="4960E968">
            <w:pPr>
              <w:pStyle w:val="18"/>
              <w:wordWrap w:val="0"/>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p>
          <w:p w14:paraId="7BFE8BAF">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3.采购代理费收取银行账户</w:t>
            </w:r>
          </w:p>
          <w:p w14:paraId="13BAD986">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账户名称：云之龙咨询集团有限公司北海分公司</w:t>
            </w:r>
          </w:p>
          <w:p w14:paraId="1F9796D6">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账号：8113001013600157976</w:t>
            </w:r>
          </w:p>
          <w:p w14:paraId="3E330DB4">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开户行：中信银行南宁东葛支行</w:t>
            </w:r>
          </w:p>
        </w:tc>
      </w:tr>
      <w:tr w14:paraId="4BAA1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358D191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694BB4C7">
            <w:pPr>
              <w:pStyle w:val="18"/>
              <w:wordWrap w:val="0"/>
              <w:snapToGrid w:val="0"/>
              <w:spacing w:line="360" w:lineRule="auto"/>
              <w:rPr>
                <w:rFonts w:hAnsi="宋体" w:cs="宋体"/>
                <w:color w:val="auto"/>
                <w:kern w:val="2"/>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磋商文件</w:t>
            </w:r>
            <w:r>
              <w:rPr>
                <w:rFonts w:hAnsi="宋体" w:cs="宋体"/>
                <w:color w:val="auto"/>
                <w:sz w:val="21"/>
                <w:highlight w:val="none"/>
              </w:rPr>
              <w:t>的各个组成文件应互为解释，互为说明；除</w:t>
            </w:r>
            <w:r>
              <w:rPr>
                <w:rFonts w:hint="eastAsia" w:hAnsi="宋体" w:cs="宋体"/>
                <w:color w:val="auto"/>
                <w:sz w:val="21"/>
                <w:highlight w:val="none"/>
              </w:rPr>
              <w:t>磋商文件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竞争性磋商</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评审程序、评审方法和评审标准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磋商文件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1B5B0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92" w:type="dxa"/>
            <w:vAlign w:val="center"/>
          </w:tcPr>
          <w:p w14:paraId="0DF9BDF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786927F3">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44C32F6">
            <w:pPr>
              <w:pStyle w:val="18"/>
              <w:wordWrap w:val="0"/>
              <w:snapToGrid w:val="0"/>
              <w:spacing w:line="360" w:lineRule="auto"/>
              <w:rPr>
                <w:rFonts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7EB5C9DA">
            <w:pPr>
              <w:pStyle w:val="18"/>
              <w:wordWrap w:val="0"/>
              <w:snapToGrid w:val="0"/>
              <w:spacing w:line="360" w:lineRule="auto"/>
              <w:rPr>
                <w:rFonts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337D9871">
            <w:pPr>
              <w:pStyle w:val="18"/>
              <w:wordWrap w:val="0"/>
              <w:snapToGrid w:val="0"/>
              <w:spacing w:line="360" w:lineRule="auto"/>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6E4D89B9">
            <w:pPr>
              <w:pStyle w:val="18"/>
              <w:wordWrap w:val="0"/>
              <w:snapToGrid w:val="0"/>
              <w:spacing w:line="360" w:lineRule="auto"/>
              <w:rPr>
                <w:rFonts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14:paraId="13EC793E">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7ABE15C3">
      <w:pPr>
        <w:spacing w:line="400" w:lineRule="exact"/>
        <w:jc w:val="center"/>
        <w:rPr>
          <w:rFonts w:ascii="宋体" w:hAnsi="宋体"/>
          <w:b/>
          <w:color w:val="auto"/>
          <w:sz w:val="32"/>
          <w:szCs w:val="32"/>
          <w:highlight w:val="none"/>
        </w:rPr>
      </w:pPr>
    </w:p>
    <w:p w14:paraId="6FBFFDB9">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38B5BED1">
      <w:pPr>
        <w:spacing w:line="400" w:lineRule="exact"/>
        <w:rPr>
          <w:rFonts w:ascii="宋体" w:hAnsi="宋体"/>
          <w:color w:val="auto"/>
          <w:szCs w:val="21"/>
          <w:highlight w:val="none"/>
        </w:rPr>
      </w:pPr>
    </w:p>
    <w:p w14:paraId="03F1455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43B306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0B49A8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0EE0589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2D0AD5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03D1B90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1A1C89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0E837F5C">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61F213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6F0E36D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1A611C0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3DC0E09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34B0B6C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0119BA3E">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20186DC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77DFEE7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219459D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41CCA3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1AABA1E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4C7990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64BC634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3DA9C9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78597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0CE971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61" w:name="_Hlk66782192"/>
      <w:r>
        <w:rPr>
          <w:rFonts w:hint="eastAsia" w:ascii="宋体" w:hAnsi="宋体"/>
          <w:color w:val="auto"/>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6%的扣除，用扣除后的价格参加评审。</w:t>
      </w:r>
      <w:bookmarkEnd w:id="61"/>
    </w:p>
    <w:p w14:paraId="76FA664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3D558FC8">
      <w:pPr>
        <w:pStyle w:val="8"/>
        <w:keepNext w:val="0"/>
        <w:keepLines w:val="0"/>
        <w:spacing w:before="0" w:after="0" w:line="360" w:lineRule="auto"/>
        <w:ind w:firstLine="420" w:firstLineChars="200"/>
        <w:rPr>
          <w:rFonts w:ascii="宋体" w:hAnsi="宋体"/>
          <w:b w:val="0"/>
          <w:color w:val="auto"/>
          <w:sz w:val="21"/>
          <w:szCs w:val="21"/>
          <w:highlight w:val="none"/>
        </w:rPr>
      </w:pPr>
      <w:bookmarkStart w:id="62" w:name="_Toc254970673"/>
      <w:bookmarkStart w:id="63" w:name="_Toc254970532"/>
      <w:r>
        <w:rPr>
          <w:rFonts w:hint="eastAsia" w:ascii="宋体" w:hAnsi="宋体"/>
          <w:b w:val="0"/>
          <w:color w:val="auto"/>
          <w:sz w:val="21"/>
          <w:szCs w:val="21"/>
          <w:highlight w:val="none"/>
        </w:rPr>
        <w:t>6.1本项目不允许转包。</w:t>
      </w:r>
    </w:p>
    <w:p w14:paraId="1032DD50">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3CA67A7">
      <w:pPr>
        <w:pStyle w:val="8"/>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3D07DFE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2"/>
      <w:bookmarkEnd w:id="63"/>
    </w:p>
    <w:p w14:paraId="4517991E">
      <w:pPr>
        <w:spacing w:line="360" w:lineRule="auto"/>
        <w:ind w:firstLine="420" w:firstLineChars="200"/>
        <w:rPr>
          <w:rFonts w:ascii="宋体" w:hAnsi="宋体" w:cs="宋体"/>
          <w:color w:val="auto"/>
          <w:szCs w:val="21"/>
          <w:highlight w:val="none"/>
        </w:rPr>
      </w:pPr>
      <w:bookmarkStart w:id="64" w:name="_8.1提供相同品牌产品且通过资格审查、符合性审查的不同投标人参加同一合"/>
      <w:bookmarkEnd w:id="64"/>
      <w:r>
        <w:rPr>
          <w:rFonts w:hint="eastAsia" w:ascii="宋体" w:hAnsi="宋体" w:cs="宋体"/>
          <w:color w:val="auto"/>
          <w:szCs w:val="21"/>
          <w:highlight w:val="none"/>
        </w:rPr>
        <w:t>7.</w:t>
      </w:r>
      <w:r>
        <w:rPr>
          <w:rFonts w:ascii="宋体" w:hAnsi="宋体" w:cs="宋体"/>
          <w:color w:val="auto"/>
          <w:szCs w:val="21"/>
          <w:highlight w:val="none"/>
        </w:rPr>
        <w:t>1</w:t>
      </w:r>
      <w:bookmarkStart w:id="65"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5"/>
    <w:p w14:paraId="6CAB13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7223B8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FAC0E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23CCA6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E8B89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F01E3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0D4A7E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ABBB8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35067F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2BC79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375B28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0AF2A1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1F2691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0CDF84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2C23E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EBCC972">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743D29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293A81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01425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36AB7F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04D17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86007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4CB3C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8C4DB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E5BEA3B">
      <w:pPr>
        <w:spacing w:line="360" w:lineRule="auto"/>
        <w:ind w:firstLine="420" w:firstLineChars="200"/>
        <w:rPr>
          <w:rFonts w:ascii="宋体" w:hAnsi="宋体" w:cs="宋体"/>
          <w:color w:val="auto"/>
          <w:szCs w:val="21"/>
          <w:highlight w:val="none"/>
        </w:rPr>
      </w:pPr>
    </w:p>
    <w:p w14:paraId="75EE8249">
      <w:pPr>
        <w:spacing w:line="360" w:lineRule="auto"/>
        <w:ind w:left="1" w:firstLine="417" w:firstLineChars="199"/>
        <w:jc w:val="center"/>
        <w:rPr>
          <w:rFonts w:ascii="宋体" w:hAnsi="宋体"/>
          <w:color w:val="auto"/>
          <w:highlight w:val="none"/>
        </w:rPr>
      </w:pPr>
      <w:bookmarkStart w:id="66" w:name="_Toc254970534"/>
      <w:bookmarkStart w:id="67" w:name="_Toc254970675"/>
    </w:p>
    <w:p w14:paraId="744ECD16">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66"/>
      <w:bookmarkEnd w:id="67"/>
    </w:p>
    <w:p w14:paraId="731215FD">
      <w:pPr>
        <w:spacing w:line="360" w:lineRule="auto"/>
        <w:rPr>
          <w:rFonts w:ascii="宋体" w:hAnsi="宋体"/>
          <w:color w:val="auto"/>
          <w:szCs w:val="21"/>
          <w:highlight w:val="none"/>
        </w:rPr>
      </w:pPr>
    </w:p>
    <w:p w14:paraId="158860F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00E13E7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02ECBB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41A5D9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4DB7EE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0E360D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4FBD7B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1817562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20B6612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供应商应认真阅读磋商文件的采购需求，如供应商对磋商文件有疑问的，如要求采购人作出澄清或者修改的，供应商应在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29DA21B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727CB862">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54AB19D1">
      <w:pPr>
        <w:spacing w:line="360" w:lineRule="auto"/>
        <w:rPr>
          <w:rFonts w:ascii="宋体" w:hAnsi="宋体"/>
          <w:color w:val="auto"/>
          <w:szCs w:val="21"/>
          <w:highlight w:val="none"/>
        </w:rPr>
      </w:pPr>
    </w:p>
    <w:p w14:paraId="56BDC382">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4E0B5885">
      <w:pPr>
        <w:spacing w:line="360" w:lineRule="auto"/>
        <w:rPr>
          <w:rFonts w:ascii="宋体" w:hAnsi="宋体"/>
          <w:color w:val="auto"/>
          <w:szCs w:val="21"/>
          <w:highlight w:val="none"/>
        </w:rPr>
      </w:pPr>
    </w:p>
    <w:p w14:paraId="49CC326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7D553F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供应商必须按照磋商文件的要求编制响应文件，并对其提交的响应文件的真实性、合法性承担法律责任。响应文件必须对磋商文件提出的要求和条件作出明确响应。</w:t>
      </w:r>
    </w:p>
    <w:p w14:paraId="22F9022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130E24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401A560E">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287C0884">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7762E065">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5A2940A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510D87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0D2A66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300655D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供应商没有按照磋商文件要求提供全部资料，或者供应商没有对磋商文件在各方面作出实质性响应可能导致其响应无效，是供应商应当考虑的风险。</w:t>
      </w:r>
    </w:p>
    <w:p w14:paraId="4148376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2C351409">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3D57E66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66F3DD93">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233B776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5.3.1</w:t>
      </w:r>
      <w:r>
        <w:rPr>
          <w:rFonts w:hint="eastAsia" w:ascii="宋体" w:hAnsi="宋体" w:cs="宋体"/>
          <w:b/>
          <w:bCs/>
          <w:color w:val="auto"/>
          <w:szCs w:val="21"/>
          <w:highlight w:val="none"/>
        </w:rPr>
        <w:t>供应商的竞标报价应符合以下要求，否则响应文件按无效响应处理：</w:t>
      </w:r>
    </w:p>
    <w:p w14:paraId="0414677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3EA1C79F">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45000A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6DE5BA9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15.3.</w:t>
      </w:r>
      <w:r>
        <w:rPr>
          <w:rFonts w:ascii="宋体" w:hAnsi="宋体" w:cs="宋体"/>
          <w:b/>
          <w:bCs/>
          <w:color w:val="auto"/>
          <w:szCs w:val="21"/>
          <w:highlight w:val="none"/>
        </w:rPr>
        <w:t>2</w:t>
      </w:r>
      <w:r>
        <w:rPr>
          <w:rFonts w:hint="eastAsia" w:ascii="宋体" w:hAnsi="宋体" w:cs="宋体"/>
          <w:b/>
          <w:bCs/>
          <w:color w:val="auto"/>
          <w:szCs w:val="21"/>
          <w:highlight w:val="none"/>
        </w:rPr>
        <w:t>竞标报价（包含首次报价、最后报价）超过所竞标分标规定的采购预算金额的，其响应文件将按无效处理。</w:t>
      </w:r>
      <w:bookmarkStart w:id="68" w:name="_Hlk42592874"/>
    </w:p>
    <w:bookmarkEnd w:id="68"/>
    <w:p w14:paraId="078B22C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53C7C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75780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竞标有效期应由供应商按“供应商须知前附表”规定的期限作出响应。承诺的竞标有效期低于采购文件规定期限的，供应商的响应文件作无效处理。</w:t>
      </w:r>
    </w:p>
    <w:p w14:paraId="699FC5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DB6461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34D4EA7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C09796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143B76B8">
      <w:pPr>
        <w:spacing w:line="360" w:lineRule="auto"/>
        <w:ind w:firstLine="420" w:firstLineChars="200"/>
        <w:rPr>
          <w:rFonts w:ascii="宋体" w:hAnsi="宋体" w:cs="宋体"/>
          <w:color w:val="auto"/>
          <w:szCs w:val="21"/>
          <w:highlight w:val="none"/>
        </w:rPr>
      </w:pPr>
      <w:bookmarkStart w:id="69"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成交供应商的竞标保证金自成交通知书发出之日起4个工作日内退还；</w:t>
      </w:r>
      <w:r>
        <w:rPr>
          <w:rFonts w:hint="eastAsia" w:ascii="宋体" w:hAnsi="宋体" w:cs="宋体"/>
          <w:color w:val="auto"/>
          <w:szCs w:val="21"/>
          <w:highlight w:val="none"/>
        </w:rPr>
        <w:t>成交供应商的磋商保证金自签订合同之日起4个工作日内退还。</w:t>
      </w:r>
      <w:bookmarkEnd w:id="69"/>
      <w:r>
        <w:rPr>
          <w:rFonts w:hint="eastAsia" w:ascii="宋体" w:hAnsi="宋体" w:cs="宋体"/>
          <w:color w:val="auto"/>
          <w:szCs w:val="21"/>
          <w:highlight w:val="none"/>
        </w:rPr>
        <w:t xml:space="preserve"> </w:t>
      </w:r>
    </w:p>
    <w:p w14:paraId="3138AFC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17.3除逾期退还磋商保证金和终止采购的情形以外，磋商保证金不计息。</w:t>
      </w:r>
    </w:p>
    <w:p w14:paraId="31A38B4B">
      <w:pPr>
        <w:spacing w:line="360" w:lineRule="auto"/>
        <w:ind w:left="420" w:leftChars="200"/>
        <w:rPr>
          <w:rFonts w:ascii="宋体" w:hAnsi="宋体" w:cs="宋体"/>
          <w:b/>
          <w:bCs/>
          <w:color w:val="auto"/>
          <w:szCs w:val="21"/>
          <w:highlight w:val="none"/>
        </w:rPr>
      </w:pPr>
      <w:r>
        <w:rPr>
          <w:rFonts w:hint="eastAsia" w:ascii="宋体" w:hAnsi="宋体" w:cs="宋体"/>
          <w:b/>
          <w:bCs/>
          <w:color w:val="auto"/>
          <w:szCs w:val="21"/>
          <w:highlight w:val="none"/>
        </w:rPr>
        <w:t xml:space="preserve">17.4供应商有下列情形之一的，磋商保证金将不予退还： </w:t>
      </w:r>
    </w:p>
    <w:p w14:paraId="3D26EA6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A8FD082">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2BDA0CF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7D16FB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0ADB45C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5DEE847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422FEF3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0B0419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21A550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740DA62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18.3响应文件须由供应商在规定位置签字、盖章（具体以供应商须知前附表或响应文件格式规定为准），否则按无效响应处理。</w:t>
      </w:r>
    </w:p>
    <w:p w14:paraId="3592B2C3">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并与广西政府采购云平台中获取采购文件的供应商名称一致，供应商为自然人的，标注的供应商名称应与身份证姓名及签名一致</w:t>
      </w:r>
      <w:r>
        <w:rPr>
          <w:rFonts w:hint="eastAsia" w:ascii="宋体" w:hAnsi="宋体" w:cs="宋体"/>
          <w:b/>
          <w:bCs/>
          <w:color w:val="auto"/>
          <w:szCs w:val="21"/>
          <w:highlight w:val="none"/>
        </w:rPr>
        <w:t>，否则其响应文件按无效响应处理。</w:t>
      </w:r>
    </w:p>
    <w:p w14:paraId="79CA3C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0AB07AE2">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53B1695E">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5C1AF4E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7411902">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40741A97">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w:t>
      </w:r>
      <w:r>
        <w:rPr>
          <w:rFonts w:hint="eastAsia" w:ascii="宋体" w:hAnsi="宋体"/>
          <w:color w:val="auto"/>
          <w:szCs w:val="21"/>
          <w:highlight w:val="none"/>
        </w:rPr>
        <w:t>广西政府采购云平台</w:t>
      </w:r>
      <w:r>
        <w:rPr>
          <w:rFonts w:hint="eastAsia" w:ascii="宋体" w:hAnsi="宋体"/>
          <w:b/>
          <w:color w:val="auto"/>
          <w:szCs w:val="21"/>
          <w:highlight w:val="none"/>
        </w:rPr>
        <w:t>将拒收。</w:t>
      </w:r>
    </w:p>
    <w:p w14:paraId="1441F63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1A05B91">
      <w:pPr>
        <w:snapToGrid w:val="0"/>
        <w:spacing w:line="360" w:lineRule="auto"/>
        <w:ind w:firstLine="420"/>
        <w:jc w:val="left"/>
        <w:rPr>
          <w:rFonts w:ascii="宋体" w:hAnsi="宋体"/>
          <w:color w:val="auto"/>
          <w:szCs w:val="21"/>
          <w:highlight w:val="none"/>
        </w:rPr>
      </w:pPr>
      <w:bookmarkStart w:id="70" w:name="_Toc254970684"/>
      <w:bookmarkStart w:id="71" w:name="_Toc254970543"/>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70"/>
    <w:bookmarkEnd w:id="71"/>
    <w:p w14:paraId="418CC0AF">
      <w:pPr>
        <w:pStyle w:val="64"/>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140EC855">
      <w:pPr>
        <w:spacing w:line="360" w:lineRule="auto"/>
        <w:ind w:firstLine="482" w:firstLineChars="200"/>
        <w:rPr>
          <w:rFonts w:ascii="黑体" w:hAnsi="黑体" w:eastAsia="黑体" w:cs="宋体"/>
          <w:b/>
          <w:bCs/>
          <w:color w:val="auto"/>
          <w:sz w:val="24"/>
          <w:highlight w:val="none"/>
        </w:rPr>
      </w:pPr>
      <w:bookmarkStart w:id="72" w:name="_Hlk45702405"/>
      <w:r>
        <w:rPr>
          <w:rFonts w:hint="eastAsia" w:ascii="黑体" w:hAnsi="黑体" w:eastAsia="黑体" w:cs="宋体"/>
          <w:b/>
          <w:bCs/>
          <w:color w:val="auto"/>
          <w:sz w:val="24"/>
          <w:highlight w:val="none"/>
        </w:rPr>
        <w:t>22.响应文件的退回</w:t>
      </w:r>
    </w:p>
    <w:p w14:paraId="24CA76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6AB808E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0C74A6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72"/>
    <w:p w14:paraId="7939CE91">
      <w:pPr>
        <w:spacing w:line="360" w:lineRule="auto"/>
        <w:rPr>
          <w:rFonts w:ascii="宋体" w:hAnsi="宋体"/>
          <w:color w:val="auto"/>
          <w:szCs w:val="21"/>
          <w:highlight w:val="none"/>
        </w:rPr>
      </w:pPr>
    </w:p>
    <w:p w14:paraId="6C4D46BD">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24807529">
      <w:pPr>
        <w:spacing w:line="360" w:lineRule="auto"/>
        <w:ind w:left="420" w:firstLine="420"/>
        <w:rPr>
          <w:rFonts w:ascii="宋体" w:hAnsi="宋体"/>
          <w:color w:val="auto"/>
          <w:szCs w:val="21"/>
          <w:highlight w:val="none"/>
        </w:rPr>
      </w:pPr>
    </w:p>
    <w:p w14:paraId="4E63868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715BA2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评审专家共3人以上单数组成，具体人数见“供应商须知前附表”。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A64CD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BC87353">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基于广西政府采购云平台抽（选）取评审专家。</w:t>
      </w:r>
    </w:p>
    <w:p w14:paraId="5B15C9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w:t>
      </w:r>
      <w:r>
        <w:rPr>
          <w:rFonts w:hint="eastAsia" w:hAnsi="宋体"/>
          <w:bCs/>
          <w:color w:val="auto"/>
          <w:szCs w:val="21"/>
          <w:highlight w:val="none"/>
        </w:rPr>
        <w:t>前期咨询论证的专家，不得参加该采购项目的评审活动。</w:t>
      </w:r>
    </w:p>
    <w:p w14:paraId="55842CB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520AC641">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2E633E4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3D76F7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273D38E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4FB300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02DD75D6">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19029384">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54D14466">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4700A295">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5A952BB7">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3B368AE6">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2BC3AD8A">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14B9B9BA">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78A64E6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79B60BD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6ABF2CF">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3"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3"/>
    </w:p>
    <w:p w14:paraId="54425428">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58BB055C">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077037B5">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31A22F88">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00B7AF07">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6F02806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104066DB">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履约保证金的金额、提交方式、缴纳期限、退付的时间和条件详见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0DE5B3A5">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52B63FF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3F50A3A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6888331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6CDC8D2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07BC773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146540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8A2CC0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6498754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2631390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7330E8F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4EA7F3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99199E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4F61C556">
      <w:pPr>
        <w:pStyle w:val="9"/>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25D7C78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524FD23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6C38CDD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31C53B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AA3B8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E884FE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6F0960C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884B89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0F4E00A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54AB782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66C30F3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4B961C7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30A27CD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56370C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00B957C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793176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786BBC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6B31084">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46E3D7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311767F1">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14942BF8">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528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A80091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2E8E9009">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2B684E90">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792722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0FA055A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3BC7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3F530E8">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0C2AF4CC">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5C655F9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1E11D11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08F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5AB089">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tcPr>
          <w:p w14:paraId="1A16ECE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6287C37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587E1F6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1BD7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45325FA">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tcPr>
          <w:p w14:paraId="27DFEDCF">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3CCB76E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47DE4A0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6B54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319CEA8">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tcPr>
          <w:p w14:paraId="064FF3A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691B68D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66C9804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36F3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4D93115">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168BE44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12EB544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0BC825C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685E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C1D72A">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tcPr>
          <w:p w14:paraId="1D12311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77E60CE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6D8256F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5437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5A3411B">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tcPr>
          <w:p w14:paraId="0F427B2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03AF8E6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6613BC3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609F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0448CFF">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tcPr>
          <w:p w14:paraId="7D091B4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18F5296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4CCB12A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0CFB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5A66376">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tcPr>
          <w:p w14:paraId="71194F5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5B5C447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79AABFA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3DCF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DD31D25">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361B7A5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1496074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542E96A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6915C509">
      <w:pPr>
        <w:spacing w:line="360" w:lineRule="auto"/>
        <w:ind w:firstLine="420" w:firstLineChars="200"/>
        <w:rPr>
          <w:rFonts w:ascii="宋体" w:hAnsi="宋体" w:cs="宋体"/>
          <w:color w:val="auto"/>
          <w:highlight w:val="none"/>
        </w:rPr>
      </w:pPr>
      <w:r>
        <w:rPr>
          <w:rFonts w:ascii="宋体" w:hAnsi="宋体" w:cs="宋体"/>
          <w:color w:val="auto"/>
          <w:highlight w:val="none"/>
        </w:rPr>
        <w:t>注</w:t>
      </w:r>
      <w:r>
        <w:rPr>
          <w:rFonts w:hint="eastAsia" w:ascii="宋体" w:hAnsi="宋体" w:cs="宋体"/>
          <w:color w:val="auto"/>
          <w:highlight w:val="none"/>
        </w:rPr>
        <w:t>：</w:t>
      </w:r>
    </w:p>
    <w:p w14:paraId="411D193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A0AAB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12B12DC6">
      <w:pPr>
        <w:spacing w:line="360" w:lineRule="auto"/>
        <w:ind w:firstLine="420" w:firstLineChars="200"/>
        <w:rPr>
          <w:rFonts w:ascii="宋体" w:hAnsi="宋体" w:cs="宋体"/>
          <w:color w:val="auto"/>
          <w:highlight w:val="none"/>
        </w:rPr>
      </w:pPr>
      <w:r>
        <w:rPr>
          <w:rFonts w:ascii="宋体" w:hAnsi="宋体" w:cs="宋体"/>
          <w:color w:val="auto"/>
          <w:highlight w:val="none"/>
        </w:rPr>
        <w:t>例如</w:t>
      </w:r>
      <w:r>
        <w:rPr>
          <w:rFonts w:hint="eastAsia" w:ascii="宋体" w:hAnsi="宋体" w:cs="宋体"/>
          <w:color w:val="auto"/>
          <w:highlight w:val="none"/>
        </w:rPr>
        <w:t>：</w:t>
      </w:r>
      <w:r>
        <w:rPr>
          <w:rFonts w:ascii="宋体" w:hAnsi="宋体" w:cs="宋体"/>
          <w:color w:val="auto"/>
          <w:highlight w:val="none"/>
        </w:rPr>
        <w:t>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r>
        <w:rPr>
          <w:rFonts w:hint="eastAsia" w:ascii="宋体" w:hAnsi="宋体" w:cs="宋体"/>
          <w:color w:val="auto"/>
          <w:highlight w:val="none"/>
        </w:rPr>
        <w:t>：</w:t>
      </w:r>
    </w:p>
    <w:p w14:paraId="4A02DDB0">
      <w:pPr>
        <w:spacing w:line="360" w:lineRule="auto"/>
        <w:ind w:firstLine="420" w:firstLineChars="200"/>
        <w:rPr>
          <w:rFonts w:ascii="宋体" w:hAnsi="宋体" w:cs="宋体"/>
          <w:color w:val="auto"/>
          <w:highlight w:val="none"/>
        </w:rPr>
      </w:pPr>
      <w:r>
        <w:rPr>
          <w:rFonts w:ascii="宋体" w:hAnsi="宋体" w:cs="宋体"/>
          <w:color w:val="auto"/>
          <w:highlight w:val="none"/>
        </w:rPr>
        <w:t>100 万元×l.5 %＝1.5 万元</w:t>
      </w:r>
    </w:p>
    <w:p w14:paraId="1801D514">
      <w:pPr>
        <w:spacing w:line="360" w:lineRule="auto"/>
        <w:ind w:firstLine="420" w:firstLineChars="200"/>
        <w:rPr>
          <w:rFonts w:ascii="宋体" w:hAnsi="宋体" w:cs="宋体"/>
          <w:color w:val="auto"/>
          <w:highlight w:val="none"/>
        </w:rPr>
      </w:pPr>
      <w:r>
        <w:rPr>
          <w:rFonts w:ascii="宋体" w:hAnsi="宋体" w:cs="宋体"/>
          <w:color w:val="auto"/>
          <w:highlight w:val="none"/>
        </w:rPr>
        <w:t>（150－100 ）万元 ×0.8%＝0.4万元</w:t>
      </w:r>
    </w:p>
    <w:p w14:paraId="0EB641CB">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highlight w:val="none"/>
        </w:rPr>
        <w:t>合计收费＝1.5＋0.4＝1.9 万元</w:t>
      </w:r>
    </w:p>
    <w:p w14:paraId="5C54B44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665F0E44">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06C36DE3">
      <w:pPr>
        <w:pStyle w:val="18"/>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1D0258B7">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BD2A568">
      <w:pPr>
        <w:pStyle w:val="18"/>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947E09E">
      <w:pPr>
        <w:pStyle w:val="18"/>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34CAA0E6">
      <w:pPr>
        <w:pStyle w:val="18"/>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C873A87">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7FDBEF03">
      <w:pPr>
        <w:pStyle w:val="18"/>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2A15FD2C">
      <w:pPr>
        <w:pStyle w:val="18"/>
        <w:snapToGrid w:val="0"/>
        <w:rPr>
          <w:rFonts w:ascii="黑体" w:hAnsi="黑体" w:eastAsia="黑体" w:cs="黑体"/>
          <w:bCs/>
          <w:color w:val="auto"/>
          <w:sz w:val="32"/>
          <w:szCs w:val="32"/>
          <w:highlight w:val="none"/>
        </w:rPr>
      </w:pPr>
      <w:r>
        <w:rPr>
          <w:rFonts w:hAnsi="宋体" w:cs="宋体"/>
          <w:color w:val="auto"/>
          <w:kern w:val="2"/>
          <w:sz w:val="21"/>
          <w:highlight w:val="none"/>
        </w:rPr>
        <w:br w:type="page"/>
      </w:r>
      <w:r>
        <w:rPr>
          <w:rFonts w:hint="eastAsia" w:ascii="黑体" w:hAnsi="黑体" w:eastAsia="黑体" w:cs="黑体"/>
          <w:bCs/>
          <w:color w:val="auto"/>
          <w:sz w:val="32"/>
          <w:szCs w:val="32"/>
          <w:highlight w:val="none"/>
        </w:rPr>
        <w:t>附件1：</w:t>
      </w:r>
    </w:p>
    <w:p w14:paraId="340F802F">
      <w:pPr>
        <w:pStyle w:val="18"/>
        <w:snapToGrid w:val="0"/>
        <w:rPr>
          <w:rFonts w:hAnsi="宋体"/>
          <w:color w:val="auto"/>
          <w:highlight w:val="none"/>
        </w:rPr>
      </w:pPr>
      <w:r>
        <w:rPr>
          <w:rFonts w:hint="eastAsia" w:hAnsi="宋体"/>
          <w:color w:val="auto"/>
          <w:highlight w:val="none"/>
        </w:rPr>
        <w:t xml:space="preserve"> </w:t>
      </w:r>
    </w:p>
    <w:p w14:paraId="1748CE00">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78ACDE24">
      <w:pPr>
        <w:widowControl/>
        <w:shd w:val="clear" w:color="auto" w:fill="FFFFFF"/>
        <w:spacing w:line="480" w:lineRule="atLeast"/>
        <w:jc w:val="center"/>
        <w:rPr>
          <w:rFonts w:ascii="仿宋" w:hAnsi="仿宋" w:eastAsia="仿宋" w:cs="宋体"/>
          <w:color w:val="auto"/>
          <w:kern w:val="0"/>
          <w:sz w:val="32"/>
          <w:szCs w:val="32"/>
          <w:highlight w:val="none"/>
        </w:rPr>
      </w:pPr>
    </w:p>
    <w:p w14:paraId="42CDA130">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提供的货物（或工程、服务）进行了验收，验收情况如下：</w:t>
      </w:r>
    </w:p>
    <w:tbl>
      <w:tblPr>
        <w:tblStyle w:val="2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6D37C9E6">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1A61E06B">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r>
              <w:rPr>
                <w:rFonts w:hint="eastAsia" w:ascii="Verdana" w:hAnsi="Verdana" w:cs="宋体"/>
                <w:color w:val="auto"/>
                <w:kern w:val="0"/>
                <w:szCs w:val="21"/>
                <w:highlight w:val="none"/>
              </w:rPr>
              <w:t>：</w:t>
            </w:r>
          </w:p>
        </w:tc>
        <w:tc>
          <w:tcPr>
            <w:tcW w:w="5193" w:type="dxa"/>
            <w:gridSpan w:val="6"/>
            <w:tcBorders>
              <w:top w:val="single" w:color="auto" w:sz="8" w:space="0"/>
              <w:left w:val="nil"/>
              <w:bottom w:val="single" w:color="auto" w:sz="8" w:space="0"/>
              <w:right w:val="single" w:color="auto" w:sz="8" w:space="0"/>
            </w:tcBorders>
            <w:vAlign w:val="center"/>
          </w:tcPr>
          <w:p w14:paraId="0E7F1AD6">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Verdana" w:hAnsi="Verdana" w:cs="宋体"/>
                <w:color w:val="auto"/>
                <w:kern w:val="0"/>
                <w:szCs w:val="21"/>
                <w:highlight w:val="none"/>
              </w:rPr>
              <w:t>（</w:t>
            </w:r>
            <w:r>
              <w:rPr>
                <w:rFonts w:ascii="Verdana" w:hAnsi="Verdana" w:cs="宋体"/>
                <w:color w:val="auto"/>
                <w:kern w:val="0"/>
                <w:szCs w:val="21"/>
                <w:highlight w:val="none"/>
              </w:rPr>
              <w:t xml:space="preserve">自行验收 </w:t>
            </w:r>
            <w:r>
              <w:rPr>
                <w:rFonts w:hint="eastAsia" w:ascii="Verdana" w:hAnsi="Verdana" w:cs="宋体"/>
                <w:color w:val="auto"/>
                <w:kern w:val="0"/>
                <w:szCs w:val="21"/>
                <w:highlight w:val="none"/>
              </w:rPr>
              <w:t>（</w:t>
            </w:r>
            <w:r>
              <w:rPr>
                <w:rFonts w:ascii="Verdana" w:hAnsi="Verdana" w:cs="宋体"/>
                <w:color w:val="auto"/>
                <w:kern w:val="0"/>
                <w:szCs w:val="21"/>
                <w:highlight w:val="none"/>
              </w:rPr>
              <w:t>委托验收</w:t>
            </w:r>
          </w:p>
        </w:tc>
      </w:tr>
      <w:tr w14:paraId="25F64F7E">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1A10245D">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61A065DF">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3A00A525">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4DF6FC80">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274728EA">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79DD185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457CA80">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1546323">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1947345">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375A710">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121E567">
            <w:pPr>
              <w:widowControl/>
              <w:spacing w:before="100" w:beforeAutospacing="1" w:after="100" w:afterAutospacing="1" w:line="240" w:lineRule="atLeast"/>
              <w:jc w:val="center"/>
              <w:rPr>
                <w:rFonts w:ascii="Verdana" w:hAnsi="Verdana" w:cs="宋体"/>
                <w:color w:val="auto"/>
                <w:kern w:val="0"/>
                <w:szCs w:val="21"/>
                <w:highlight w:val="none"/>
              </w:rPr>
            </w:pPr>
          </w:p>
        </w:tc>
      </w:tr>
      <w:tr w14:paraId="7CAA136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41115A4">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D8690FC">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501D54BF">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4D24E3B">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B638725">
            <w:pPr>
              <w:widowControl/>
              <w:spacing w:before="100" w:beforeAutospacing="1" w:after="100" w:afterAutospacing="1" w:line="240" w:lineRule="atLeast"/>
              <w:jc w:val="center"/>
              <w:rPr>
                <w:rFonts w:ascii="Verdana" w:hAnsi="Verdana" w:cs="宋体"/>
                <w:color w:val="auto"/>
                <w:kern w:val="0"/>
                <w:szCs w:val="21"/>
                <w:highlight w:val="none"/>
              </w:rPr>
            </w:pPr>
          </w:p>
        </w:tc>
      </w:tr>
      <w:tr w14:paraId="0BD8565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73B6D0E">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2284F7E">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52DEDD8">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D2C5F96">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A94EE3A">
            <w:pPr>
              <w:widowControl/>
              <w:spacing w:before="100" w:beforeAutospacing="1" w:after="100" w:afterAutospacing="1" w:line="240" w:lineRule="atLeast"/>
              <w:jc w:val="center"/>
              <w:rPr>
                <w:rFonts w:ascii="Verdana" w:hAnsi="Verdana" w:cs="宋体"/>
                <w:color w:val="auto"/>
                <w:kern w:val="0"/>
                <w:szCs w:val="21"/>
                <w:highlight w:val="none"/>
              </w:rPr>
            </w:pPr>
          </w:p>
        </w:tc>
      </w:tr>
      <w:tr w14:paraId="02DF3FEC">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24D48D1">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6966DD17">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AAAA5A9">
            <w:pPr>
              <w:widowControl/>
              <w:spacing w:before="100" w:beforeAutospacing="1" w:after="100" w:afterAutospacing="1" w:line="240" w:lineRule="atLeast"/>
              <w:jc w:val="center"/>
              <w:rPr>
                <w:rFonts w:ascii="Verdana" w:hAnsi="Verdana" w:cs="宋体"/>
                <w:color w:val="auto"/>
                <w:kern w:val="0"/>
                <w:szCs w:val="21"/>
                <w:highlight w:val="none"/>
              </w:rPr>
            </w:pPr>
          </w:p>
        </w:tc>
      </w:tr>
      <w:tr w14:paraId="2FFF18E9">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624B70CE">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合计大写金额</w:t>
            </w:r>
            <w:r>
              <w:rPr>
                <w:rFonts w:hint="eastAsia" w:ascii="Verdana" w:hAnsi="Verdana" w:cs="宋体"/>
                <w:color w:val="auto"/>
                <w:kern w:val="0"/>
                <w:szCs w:val="21"/>
                <w:highlight w:val="none"/>
              </w:rPr>
              <w:t>：</w:t>
            </w:r>
            <w:r>
              <w:rPr>
                <w:rFonts w:ascii="Verdana" w:hAnsi="Verdana" w:cs="宋体"/>
                <w:color w:val="auto"/>
                <w:kern w:val="0"/>
                <w:szCs w:val="21"/>
                <w:highlight w:val="none"/>
              </w:rPr>
              <w:t xml:space="preserve">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641FB75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7E3BE1C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155FD562">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5B06DA5B">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3B8BDC52">
            <w:pPr>
              <w:widowControl/>
              <w:spacing w:before="100" w:beforeAutospacing="1" w:after="100" w:afterAutospacing="1" w:line="240" w:lineRule="atLeast"/>
              <w:jc w:val="center"/>
              <w:rPr>
                <w:rFonts w:ascii="Verdana" w:hAnsi="Verdana" w:cs="宋体"/>
                <w:color w:val="auto"/>
                <w:kern w:val="0"/>
                <w:szCs w:val="21"/>
                <w:highlight w:val="none"/>
              </w:rPr>
            </w:pPr>
          </w:p>
        </w:tc>
      </w:tr>
      <w:tr w14:paraId="6A60DA84">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DB9A82">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7D85C76">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磋商文件、竞标响应文件及验收方案等进行验收；并核对成交供应商在安装调试等方面是否违反合同约定或服务规范要求、提供的质量保证证明材料是否齐全、应有的配件及附件是否达到合同约定等。可附件</w:t>
            </w:r>
            <w:r>
              <w:rPr>
                <w:rFonts w:hint="eastAsia" w:ascii="Verdana" w:hAnsi="Verdana" w:cs="宋体"/>
                <w:color w:val="auto"/>
                <w:kern w:val="0"/>
                <w:szCs w:val="21"/>
                <w:highlight w:val="none"/>
              </w:rPr>
              <w:t>）</w:t>
            </w:r>
          </w:p>
        </w:tc>
      </w:tr>
      <w:tr w14:paraId="18C1A38B">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09E6F6">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F8890F5">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r>
              <w:rPr>
                <w:rFonts w:hint="eastAsia" w:ascii="Verdana" w:hAnsi="Verdana" w:cs="宋体"/>
                <w:color w:val="auto"/>
                <w:kern w:val="0"/>
                <w:szCs w:val="21"/>
                <w:highlight w:val="none"/>
              </w:rPr>
              <w:t>：</w:t>
            </w:r>
          </w:p>
        </w:tc>
      </w:tr>
      <w:tr w14:paraId="02757718">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18FABDBF">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49008360">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r>
              <w:rPr>
                <w:rFonts w:hint="eastAsia" w:ascii="Verdana" w:hAnsi="Verdana" w:cs="宋体"/>
                <w:color w:val="auto"/>
                <w:kern w:val="0"/>
                <w:szCs w:val="21"/>
                <w:highlight w:val="none"/>
              </w:rPr>
              <w:t>：</w:t>
            </w:r>
          </w:p>
          <w:p w14:paraId="062DE62E">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r>
              <w:rPr>
                <w:rFonts w:hint="eastAsia" w:ascii="Verdana" w:hAnsi="Verdana" w:cs="宋体"/>
                <w:color w:val="auto"/>
                <w:kern w:val="0"/>
                <w:szCs w:val="21"/>
                <w:highlight w:val="none"/>
              </w:rPr>
              <w:t>：</w:t>
            </w:r>
          </w:p>
        </w:tc>
      </w:tr>
      <w:tr w14:paraId="3EA0EA5F">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F7C77B">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r>
              <w:rPr>
                <w:rFonts w:hint="eastAsia" w:ascii="Verdana" w:hAnsi="Verdana" w:cs="宋体"/>
                <w:color w:val="auto"/>
                <w:kern w:val="0"/>
                <w:szCs w:val="21"/>
                <w:highlight w:val="none"/>
              </w:rPr>
              <w:t>：</w:t>
            </w:r>
          </w:p>
        </w:tc>
      </w:tr>
      <w:tr w14:paraId="5DF48E07">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65473E">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监督人员或其他相关人员签字</w:t>
            </w:r>
            <w:r>
              <w:rPr>
                <w:rFonts w:hint="eastAsia" w:ascii="Verdana" w:hAnsi="Verdana" w:cs="宋体"/>
                <w:color w:val="auto"/>
                <w:kern w:val="0"/>
                <w:szCs w:val="21"/>
                <w:highlight w:val="none"/>
              </w:rPr>
              <w:t>：</w:t>
            </w:r>
          </w:p>
          <w:p w14:paraId="413429CA">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或受邀机构的意见（盖章）</w:t>
            </w:r>
            <w:r>
              <w:rPr>
                <w:rFonts w:hint="eastAsia" w:ascii="Verdana" w:hAnsi="Verdana" w:cs="宋体"/>
                <w:color w:val="auto"/>
                <w:kern w:val="0"/>
                <w:szCs w:val="21"/>
                <w:highlight w:val="none"/>
              </w:rPr>
              <w:t>：</w:t>
            </w:r>
          </w:p>
        </w:tc>
      </w:tr>
      <w:tr w14:paraId="40FA8C85">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507A6AB4">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成交供应商负责人签字或盖章</w:t>
            </w:r>
            <w:r>
              <w:rPr>
                <w:rFonts w:hint="eastAsia" w:ascii="Verdana" w:hAnsi="Verdana" w:cs="宋体"/>
                <w:color w:val="auto"/>
                <w:kern w:val="0"/>
                <w:szCs w:val="21"/>
                <w:highlight w:val="none"/>
              </w:rPr>
              <w:t>：</w:t>
            </w:r>
          </w:p>
          <w:p w14:paraId="12A559EF">
            <w:pPr>
              <w:widowControl/>
              <w:spacing w:before="100" w:beforeAutospacing="1" w:after="100" w:afterAutospacing="1" w:line="320" w:lineRule="atLeast"/>
              <w:jc w:val="left"/>
              <w:rPr>
                <w:rFonts w:ascii="Verdana" w:hAnsi="Verdana" w:cs="宋体"/>
                <w:color w:val="auto"/>
                <w:kern w:val="0"/>
                <w:szCs w:val="21"/>
                <w:highlight w:val="none"/>
              </w:rPr>
            </w:pPr>
          </w:p>
          <w:p w14:paraId="123AEF64">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34BA63C2">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采购人或受托机构的意见（盖章）</w:t>
            </w:r>
            <w:r>
              <w:rPr>
                <w:rFonts w:hint="eastAsia" w:ascii="Verdana" w:hAnsi="Verdana" w:cs="宋体"/>
                <w:color w:val="auto"/>
                <w:kern w:val="0"/>
                <w:szCs w:val="21"/>
                <w:highlight w:val="none"/>
              </w:rPr>
              <w:t>：</w:t>
            </w:r>
          </w:p>
          <w:p w14:paraId="502B7090">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297AF3AC">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6347BCB0">
      <w:pPr>
        <w:pStyle w:val="18"/>
        <w:spacing w:line="360" w:lineRule="auto"/>
        <w:textAlignment w:val="center"/>
        <w:rPr>
          <w:rFonts w:hAnsi="宋体"/>
          <w:b/>
          <w:color w:val="auto"/>
          <w:sz w:val="32"/>
          <w:szCs w:val="32"/>
          <w:highlight w:val="none"/>
        </w:rPr>
      </w:pPr>
      <w:r>
        <w:rPr>
          <w:color w:val="auto"/>
          <w:highlight w:val="none"/>
        </w:rPr>
        <w:br w:type="page"/>
      </w:r>
    </w:p>
    <w:p w14:paraId="4AC03F91">
      <w:pPr>
        <w:pStyle w:val="5"/>
        <w:jc w:val="center"/>
        <w:rPr>
          <w:color w:val="auto"/>
          <w:highlight w:val="none"/>
        </w:rPr>
      </w:pPr>
      <w:bookmarkStart w:id="74" w:name="_Toc20857"/>
      <w:r>
        <w:rPr>
          <w:rFonts w:hint="eastAsia"/>
          <w:color w:val="auto"/>
          <w:highlight w:val="none"/>
        </w:rPr>
        <w:t>第三章 采购需求</w:t>
      </w:r>
      <w:bookmarkEnd w:id="74"/>
    </w:p>
    <w:p w14:paraId="4B2E537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66D4CF32">
      <w:pPr>
        <w:spacing w:line="360" w:lineRule="auto"/>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70CF7E9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3DFB222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（2）根据《财政部司法部关于政府采购支持监狱企业发展有关问题的通知》（财库〔2014〕68号）的规定，如供应商为监狱企业，视同小型、微型企业。</w:t>
      </w:r>
    </w:p>
    <w:p w14:paraId="3F9990D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（3）根据《关于促进残疾人就业政府采购政策的通知》（财库〔2017〕141号）的规定，如供应商为残疾人福利性单位，视同小型、微型企业。</w:t>
      </w:r>
    </w:p>
    <w:p w14:paraId="7489EDAC">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276DB9BA">
      <w:pPr>
        <w:spacing w:line="360" w:lineRule="auto"/>
        <w:ind w:firstLine="424" w:firstLineChars="202"/>
        <w:jc w:val="left"/>
        <w:rPr>
          <w:color w:val="auto"/>
          <w:highlight w:val="none"/>
        </w:rPr>
      </w:pPr>
      <w:r>
        <w:rPr>
          <w:rFonts w:hint="eastAsia" w:ascii="宋体" w:hAnsi="宋体" w:cs="宋体"/>
          <w:color w:val="auto"/>
          <w:szCs w:val="21"/>
          <w:highlight w:val="none"/>
        </w:rPr>
        <w:t>3.供应商应根据自身实际情况如实响应磋商文件</w:t>
      </w:r>
      <w:r>
        <w:rPr>
          <w:rFonts w:hint="eastAsia" w:ascii="宋体" w:hAnsi="宋体"/>
          <w:color w:val="auto"/>
          <w:szCs w:val="21"/>
          <w:highlight w:val="none"/>
        </w:rPr>
        <w:t>，对磋商文件提出的要求和条件作出明确响应</w:t>
      </w:r>
      <w:r>
        <w:rPr>
          <w:rFonts w:hint="eastAsia" w:ascii="宋体" w:hAnsi="宋体"/>
          <w:b/>
          <w:bCs/>
          <w:color w:val="auto"/>
          <w:szCs w:val="21"/>
          <w:highlight w:val="none"/>
        </w:rPr>
        <w:t>，否则将作无效响应处理。</w:t>
      </w:r>
      <w:r>
        <w:rPr>
          <w:rFonts w:hint="eastAsia"/>
          <w:color w:val="auto"/>
          <w:highlight w:val="none"/>
        </w:rPr>
        <w:t>对于重要技术条款或技术参数应当在响应文件中提供技术支持资料，技术支持资料以磋商文件中规定的形式为准，否则将视为无效技术支持资料。</w:t>
      </w:r>
    </w:p>
    <w:p w14:paraId="565CC9FF">
      <w:pPr>
        <w:spacing w:line="360" w:lineRule="auto"/>
        <w:ind w:firstLine="424" w:firstLineChars="202"/>
        <w:jc w:val="left"/>
        <w:rPr>
          <w:rFonts w:hint="eastAsia"/>
          <w:color w:val="auto"/>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14:paraId="27F6D38F">
      <w:pPr>
        <w:spacing w:line="360" w:lineRule="auto"/>
        <w:ind w:firstLine="426" w:firstLineChars="202"/>
        <w:jc w:val="left"/>
        <w:rPr>
          <w:rFonts w:ascii="宋体" w:hAnsi="宋体"/>
          <w:b/>
          <w:color w:val="auto"/>
          <w:sz w:val="24"/>
          <w:szCs w:val="21"/>
          <w:highlight w:val="none"/>
        </w:rPr>
      </w:pPr>
      <w:r>
        <w:rPr>
          <w:rFonts w:ascii="宋体" w:hAnsi="宋体"/>
          <w:b/>
          <w:color w:val="auto"/>
          <w:highlight w:val="none"/>
        </w:rPr>
        <w:t>5</w:t>
      </w:r>
      <w:r>
        <w:rPr>
          <w:rFonts w:hint="eastAsia" w:ascii="宋体" w:hAnsi="宋体"/>
          <w:b/>
          <w:color w:val="auto"/>
          <w:highlight w:val="none"/>
        </w:rPr>
        <w:t>.本项目</w:t>
      </w:r>
      <w:r>
        <w:rPr>
          <w:rFonts w:ascii="宋体" w:hAnsi="宋体"/>
          <w:b/>
          <w:color w:val="auto"/>
          <w:highlight w:val="none"/>
        </w:rPr>
        <w:t>所属行业</w:t>
      </w:r>
      <w:r>
        <w:rPr>
          <w:rFonts w:hint="eastAsia" w:ascii="宋体" w:hAnsi="宋体"/>
          <w:b/>
          <w:bCs/>
          <w:color w:val="auto"/>
          <w:highlight w:val="none"/>
        </w:rPr>
        <w:t>：其他未列明行业。</w:t>
      </w:r>
      <w:r>
        <w:rPr>
          <w:rFonts w:hint="eastAsia" w:ascii="宋体" w:hAnsi="宋体"/>
          <w:color w:val="auto"/>
          <w:highlight w:val="none"/>
        </w:rPr>
        <w:t>从业人员300人以下的为中小微型企业。其中，从业人员100人及以上的为中型企业；从业人员10人及以上的为小型企业；从业人员10人以下的为微型企业。</w:t>
      </w:r>
    </w:p>
    <w:tbl>
      <w:tblPr>
        <w:tblStyle w:val="2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033"/>
        <w:gridCol w:w="139"/>
        <w:gridCol w:w="660"/>
        <w:gridCol w:w="690"/>
        <w:gridCol w:w="5641"/>
      </w:tblGrid>
      <w:tr w14:paraId="1385E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6751947B">
            <w:pPr>
              <w:tabs>
                <w:tab w:val="left" w:pos="180"/>
                <w:tab w:val="left" w:pos="1620"/>
              </w:tabs>
              <w:wordWrap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172" w:type="dxa"/>
            <w:gridSpan w:val="2"/>
            <w:tcBorders>
              <w:top w:val="single" w:color="auto" w:sz="4" w:space="0"/>
              <w:left w:val="single" w:color="auto" w:sz="4" w:space="0"/>
              <w:bottom w:val="single" w:color="auto" w:sz="4" w:space="0"/>
              <w:right w:val="single" w:color="auto" w:sz="4" w:space="0"/>
            </w:tcBorders>
            <w:vAlign w:val="center"/>
          </w:tcPr>
          <w:p w14:paraId="7E5EE0B1">
            <w:pPr>
              <w:tabs>
                <w:tab w:val="left" w:pos="180"/>
                <w:tab w:val="left" w:pos="1620"/>
              </w:tabs>
              <w:wordWrap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服务名称</w:t>
            </w:r>
          </w:p>
        </w:tc>
        <w:tc>
          <w:tcPr>
            <w:tcW w:w="660" w:type="dxa"/>
            <w:tcBorders>
              <w:top w:val="single" w:color="auto" w:sz="4" w:space="0"/>
              <w:left w:val="single" w:color="auto" w:sz="4" w:space="0"/>
              <w:bottom w:val="single" w:color="auto" w:sz="4" w:space="0"/>
              <w:right w:val="single" w:color="auto" w:sz="4" w:space="0"/>
            </w:tcBorders>
            <w:vAlign w:val="center"/>
          </w:tcPr>
          <w:p w14:paraId="602410B5">
            <w:pPr>
              <w:tabs>
                <w:tab w:val="left" w:pos="180"/>
                <w:tab w:val="left" w:pos="1620"/>
              </w:tabs>
              <w:wordWrap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w:t>
            </w:r>
          </w:p>
        </w:tc>
        <w:tc>
          <w:tcPr>
            <w:tcW w:w="690" w:type="dxa"/>
            <w:tcBorders>
              <w:top w:val="single" w:color="auto" w:sz="4" w:space="0"/>
              <w:left w:val="single" w:color="auto" w:sz="4" w:space="0"/>
              <w:bottom w:val="single" w:color="auto" w:sz="4" w:space="0"/>
              <w:right w:val="single" w:color="auto" w:sz="4" w:space="0"/>
            </w:tcBorders>
            <w:vAlign w:val="center"/>
          </w:tcPr>
          <w:p w14:paraId="2A8C0C78">
            <w:pPr>
              <w:tabs>
                <w:tab w:val="left" w:pos="180"/>
                <w:tab w:val="left" w:pos="1620"/>
              </w:tabs>
              <w:wordWrap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w:t>
            </w:r>
          </w:p>
        </w:tc>
        <w:tc>
          <w:tcPr>
            <w:tcW w:w="5641" w:type="dxa"/>
            <w:tcBorders>
              <w:top w:val="single" w:color="auto" w:sz="4" w:space="0"/>
              <w:left w:val="single" w:color="auto" w:sz="4" w:space="0"/>
              <w:bottom w:val="single" w:color="auto" w:sz="4" w:space="0"/>
              <w:right w:val="single" w:color="auto" w:sz="4" w:space="0"/>
            </w:tcBorders>
            <w:vAlign w:val="center"/>
          </w:tcPr>
          <w:p w14:paraId="1C65796B">
            <w:pPr>
              <w:tabs>
                <w:tab w:val="left" w:pos="180"/>
                <w:tab w:val="left" w:pos="1620"/>
              </w:tabs>
              <w:wordWrap w:val="0"/>
              <w:spacing w:line="40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▲技术要求</w:t>
            </w:r>
          </w:p>
        </w:tc>
      </w:tr>
      <w:tr w14:paraId="19E51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0D88FF7C">
            <w:pPr>
              <w:wordWrap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72" w:type="dxa"/>
            <w:gridSpan w:val="2"/>
            <w:tcBorders>
              <w:top w:val="single" w:color="auto" w:sz="4" w:space="0"/>
              <w:left w:val="single" w:color="auto" w:sz="4" w:space="0"/>
              <w:bottom w:val="single" w:color="auto" w:sz="4" w:space="0"/>
              <w:right w:val="single" w:color="auto" w:sz="4" w:space="0"/>
            </w:tcBorders>
            <w:vAlign w:val="center"/>
          </w:tcPr>
          <w:p w14:paraId="607E9AAA">
            <w:pPr>
              <w:tabs>
                <w:tab w:val="left" w:pos="180"/>
                <w:tab w:val="left" w:pos="1620"/>
              </w:tabs>
              <w:wordWrap w:val="0"/>
              <w:spacing w:line="40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海城区廉州湾垌尾海域非法养殖占海设施清理项目</w:t>
            </w:r>
          </w:p>
        </w:tc>
        <w:tc>
          <w:tcPr>
            <w:tcW w:w="660" w:type="dxa"/>
            <w:tcBorders>
              <w:top w:val="single" w:color="auto" w:sz="4" w:space="0"/>
              <w:left w:val="single" w:color="auto" w:sz="4" w:space="0"/>
              <w:bottom w:val="single" w:color="auto" w:sz="4" w:space="0"/>
              <w:right w:val="single" w:color="auto" w:sz="4" w:space="0"/>
            </w:tcBorders>
            <w:vAlign w:val="center"/>
          </w:tcPr>
          <w:p w14:paraId="5CA39AC3">
            <w:pPr>
              <w:pStyle w:val="2"/>
              <w:wordWrap w:val="0"/>
              <w:spacing w:after="0"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14:paraId="35334BBE">
            <w:pPr>
              <w:wordWrap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w:t>
            </w:r>
          </w:p>
        </w:tc>
        <w:tc>
          <w:tcPr>
            <w:tcW w:w="5641" w:type="dxa"/>
            <w:tcBorders>
              <w:top w:val="single" w:color="auto" w:sz="4" w:space="0"/>
              <w:left w:val="single" w:color="auto" w:sz="4" w:space="0"/>
              <w:bottom w:val="single" w:color="auto" w:sz="4" w:space="0"/>
              <w:right w:val="single" w:color="auto" w:sz="4" w:space="0"/>
            </w:tcBorders>
            <w:shd w:val="clear" w:color="auto" w:fill="auto"/>
            <w:vAlign w:val="center"/>
          </w:tcPr>
          <w:p w14:paraId="14E20D1F">
            <w:pPr>
              <w:pStyle w:val="14"/>
              <w:numPr>
                <w:ilvl w:val="0"/>
                <w:numId w:val="1"/>
              </w:numPr>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项目概况：</w:t>
            </w:r>
          </w:p>
          <w:p w14:paraId="2904B05E">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1.清理对象：北海市廉州湾非法养殖设施。</w:t>
            </w:r>
          </w:p>
          <w:p w14:paraId="4BABB395">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2.清理整治范围：广西北海市海城区廉州湾海域内，海域坐标详见附件1。</w:t>
            </w:r>
          </w:p>
          <w:p w14:paraId="74F74026">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3.清理内容为：对海城区廉州湾垌尾海域内存在的非法养殖占海设施进行清理拆除，凡在上述区域内的蚝桩、</w:t>
            </w:r>
            <w:bookmarkStart w:id="179" w:name="_GoBack"/>
            <w:bookmarkEnd w:id="179"/>
            <w:r>
              <w:rPr>
                <w:rFonts w:hint="eastAsia" w:asciiTheme="minorEastAsia" w:hAnsiTheme="minorEastAsia" w:eastAsiaTheme="minorEastAsia" w:cstheme="minorEastAsia"/>
                <w:color w:val="auto"/>
                <w:sz w:val="21"/>
                <w:szCs w:val="21"/>
                <w:highlight w:val="none"/>
              </w:rPr>
              <w:t>废弃蚝堆、渔箔等非法养殖设施，按照采购人提供的航拍、定位、测量图或范围进行清理。</w:t>
            </w:r>
          </w:p>
          <w:p w14:paraId="629AEE1B">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4.清理方式：采用机械和人工相结合的方式进行。</w:t>
            </w:r>
          </w:p>
          <w:p w14:paraId="2D66E7CF">
            <w:pPr>
              <w:pStyle w:val="14"/>
              <w:wordWrap w:val="0"/>
              <w:spacing w:line="400" w:lineRule="exact"/>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二、服务内容及要求</w:t>
            </w:r>
          </w:p>
          <w:p w14:paraId="19634B3C">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1.清理整治内容包括：</w:t>
            </w:r>
          </w:p>
          <w:p w14:paraId="7AFF60AA">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水泥蚝桩拆除、废弃蚝堆拆除、渔箔拆除，具体服务项目、具体技术要求及单价最高限价等内容详见本项目附件2《项目服务清单》。</w:t>
            </w:r>
          </w:p>
          <w:p w14:paraId="47DF76E5">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2.清理后的蚝桩等不得随意丢弃、填埋，需符合环保等相关规定进行妥善处置。</w:t>
            </w:r>
          </w:p>
          <w:p w14:paraId="00E01073">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清理整治验收要求：单次清理行动结束后（即按照采购人提供的清理范围内非法养殖设施需清理完成后），在当日（次日）最低潮清理验收时，要求清理范围内无竖立的蚝柱；当日清理指定的蚝排，予以驱离（拆除）出清理海域，渔箔、废弃蚝堆等非法养殖设施予以拆除。</w:t>
            </w:r>
          </w:p>
          <w:p w14:paraId="6B4CCAF4">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成交人根据潮汐变化及现状，在合同签订后3个工作日内向采购人提供投入的机械设备和相关人员信息，经采购人审核后，按成交人制定的方案计划执行。成交人必须严格按照采购人确定的计划执行清理工作，清理过程需全程至少以照片的形式记录，如有特殊情况，需要增加清理工作或不能按计划清理，必须提前1天以书面形式上报采购人。</w:t>
            </w:r>
          </w:p>
          <w:p w14:paraId="42645F59">
            <w:pPr>
              <w:pStyle w:val="14"/>
              <w:wordWrap w:val="0"/>
              <w:spacing w:line="400" w:lineRule="exact"/>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5.在清理过程中，如果与群众发生了冲突，由供应商负责协调和解决，因冲突导致人员伤亡财产损失或者工期延误，由此产生的后果均由供应商负责。</w:t>
            </w:r>
          </w:p>
          <w:p w14:paraId="2E12711A">
            <w:pPr>
              <w:pStyle w:val="14"/>
              <w:wordWrap w:val="0"/>
              <w:spacing w:line="400" w:lineRule="exact"/>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eastAsiaTheme="minorEastAsia" w:cstheme="minorEastAsia"/>
                <w:b/>
                <w:bCs/>
                <w:color w:val="auto"/>
                <w:sz w:val="21"/>
                <w:szCs w:val="21"/>
                <w:highlight w:val="none"/>
              </w:rPr>
              <w:t>.设备及人员要求：</w:t>
            </w:r>
          </w:p>
          <w:p w14:paraId="4ABD5982">
            <w:pPr>
              <w:pStyle w:val="14"/>
              <w:wordWrap w:val="0"/>
              <w:spacing w:line="400" w:lineRule="exact"/>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（1）供应商须指定1名项目负责人，拟提供的清理工作人员不少于10名，响应文件中提供项目实施人员一览表，否则按无效竞标处理。</w:t>
            </w:r>
          </w:p>
          <w:p w14:paraId="7D75C4CA">
            <w:pPr>
              <w:pStyle w:val="14"/>
              <w:wordWrap w:val="0"/>
              <w:spacing w:line="400" w:lineRule="exact"/>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（2）供应商能提供满足实施所需的相关机械和设备，如水上挖掘机、工作船、清运车等。（响应文件中提供相关承诺函，格式自拟，否则按无效竞标处理）</w:t>
            </w:r>
          </w:p>
          <w:p w14:paraId="3BE79622">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（3）采购人协助成交人办理机械、船舶进行水上作业的通行许可手续。</w:t>
            </w:r>
          </w:p>
          <w:p w14:paraId="1ADB711B">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（4）在清理过程必须全程至少以照片的形式记录，并进行留存档案，作为申请清理费用的资料一并提交给采购人。</w:t>
            </w:r>
          </w:p>
          <w:p w14:paraId="5E4DC1F0">
            <w:pPr>
              <w:pStyle w:val="14"/>
              <w:wordWrap w:val="0"/>
              <w:spacing w:line="400" w:lineRule="exact"/>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5）成交人负责实施项目人员的人身安全及财产安全，要求清理工作时，现场所有工作人员必须穿戴救生衣，船上配备急救用品，严格要求工作人员进行安全作业。成交人出现安全问题或因成交人原因致使第三方出现财产损失、人身安全问题，采购人概不负责。</w:t>
            </w:r>
          </w:p>
          <w:p w14:paraId="1893115E">
            <w:pPr>
              <w:pStyle w:val="14"/>
              <w:wordWrap w:val="0"/>
              <w:spacing w:line="400" w:lineRule="exact"/>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三、质量控制要求</w:t>
            </w:r>
          </w:p>
          <w:p w14:paraId="73D71749">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1.实施前质量控制要求</w:t>
            </w:r>
          </w:p>
          <w:p w14:paraId="6BB38983">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（1）核查人员配备、职责与分工的落实情况。</w:t>
            </w:r>
          </w:p>
          <w:p w14:paraId="2F8EF816">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（2）完成各级专职质量检查人员的配备。</w:t>
            </w:r>
          </w:p>
          <w:p w14:paraId="1A204300">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（3）检查各项管理制度是否健全。</w:t>
            </w:r>
          </w:p>
          <w:p w14:paraId="1F70C71C">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2.实施阶段中质量控制要求</w:t>
            </w:r>
          </w:p>
          <w:p w14:paraId="18FA5905">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（1）对实施现场有目的的进行巡回检查，及时地发现和纠正实施中存在的问题。</w:t>
            </w:r>
          </w:p>
          <w:p w14:paraId="362FA98C">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（2）在服务区域进行自检、核查，发现不合格的立即进行整改，合格后再进行复查。</w:t>
            </w:r>
          </w:p>
          <w:p w14:paraId="12EA3E3C">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3.质量问题和质量事故处理要求</w:t>
            </w:r>
          </w:p>
          <w:p w14:paraId="14003207">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（1）实施中发现的质量事故应按有关规定上报处理；</w:t>
            </w:r>
          </w:p>
          <w:p w14:paraId="2184D5E7">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（2）对质量问题和质量事故的处理结果进行复查。</w:t>
            </w:r>
          </w:p>
          <w:p w14:paraId="36740BE9">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4.实施后质量控制要求</w:t>
            </w:r>
          </w:p>
          <w:p w14:paraId="02054E5F">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当项目达到验收条件时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应向采购人提出申请，组织专业人员对项目的服务质量情况进行全面检查。</w:t>
            </w:r>
          </w:p>
          <w:p w14:paraId="402D8962">
            <w:pPr>
              <w:pStyle w:val="14"/>
              <w:wordWrap w:val="0"/>
              <w:spacing w:line="400" w:lineRule="exact"/>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5.清理合格率达到100%，登记准确率达到100%；建立完整的作业记录档案；实施过程中发现问题应及时反馈并进行及时整改。</w:t>
            </w:r>
          </w:p>
        </w:tc>
      </w:tr>
      <w:tr w14:paraId="1CB2F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tcPr>
          <w:p w14:paraId="608247BD">
            <w:pPr>
              <w:wordWrap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商务要求</w:t>
            </w:r>
          </w:p>
        </w:tc>
      </w:tr>
      <w:tr w14:paraId="0A58A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tcPr>
          <w:p w14:paraId="25F46CE9">
            <w:pPr>
              <w:wordWrap w:val="0"/>
              <w:spacing w:line="400" w:lineRule="exact"/>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（一）商务条款</w:t>
            </w:r>
          </w:p>
        </w:tc>
      </w:tr>
      <w:tr w14:paraId="61D61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17AA396C">
            <w:pPr>
              <w:wordWrap w:val="0"/>
              <w:spacing w:line="400" w:lineRule="exact"/>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合同履行期限和地点</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4764C66C">
            <w:pPr>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1.合同履行期限：自合同签订之日起45日内完成整治工作，并达到验收条件。</w:t>
            </w:r>
          </w:p>
          <w:p w14:paraId="43F59212">
            <w:pPr>
              <w:wordWrap w:val="0"/>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2.服务地点：广西北海市海城区廉州湾海域内</w:t>
            </w:r>
            <w:r>
              <w:rPr>
                <w:rFonts w:hint="eastAsia" w:asciiTheme="minorEastAsia" w:hAnsiTheme="minorEastAsia" w:eastAsiaTheme="minorEastAsia" w:cstheme="minorEastAsia"/>
                <w:color w:val="auto"/>
                <w:sz w:val="21"/>
                <w:szCs w:val="21"/>
                <w:highlight w:val="none"/>
                <w:lang w:eastAsia="zh-CN"/>
              </w:rPr>
              <w:t>，海域坐标</w:t>
            </w:r>
            <w:r>
              <w:rPr>
                <w:rFonts w:hint="eastAsia" w:asciiTheme="minorEastAsia" w:hAnsiTheme="minorEastAsia" w:eastAsiaTheme="minorEastAsia" w:cstheme="minorEastAsia"/>
                <w:color w:val="auto"/>
                <w:sz w:val="21"/>
                <w:szCs w:val="21"/>
                <w:highlight w:val="none"/>
                <w:lang w:val="en-US" w:eastAsia="zh-CN"/>
              </w:rPr>
              <w:t>详见附件1</w:t>
            </w:r>
            <w:r>
              <w:rPr>
                <w:rFonts w:hint="eastAsia" w:asciiTheme="minorEastAsia" w:hAnsiTheme="minorEastAsia" w:eastAsiaTheme="minorEastAsia" w:cstheme="minorEastAsia"/>
                <w:color w:val="auto"/>
                <w:sz w:val="21"/>
                <w:szCs w:val="21"/>
                <w:highlight w:val="none"/>
              </w:rPr>
              <w:t>。</w:t>
            </w:r>
          </w:p>
        </w:tc>
      </w:tr>
      <w:tr w14:paraId="722C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40A14EF9">
            <w:pPr>
              <w:wordWrap w:val="0"/>
              <w:spacing w:line="400" w:lineRule="exact"/>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合同签订时间</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0D6D3E62">
            <w:pPr>
              <w:wordWrap w:val="0"/>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自成交通知书发出之日起25日内</w:t>
            </w:r>
          </w:p>
        </w:tc>
      </w:tr>
      <w:tr w14:paraId="59A13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39B6F6EF">
            <w:pPr>
              <w:wordWrap w:val="0"/>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451E81DF">
            <w:pPr>
              <w:tabs>
                <w:tab w:val="left" w:pos="180"/>
                <w:tab w:val="left" w:pos="1620"/>
              </w:tabs>
              <w:wordWrap w:val="0"/>
              <w:spacing w:line="400" w:lineRule="exac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1.本项目采购预算：</w:t>
            </w:r>
            <w:r>
              <w:rPr>
                <w:rFonts w:hint="eastAsia" w:asciiTheme="minorEastAsia" w:hAnsiTheme="minorEastAsia" w:eastAsiaTheme="minorEastAsia" w:cstheme="minorEastAsia"/>
                <w:bCs/>
                <w:color w:val="auto"/>
                <w:sz w:val="21"/>
                <w:szCs w:val="21"/>
                <w:highlight w:val="none"/>
                <w:lang w:eastAsia="zh-CN"/>
              </w:rPr>
              <w:t>2,865,863.43</w:t>
            </w:r>
            <w:r>
              <w:rPr>
                <w:rFonts w:hint="eastAsia" w:asciiTheme="minorEastAsia" w:hAnsiTheme="minorEastAsia" w:eastAsiaTheme="minorEastAsia" w:cstheme="minorEastAsia"/>
                <w:bCs/>
                <w:color w:val="auto"/>
                <w:sz w:val="21"/>
                <w:szCs w:val="21"/>
                <w:highlight w:val="none"/>
              </w:rPr>
              <w:t>元；单价最高限价详见附件1《项目服务清单》</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供应商磋商报价超过采购预算或单价最高限价的，按无效响应处理。</w:t>
            </w:r>
          </w:p>
          <w:p w14:paraId="0162DDF6">
            <w:pPr>
              <w:wordWrap w:val="0"/>
              <w:autoSpaceDE w:val="0"/>
              <w:autoSpaceDN w:val="0"/>
              <w:adjustRightInd w:val="0"/>
              <w:snapToGrid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b/>
                <w:bCs/>
                <w:color w:val="auto"/>
                <w:sz w:val="21"/>
                <w:szCs w:val="21"/>
                <w:highlight w:val="none"/>
              </w:rPr>
              <w:t>凡属于本项目清理整治范围内的，如结算总额已达到合同总金额的，清理数量超过采购文件所列数量的部分，采购人不再追加支付金额，供应商报价时应充分考虑各项风险。</w:t>
            </w:r>
            <w:r>
              <w:rPr>
                <w:rFonts w:hint="eastAsia" w:asciiTheme="minorEastAsia" w:hAnsiTheme="minorEastAsia" w:eastAsiaTheme="minorEastAsia" w:cstheme="minorEastAsia"/>
                <w:color w:val="auto"/>
                <w:sz w:val="21"/>
                <w:szCs w:val="21"/>
                <w:highlight w:val="none"/>
              </w:rPr>
              <w:t>如采购人需要增加或调整清理范围的，费用由双方协商确定，可参照本项目相关标准执行，所需费用均在本项目中列支。</w:t>
            </w:r>
          </w:p>
          <w:p w14:paraId="6D428CD4">
            <w:pPr>
              <w:wordWrap w:val="0"/>
              <w:autoSpaceDE w:val="0"/>
              <w:autoSpaceDN w:val="0"/>
              <w:adjustRightInd w:val="0"/>
              <w:snapToGrid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3.本项目磋商报价应包括但不限于整体服务价格及设备、人员成本、管理、利润、税金、保险、搬运、包装、运输、培训、验收、检测及其它所有成本、费用的总和。</w:t>
            </w:r>
          </w:p>
        </w:tc>
      </w:tr>
      <w:tr w14:paraId="71BB4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32C44493">
            <w:pPr>
              <w:wordWrap w:val="0"/>
              <w:spacing w:line="400" w:lineRule="exact"/>
              <w:jc w:val="left"/>
              <w:rPr>
                <w:rFonts w:hint="eastAsia" w:asciiTheme="minorEastAsia" w:hAnsiTheme="minorEastAsia" w:eastAsiaTheme="minorEastAsia" w:cstheme="minorEastAsia"/>
                <w:b/>
                <w:color w:val="auto"/>
                <w:sz w:val="21"/>
                <w:szCs w:val="21"/>
                <w:highlight w:val="none"/>
              </w:rPr>
            </w:pPr>
            <w:bookmarkStart w:id="75" w:name="OLE_LINK6" w:colFirst="1" w:colLast="1"/>
            <w:r>
              <w:rPr>
                <w:rFonts w:hint="eastAsia" w:asciiTheme="minorEastAsia" w:hAnsiTheme="minorEastAsia" w:eastAsiaTheme="minorEastAsia" w:cstheme="minorEastAsia"/>
                <w:color w:val="auto"/>
                <w:sz w:val="21"/>
                <w:szCs w:val="21"/>
                <w:highlight w:val="none"/>
              </w:rPr>
              <w:t>付款方式</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3EEE756D">
            <w:pPr>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1.结算时，工作量少于采购文件中的工作量时，按实际工作量*成交单价（元）结算；工作量多于采购文件中的工作量时，结算最高总额按合同总金额结算</w:t>
            </w:r>
            <w:r>
              <w:rPr>
                <w:rFonts w:hint="eastAsia" w:asciiTheme="minorEastAsia" w:hAnsiTheme="minorEastAsia" w:eastAsiaTheme="minorEastAsia" w:cstheme="minorEastAsia"/>
                <w:b/>
                <w:bCs/>
                <w:color w:val="auto"/>
                <w:sz w:val="21"/>
                <w:szCs w:val="21"/>
                <w:highlight w:val="none"/>
              </w:rPr>
              <w:t>。</w:t>
            </w:r>
          </w:p>
          <w:p w14:paraId="4BE41E56">
            <w:pPr>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2.付款进度（每次付款时，成交人应向采购人开具相应金额的合法正式发票，否则采购人有权延长付款期限，并不承担延期付款的违约责任）：</w:t>
            </w:r>
          </w:p>
          <w:p w14:paraId="6F94715C">
            <w:pPr>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①签订合同后十个工作日内，采购人向国库支付机构提出申请支付令、办理国库支付手续，国库支付机构在规定时间内（不计入采购人付款期限）将合同总金额的30%作为预付款支付给成交人；</w:t>
            </w:r>
          </w:p>
          <w:p w14:paraId="39029DFD">
            <w:pPr>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项目完工后，成交人向采购人提交结算材料，采购人根据实际工作量计算初步的结算金额，采购人向国库支付机构提出申请支付令、办理国库支付手续，国库支付机构在规定时间内（不计入采购人付款期限）将初步结算金额的80%支付给成交人；</w:t>
            </w:r>
          </w:p>
          <w:p w14:paraId="0ED6F2B6">
            <w:pPr>
              <w:wordWrap w:val="0"/>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③项目验收合格后十个工作日内，采购人根据通过验收的实际工作量计算最终结算金额，采购人向国库支付机构提出申请支付令、办理国库支付手续，国库支付机构在规定时间内（不计入采购人付款期限）将合同剩余款项支付给成交人。</w:t>
            </w:r>
          </w:p>
        </w:tc>
      </w:tr>
      <w:bookmarkEnd w:id="75"/>
      <w:tr w14:paraId="0181A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52D6FBD5">
            <w:pPr>
              <w:wordWrap w:val="0"/>
              <w:autoSpaceDE w:val="0"/>
              <w:autoSpaceDN w:val="0"/>
              <w:snapToGrid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76796E67">
            <w:pPr>
              <w:wordWrap w:val="0"/>
              <w:autoSpaceDE w:val="0"/>
              <w:autoSpaceDN w:val="0"/>
              <w:adjustRightInd w:val="0"/>
              <w:snapToGrid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1.按国家、自治区有关规定和响应文件中的承诺负责组织落实好实施队伍并按安全生产有关规定组织好实施工作。</w:t>
            </w:r>
          </w:p>
          <w:p w14:paraId="1EBB014E">
            <w:pPr>
              <w:wordWrap w:val="0"/>
              <w:autoSpaceDE w:val="0"/>
              <w:autoSpaceDN w:val="0"/>
              <w:adjustRightInd w:val="0"/>
              <w:snapToGrid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2.根据潮汐变化对清理范围内的清理内容开展经常性巡查，巡查发现后需及时沟通采购人共同参与清理。</w:t>
            </w:r>
          </w:p>
          <w:p w14:paraId="02E5B66D">
            <w:pPr>
              <w:wordWrap w:val="0"/>
              <w:autoSpaceDE w:val="0"/>
              <w:autoSpaceDN w:val="0"/>
              <w:adjustRightInd w:val="0"/>
              <w:snapToGrid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3.按时支付项目人员工资并按有关规定落实有关保险事项，负责项目人员的人身安全。</w:t>
            </w:r>
          </w:p>
          <w:p w14:paraId="4C7AFE39">
            <w:pPr>
              <w:wordWrap w:val="0"/>
              <w:autoSpaceDE w:val="0"/>
              <w:autoSpaceDN w:val="0"/>
              <w:adjustRightInd w:val="0"/>
              <w:snapToGrid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4.供应商自行负责实施过程中所需的工具。</w:t>
            </w:r>
          </w:p>
          <w:p w14:paraId="62F6D229">
            <w:pPr>
              <w:wordWrap w:val="0"/>
              <w:autoSpaceDE w:val="0"/>
              <w:autoSpaceDN w:val="0"/>
              <w:adjustRightInd w:val="0"/>
              <w:snapToGrid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5.派驻专人负责对清理及实施全过程进行监管及向采购人进行实时汇报，监管应对清理过程拍摄相应照片等进行保存归档，并做好数量统计，接受采购人的检查。</w:t>
            </w:r>
          </w:p>
          <w:p w14:paraId="29FC9747">
            <w:pPr>
              <w:wordWrap w:val="0"/>
              <w:autoSpaceDE w:val="0"/>
              <w:autoSpaceDN w:val="0"/>
              <w:adjustRightInd w:val="0"/>
              <w:snapToGrid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6.服从采购人的工作安排和监督管理。</w:t>
            </w:r>
          </w:p>
          <w:p w14:paraId="37F55A65">
            <w:pPr>
              <w:wordWrap w:val="0"/>
              <w:autoSpaceDE w:val="0"/>
              <w:autoSpaceDN w:val="0"/>
              <w:adjustRightInd w:val="0"/>
              <w:snapToGrid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7.按时报送清理数据给采购人。</w:t>
            </w:r>
          </w:p>
          <w:p w14:paraId="2B039C30">
            <w:pPr>
              <w:wordWrap w:val="0"/>
              <w:autoSpaceDE w:val="0"/>
              <w:autoSpaceDN w:val="0"/>
              <w:adjustRightInd w:val="0"/>
              <w:snapToGrid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合同履行期间，成交人应全力配合采购人相关工作，应及时与采购人就履约相关事项进行沟通，原则上成交人接到采购人处理问题通知后2小时内响应，24个小时内到达现场，24个小时内提出问题解决方案。服务期间现场服务次数由双方协商约定。</w:t>
            </w:r>
          </w:p>
        </w:tc>
      </w:tr>
      <w:tr w14:paraId="563A3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1C5FB648">
            <w:pPr>
              <w:wordWrap w:val="0"/>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验收要求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708F4D5C">
            <w:pPr>
              <w:tabs>
                <w:tab w:val="left" w:pos="180"/>
                <w:tab w:val="left" w:pos="1620"/>
              </w:tabs>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1.验收过程中所产生的一切费用均由成交人承担。报价时应考虑相关费用。</w:t>
            </w:r>
          </w:p>
          <w:p w14:paraId="73AE4C99">
            <w:pPr>
              <w:tabs>
                <w:tab w:val="left" w:pos="180"/>
                <w:tab w:val="left" w:pos="1620"/>
              </w:tabs>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项目整体清理完成后，采购人在收到成交人提供的验收申请书后10天内组织验收。成交人在项目验收时由采购人对照采购文件及响应文件的服务内容及指标全面核对检验，如不符合采购文件的技术要求以及提供虚假承诺的，按相关规定做违约处理，成交供应商承担所有责任和费用，采购人保留进一步追究责任的权利。</w:t>
            </w:r>
          </w:p>
          <w:p w14:paraId="773A39B4">
            <w:pPr>
              <w:tabs>
                <w:tab w:val="left" w:pos="180"/>
                <w:tab w:val="left" w:pos="1620"/>
              </w:tabs>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3.成交人根据清理计划进行清理，要求对验收成果进行验收时，须提前通知采购人进行现场验收，成交人对验收过程必须全程录制视频监控。</w:t>
            </w:r>
          </w:p>
          <w:p w14:paraId="02E21AEE">
            <w:pPr>
              <w:tabs>
                <w:tab w:val="left" w:pos="180"/>
                <w:tab w:val="left" w:pos="1620"/>
              </w:tabs>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验收标准应达到：单次清理行动结束后（即按照采购人提供的清理范围内非法养殖设施需清理完成后），在当日（次日）最低潮清理验收时，要求清理范围内无竖立的蚝柱；当日清理指定的蚝排，予以驱离（拆除）出清理海域，渔箔、废弃蚝堆等非法养殖设施予以拆除。</w:t>
            </w:r>
          </w:p>
          <w:p w14:paraId="4B7D5E39">
            <w:pPr>
              <w:tabs>
                <w:tab w:val="left" w:pos="180"/>
                <w:tab w:val="left" w:pos="1620"/>
              </w:tabs>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5.采购项目有其他要求的按其要求。</w:t>
            </w:r>
          </w:p>
        </w:tc>
      </w:tr>
      <w:tr w14:paraId="77218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7E16126B">
            <w:pPr>
              <w:wordWrap w:val="0"/>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执行标准、规范</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78135FDF">
            <w:pPr>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采购标的需执行的国家标准、行业标准、地方标准或者其他标准、规范。</w:t>
            </w:r>
          </w:p>
        </w:tc>
      </w:tr>
      <w:tr w14:paraId="21305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5FBA295E">
            <w:pPr>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包装和运输</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35AD4193">
            <w:pPr>
              <w:wordWrap w:val="0"/>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满足项目实施要求。</w:t>
            </w:r>
          </w:p>
        </w:tc>
      </w:tr>
      <w:tr w14:paraId="479B7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2EAD7F5D">
            <w:pPr>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保险</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2A1B7820">
            <w:pPr>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满足项目实施要求。</w:t>
            </w:r>
          </w:p>
        </w:tc>
      </w:tr>
      <w:tr w14:paraId="11EC1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6F77E5BE">
            <w:pPr>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（二）与实现项目目标相关的其他要求</w:t>
            </w:r>
          </w:p>
        </w:tc>
      </w:tr>
      <w:tr w14:paraId="66CF6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465E5682">
            <w:pPr>
              <w:wordWrap w:val="0"/>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1.供应商的履约能力要求</w:t>
            </w:r>
          </w:p>
        </w:tc>
      </w:tr>
      <w:tr w14:paraId="3348F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2FCADF35">
            <w:pPr>
              <w:wordWrap w:val="0"/>
              <w:spacing w:line="400" w:lineRule="exact"/>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业绩要求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29C1EDFB">
            <w:pPr>
              <w:wordWrap w:val="0"/>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2022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1</w:t>
            </w:r>
            <w:r>
              <w:rPr>
                <w:rFonts w:hint="eastAsia" w:asciiTheme="minorEastAsia" w:hAnsiTheme="minorEastAsia" w:eastAsiaTheme="minorEastAsia" w:cstheme="minorEastAsia"/>
                <w:color w:val="auto"/>
                <w:sz w:val="21"/>
                <w:szCs w:val="21"/>
                <w:highlight w:val="none"/>
              </w:rPr>
              <w:t>日以来至响应文件递交截止日期止，供应商提供同类项目业绩，符合第四章“评审标准”的可予以加分。</w:t>
            </w:r>
          </w:p>
        </w:tc>
      </w:tr>
      <w:tr w14:paraId="7F1ED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75" w:type="dxa"/>
            <w:gridSpan w:val="2"/>
            <w:tcBorders>
              <w:top w:val="single" w:color="auto" w:sz="4" w:space="0"/>
              <w:left w:val="single" w:color="auto" w:sz="4" w:space="0"/>
              <w:bottom w:val="single" w:color="auto" w:sz="4" w:space="0"/>
              <w:right w:val="single" w:color="auto" w:sz="4" w:space="0"/>
            </w:tcBorders>
            <w:vAlign w:val="center"/>
          </w:tcPr>
          <w:p w14:paraId="254D2DC0">
            <w:pPr>
              <w:wordWrap w:val="0"/>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履约能力要求</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76EF4765">
            <w:pPr>
              <w:wordWrap w:val="0"/>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符合第四章“评审标准”的可予以加分。</w:t>
            </w:r>
          </w:p>
        </w:tc>
      </w:tr>
      <w:tr w14:paraId="387D1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7BDABEC9">
            <w:pPr>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2.其他要求</w:t>
            </w:r>
          </w:p>
        </w:tc>
      </w:tr>
      <w:tr w14:paraId="778A5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14:paraId="53A36274">
            <w:pPr>
              <w:tabs>
                <w:tab w:val="left" w:pos="180"/>
                <w:tab w:val="left" w:pos="1620"/>
              </w:tabs>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1.供应商根据自身情况及第四章“评分内容”自行编制项目实施方案、作业质量和安全保障方案（如有）、应急方案（如有）、服务承诺、人员配置方案，及根据第四章“评分内容”提供相关</w:t>
            </w:r>
            <w:r>
              <w:rPr>
                <w:rFonts w:hint="eastAsia" w:asciiTheme="minorEastAsia" w:hAnsiTheme="minorEastAsia" w:eastAsiaTheme="minorEastAsia" w:cstheme="minorEastAsia"/>
                <w:bCs/>
                <w:color w:val="auto"/>
                <w:sz w:val="21"/>
                <w:szCs w:val="21"/>
                <w:highlight w:val="none"/>
              </w:rPr>
              <w:t>业绩等证明材料，否则不予加分</w:t>
            </w:r>
            <w:r>
              <w:rPr>
                <w:rFonts w:hint="eastAsia" w:asciiTheme="minorEastAsia" w:hAnsiTheme="minorEastAsia" w:eastAsiaTheme="minorEastAsia" w:cstheme="minorEastAsia"/>
                <w:color w:val="auto"/>
                <w:sz w:val="21"/>
                <w:szCs w:val="21"/>
                <w:highlight w:val="none"/>
              </w:rPr>
              <w:t>。</w:t>
            </w:r>
          </w:p>
          <w:p w14:paraId="732D8AC7">
            <w:pPr>
              <w:tabs>
                <w:tab w:val="left" w:pos="180"/>
                <w:tab w:val="left" w:pos="1620"/>
              </w:tabs>
              <w:wordWrap w:val="0"/>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▲2.供应商须确保响应文件中的人员信息真实、有效。成交供应商不得将项目非法分包或转包给任何单位和个人，否则采购人有权依法即刻终止合同，并要求成交供应商赔偿相应损失。</w:t>
            </w:r>
          </w:p>
          <w:p w14:paraId="2E5CFD1B">
            <w:pPr>
              <w:tabs>
                <w:tab w:val="left" w:pos="180"/>
                <w:tab w:val="left" w:pos="1620"/>
              </w:tabs>
              <w:wordWrap w:val="0"/>
              <w:spacing w:line="400" w:lineRule="exac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▲3.未经采购人允许，不得使用或者以其它方式给任何第三方提供本项目的相关信息或数据。</w:t>
            </w:r>
          </w:p>
        </w:tc>
      </w:tr>
    </w:tbl>
    <w:p w14:paraId="052640C5">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5C86E17B">
      <w:pPr>
        <w:widowControl/>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14:paraId="746D4F5D">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drawing>
          <wp:anchor distT="0" distB="0" distL="114300" distR="114300" simplePos="0" relativeHeight="251659264" behindDoc="0" locked="0" layoutInCell="1" allowOverlap="1">
            <wp:simplePos x="0" y="0"/>
            <wp:positionH relativeFrom="column">
              <wp:posOffset>188595</wp:posOffset>
            </wp:positionH>
            <wp:positionV relativeFrom="paragraph">
              <wp:posOffset>805180</wp:posOffset>
            </wp:positionV>
            <wp:extent cx="4756150" cy="2711450"/>
            <wp:effectExtent l="0" t="0" r="6350" b="12700"/>
            <wp:wrapTopAndBottom/>
            <wp:docPr id="1" name="图片 1" descr="6368ba33ef7f4114c92a3894f028f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368ba33ef7f4114c92a3894f028f1d"/>
                    <pic:cNvPicPr>
                      <a:picLocks noChangeAspect="1"/>
                    </pic:cNvPicPr>
                  </pic:nvPicPr>
                  <pic:blipFill>
                    <a:blip r:embed="rId11"/>
                    <a:srcRect l="5141" r="10417"/>
                    <a:stretch>
                      <a:fillRect/>
                    </a:stretch>
                  </pic:blipFill>
                  <pic:spPr>
                    <a:xfrm>
                      <a:off x="0" y="0"/>
                      <a:ext cx="4756150" cy="2711450"/>
                    </a:xfrm>
                    <a:prstGeom prst="rect">
                      <a:avLst/>
                    </a:prstGeom>
                  </pic:spPr>
                </pic:pic>
              </a:graphicData>
            </a:graphic>
          </wp:anchor>
        </w:drawing>
      </w:r>
      <w:r>
        <w:rPr>
          <w:rFonts w:hint="eastAsia" w:ascii="黑体" w:hAnsi="黑体" w:eastAsia="黑体" w:cs="黑体"/>
          <w:color w:val="auto"/>
          <w:sz w:val="32"/>
          <w:szCs w:val="32"/>
          <w:highlight w:val="none"/>
        </w:rPr>
        <w:br w:type="page"/>
      </w:r>
    </w:p>
    <w:p w14:paraId="63D41165">
      <w:pPr>
        <w:widowControl/>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14:paraId="1702FF11">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项目服务清单</w:t>
      </w:r>
    </w:p>
    <w:tbl>
      <w:tblPr>
        <w:tblStyle w:val="28"/>
        <w:tblW w:w="9238" w:type="dxa"/>
        <w:jc w:val="center"/>
        <w:tblLayout w:type="fixed"/>
        <w:tblCellMar>
          <w:top w:w="0" w:type="dxa"/>
          <w:left w:w="108" w:type="dxa"/>
          <w:bottom w:w="0" w:type="dxa"/>
          <w:right w:w="108" w:type="dxa"/>
        </w:tblCellMar>
      </w:tblPr>
      <w:tblGrid>
        <w:gridCol w:w="683"/>
        <w:gridCol w:w="1153"/>
        <w:gridCol w:w="1364"/>
        <w:gridCol w:w="900"/>
        <w:gridCol w:w="1364"/>
        <w:gridCol w:w="3774"/>
      </w:tblGrid>
      <w:tr w14:paraId="4EDBF807">
        <w:tblPrEx>
          <w:tblCellMar>
            <w:top w:w="0" w:type="dxa"/>
            <w:left w:w="108" w:type="dxa"/>
            <w:bottom w:w="0" w:type="dxa"/>
            <w:right w:w="108" w:type="dxa"/>
          </w:tblCellMar>
        </w:tblPrEx>
        <w:trPr>
          <w:trHeight w:val="23"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14:paraId="60BF64A8">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1153" w:type="dxa"/>
            <w:tcBorders>
              <w:top w:val="single" w:color="000000" w:sz="4" w:space="0"/>
              <w:left w:val="single" w:color="000000" w:sz="4" w:space="0"/>
              <w:bottom w:val="single" w:color="000000" w:sz="4" w:space="0"/>
              <w:right w:val="single" w:color="000000" w:sz="4" w:space="0"/>
            </w:tcBorders>
            <w:vAlign w:val="center"/>
          </w:tcPr>
          <w:p w14:paraId="6BD001CC">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服务名称</w:t>
            </w:r>
          </w:p>
        </w:tc>
        <w:tc>
          <w:tcPr>
            <w:tcW w:w="1364" w:type="dxa"/>
            <w:tcBorders>
              <w:top w:val="single" w:color="000000" w:sz="4" w:space="0"/>
              <w:left w:val="single" w:color="000000" w:sz="4" w:space="0"/>
              <w:bottom w:val="single" w:color="000000" w:sz="4" w:space="0"/>
              <w:right w:val="single" w:color="000000" w:sz="4" w:space="0"/>
            </w:tcBorders>
            <w:vAlign w:val="center"/>
          </w:tcPr>
          <w:p w14:paraId="5F9B2F5E">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数量</w:t>
            </w:r>
          </w:p>
        </w:tc>
        <w:tc>
          <w:tcPr>
            <w:tcW w:w="900" w:type="dxa"/>
            <w:tcBorders>
              <w:top w:val="single" w:color="000000" w:sz="4" w:space="0"/>
              <w:left w:val="single" w:color="000000" w:sz="4" w:space="0"/>
              <w:bottom w:val="single" w:color="000000" w:sz="4" w:space="0"/>
              <w:right w:val="single" w:color="000000" w:sz="4" w:space="0"/>
            </w:tcBorders>
            <w:vAlign w:val="center"/>
          </w:tcPr>
          <w:p w14:paraId="13657D8B">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单位</w:t>
            </w:r>
          </w:p>
        </w:tc>
        <w:tc>
          <w:tcPr>
            <w:tcW w:w="1364" w:type="dxa"/>
            <w:tcBorders>
              <w:top w:val="single" w:color="000000" w:sz="4" w:space="0"/>
              <w:left w:val="single" w:color="000000" w:sz="4" w:space="0"/>
              <w:bottom w:val="single" w:color="000000" w:sz="4" w:space="0"/>
              <w:right w:val="single" w:color="000000" w:sz="4" w:space="0"/>
            </w:tcBorders>
            <w:vAlign w:val="center"/>
          </w:tcPr>
          <w:p w14:paraId="47C0DC1B">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单价最高限价（元）</w:t>
            </w:r>
          </w:p>
        </w:tc>
        <w:tc>
          <w:tcPr>
            <w:tcW w:w="3774" w:type="dxa"/>
            <w:tcBorders>
              <w:top w:val="single" w:color="000000" w:sz="4" w:space="0"/>
              <w:left w:val="single" w:color="000000" w:sz="4" w:space="0"/>
              <w:bottom w:val="single" w:color="000000" w:sz="4" w:space="0"/>
              <w:right w:val="single" w:color="000000" w:sz="4" w:space="0"/>
            </w:tcBorders>
            <w:vAlign w:val="center"/>
          </w:tcPr>
          <w:p w14:paraId="239D6A2D">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具体技术要求</w:t>
            </w:r>
          </w:p>
        </w:tc>
      </w:tr>
      <w:tr w14:paraId="55A01A5B">
        <w:tblPrEx>
          <w:tblCellMar>
            <w:top w:w="0" w:type="dxa"/>
            <w:left w:w="108" w:type="dxa"/>
            <w:bottom w:w="0" w:type="dxa"/>
            <w:right w:w="108" w:type="dxa"/>
          </w:tblCellMar>
        </w:tblPrEx>
        <w:trPr>
          <w:trHeight w:val="23"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14:paraId="0ADB83ED">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153" w:type="dxa"/>
            <w:tcBorders>
              <w:top w:val="single" w:color="000000" w:sz="4" w:space="0"/>
              <w:left w:val="single" w:color="000000" w:sz="4" w:space="0"/>
              <w:bottom w:val="single" w:color="000000" w:sz="4" w:space="0"/>
              <w:right w:val="single" w:color="000000" w:sz="4" w:space="0"/>
            </w:tcBorders>
            <w:vAlign w:val="center"/>
          </w:tcPr>
          <w:p w14:paraId="5A518F89">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水泥蚝桩拆除</w:t>
            </w:r>
          </w:p>
        </w:tc>
        <w:tc>
          <w:tcPr>
            <w:tcW w:w="1364" w:type="dxa"/>
            <w:tcBorders>
              <w:top w:val="single" w:color="000000" w:sz="4" w:space="0"/>
              <w:left w:val="single" w:color="000000" w:sz="4" w:space="0"/>
              <w:bottom w:val="single" w:color="000000" w:sz="4" w:space="0"/>
              <w:right w:val="single" w:color="000000" w:sz="4" w:space="0"/>
            </w:tcBorders>
            <w:vAlign w:val="center"/>
          </w:tcPr>
          <w:p w14:paraId="5BDB810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2809947.00</w:t>
            </w:r>
          </w:p>
        </w:tc>
        <w:tc>
          <w:tcPr>
            <w:tcW w:w="900" w:type="dxa"/>
            <w:tcBorders>
              <w:top w:val="single" w:color="000000" w:sz="4" w:space="0"/>
              <w:left w:val="single" w:color="000000" w:sz="4" w:space="0"/>
              <w:bottom w:val="single" w:color="000000" w:sz="4" w:space="0"/>
              <w:right w:val="single" w:color="000000" w:sz="4" w:space="0"/>
            </w:tcBorders>
            <w:vAlign w:val="center"/>
          </w:tcPr>
          <w:p w14:paraId="6FD42A1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根</w:t>
            </w:r>
          </w:p>
        </w:tc>
        <w:tc>
          <w:tcPr>
            <w:tcW w:w="1364" w:type="dxa"/>
            <w:tcBorders>
              <w:top w:val="single" w:color="000000" w:sz="4" w:space="0"/>
              <w:left w:val="single" w:color="000000" w:sz="4" w:space="0"/>
              <w:bottom w:val="single" w:color="000000" w:sz="4" w:space="0"/>
              <w:right w:val="single" w:color="000000" w:sz="4" w:space="0"/>
            </w:tcBorders>
            <w:vAlign w:val="center"/>
          </w:tcPr>
          <w:p w14:paraId="0D1F96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0.93</w:t>
            </w:r>
          </w:p>
        </w:tc>
        <w:tc>
          <w:tcPr>
            <w:tcW w:w="3774" w:type="dxa"/>
            <w:tcBorders>
              <w:top w:val="single" w:color="000000" w:sz="4" w:space="0"/>
              <w:left w:val="single" w:color="000000" w:sz="4" w:space="0"/>
              <w:bottom w:val="single" w:color="000000" w:sz="4" w:space="0"/>
              <w:right w:val="single" w:color="000000" w:sz="4" w:space="0"/>
            </w:tcBorders>
            <w:vAlign w:val="center"/>
          </w:tcPr>
          <w:p w14:paraId="5FD52A44">
            <w:pPr>
              <w:widowControl/>
              <w:wordWrap w:val="0"/>
              <w:spacing w:line="36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1.拆除方式：可采用水上挖掘机等方式拆除。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2.拆除构件的规格尺寸：水泥蚝桩的粗细</w:t>
            </w:r>
            <w:r>
              <w:rPr>
                <w:rFonts w:hint="eastAsia" w:ascii="宋体" w:hAnsi="宋体" w:cs="宋体"/>
                <w:color w:val="auto"/>
                <w:kern w:val="0"/>
                <w:szCs w:val="21"/>
                <w:highlight w:val="none"/>
                <w:lang w:val="en-US" w:eastAsia="zh-CN"/>
              </w:rPr>
              <w:t>约</w:t>
            </w:r>
            <w:r>
              <w:rPr>
                <w:rFonts w:hint="eastAsia" w:ascii="宋体" w:hAnsi="宋体" w:cs="宋体"/>
                <w:color w:val="auto"/>
                <w:kern w:val="0"/>
                <w:szCs w:val="21"/>
                <w:highlight w:val="none"/>
              </w:rPr>
              <w:t>8-10cm，高度</w:t>
            </w:r>
            <w:r>
              <w:rPr>
                <w:rFonts w:hint="eastAsia" w:ascii="宋体" w:hAnsi="宋体" w:cs="宋体"/>
                <w:color w:val="auto"/>
                <w:kern w:val="0"/>
                <w:szCs w:val="21"/>
                <w:highlight w:val="none"/>
                <w:lang w:eastAsia="zh-CN"/>
              </w:rPr>
              <w:t>约</w:t>
            </w:r>
            <w:r>
              <w:rPr>
                <w:rFonts w:hint="eastAsia" w:ascii="宋体" w:hAnsi="宋体" w:cs="宋体"/>
                <w:color w:val="auto"/>
                <w:kern w:val="0"/>
                <w:szCs w:val="21"/>
                <w:highlight w:val="none"/>
              </w:rPr>
              <w:t>50cm</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具体尺寸根据实施现场确定。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3.服务内容含拔除、拆除、破碎、废渣清理成堆、人工装卸、运输、上船等。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4.水上运输运距：拆除点至最近码头，</w:t>
            </w:r>
            <w:r>
              <w:rPr>
                <w:rFonts w:hint="eastAsia" w:ascii="宋体" w:hAnsi="宋体" w:cs="宋体"/>
                <w:color w:val="auto"/>
                <w:kern w:val="0"/>
                <w:szCs w:val="21"/>
                <w:highlight w:val="none"/>
                <w:lang w:val="en-US" w:eastAsia="zh-CN"/>
              </w:rPr>
              <w:t>距离约15公里，实际距离由实施现场确定；</w:t>
            </w:r>
            <w:r>
              <w:rPr>
                <w:rFonts w:hint="eastAsia" w:ascii="宋体" w:hAnsi="宋体" w:cs="宋体"/>
                <w:color w:val="auto"/>
                <w:kern w:val="0"/>
                <w:szCs w:val="21"/>
                <w:highlight w:val="none"/>
              </w:rPr>
              <w:t>服务内容含人工装卸、运输、卸至岸边码头、空回等。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5.陆地运输运距：运距</w:t>
            </w:r>
            <w:r>
              <w:rPr>
                <w:rFonts w:hint="eastAsia" w:ascii="宋体" w:hAnsi="宋体" w:cs="宋体"/>
                <w:color w:val="auto"/>
                <w:kern w:val="0"/>
                <w:szCs w:val="21"/>
                <w:highlight w:val="none"/>
                <w:lang w:val="en-US" w:eastAsia="zh-CN"/>
              </w:rPr>
              <w:t>约20公里，实际距离由实施现场确定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弃置至保护区范围以外的弃置点（弃置费已包含在磋商报价中，采购人不再另行支付），要求不得对环境造成污染。</w:t>
            </w:r>
          </w:p>
        </w:tc>
      </w:tr>
      <w:tr w14:paraId="29759475">
        <w:tblPrEx>
          <w:tblCellMar>
            <w:top w:w="0" w:type="dxa"/>
            <w:left w:w="108" w:type="dxa"/>
            <w:bottom w:w="0" w:type="dxa"/>
            <w:right w:w="108" w:type="dxa"/>
          </w:tblCellMar>
        </w:tblPrEx>
        <w:trPr>
          <w:trHeight w:val="23"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14:paraId="041959D3">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153" w:type="dxa"/>
            <w:tcBorders>
              <w:top w:val="single" w:color="000000" w:sz="4" w:space="0"/>
              <w:left w:val="single" w:color="000000" w:sz="4" w:space="0"/>
              <w:bottom w:val="single" w:color="000000" w:sz="4" w:space="0"/>
              <w:right w:val="single" w:color="000000" w:sz="4" w:space="0"/>
            </w:tcBorders>
            <w:vAlign w:val="center"/>
          </w:tcPr>
          <w:p w14:paraId="4F16B7C5">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废弃蚝堆拆除</w:t>
            </w:r>
          </w:p>
        </w:tc>
        <w:tc>
          <w:tcPr>
            <w:tcW w:w="1364" w:type="dxa"/>
            <w:tcBorders>
              <w:top w:val="single" w:color="000000" w:sz="4" w:space="0"/>
              <w:left w:val="single" w:color="000000" w:sz="4" w:space="0"/>
              <w:bottom w:val="single" w:color="000000" w:sz="4" w:space="0"/>
              <w:right w:val="single" w:color="000000" w:sz="4" w:space="0"/>
            </w:tcBorders>
            <w:vAlign w:val="center"/>
          </w:tcPr>
          <w:p w14:paraId="4BA4F8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5.73</w:t>
            </w:r>
          </w:p>
        </w:tc>
        <w:tc>
          <w:tcPr>
            <w:tcW w:w="900" w:type="dxa"/>
            <w:tcBorders>
              <w:top w:val="single" w:color="000000" w:sz="4" w:space="0"/>
              <w:left w:val="single" w:color="000000" w:sz="4" w:space="0"/>
              <w:bottom w:val="single" w:color="000000" w:sz="4" w:space="0"/>
              <w:right w:val="single" w:color="000000" w:sz="4" w:space="0"/>
            </w:tcBorders>
            <w:vAlign w:val="center"/>
          </w:tcPr>
          <w:p w14:paraId="1BF63D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亩</w:t>
            </w:r>
          </w:p>
        </w:tc>
        <w:tc>
          <w:tcPr>
            <w:tcW w:w="1364" w:type="dxa"/>
            <w:tcBorders>
              <w:top w:val="single" w:color="000000" w:sz="4" w:space="0"/>
              <w:left w:val="single" w:color="000000" w:sz="4" w:space="0"/>
              <w:bottom w:val="single" w:color="000000" w:sz="4" w:space="0"/>
              <w:right w:val="single" w:color="000000" w:sz="4" w:space="0"/>
            </w:tcBorders>
            <w:vAlign w:val="center"/>
          </w:tcPr>
          <w:p w14:paraId="319A49B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19136.60</w:t>
            </w:r>
          </w:p>
        </w:tc>
        <w:tc>
          <w:tcPr>
            <w:tcW w:w="3774" w:type="dxa"/>
            <w:tcBorders>
              <w:top w:val="single" w:color="000000" w:sz="4" w:space="0"/>
              <w:left w:val="single" w:color="000000" w:sz="4" w:space="0"/>
              <w:bottom w:val="single" w:color="000000" w:sz="4" w:space="0"/>
              <w:right w:val="single" w:color="000000" w:sz="4" w:space="0"/>
            </w:tcBorders>
            <w:vAlign w:val="center"/>
          </w:tcPr>
          <w:p w14:paraId="0A9CB0D4">
            <w:pPr>
              <w:widowControl/>
              <w:wordWrap w:val="0"/>
              <w:spacing w:line="36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1.拆除方式：可采用水上挖掘机等方式拆除。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2.拆除构件的规格尺寸：蚝堆的高度</w:t>
            </w:r>
            <w:r>
              <w:rPr>
                <w:rFonts w:hint="eastAsia" w:ascii="宋体" w:hAnsi="宋体" w:cs="宋体"/>
                <w:color w:val="auto"/>
                <w:kern w:val="0"/>
                <w:szCs w:val="21"/>
                <w:highlight w:val="none"/>
                <w:lang w:val="en-US" w:eastAsia="zh-CN"/>
              </w:rPr>
              <w:t>约</w:t>
            </w:r>
            <w:r>
              <w:rPr>
                <w:rFonts w:hint="eastAsia" w:ascii="宋体" w:hAnsi="宋体" w:cs="宋体"/>
                <w:color w:val="auto"/>
                <w:kern w:val="0"/>
                <w:szCs w:val="21"/>
                <w:highlight w:val="none"/>
              </w:rPr>
              <w:t>1.5米</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具体尺寸根据实施现场确定。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3.服务内容含拔除、拆除、破碎、废渣清理成堆、人工装卸、运输、上船等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4.水上运输运距：拆除点至最近码头，</w:t>
            </w:r>
            <w:r>
              <w:rPr>
                <w:rFonts w:hint="eastAsia" w:ascii="宋体" w:hAnsi="宋体" w:cs="宋体"/>
                <w:color w:val="auto"/>
                <w:kern w:val="0"/>
                <w:szCs w:val="21"/>
                <w:highlight w:val="none"/>
                <w:lang w:val="en-US" w:eastAsia="zh-CN"/>
              </w:rPr>
              <w:t>距离约15公里，实际距离由实施现场确定；</w:t>
            </w:r>
            <w:r>
              <w:rPr>
                <w:rFonts w:hint="eastAsia" w:ascii="宋体" w:hAnsi="宋体" w:cs="宋体"/>
                <w:color w:val="auto"/>
                <w:kern w:val="0"/>
                <w:szCs w:val="21"/>
                <w:highlight w:val="none"/>
              </w:rPr>
              <w:t>含人工装卸、运输、卸至岸边码头、空回等。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5.陆地运输运距：运距</w:t>
            </w:r>
            <w:r>
              <w:rPr>
                <w:rFonts w:hint="eastAsia" w:ascii="宋体" w:hAnsi="宋体" w:cs="宋体"/>
                <w:color w:val="auto"/>
                <w:kern w:val="0"/>
                <w:szCs w:val="21"/>
                <w:highlight w:val="none"/>
                <w:lang w:val="en-US" w:eastAsia="zh-CN"/>
              </w:rPr>
              <w:t>约20公里，实际距离由实施现场确定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弃置至保护区范围以外的弃置点（弃置费已包含在磋商报价中，采购人不再另行支付），要求不得对环境造成污染</w:t>
            </w:r>
          </w:p>
        </w:tc>
      </w:tr>
      <w:tr w14:paraId="02E45C52">
        <w:tblPrEx>
          <w:tblCellMar>
            <w:top w:w="0" w:type="dxa"/>
            <w:left w:w="108" w:type="dxa"/>
            <w:bottom w:w="0" w:type="dxa"/>
            <w:right w:w="108" w:type="dxa"/>
          </w:tblCellMar>
        </w:tblPrEx>
        <w:trPr>
          <w:trHeight w:val="23"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14:paraId="1F669AD9">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153" w:type="dxa"/>
            <w:tcBorders>
              <w:top w:val="single" w:color="000000" w:sz="4" w:space="0"/>
              <w:left w:val="single" w:color="000000" w:sz="4" w:space="0"/>
              <w:bottom w:val="single" w:color="000000" w:sz="4" w:space="0"/>
              <w:right w:val="single" w:color="000000" w:sz="4" w:space="0"/>
            </w:tcBorders>
            <w:vAlign w:val="center"/>
          </w:tcPr>
          <w:p w14:paraId="663787EA">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渔箔拆除</w:t>
            </w:r>
          </w:p>
        </w:tc>
        <w:tc>
          <w:tcPr>
            <w:tcW w:w="1364" w:type="dxa"/>
            <w:tcBorders>
              <w:top w:val="single" w:color="000000" w:sz="4" w:space="0"/>
              <w:left w:val="single" w:color="000000" w:sz="4" w:space="0"/>
              <w:bottom w:val="single" w:color="000000" w:sz="4" w:space="0"/>
              <w:right w:val="single" w:color="000000" w:sz="4" w:space="0"/>
            </w:tcBorders>
            <w:vAlign w:val="center"/>
          </w:tcPr>
          <w:p w14:paraId="1C5131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14490.00</w:t>
            </w:r>
          </w:p>
        </w:tc>
        <w:tc>
          <w:tcPr>
            <w:tcW w:w="900" w:type="dxa"/>
            <w:tcBorders>
              <w:top w:val="single" w:color="000000" w:sz="4" w:space="0"/>
              <w:left w:val="single" w:color="000000" w:sz="4" w:space="0"/>
              <w:bottom w:val="single" w:color="000000" w:sz="4" w:space="0"/>
              <w:right w:val="single" w:color="000000" w:sz="4" w:space="0"/>
            </w:tcBorders>
            <w:vAlign w:val="center"/>
          </w:tcPr>
          <w:p w14:paraId="470CD8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米</w:t>
            </w:r>
          </w:p>
        </w:tc>
        <w:tc>
          <w:tcPr>
            <w:tcW w:w="1364" w:type="dxa"/>
            <w:tcBorders>
              <w:top w:val="single" w:color="000000" w:sz="4" w:space="0"/>
              <w:left w:val="single" w:color="000000" w:sz="4" w:space="0"/>
              <w:bottom w:val="single" w:color="000000" w:sz="4" w:space="0"/>
              <w:right w:val="single" w:color="000000" w:sz="4" w:space="0"/>
            </w:tcBorders>
            <w:vAlign w:val="center"/>
          </w:tcPr>
          <w:p w14:paraId="36563E6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4.00</w:t>
            </w:r>
          </w:p>
        </w:tc>
        <w:tc>
          <w:tcPr>
            <w:tcW w:w="3774" w:type="dxa"/>
            <w:tcBorders>
              <w:top w:val="single" w:color="000000" w:sz="4" w:space="0"/>
              <w:left w:val="single" w:color="000000" w:sz="4" w:space="0"/>
              <w:bottom w:val="single" w:color="000000" w:sz="4" w:space="0"/>
              <w:right w:val="single" w:color="000000" w:sz="4" w:space="0"/>
            </w:tcBorders>
            <w:vAlign w:val="center"/>
          </w:tcPr>
          <w:p w14:paraId="0E4B5C95">
            <w:pPr>
              <w:widowControl/>
              <w:wordWrap w:val="0"/>
              <w:spacing w:line="36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1.拆除方式：可采用水上挖掘机等方式拆除。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2.拆除构件的规格尺寸：木桩，粗细</w:t>
            </w:r>
            <w:r>
              <w:rPr>
                <w:rFonts w:hint="eastAsia" w:ascii="宋体" w:hAnsi="宋体" w:cs="宋体"/>
                <w:color w:val="auto"/>
                <w:kern w:val="0"/>
                <w:szCs w:val="21"/>
                <w:highlight w:val="none"/>
                <w:lang w:val="en-US" w:eastAsia="zh-CN"/>
              </w:rPr>
              <w:t>约</w:t>
            </w:r>
            <w:r>
              <w:rPr>
                <w:rFonts w:hint="eastAsia" w:ascii="宋体" w:hAnsi="宋体" w:cs="宋体"/>
                <w:color w:val="auto"/>
                <w:kern w:val="0"/>
                <w:szCs w:val="21"/>
                <w:highlight w:val="none"/>
              </w:rPr>
              <w:t>6cm</w:t>
            </w:r>
            <w:r>
              <w:rPr>
                <w:rFonts w:hint="eastAsia" w:ascii="宋体" w:hAnsi="宋体" w:cs="宋体"/>
                <w:color w:val="auto"/>
                <w:kern w:val="0"/>
                <w:szCs w:val="21"/>
                <w:highlight w:val="none"/>
                <w:lang w:eastAsia="zh-CN"/>
              </w:rPr>
              <w:t>，高度</w:t>
            </w:r>
            <w:r>
              <w:rPr>
                <w:rFonts w:hint="eastAsia" w:ascii="宋体" w:hAnsi="宋体" w:cs="宋体"/>
                <w:color w:val="auto"/>
                <w:kern w:val="0"/>
                <w:szCs w:val="21"/>
                <w:highlight w:val="none"/>
                <w:lang w:val="en-US" w:eastAsia="zh-CN"/>
              </w:rPr>
              <w:t>约</w:t>
            </w:r>
            <w:r>
              <w:rPr>
                <w:rFonts w:hint="eastAsia" w:ascii="宋体" w:hAnsi="宋体" w:cs="宋体"/>
                <w:color w:val="auto"/>
                <w:kern w:val="0"/>
                <w:szCs w:val="21"/>
                <w:highlight w:val="none"/>
                <w:lang w:eastAsia="zh-CN"/>
              </w:rPr>
              <w:t>5米，具体尺寸根据实施现场确定。</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3.服务内容含拔除、拆除、破碎、废渣清理成堆、人工装卸、运输、上船等。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4.水上运输运距：拆除点至最近码头，</w:t>
            </w:r>
            <w:r>
              <w:rPr>
                <w:rFonts w:hint="eastAsia" w:ascii="宋体" w:hAnsi="宋体" w:cs="宋体"/>
                <w:color w:val="auto"/>
                <w:kern w:val="0"/>
                <w:szCs w:val="21"/>
                <w:highlight w:val="none"/>
                <w:lang w:val="en-US" w:eastAsia="zh-CN"/>
              </w:rPr>
              <w:t>距离约15公里，实际距离由实施现场确定；</w:t>
            </w:r>
            <w:r>
              <w:rPr>
                <w:rFonts w:hint="eastAsia" w:ascii="宋体" w:hAnsi="宋体" w:cs="宋体"/>
                <w:color w:val="auto"/>
                <w:kern w:val="0"/>
                <w:szCs w:val="21"/>
                <w:highlight w:val="none"/>
              </w:rPr>
              <w:t>含人工装卸、运输、卸至岸边码头、空回等。</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5.陆地运输运距：运距</w:t>
            </w:r>
            <w:r>
              <w:rPr>
                <w:rFonts w:hint="eastAsia" w:ascii="宋体" w:hAnsi="宋体" w:cs="宋体"/>
                <w:color w:val="auto"/>
                <w:kern w:val="0"/>
                <w:szCs w:val="21"/>
                <w:highlight w:val="none"/>
                <w:lang w:val="en-US" w:eastAsia="zh-CN"/>
              </w:rPr>
              <w:t>约20公里，实际距离由实施现场确定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弃置至保护区范围以外的弃置点（弃置费已包含在磋商报价中，采购人不再另行支付），要求不得对环境造成污染。</w:t>
            </w:r>
          </w:p>
        </w:tc>
      </w:tr>
      <w:tr w14:paraId="71D03A3C">
        <w:tblPrEx>
          <w:tblCellMar>
            <w:top w:w="0" w:type="dxa"/>
            <w:left w:w="108" w:type="dxa"/>
            <w:bottom w:w="0" w:type="dxa"/>
            <w:right w:w="108" w:type="dxa"/>
          </w:tblCellMar>
        </w:tblPrEx>
        <w:trPr>
          <w:trHeight w:val="23" w:hRule="atLeast"/>
          <w:jc w:val="center"/>
        </w:trPr>
        <w:tc>
          <w:tcPr>
            <w:tcW w:w="683" w:type="dxa"/>
            <w:tcBorders>
              <w:top w:val="single" w:color="000000" w:sz="4" w:space="0"/>
              <w:left w:val="single" w:color="000000" w:sz="4" w:space="0"/>
              <w:bottom w:val="single" w:color="000000" w:sz="4" w:space="0"/>
              <w:right w:val="single" w:color="000000" w:sz="4" w:space="0"/>
            </w:tcBorders>
            <w:vAlign w:val="center"/>
          </w:tcPr>
          <w:p w14:paraId="03795469">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1153" w:type="dxa"/>
            <w:tcBorders>
              <w:top w:val="single" w:color="000000" w:sz="4" w:space="0"/>
              <w:left w:val="single" w:color="000000" w:sz="4" w:space="0"/>
              <w:bottom w:val="single" w:color="000000" w:sz="4" w:space="0"/>
              <w:right w:val="single" w:color="000000" w:sz="4" w:space="0"/>
            </w:tcBorders>
            <w:vAlign w:val="center"/>
          </w:tcPr>
          <w:p w14:paraId="7B99CE17">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后期验收服务</w:t>
            </w:r>
          </w:p>
        </w:tc>
        <w:tc>
          <w:tcPr>
            <w:tcW w:w="1364" w:type="dxa"/>
            <w:tcBorders>
              <w:top w:val="single" w:color="000000" w:sz="4" w:space="0"/>
              <w:left w:val="single" w:color="000000" w:sz="4" w:space="0"/>
              <w:bottom w:val="single" w:color="000000" w:sz="4" w:space="0"/>
              <w:right w:val="single" w:color="000000" w:sz="4" w:space="0"/>
            </w:tcBorders>
            <w:vAlign w:val="center"/>
          </w:tcPr>
          <w:p w14:paraId="430DF2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900" w:type="dxa"/>
            <w:tcBorders>
              <w:top w:val="single" w:color="000000" w:sz="4" w:space="0"/>
              <w:left w:val="single" w:color="000000" w:sz="4" w:space="0"/>
              <w:bottom w:val="single" w:color="000000" w:sz="4" w:space="0"/>
              <w:right w:val="single" w:color="000000" w:sz="4" w:space="0"/>
            </w:tcBorders>
            <w:vAlign w:val="center"/>
          </w:tcPr>
          <w:p w14:paraId="68F81B7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w:t>
            </w:r>
          </w:p>
        </w:tc>
        <w:tc>
          <w:tcPr>
            <w:tcW w:w="1364" w:type="dxa"/>
            <w:tcBorders>
              <w:top w:val="single" w:color="000000" w:sz="4" w:space="0"/>
              <w:left w:val="single" w:color="000000" w:sz="4" w:space="0"/>
              <w:bottom w:val="single" w:color="000000" w:sz="4" w:space="0"/>
              <w:right w:val="single" w:color="000000" w:sz="4" w:space="0"/>
            </w:tcBorders>
            <w:vAlign w:val="center"/>
          </w:tcPr>
          <w:p w14:paraId="7591F79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85000.00</w:t>
            </w:r>
          </w:p>
        </w:tc>
        <w:tc>
          <w:tcPr>
            <w:tcW w:w="3774" w:type="dxa"/>
            <w:tcBorders>
              <w:top w:val="single" w:color="000000" w:sz="4" w:space="0"/>
              <w:left w:val="single" w:color="000000" w:sz="4" w:space="0"/>
              <w:bottom w:val="single" w:color="000000" w:sz="4" w:space="0"/>
              <w:right w:val="single" w:color="000000" w:sz="4" w:space="0"/>
            </w:tcBorders>
            <w:vAlign w:val="center"/>
          </w:tcPr>
          <w:p w14:paraId="059A23A6">
            <w:pPr>
              <w:widowControl/>
              <w:wordWrap w:val="0"/>
              <w:spacing w:line="36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供应商须配合采购人完成项目验收工作，验收过程中产生的一切费用均由供应商承担，包括但不限于验收过程中可能使用到的无人机等相关设备费、检验检测费用等。</w:t>
            </w:r>
          </w:p>
        </w:tc>
      </w:tr>
    </w:tbl>
    <w:p w14:paraId="032E68A6">
      <w:pPr>
        <w:pStyle w:val="5"/>
        <w:jc w:val="center"/>
        <w:rPr>
          <w:color w:val="auto"/>
          <w:highlight w:val="none"/>
        </w:rPr>
      </w:pPr>
      <w:r>
        <w:rPr>
          <w:rFonts w:hint="eastAsia" w:ascii="黑体" w:hAnsi="黑体" w:eastAsia="黑体" w:cs="黑体"/>
          <w:color w:val="auto"/>
          <w:sz w:val="32"/>
          <w:szCs w:val="32"/>
          <w:highlight w:val="none"/>
        </w:rPr>
        <w:br w:type="page"/>
      </w:r>
      <w:bookmarkStart w:id="76" w:name="_Toc4095"/>
      <w:r>
        <w:rPr>
          <w:rFonts w:hint="eastAsia"/>
          <w:color w:val="auto"/>
          <w:highlight w:val="none"/>
        </w:rPr>
        <w:t>第四章  评审程序、评审方法和评审标准</w:t>
      </w:r>
      <w:bookmarkEnd w:id="76"/>
    </w:p>
    <w:p w14:paraId="0EC825F2">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4A9CB16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11A037B9">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4291033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096E06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w:t>
      </w:r>
    </w:p>
    <w:p w14:paraId="797336C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CCD99E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607CC3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06AE5F7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55551B39">
      <w:pPr>
        <w:spacing w:line="360" w:lineRule="auto"/>
        <w:ind w:firstLine="422" w:firstLineChars="200"/>
        <w:rPr>
          <w:rFonts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.3供应商有下列情形之一的，资格审查不通过，其响应文件按无效响应处理：</w:t>
      </w:r>
    </w:p>
    <w:p w14:paraId="1BED81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60326A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039E1A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37FAF4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180699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0E5CEEB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5AD2B29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65EC942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2.1由磋商小组对通过资格审查的合格供应商的响应文件的竞标报价、商务、技术等实质性要求进行符合性审查，以确定其是否满足磋商文件的实质性要求。</w:t>
      </w:r>
    </w:p>
    <w:p w14:paraId="3A0F496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A78A7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3C2D414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12047EB1">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2.4首次响应文件报价出现前后不一致的，按照下列规定修正： </w:t>
      </w:r>
    </w:p>
    <w:p w14:paraId="5F09CD9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（1）响应文件中报价表内容与响应文件中相应内容不一致的，以报价表为准；</w:t>
      </w:r>
    </w:p>
    <w:p w14:paraId="7CD26E5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（2）大写金额和小写金额不一致的，以大写金额为准；</w:t>
      </w:r>
    </w:p>
    <w:p w14:paraId="2CED9B8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（3）单价金额小数点或者百分比有明显错位的，以报价表的总价为准，并修改单价；</w:t>
      </w:r>
    </w:p>
    <w:p w14:paraId="7894C2A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（4）总价金额与按单价汇总金额不一致的，以单价金额计算结果为准。</w:t>
      </w:r>
    </w:p>
    <w:p w14:paraId="12CCFE2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同时出现两种以上不一致的，按照以上（1）-（4）规定的顺序逐条进行修正。修正后的报价经供应商确认后产生约束力，供应商不确认的，其响应文件按无效响应处理。</w:t>
      </w:r>
    </w:p>
    <w:p w14:paraId="27AEC82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2.5商务技术报价评审</w:t>
      </w:r>
    </w:p>
    <w:p w14:paraId="260E12C2">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在评审时，如发现下列情形之一的，将被视为响应文件无效处理：</w:t>
      </w:r>
    </w:p>
    <w:p w14:paraId="22CF0A2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（1）商务技术评审</w:t>
      </w:r>
    </w:p>
    <w:p w14:paraId="006F638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1）响应文件未按磋商文件要求签署、盖章；</w:t>
      </w:r>
    </w:p>
    <w:p w14:paraId="5DDA218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2）委托代理人未能出具有效身份证或者出具的身份证与授权委托书中的信息不符的； </w:t>
      </w:r>
    </w:p>
    <w:p w14:paraId="65835EE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3）提交的磋商保证金无效的或者未按照磋商文件的规定提交磋商保证金；</w:t>
      </w:r>
    </w:p>
    <w:p w14:paraId="149201A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CA6EC2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5）商务、技术要求允许负偏离的条款数超过“供应商须知前附表”规定项数的；</w:t>
      </w:r>
    </w:p>
    <w:p w14:paraId="3674571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6）未对竞标有效期作出响应或者响应文件承诺的竞标有效期不满足磋商文件要求；</w:t>
      </w:r>
    </w:p>
    <w:p w14:paraId="54DED13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7）响应文件的实质性内容未使用中文表述、使用计量单位不符合磋商文件要求；</w:t>
      </w:r>
    </w:p>
    <w:p w14:paraId="38F70E1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8）响应文件中的文件资料因填写不齐全或者内容虚假或者出现其他情形而导致被磋商小组认定无效；</w:t>
      </w:r>
    </w:p>
    <w:p w14:paraId="1397EDA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9）响应文件含有采购人不能接受的附加条件；</w:t>
      </w:r>
    </w:p>
    <w:p w14:paraId="1AF73AB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10）属于“供应商须知正文”第7.5条情形；</w:t>
      </w:r>
    </w:p>
    <w:p w14:paraId="44FAA6A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11）虚假竞标，或者出现其他情形而导致被磋商小组认定无效；</w:t>
      </w:r>
    </w:p>
    <w:p w14:paraId="1129095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12）磋商文件未载明允许提供备选（替代）竞标方案或明确不允许提供备选（替代）竞标方案时，供应商提供了备选（替代）竞标方案的；</w:t>
      </w:r>
    </w:p>
    <w:p w14:paraId="211D56A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13）响应文件标注的项目名称或者项目编号与磋商文件标注的项目名称或者项目编号不一致的；</w:t>
      </w:r>
    </w:p>
    <w:p w14:paraId="7D0ED4D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14）竞争性磋商文件明确不允许分包，响应文件拟分包的；</w:t>
      </w:r>
    </w:p>
    <w:p w14:paraId="68DD68D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15）未响应磋商文件实质性要求；</w:t>
      </w:r>
    </w:p>
    <w:p w14:paraId="070B929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16）法律、法规和磋商文件规定的其他无效情形。</w:t>
      </w:r>
    </w:p>
    <w:p w14:paraId="7F11F71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（2）报价评审</w:t>
      </w:r>
    </w:p>
    <w:p w14:paraId="0EF67D7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 响应文件未提供“供应商须知前附表” 报价文件中规定的“竞标报价表”；</w:t>
      </w:r>
    </w:p>
    <w:p w14:paraId="6AD17B3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2）未采用人民币报价或者未按照磋商文件标明的币种报价；</w:t>
      </w:r>
    </w:p>
    <w:p w14:paraId="12E2DAD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89C312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4）竞标报价（包含首次报价、最后报价）超过所竞标分标规定的采购预算金额的；</w:t>
      </w:r>
    </w:p>
    <w:p w14:paraId="3706C3A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5）修正后的报价，供应商不确认的；或者经供应商确认修正后的竞标报价（包含首次报价、最后报价）超过所竞标分标规定的采购预算金额的；</w:t>
      </w:r>
    </w:p>
    <w:p w14:paraId="78F22B0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6）响应文件响应的标的数量及单位与竞争性磋商采购文件要求实质性不一致的。</w:t>
      </w:r>
    </w:p>
    <w:p w14:paraId="747339D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3B8C30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2.7通过符合性审查的合格供应商不足3家的，不得进入磋商环节，采购人或者采购代理机构应当重新开展采购活动。</w:t>
      </w:r>
    </w:p>
    <w:p w14:paraId="2818607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78063E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磋商小组集中与单一供应商分别进行磋商，并给予所有参加磋商的供应商平等的磋商机会。符合磋商资格的供应商必须在接到磋商通知后在规定时间内在广西政府采购云平台上参加磋商，未在规定时间内参加磋商的视同放弃参加磋商权利，其响应文件按无效响应处理。</w:t>
      </w:r>
    </w:p>
    <w:p w14:paraId="0B7380C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212242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67259CB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733DCAC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1D368695">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33ABDA22">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2B45D7C">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46430B6E">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34AFAD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04DE32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6829692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6E400A1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182E3FE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397FC99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4151DE1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7EF7F9A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4C2C8A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F5A9A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（2）经供应商确认修正后的竞标报价（包含首次报价、最后报价）超过所竞标分标规定的采购预算金额的；</w:t>
      </w:r>
    </w:p>
    <w:p w14:paraId="55CE5D9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779CBB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34D8E2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2FD9C3A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6E403B1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660B379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BF0A46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284DA4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241580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1E75BA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评审价为供应商的最后报价（如有修正，以确认修正后的最后报价为准）。</w:t>
      </w:r>
    </w:p>
    <w:p w14:paraId="7F696BEB">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467C82ED">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F940438">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2E2F4D2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77"/>
        <w:gridCol w:w="6155"/>
        <w:gridCol w:w="851"/>
      </w:tblGrid>
      <w:tr w14:paraId="1A47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32095DFE">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77" w:type="dxa"/>
            <w:vAlign w:val="center"/>
          </w:tcPr>
          <w:p w14:paraId="66761944">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155" w:type="dxa"/>
            <w:vAlign w:val="center"/>
          </w:tcPr>
          <w:p w14:paraId="5C11AB71">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51" w:type="dxa"/>
            <w:vAlign w:val="center"/>
          </w:tcPr>
          <w:p w14:paraId="3A0CEC9C">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7F04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39BB2F8E">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77" w:type="dxa"/>
            <w:vAlign w:val="center"/>
          </w:tcPr>
          <w:p w14:paraId="2F4AF49A">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155" w:type="dxa"/>
          </w:tcPr>
          <w:p w14:paraId="710E5AB8">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（1）本项目为专门面向中小企业，磋商报价不再进行政府采购政策性扣除。</w:t>
            </w:r>
          </w:p>
          <w:p w14:paraId="545828A5">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（3）以进入比较与评审环节的最低的最后报价为基准价，基准价得分为10分。</w:t>
            </w:r>
          </w:p>
          <w:p w14:paraId="028B6344">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（4）价格分计算公式：</w:t>
            </w:r>
          </w:p>
          <w:p w14:paraId="44CF9177">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报价得分=（基准价/最后报价）×10分</w:t>
            </w:r>
          </w:p>
        </w:tc>
        <w:tc>
          <w:tcPr>
            <w:tcW w:w="851" w:type="dxa"/>
            <w:vAlign w:val="center"/>
          </w:tcPr>
          <w:p w14:paraId="459DB6FD">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r>
      <w:tr w14:paraId="2726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2709FFE5">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77" w:type="dxa"/>
            <w:vAlign w:val="center"/>
          </w:tcPr>
          <w:p w14:paraId="7E830483">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技术分</w:t>
            </w:r>
          </w:p>
        </w:tc>
        <w:tc>
          <w:tcPr>
            <w:tcW w:w="7006" w:type="dxa"/>
            <w:gridSpan w:val="2"/>
          </w:tcPr>
          <w:p w14:paraId="008164B2">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评审因素</w:t>
            </w:r>
          </w:p>
        </w:tc>
      </w:tr>
      <w:tr w14:paraId="5780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42D27065">
            <w:pPr>
              <w:wordWrap w:val="0"/>
              <w:adjustRightInd w:val="0"/>
              <w:spacing w:line="36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377" w:type="dxa"/>
            <w:vAlign w:val="center"/>
          </w:tcPr>
          <w:p w14:paraId="1911F110">
            <w:pPr>
              <w:wordWrap w:val="0"/>
              <w:spacing w:line="360" w:lineRule="exact"/>
              <w:jc w:val="center"/>
              <w:rPr>
                <w:rFonts w:ascii="宋体" w:hAnsi="宋体" w:cs="宋体"/>
                <w:color w:val="auto"/>
                <w:kern w:val="0"/>
                <w:szCs w:val="21"/>
                <w:highlight w:val="none"/>
              </w:rPr>
            </w:pPr>
            <w:r>
              <w:rPr>
                <w:rFonts w:hint="eastAsia" w:ascii="宋体" w:hAnsi="宋体" w:cs="宋体"/>
                <w:bCs/>
                <w:color w:val="auto"/>
                <w:szCs w:val="21"/>
                <w:highlight w:val="none"/>
              </w:rPr>
              <w:t>项目实施方案分</w:t>
            </w:r>
          </w:p>
        </w:tc>
        <w:tc>
          <w:tcPr>
            <w:tcW w:w="6155" w:type="dxa"/>
            <w:vAlign w:val="center"/>
          </w:tcPr>
          <w:p w14:paraId="22947B8D">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由磋商小组根据供应商提供的项目实施方案进行独立评审，</w:t>
            </w:r>
            <w:r>
              <w:rPr>
                <w:rFonts w:hint="eastAsia" w:hAnsi="宋体" w:cs="宋体"/>
                <w:b/>
                <w:bCs/>
                <w:color w:val="auto"/>
                <w:sz w:val="21"/>
                <w:highlight w:val="none"/>
              </w:rPr>
              <w:t>提供的方案内容未达到一档要求的不得分：</w:t>
            </w:r>
          </w:p>
          <w:p w14:paraId="2E1C6AFB">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一档（5分）：供应商提供的项目实施方案对项目的整体要求理解不够准确，方案可操作性不强；</w:t>
            </w:r>
          </w:p>
          <w:p w14:paraId="267A697B">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二档（10分）：供应商提供的项目实施方案基本理解项目的整体要求，提供有作业流程和作业规范，基本合理，提供对项目的重点和难点理解基本准确，方案基本可行；</w:t>
            </w:r>
          </w:p>
          <w:p w14:paraId="082B5262">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三档（15分）：供应商提供的项目实施方案对项目的整体要求理解正确，提供合理的作业流程和作业规范，有具体技术路线措施，对项目的重点和难点、工作内容理解准确，对项目政策背景的理解正确全面；提供蚝桩后期处理方案，处理方式符合环保要求，整体方案具有可行性。</w:t>
            </w:r>
          </w:p>
          <w:p w14:paraId="4B5A62EE">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四档（20分）：供应商提供的项目实施方案对项目的整体要求理解正确，作业流程科学合理，能详细说明作业流程细节并符合作业规范，方案操作性强，技术路线科学合理，对项目的重点和难点、工作内容理解和掌握完全准确，并提供明确的技术路线、技术分析和具体措施，对项目政策背景的理解正确全面；提供详细的蚝桩后期处理方案，处理方式符合环保要求，提供可行的再利用的方案，能确保资源的有效利用；整体方案可行性强，完全满足项目的实际需求。</w:t>
            </w:r>
          </w:p>
        </w:tc>
        <w:tc>
          <w:tcPr>
            <w:tcW w:w="851" w:type="dxa"/>
            <w:vAlign w:val="center"/>
          </w:tcPr>
          <w:p w14:paraId="27EAF9F7">
            <w:pPr>
              <w:wordWrap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20</w:t>
            </w:r>
            <w:r>
              <w:rPr>
                <w:rFonts w:hint="eastAsia" w:ascii="宋体" w:hAnsi="宋体" w:cs="宋体"/>
                <w:color w:val="auto"/>
                <w:kern w:val="0"/>
                <w:szCs w:val="21"/>
                <w:highlight w:val="none"/>
              </w:rPr>
              <w:t>分</w:t>
            </w:r>
          </w:p>
        </w:tc>
      </w:tr>
      <w:tr w14:paraId="12B3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4E23E540">
            <w:pPr>
              <w:wordWrap w:val="0"/>
              <w:adjustRightInd w:val="0"/>
              <w:spacing w:line="36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377" w:type="dxa"/>
            <w:vAlign w:val="center"/>
          </w:tcPr>
          <w:p w14:paraId="3851511F">
            <w:pPr>
              <w:wordWrap w:val="0"/>
              <w:adjustRightInd w:val="0"/>
              <w:spacing w:line="360" w:lineRule="exact"/>
              <w:jc w:val="center"/>
              <w:textAlignment w:val="baseline"/>
              <w:rPr>
                <w:rFonts w:ascii="宋体" w:hAnsi="宋体" w:cs="宋体"/>
                <w:color w:val="auto"/>
                <w:kern w:val="0"/>
                <w:szCs w:val="21"/>
                <w:highlight w:val="none"/>
              </w:rPr>
            </w:pPr>
            <w:r>
              <w:rPr>
                <w:rFonts w:hint="eastAsia" w:ascii="宋体" w:hAnsi="宋体" w:cs="宋体"/>
                <w:bCs/>
                <w:color w:val="auto"/>
                <w:szCs w:val="21"/>
                <w:highlight w:val="none"/>
              </w:rPr>
              <w:t>作业质量和安全保障方案分</w:t>
            </w:r>
          </w:p>
        </w:tc>
        <w:tc>
          <w:tcPr>
            <w:tcW w:w="6155" w:type="dxa"/>
          </w:tcPr>
          <w:p w14:paraId="5FF989F9">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由磋商小组根据供应商提供的服务质量控制措施进行独立评审，</w:t>
            </w:r>
            <w:r>
              <w:rPr>
                <w:rFonts w:hint="eastAsia" w:hAnsi="宋体" w:cs="宋体"/>
                <w:b/>
                <w:bCs/>
                <w:color w:val="auto"/>
                <w:sz w:val="21"/>
                <w:highlight w:val="none"/>
              </w:rPr>
              <w:t>未提供作业质量和安全保障方案或提供的方案内容未达到一档要求的不得分：</w:t>
            </w:r>
          </w:p>
          <w:p w14:paraId="09FA8B70">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一档（5分）：提供有作业质量和安全保障方案，整体质控措施不够完善。</w:t>
            </w:r>
          </w:p>
          <w:p w14:paraId="433C34E0">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二档（10分）：提供的作业质量和安全保障方案内容基本贴合项目实际，提供有用船安全措施，上述内容基本可行。</w:t>
            </w:r>
          </w:p>
          <w:p w14:paraId="78F7422E">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三档（15分）：提供的作业质量和安全保障方案内容贴合项目实际，提供有作业质量控制、用船安全措施和作业安全措施，上述内容基本完整，整体质控措施可行。</w:t>
            </w:r>
          </w:p>
          <w:p w14:paraId="6D2BD00E">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四档（20分）：作业质量和安全保障方案科学、完善，具有针对性的作业数据检查、作业质量控制以及反馈纠错措施；具有切实有效地用船安全措施和作业安全措施，能有效的保障项目的开展。</w:t>
            </w:r>
          </w:p>
        </w:tc>
        <w:tc>
          <w:tcPr>
            <w:tcW w:w="851" w:type="dxa"/>
            <w:vAlign w:val="center"/>
          </w:tcPr>
          <w:p w14:paraId="3E397480">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0</w:t>
            </w:r>
            <w:r>
              <w:rPr>
                <w:rFonts w:hint="eastAsia" w:ascii="宋体" w:hAnsi="宋体" w:cs="宋体"/>
                <w:color w:val="auto"/>
                <w:kern w:val="0"/>
                <w:szCs w:val="21"/>
                <w:highlight w:val="none"/>
              </w:rPr>
              <w:t>分</w:t>
            </w:r>
          </w:p>
        </w:tc>
      </w:tr>
      <w:tr w14:paraId="5B1E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185B8175">
            <w:pPr>
              <w:wordWrap w:val="0"/>
              <w:adjustRightInd w:val="0"/>
              <w:spacing w:line="360" w:lineRule="exact"/>
              <w:jc w:val="center"/>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377" w:type="dxa"/>
            <w:vAlign w:val="center"/>
          </w:tcPr>
          <w:p w14:paraId="4595602F">
            <w:pPr>
              <w:wordWrap w:val="0"/>
              <w:adjustRightInd w:val="0"/>
              <w:spacing w:line="36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应急方案</w:t>
            </w:r>
          </w:p>
        </w:tc>
        <w:tc>
          <w:tcPr>
            <w:tcW w:w="6155" w:type="dxa"/>
            <w:vAlign w:val="center"/>
          </w:tcPr>
          <w:p w14:paraId="010DFBA1">
            <w:pPr>
              <w:wordWrap w:val="0"/>
              <w:adjustRightInd w:val="0"/>
              <w:snapToGrid w:val="0"/>
              <w:spacing w:line="360" w:lineRule="exact"/>
              <w:rPr>
                <w:rFonts w:ascii="宋体" w:hAnsi="宋体" w:cs="宋体"/>
                <w:b/>
                <w:bCs/>
                <w:color w:val="auto"/>
                <w:szCs w:val="21"/>
                <w:highlight w:val="none"/>
              </w:rPr>
            </w:pPr>
            <w:r>
              <w:rPr>
                <w:rFonts w:hint="eastAsia" w:hAnsi="宋体" w:cs="宋体"/>
                <w:color w:val="auto"/>
                <w:highlight w:val="none"/>
              </w:rPr>
              <w:t>由磋商小组根据供应商提供的</w:t>
            </w:r>
            <w:r>
              <w:rPr>
                <w:rFonts w:hint="eastAsia" w:ascii="宋体" w:hAnsi="宋体" w:cs="宋体"/>
                <w:color w:val="auto"/>
                <w:szCs w:val="21"/>
                <w:highlight w:val="none"/>
              </w:rPr>
              <w:t>应急方案</w:t>
            </w:r>
            <w:r>
              <w:rPr>
                <w:rFonts w:hint="eastAsia" w:hAnsi="宋体" w:cs="宋体"/>
                <w:color w:val="auto"/>
                <w:highlight w:val="none"/>
              </w:rPr>
              <w:t>进行独立评审，</w:t>
            </w:r>
            <w:r>
              <w:rPr>
                <w:rFonts w:hint="eastAsia" w:ascii="宋体" w:hAnsi="宋体" w:cs="宋体"/>
                <w:color w:val="auto"/>
                <w:szCs w:val="21"/>
                <w:highlight w:val="none"/>
              </w:rPr>
              <w:t>应急方案里有对突发事件、工人意外事故、特殊天气（如台风、暴雨、暴风等）等的应急预案。</w:t>
            </w:r>
            <w:r>
              <w:rPr>
                <w:rFonts w:hint="eastAsia" w:ascii="宋体" w:hAnsi="宋体" w:cs="宋体"/>
                <w:b/>
                <w:bCs/>
                <w:color w:val="auto"/>
                <w:szCs w:val="21"/>
                <w:highlight w:val="none"/>
              </w:rPr>
              <w:t>未提供应急方案或方案内容未达到一档要求的不得分。</w:t>
            </w:r>
          </w:p>
          <w:p w14:paraId="0112367D">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一档（6分）：提供的应急方案不够完整，与本项目实际情况偏离较大，不够切合实际；</w:t>
            </w:r>
          </w:p>
          <w:p w14:paraId="5E294613">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二档（9分）：方案内容基本完整、部分具有可操作性；</w:t>
            </w:r>
          </w:p>
          <w:p w14:paraId="2A2DB7D8">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三档（12分）：方案内容完整、有合理性和可操作性；</w:t>
            </w:r>
          </w:p>
          <w:p w14:paraId="40C23201">
            <w:pPr>
              <w:wordWrap w:val="0"/>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四档（15分）：方案内容明确、详尽，有科学性、合理性及可操作性，根据各种突发事件，提供相应有效的应对处置流程措施，提供完善的</w:t>
            </w:r>
            <w:r>
              <w:rPr>
                <w:rFonts w:hint="eastAsia" w:ascii="宋体" w:hAnsi="宋体" w:cs="宋体"/>
                <w:bCs/>
                <w:color w:val="auto"/>
                <w:szCs w:val="21"/>
                <w:highlight w:val="none"/>
              </w:rPr>
              <w:t>遇险方案措施</w:t>
            </w:r>
            <w:r>
              <w:rPr>
                <w:rFonts w:hint="eastAsia" w:ascii="宋体" w:hAnsi="宋体" w:cs="宋体"/>
                <w:color w:val="auto"/>
                <w:szCs w:val="21"/>
                <w:highlight w:val="none"/>
              </w:rPr>
              <w:t>。</w:t>
            </w:r>
          </w:p>
        </w:tc>
        <w:tc>
          <w:tcPr>
            <w:tcW w:w="851" w:type="dxa"/>
            <w:vAlign w:val="center"/>
          </w:tcPr>
          <w:p w14:paraId="4DE303E5">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15分</w:t>
            </w:r>
          </w:p>
        </w:tc>
      </w:tr>
      <w:tr w14:paraId="2F06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58EDC925">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377" w:type="dxa"/>
            <w:vAlign w:val="center"/>
          </w:tcPr>
          <w:p w14:paraId="731F4385">
            <w:pPr>
              <w:widowControl/>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商务分</w:t>
            </w:r>
          </w:p>
        </w:tc>
        <w:tc>
          <w:tcPr>
            <w:tcW w:w="7006" w:type="dxa"/>
            <w:gridSpan w:val="2"/>
            <w:vAlign w:val="center"/>
          </w:tcPr>
          <w:p w14:paraId="72D5CD71">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评审因素</w:t>
            </w:r>
          </w:p>
        </w:tc>
      </w:tr>
      <w:tr w14:paraId="2357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40199205">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377" w:type="dxa"/>
            <w:vAlign w:val="center"/>
          </w:tcPr>
          <w:p w14:paraId="7F95B0C2">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szCs w:val="21"/>
                <w:highlight w:val="none"/>
              </w:rPr>
              <w:t>服务承诺分</w:t>
            </w:r>
          </w:p>
        </w:tc>
        <w:tc>
          <w:tcPr>
            <w:tcW w:w="6155" w:type="dxa"/>
          </w:tcPr>
          <w:p w14:paraId="4CBF2607">
            <w:pPr>
              <w:pStyle w:val="18"/>
              <w:wordWrap w:val="0"/>
              <w:spacing w:line="360" w:lineRule="exact"/>
              <w:rPr>
                <w:rFonts w:hAnsi="宋体" w:cs="宋体"/>
                <w:b/>
                <w:bCs/>
                <w:color w:val="auto"/>
                <w:sz w:val="21"/>
                <w:highlight w:val="none"/>
              </w:rPr>
            </w:pPr>
            <w:r>
              <w:rPr>
                <w:rFonts w:hint="eastAsia" w:hAnsi="宋体" w:cs="宋体"/>
                <w:color w:val="auto"/>
                <w:kern w:val="2"/>
                <w:sz w:val="21"/>
                <w:highlight w:val="none"/>
              </w:rPr>
              <w:t>由磋商小组根据供应商提供的服务承诺进行独立评审，</w:t>
            </w:r>
            <w:r>
              <w:rPr>
                <w:rFonts w:hint="eastAsia" w:hAnsi="宋体" w:cs="宋体"/>
                <w:b/>
                <w:bCs/>
                <w:color w:val="auto"/>
                <w:sz w:val="21"/>
                <w:highlight w:val="none"/>
              </w:rPr>
              <w:t>提供的方案内容未达到一档要求的不得分：</w:t>
            </w:r>
          </w:p>
          <w:p w14:paraId="5A6329E7">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一档（5分）：服务承诺基本满足采购文件要求，响应程度满足项目要求。</w:t>
            </w:r>
          </w:p>
          <w:p w14:paraId="25A41CBF">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二档（10分）：服务承诺满足采购文件要求，内容基本完整、可行，响应程度满足项目要求，承诺在服务期限内接到采购人通知后30分钟内响应，12小时内到达服务现场；提供的项目移交方案内容不够具体。</w:t>
            </w:r>
          </w:p>
          <w:p w14:paraId="0FBC734D">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三档（15分）：服务承诺优于采购文件要求，内容完整、齐全、可行，响应程度高，承诺在服务期限内接到采购人通知后15分钟内响应，6小时内到达服务现场；提供有详细的项目移交方案（至少包括管理资料移交和工作移交等），且提供有成果文件移交的后续服务承诺，后续服务承诺内容具体，有利于采购人对项目的整体管控。</w:t>
            </w:r>
          </w:p>
        </w:tc>
        <w:tc>
          <w:tcPr>
            <w:tcW w:w="851" w:type="dxa"/>
            <w:vAlign w:val="center"/>
          </w:tcPr>
          <w:p w14:paraId="5127796C">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15分</w:t>
            </w:r>
          </w:p>
        </w:tc>
      </w:tr>
      <w:tr w14:paraId="60F4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33ACE1A6">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377" w:type="dxa"/>
            <w:vAlign w:val="center"/>
          </w:tcPr>
          <w:p w14:paraId="39A6659B">
            <w:pPr>
              <w:widowControl/>
              <w:wordWrap w:val="0"/>
              <w:spacing w:line="360" w:lineRule="exact"/>
              <w:jc w:val="center"/>
              <w:rPr>
                <w:rFonts w:ascii="宋体" w:hAnsi="宋体" w:cs="宋体"/>
                <w:color w:val="auto"/>
                <w:szCs w:val="21"/>
                <w:highlight w:val="none"/>
              </w:rPr>
            </w:pPr>
            <w:r>
              <w:rPr>
                <w:rFonts w:hint="eastAsia" w:ascii="宋体" w:hAnsi="宋体" w:cs="宋体"/>
                <w:bCs/>
                <w:color w:val="auto"/>
                <w:kern w:val="0"/>
                <w:szCs w:val="21"/>
                <w:highlight w:val="none"/>
              </w:rPr>
              <w:t>人员配置方案分</w:t>
            </w:r>
          </w:p>
        </w:tc>
        <w:tc>
          <w:tcPr>
            <w:tcW w:w="6155" w:type="dxa"/>
            <w:vAlign w:val="center"/>
          </w:tcPr>
          <w:p w14:paraId="39EC416E">
            <w:pPr>
              <w:pStyle w:val="18"/>
              <w:wordWrap w:val="0"/>
              <w:spacing w:line="360" w:lineRule="exact"/>
              <w:rPr>
                <w:rFonts w:hAnsi="宋体" w:cs="宋体"/>
                <w:b/>
                <w:bCs/>
                <w:color w:val="auto"/>
                <w:sz w:val="21"/>
                <w:highlight w:val="none"/>
              </w:rPr>
            </w:pPr>
            <w:r>
              <w:rPr>
                <w:rFonts w:hint="eastAsia" w:hAnsi="宋体" w:cs="宋体"/>
                <w:color w:val="auto"/>
                <w:kern w:val="2"/>
                <w:sz w:val="21"/>
                <w:highlight w:val="none"/>
              </w:rPr>
              <w:t>由磋商小组根据供应商提供的人员配置方案进行独立评审，</w:t>
            </w:r>
            <w:r>
              <w:rPr>
                <w:rFonts w:hint="eastAsia" w:hAnsi="宋体" w:cs="宋体"/>
                <w:b/>
                <w:bCs/>
                <w:color w:val="auto"/>
                <w:sz w:val="21"/>
                <w:highlight w:val="none"/>
              </w:rPr>
              <w:t>提供的方案内容未达到一档要求的不得分：</w:t>
            </w:r>
          </w:p>
          <w:p w14:paraId="09D6FFB1">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一档（6分）：供应商提供了人员配置方案，人员数量满足服务要求，对岗位、分工、人员工作进度计划的描述不够完整；</w:t>
            </w:r>
          </w:p>
          <w:p w14:paraId="5412E7DD">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二档（9分）：供应商提供了可行的人员配置方案，人员数量满足服务要求，对岗位、分工、人员工作进度计划的描述基本完整；</w:t>
            </w:r>
          </w:p>
          <w:p w14:paraId="2CFC1FB2">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三档（12分）：供应商提供了完善的人员配置方案，人员配备数量满足项目要求，人员岗位分工、工作内容清晰明确，人员工作进度计划合理和绩效考核。</w:t>
            </w:r>
          </w:p>
          <w:p w14:paraId="6A5E34C5">
            <w:pPr>
              <w:pStyle w:val="18"/>
              <w:wordWrap w:val="0"/>
              <w:spacing w:line="360" w:lineRule="exact"/>
              <w:rPr>
                <w:rFonts w:hAnsi="宋体" w:cs="宋体"/>
                <w:color w:val="auto"/>
                <w:kern w:val="2"/>
                <w:sz w:val="21"/>
                <w:highlight w:val="none"/>
              </w:rPr>
            </w:pPr>
            <w:r>
              <w:rPr>
                <w:rFonts w:hint="eastAsia" w:hAnsi="宋体" w:cs="宋体"/>
                <w:color w:val="auto"/>
                <w:kern w:val="2"/>
                <w:sz w:val="21"/>
                <w:highlight w:val="none"/>
              </w:rPr>
              <w:t>四档（15分）：供应商提供了完善的人员配置方案，人员配备数量优于项目要求，人员岗位、分工、工作内容清晰，对人员有明确的绩效考核和奖惩制度，人员工作计划安排合理；针对特殊岗位的作业人员提供相应培训，培训方案具有针对性、可行性。</w:t>
            </w:r>
          </w:p>
        </w:tc>
        <w:tc>
          <w:tcPr>
            <w:tcW w:w="851" w:type="dxa"/>
            <w:vAlign w:val="center"/>
          </w:tcPr>
          <w:p w14:paraId="1E2D09CB">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15分</w:t>
            </w:r>
          </w:p>
        </w:tc>
      </w:tr>
      <w:tr w14:paraId="2CCA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dxa"/>
            <w:vAlign w:val="center"/>
          </w:tcPr>
          <w:p w14:paraId="43AA4C00">
            <w:pPr>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3</w:t>
            </w:r>
          </w:p>
        </w:tc>
        <w:tc>
          <w:tcPr>
            <w:tcW w:w="1377" w:type="dxa"/>
            <w:vAlign w:val="center"/>
          </w:tcPr>
          <w:p w14:paraId="2F77B498">
            <w:pPr>
              <w:widowControl/>
              <w:wordWrap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项目业绩分</w:t>
            </w:r>
          </w:p>
        </w:tc>
        <w:tc>
          <w:tcPr>
            <w:tcW w:w="6155" w:type="dxa"/>
          </w:tcPr>
          <w:p w14:paraId="6E9A752A">
            <w:pPr>
              <w:wordWrap w:val="0"/>
              <w:spacing w:line="360" w:lineRule="exact"/>
              <w:rPr>
                <w:rFonts w:ascii="宋体" w:hAnsi="宋体" w:cs="宋体"/>
                <w:color w:val="auto"/>
                <w:szCs w:val="21"/>
                <w:highlight w:val="none"/>
              </w:rPr>
            </w:pPr>
            <w:r>
              <w:rPr>
                <w:rFonts w:hint="eastAsia" w:ascii="宋体" w:hAnsi="宋体" w:cs="宋体"/>
                <w:color w:val="auto"/>
                <w:szCs w:val="21"/>
                <w:highlight w:val="none"/>
              </w:rPr>
              <w:t>2022年1月1日以来至响应文件提交截止日期止，供应商同类项目的业绩，每提供一份证明材料得2.5分，满分5分。（响应文件中提供合同复印件并加盖供应商电子公章，否则不得分）</w:t>
            </w:r>
          </w:p>
        </w:tc>
        <w:tc>
          <w:tcPr>
            <w:tcW w:w="851" w:type="dxa"/>
            <w:vAlign w:val="center"/>
          </w:tcPr>
          <w:p w14:paraId="14A087B1">
            <w:pPr>
              <w:widowControl/>
              <w:wordWrap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5分</w:t>
            </w:r>
          </w:p>
        </w:tc>
      </w:tr>
      <w:tr w14:paraId="3E30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90" w:type="dxa"/>
            <w:gridSpan w:val="4"/>
            <w:vAlign w:val="center"/>
          </w:tcPr>
          <w:p w14:paraId="27A3D6F4">
            <w:pPr>
              <w:widowControl/>
              <w:wordWrap w:val="0"/>
              <w:spacing w:line="360" w:lineRule="exact"/>
              <w:jc w:val="center"/>
              <w:rPr>
                <w:rFonts w:ascii="宋体" w:hAnsi="宋体" w:cs="宋体"/>
                <w:b/>
                <w:bCs/>
                <w:color w:val="auto"/>
                <w:kern w:val="0"/>
                <w:szCs w:val="21"/>
                <w:highlight w:val="none"/>
              </w:rPr>
            </w:pPr>
            <w:r>
              <w:rPr>
                <w:rFonts w:hint="eastAsia" w:ascii="宋体" w:hAnsi="宋体" w:cs="宋体"/>
                <w:b/>
                <w:bCs/>
                <w:color w:val="auto"/>
                <w:szCs w:val="21"/>
                <w:highlight w:val="none"/>
              </w:rPr>
              <w:t>总得分为以上各项评审因素得分合计</w:t>
            </w:r>
          </w:p>
        </w:tc>
      </w:tr>
    </w:tbl>
    <w:p w14:paraId="043AFFAD">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2F56B1ED">
      <w:pPr>
        <w:spacing w:line="400" w:lineRule="exact"/>
        <w:ind w:firstLine="420" w:firstLineChars="200"/>
        <w:rPr>
          <w:rFonts w:ascii="宋体" w:hAnsi="宋体" w:cs="宋体"/>
          <w:color w:val="auto"/>
          <w:highlight w:val="none"/>
        </w:rPr>
      </w:pPr>
    </w:p>
    <w:p w14:paraId="0B55B683">
      <w:pPr>
        <w:spacing w:line="400" w:lineRule="exact"/>
        <w:ind w:firstLine="420" w:firstLineChars="200"/>
        <w:rPr>
          <w:rFonts w:ascii="宋体" w:hAnsi="宋体" w:cs="宋体"/>
          <w:color w:val="auto"/>
          <w:highlight w:val="none"/>
        </w:rPr>
      </w:pPr>
    </w:p>
    <w:p w14:paraId="0B5AD42D">
      <w:pPr>
        <w:pStyle w:val="5"/>
        <w:jc w:val="center"/>
        <w:rPr>
          <w:color w:val="auto"/>
          <w:highlight w:val="none"/>
        </w:rPr>
      </w:pPr>
      <w:r>
        <w:rPr>
          <w:color w:val="auto"/>
          <w:highlight w:val="none"/>
        </w:rPr>
        <w:br w:type="page"/>
      </w:r>
    </w:p>
    <w:p w14:paraId="01BB9351">
      <w:pPr>
        <w:rPr>
          <w:color w:val="auto"/>
          <w:highlight w:val="none"/>
        </w:rPr>
      </w:pPr>
    </w:p>
    <w:p w14:paraId="50888AD3">
      <w:pPr>
        <w:rPr>
          <w:color w:val="auto"/>
          <w:highlight w:val="none"/>
        </w:rPr>
      </w:pPr>
    </w:p>
    <w:p w14:paraId="51FBB9A8">
      <w:pPr>
        <w:rPr>
          <w:color w:val="auto"/>
          <w:highlight w:val="none"/>
        </w:rPr>
      </w:pPr>
    </w:p>
    <w:p w14:paraId="2A1C1971">
      <w:pPr>
        <w:rPr>
          <w:color w:val="auto"/>
          <w:highlight w:val="none"/>
        </w:rPr>
      </w:pPr>
    </w:p>
    <w:p w14:paraId="12F11400">
      <w:pPr>
        <w:rPr>
          <w:color w:val="auto"/>
          <w:highlight w:val="none"/>
        </w:rPr>
      </w:pPr>
    </w:p>
    <w:p w14:paraId="76A5C221">
      <w:pPr>
        <w:rPr>
          <w:color w:val="auto"/>
          <w:highlight w:val="none"/>
        </w:rPr>
      </w:pPr>
    </w:p>
    <w:p w14:paraId="48F4C587">
      <w:pPr>
        <w:rPr>
          <w:color w:val="auto"/>
          <w:highlight w:val="none"/>
        </w:rPr>
      </w:pPr>
    </w:p>
    <w:p w14:paraId="3485B2C8">
      <w:pPr>
        <w:rPr>
          <w:color w:val="auto"/>
          <w:highlight w:val="none"/>
        </w:rPr>
      </w:pPr>
    </w:p>
    <w:p w14:paraId="32E7EC7A">
      <w:pPr>
        <w:rPr>
          <w:color w:val="auto"/>
          <w:highlight w:val="none"/>
        </w:rPr>
      </w:pPr>
    </w:p>
    <w:p w14:paraId="60A7882C">
      <w:pPr>
        <w:rPr>
          <w:color w:val="auto"/>
          <w:highlight w:val="none"/>
        </w:rPr>
      </w:pPr>
    </w:p>
    <w:p w14:paraId="6EF681BF">
      <w:pPr>
        <w:rPr>
          <w:color w:val="auto"/>
          <w:highlight w:val="none"/>
        </w:rPr>
      </w:pPr>
    </w:p>
    <w:p w14:paraId="26092053">
      <w:pPr>
        <w:rPr>
          <w:color w:val="auto"/>
          <w:highlight w:val="none"/>
        </w:rPr>
      </w:pPr>
    </w:p>
    <w:p w14:paraId="4D7F8644">
      <w:pPr>
        <w:rPr>
          <w:color w:val="auto"/>
          <w:highlight w:val="none"/>
        </w:rPr>
      </w:pPr>
    </w:p>
    <w:p w14:paraId="571E187F">
      <w:pPr>
        <w:pStyle w:val="5"/>
        <w:jc w:val="center"/>
        <w:rPr>
          <w:color w:val="auto"/>
          <w:highlight w:val="none"/>
        </w:rPr>
      </w:pPr>
      <w:bookmarkStart w:id="77" w:name="_Toc3198"/>
      <w:r>
        <w:rPr>
          <w:rFonts w:hint="eastAsia"/>
          <w:color w:val="auto"/>
          <w:highlight w:val="none"/>
        </w:rPr>
        <w:t>第五章 响应文件格式</w:t>
      </w:r>
      <w:bookmarkEnd w:id="77"/>
    </w:p>
    <w:p w14:paraId="4FCE7795">
      <w:pPr>
        <w:spacing w:line="240" w:lineRule="atLeast"/>
        <w:rPr>
          <w:rFonts w:ascii="宋体" w:hAnsi="宋体"/>
          <w:b/>
          <w:color w:val="auto"/>
          <w:sz w:val="32"/>
          <w:szCs w:val="32"/>
          <w:highlight w:val="none"/>
        </w:rPr>
      </w:pPr>
    </w:p>
    <w:p w14:paraId="3ED4375F">
      <w:pPr>
        <w:spacing w:line="240" w:lineRule="atLeast"/>
        <w:rPr>
          <w:rFonts w:ascii="宋体" w:hAnsi="宋体"/>
          <w:b/>
          <w:color w:val="auto"/>
          <w:sz w:val="32"/>
          <w:szCs w:val="32"/>
          <w:highlight w:val="none"/>
        </w:rPr>
      </w:pPr>
    </w:p>
    <w:p w14:paraId="1320F732">
      <w:pPr>
        <w:spacing w:line="240" w:lineRule="atLeast"/>
        <w:rPr>
          <w:rFonts w:ascii="宋体" w:hAnsi="宋体"/>
          <w:b/>
          <w:color w:val="auto"/>
          <w:sz w:val="32"/>
          <w:szCs w:val="32"/>
          <w:highlight w:val="none"/>
        </w:rPr>
      </w:pPr>
    </w:p>
    <w:p w14:paraId="7A5D6555">
      <w:pPr>
        <w:spacing w:line="240" w:lineRule="atLeast"/>
        <w:rPr>
          <w:rFonts w:ascii="宋体" w:hAnsi="宋体"/>
          <w:b/>
          <w:color w:val="auto"/>
          <w:sz w:val="32"/>
          <w:szCs w:val="32"/>
          <w:highlight w:val="none"/>
        </w:rPr>
      </w:pPr>
    </w:p>
    <w:p w14:paraId="609E58FF">
      <w:pPr>
        <w:spacing w:line="240" w:lineRule="atLeast"/>
        <w:rPr>
          <w:rFonts w:ascii="宋体" w:hAnsi="宋体"/>
          <w:b/>
          <w:color w:val="auto"/>
          <w:sz w:val="32"/>
          <w:szCs w:val="32"/>
          <w:highlight w:val="none"/>
        </w:rPr>
      </w:pPr>
    </w:p>
    <w:p w14:paraId="53E09F25">
      <w:pPr>
        <w:spacing w:line="240" w:lineRule="atLeast"/>
        <w:rPr>
          <w:rFonts w:ascii="宋体" w:hAnsi="宋体"/>
          <w:b/>
          <w:color w:val="auto"/>
          <w:sz w:val="32"/>
          <w:szCs w:val="32"/>
          <w:highlight w:val="none"/>
        </w:rPr>
      </w:pPr>
    </w:p>
    <w:p w14:paraId="6EB8E97D">
      <w:pPr>
        <w:spacing w:line="240" w:lineRule="atLeast"/>
        <w:rPr>
          <w:rFonts w:ascii="宋体" w:hAnsi="宋体"/>
          <w:b/>
          <w:color w:val="auto"/>
          <w:sz w:val="32"/>
          <w:szCs w:val="32"/>
          <w:highlight w:val="none"/>
        </w:rPr>
      </w:pPr>
    </w:p>
    <w:p w14:paraId="358F44CC">
      <w:pPr>
        <w:spacing w:line="240" w:lineRule="atLeast"/>
        <w:rPr>
          <w:rFonts w:ascii="宋体" w:hAnsi="宋体"/>
          <w:b/>
          <w:color w:val="auto"/>
          <w:sz w:val="32"/>
          <w:szCs w:val="32"/>
          <w:highlight w:val="none"/>
        </w:rPr>
      </w:pPr>
    </w:p>
    <w:p w14:paraId="1CFA42CD">
      <w:pPr>
        <w:spacing w:line="240" w:lineRule="atLeast"/>
        <w:rPr>
          <w:rFonts w:ascii="宋体" w:hAnsi="宋体"/>
          <w:b/>
          <w:color w:val="auto"/>
          <w:sz w:val="32"/>
          <w:szCs w:val="32"/>
          <w:highlight w:val="none"/>
        </w:rPr>
      </w:pPr>
    </w:p>
    <w:p w14:paraId="03100FDE">
      <w:pPr>
        <w:spacing w:line="240" w:lineRule="atLeast"/>
        <w:rPr>
          <w:rFonts w:ascii="宋体" w:hAnsi="宋体"/>
          <w:b/>
          <w:color w:val="auto"/>
          <w:sz w:val="32"/>
          <w:szCs w:val="32"/>
          <w:highlight w:val="none"/>
        </w:rPr>
      </w:pPr>
    </w:p>
    <w:p w14:paraId="2AB87FD4">
      <w:pPr>
        <w:spacing w:line="240" w:lineRule="atLeast"/>
        <w:rPr>
          <w:rFonts w:ascii="宋体" w:hAnsi="宋体"/>
          <w:b/>
          <w:color w:val="auto"/>
          <w:sz w:val="32"/>
          <w:szCs w:val="32"/>
          <w:highlight w:val="none"/>
        </w:rPr>
      </w:pPr>
    </w:p>
    <w:p w14:paraId="5F527D2A">
      <w:pPr>
        <w:snapToGrid w:val="0"/>
        <w:spacing w:before="50" w:after="50"/>
        <w:outlineLvl w:val="1"/>
        <w:rPr>
          <w:rFonts w:ascii="宋体" w:hAnsi="宋体"/>
          <w:b/>
          <w:bCs/>
          <w:color w:val="auto"/>
          <w:sz w:val="24"/>
          <w:highlight w:val="none"/>
        </w:rPr>
      </w:pPr>
    </w:p>
    <w:p w14:paraId="78BB8332">
      <w:pPr>
        <w:snapToGrid w:val="0"/>
        <w:spacing w:beforeLines="50" w:after="50"/>
        <w:jc w:val="center"/>
        <w:rPr>
          <w:rFonts w:ascii="仿宋_GB2312" w:hAnsi="仿宋_GB2312" w:eastAsia="仿宋_GB2312" w:cs="仿宋_GB2312"/>
          <w:bCs/>
          <w:color w:val="auto"/>
          <w:sz w:val="32"/>
          <w:szCs w:val="32"/>
          <w:highlight w:val="none"/>
        </w:rPr>
      </w:pPr>
    </w:p>
    <w:p w14:paraId="79109142">
      <w:pPr>
        <w:rPr>
          <w:b/>
          <w:color w:val="auto"/>
          <w:sz w:val="32"/>
          <w:szCs w:val="32"/>
          <w:highlight w:val="none"/>
        </w:rPr>
      </w:pPr>
      <w:bookmarkStart w:id="78" w:name="_Toc35611516"/>
      <w:bookmarkStart w:id="79" w:name="_Toc35611438"/>
      <w:bookmarkStart w:id="80" w:name="_Toc31723070"/>
      <w:bookmarkStart w:id="81" w:name="_Toc44229899"/>
      <w:bookmarkStart w:id="82" w:name="_Toc31728084"/>
      <w:bookmarkStart w:id="83" w:name="_Toc71366186"/>
      <w:r>
        <w:rPr>
          <w:rFonts w:hint="eastAsia"/>
          <w:b/>
          <w:color w:val="auto"/>
          <w:sz w:val="32"/>
          <w:szCs w:val="32"/>
          <w:highlight w:val="none"/>
        </w:rPr>
        <w:br w:type="page"/>
      </w:r>
    </w:p>
    <w:p w14:paraId="5B683B37">
      <w:pPr>
        <w:rPr>
          <w:b/>
          <w:color w:val="auto"/>
          <w:sz w:val="32"/>
          <w:szCs w:val="32"/>
          <w:highlight w:val="none"/>
        </w:rPr>
      </w:pPr>
      <w:r>
        <w:rPr>
          <w:rFonts w:hint="eastAsia"/>
          <w:b/>
          <w:color w:val="auto"/>
          <w:sz w:val="32"/>
          <w:szCs w:val="32"/>
          <w:highlight w:val="none"/>
        </w:rPr>
        <w:t>一、资格证明文件格式</w:t>
      </w:r>
      <w:bookmarkEnd w:id="78"/>
      <w:bookmarkEnd w:id="79"/>
      <w:bookmarkEnd w:id="80"/>
      <w:bookmarkEnd w:id="81"/>
      <w:bookmarkEnd w:id="82"/>
      <w:bookmarkEnd w:id="83"/>
    </w:p>
    <w:p w14:paraId="70D7CE0D">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color w:val="auto"/>
          <w:sz w:val="32"/>
          <w:szCs w:val="32"/>
          <w:highlight w:val="none"/>
        </w:rPr>
        <w:t>：</w:t>
      </w:r>
      <w:r>
        <w:rPr>
          <w:rFonts w:hint="eastAsia" w:ascii="宋体" w:hAnsi="宋体"/>
          <w:b/>
          <w:color w:val="auto"/>
          <w:sz w:val="24"/>
          <w:highlight w:val="none"/>
        </w:rPr>
        <w:t xml:space="preserve"> </w:t>
      </w:r>
    </w:p>
    <w:p w14:paraId="36A87841">
      <w:pPr>
        <w:snapToGrid w:val="0"/>
        <w:spacing w:beforeLines="50" w:after="50"/>
        <w:jc w:val="center"/>
        <w:rPr>
          <w:rFonts w:ascii="宋体" w:hAnsi="宋体"/>
          <w:color w:val="auto"/>
          <w:sz w:val="44"/>
          <w:szCs w:val="44"/>
          <w:highlight w:val="none"/>
        </w:rPr>
      </w:pPr>
    </w:p>
    <w:p w14:paraId="2B254474">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5FC22CD">
      <w:pPr>
        <w:snapToGrid w:val="0"/>
        <w:spacing w:beforeLines="50" w:after="50"/>
        <w:rPr>
          <w:rFonts w:ascii="宋体" w:hAnsi="宋体"/>
          <w:color w:val="auto"/>
          <w:sz w:val="24"/>
          <w:szCs w:val="20"/>
          <w:highlight w:val="none"/>
        </w:rPr>
      </w:pPr>
    </w:p>
    <w:p w14:paraId="0E596C37">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69AA3266">
      <w:pPr>
        <w:snapToGrid w:val="0"/>
        <w:spacing w:beforeLines="50" w:after="50"/>
        <w:rPr>
          <w:rFonts w:ascii="宋体" w:hAnsi="宋体"/>
          <w:bCs/>
          <w:color w:val="auto"/>
          <w:sz w:val="24"/>
          <w:szCs w:val="20"/>
          <w:highlight w:val="none"/>
        </w:rPr>
      </w:pPr>
    </w:p>
    <w:p w14:paraId="1469AFDA">
      <w:pPr>
        <w:snapToGrid w:val="0"/>
        <w:spacing w:beforeLines="50" w:after="50"/>
        <w:rPr>
          <w:rFonts w:ascii="宋体" w:hAnsi="宋体"/>
          <w:bCs/>
          <w:color w:val="auto"/>
          <w:sz w:val="24"/>
          <w:szCs w:val="20"/>
          <w:highlight w:val="none"/>
        </w:rPr>
      </w:pPr>
    </w:p>
    <w:p w14:paraId="3DB7FF0B">
      <w:pPr>
        <w:snapToGrid w:val="0"/>
        <w:spacing w:beforeLines="50" w:after="50"/>
        <w:rPr>
          <w:rFonts w:ascii="宋体" w:hAnsi="宋体"/>
          <w:bCs/>
          <w:color w:val="auto"/>
          <w:sz w:val="24"/>
          <w:szCs w:val="20"/>
          <w:highlight w:val="none"/>
        </w:rPr>
      </w:pPr>
    </w:p>
    <w:p w14:paraId="02DE73A8">
      <w:pPr>
        <w:snapToGrid w:val="0"/>
        <w:spacing w:beforeLines="50" w:after="50"/>
        <w:rPr>
          <w:rFonts w:ascii="宋体" w:hAnsi="宋体"/>
          <w:bCs/>
          <w:color w:val="auto"/>
          <w:sz w:val="24"/>
          <w:szCs w:val="20"/>
          <w:highlight w:val="none"/>
        </w:rPr>
      </w:pPr>
    </w:p>
    <w:p w14:paraId="2281C79C">
      <w:pPr>
        <w:snapToGrid w:val="0"/>
        <w:spacing w:beforeLines="50" w:after="50"/>
        <w:rPr>
          <w:rFonts w:ascii="宋体" w:hAnsi="宋体"/>
          <w:bCs/>
          <w:color w:val="auto"/>
          <w:sz w:val="24"/>
          <w:szCs w:val="20"/>
          <w:highlight w:val="none"/>
        </w:rPr>
      </w:pPr>
    </w:p>
    <w:p w14:paraId="19D8905B">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68A600B">
      <w:pPr>
        <w:snapToGrid w:val="0"/>
        <w:spacing w:beforeLines="50" w:after="50"/>
        <w:ind w:firstLine="720" w:firstLineChars="225"/>
        <w:rPr>
          <w:rFonts w:ascii="宋体" w:hAnsi="宋体" w:cs="仿宋_GB2312"/>
          <w:bCs/>
          <w:color w:val="auto"/>
          <w:sz w:val="32"/>
          <w:szCs w:val="32"/>
          <w:highlight w:val="none"/>
        </w:rPr>
      </w:pPr>
    </w:p>
    <w:p w14:paraId="7AC9F04B">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289EA32">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4E36440">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ED85C62">
      <w:pPr>
        <w:snapToGrid w:val="0"/>
        <w:spacing w:beforeLines="50" w:after="50"/>
        <w:ind w:firstLine="720" w:firstLineChars="225"/>
        <w:rPr>
          <w:rFonts w:ascii="宋体" w:hAnsi="宋体" w:cs="仿宋_GB2312"/>
          <w:bCs/>
          <w:color w:val="auto"/>
          <w:sz w:val="32"/>
          <w:szCs w:val="32"/>
          <w:highlight w:val="none"/>
        </w:rPr>
      </w:pPr>
    </w:p>
    <w:p w14:paraId="61FE9166">
      <w:pPr>
        <w:pStyle w:val="9"/>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198DA9B">
      <w:pPr>
        <w:snapToGrid w:val="0"/>
        <w:spacing w:beforeLines="50" w:after="50"/>
        <w:ind w:firstLine="640" w:firstLineChars="200"/>
        <w:rPr>
          <w:rFonts w:ascii="宋体" w:hAnsi="宋体" w:cs="仿宋_GB2312"/>
          <w:bCs/>
          <w:color w:val="auto"/>
          <w:sz w:val="32"/>
          <w:szCs w:val="32"/>
          <w:highlight w:val="none"/>
        </w:rPr>
      </w:pPr>
    </w:p>
    <w:p w14:paraId="04113CAA">
      <w:pPr>
        <w:pStyle w:val="9"/>
        <w:snapToGrid w:val="0"/>
        <w:spacing w:before="50" w:after="50"/>
        <w:ind w:firstLine="720" w:firstLineChars="225"/>
        <w:rPr>
          <w:rFonts w:ascii="宋体" w:hAnsi="宋体" w:cs="仿宋_GB2312"/>
          <w:bCs/>
          <w:color w:val="auto"/>
          <w:sz w:val="32"/>
          <w:szCs w:val="32"/>
          <w:highlight w:val="none"/>
        </w:rPr>
      </w:pPr>
    </w:p>
    <w:p w14:paraId="2D1931B5">
      <w:pPr>
        <w:pStyle w:val="9"/>
        <w:snapToGrid w:val="0"/>
        <w:spacing w:before="50" w:after="50"/>
        <w:ind w:firstLine="720" w:firstLineChars="225"/>
        <w:rPr>
          <w:rFonts w:ascii="宋体" w:hAnsi="宋体" w:cs="仿宋_GB2312"/>
          <w:bCs/>
          <w:color w:val="auto"/>
          <w:sz w:val="32"/>
          <w:szCs w:val="32"/>
          <w:highlight w:val="none"/>
        </w:rPr>
      </w:pPr>
    </w:p>
    <w:p w14:paraId="03B40D77">
      <w:pPr>
        <w:pStyle w:val="9"/>
        <w:snapToGrid w:val="0"/>
        <w:spacing w:before="50" w:after="50"/>
        <w:ind w:firstLine="1280" w:firstLineChars="400"/>
        <w:rPr>
          <w:rFonts w:ascii="宋体" w:hAnsi="宋体" w:cs="仿宋_GB2312"/>
          <w:bCs/>
          <w:color w:val="auto"/>
          <w:sz w:val="32"/>
          <w:szCs w:val="32"/>
          <w:highlight w:val="none"/>
        </w:rPr>
      </w:pPr>
    </w:p>
    <w:p w14:paraId="66650F9E">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3C4DC3B">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25C7D440">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5CC51FE">
      <w:pPr>
        <w:snapToGrid w:val="0"/>
        <w:spacing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0B937FF6">
      <w:pPr>
        <w:spacing w:line="300" w:lineRule="auto"/>
        <w:rPr>
          <w:rFonts w:ascii="宋体" w:hAnsi="宋体"/>
          <w:color w:val="auto"/>
          <w:szCs w:val="21"/>
          <w:highlight w:val="none"/>
        </w:rPr>
      </w:pPr>
    </w:p>
    <w:p w14:paraId="0114DC95">
      <w:pPr>
        <w:spacing w:line="380" w:lineRule="exact"/>
        <w:ind w:left="360"/>
        <w:rPr>
          <w:rFonts w:ascii="宋体" w:hAnsi="宋体"/>
          <w:color w:val="auto"/>
          <w:szCs w:val="21"/>
          <w:highlight w:val="none"/>
        </w:rPr>
      </w:pPr>
    </w:p>
    <w:p w14:paraId="23A8FDA9">
      <w:pPr>
        <w:spacing w:line="380" w:lineRule="exact"/>
        <w:ind w:left="360"/>
        <w:rPr>
          <w:rFonts w:ascii="宋体" w:hAnsi="宋体"/>
          <w:color w:val="auto"/>
          <w:szCs w:val="21"/>
          <w:highlight w:val="none"/>
        </w:rPr>
      </w:pPr>
      <w:r>
        <w:rPr>
          <w:rFonts w:hint="eastAsia" w:ascii="宋体" w:hAnsi="宋体"/>
          <w:color w:val="auto"/>
          <w:szCs w:val="21"/>
          <w:highlight w:val="none"/>
        </w:rPr>
        <w:br w:type="page"/>
      </w:r>
    </w:p>
    <w:p w14:paraId="6FD909FA">
      <w:pPr>
        <w:spacing w:line="380" w:lineRule="exact"/>
        <w:ind w:left="360"/>
        <w:rPr>
          <w:rFonts w:ascii="宋体" w:hAnsi="宋体"/>
          <w:b/>
          <w:bCs/>
          <w:color w:val="auto"/>
          <w:sz w:val="24"/>
          <w:highlight w:val="none"/>
        </w:rPr>
      </w:pPr>
      <w:r>
        <w:rPr>
          <w:rFonts w:hint="eastAsia" w:ascii="宋体" w:hAnsi="宋体"/>
          <w:b/>
          <w:bCs/>
          <w:color w:val="auto"/>
          <w:szCs w:val="21"/>
          <w:highlight w:val="none"/>
        </w:rPr>
        <w:t xml:space="preserve"> 3.</w:t>
      </w:r>
      <w:r>
        <w:rPr>
          <w:rFonts w:hint="eastAsia" w:ascii="宋体" w:hAnsi="宋体"/>
          <w:b/>
          <w:bCs/>
          <w:color w:val="auto"/>
          <w:sz w:val="24"/>
          <w:highlight w:val="none"/>
        </w:rPr>
        <w:t>北海市政府采购供应商信用承诺函（格式）</w:t>
      </w:r>
    </w:p>
    <w:p w14:paraId="0613C198">
      <w:pPr>
        <w:spacing w:line="380" w:lineRule="exact"/>
        <w:ind w:left="142"/>
        <w:rPr>
          <w:rFonts w:ascii="宋体" w:hAnsi="宋体"/>
          <w:b/>
          <w:bCs/>
          <w:color w:val="auto"/>
          <w:sz w:val="24"/>
          <w:highlight w:val="none"/>
        </w:rPr>
      </w:pPr>
    </w:p>
    <w:p w14:paraId="53AE6B13">
      <w:pPr>
        <w:spacing w:line="380" w:lineRule="exact"/>
        <w:jc w:val="center"/>
        <w:rPr>
          <w:b/>
          <w:bCs/>
          <w:color w:val="auto"/>
          <w:kern w:val="0"/>
          <w:sz w:val="32"/>
          <w:szCs w:val="32"/>
          <w:highlight w:val="none"/>
        </w:rPr>
      </w:pPr>
      <w:r>
        <w:rPr>
          <w:rFonts w:hint="eastAsia"/>
          <w:b/>
          <w:bCs/>
          <w:color w:val="auto"/>
          <w:kern w:val="0"/>
          <w:sz w:val="32"/>
          <w:szCs w:val="32"/>
          <w:highlight w:val="none"/>
        </w:rPr>
        <w:t>北海市政府采购供应商信用承诺函</w:t>
      </w:r>
    </w:p>
    <w:p w14:paraId="33CB6E70">
      <w:pPr>
        <w:spacing w:line="380" w:lineRule="exact"/>
        <w:jc w:val="center"/>
        <w:rPr>
          <w:b/>
          <w:bCs/>
          <w:color w:val="auto"/>
          <w:kern w:val="0"/>
          <w:sz w:val="32"/>
          <w:szCs w:val="32"/>
          <w:highlight w:val="none"/>
        </w:rPr>
      </w:pPr>
    </w:p>
    <w:p w14:paraId="05ADF5E0">
      <w:pPr>
        <w:wordWrap w:val="0"/>
        <w:spacing w:line="360" w:lineRule="auto"/>
        <w:rPr>
          <w:color w:val="auto"/>
          <w:kern w:val="0"/>
          <w:sz w:val="24"/>
          <w:highlight w:val="none"/>
        </w:rPr>
      </w:pPr>
      <w:r>
        <w:rPr>
          <w:rFonts w:hint="eastAsia"/>
          <w:color w:val="auto"/>
          <w:kern w:val="0"/>
          <w:sz w:val="24"/>
          <w:highlight w:val="none"/>
        </w:rPr>
        <w:t>致（采购人或采购代理机构）：</w:t>
      </w:r>
    </w:p>
    <w:p w14:paraId="7CB1C699">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w:t>
      </w:r>
    </w:p>
    <w:p w14:paraId="5CCD53C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统一社会信用代码：</w:t>
      </w:r>
    </w:p>
    <w:p w14:paraId="5434997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供应商地址：</w:t>
      </w:r>
    </w:p>
    <w:p w14:paraId="1ACDC43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1A1CD6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1.我单位具有符合采购文件资格要求独立承担民事责任的能力。</w:t>
      </w:r>
    </w:p>
    <w:p w14:paraId="0F002BD6">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2.我单位具有符合采购文件资格要求的财务状况报告。</w:t>
      </w:r>
    </w:p>
    <w:p w14:paraId="02313D3A">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3.我单位具有符合采购文件资格要求的依法缴纳税收和社会保障记录的良好记录。</w:t>
      </w:r>
    </w:p>
    <w:p w14:paraId="720C198F">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4.我单位具有符合采购文件资格要求履行合同所必需的设备和专业技术能力。</w:t>
      </w:r>
    </w:p>
    <w:p w14:paraId="039C8875">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14:paraId="4F8F916B">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若我单位承诺不实，自愿承担提供虚假材料谋取中标、成交的法律责任。</w:t>
      </w:r>
    </w:p>
    <w:p w14:paraId="249B6FDF">
      <w:pPr>
        <w:snapToGrid w:val="0"/>
        <w:spacing w:line="360" w:lineRule="auto"/>
        <w:jc w:val="left"/>
        <w:rPr>
          <w:rFonts w:ascii="宋体" w:hAnsi="宋体"/>
          <w:color w:val="auto"/>
          <w:sz w:val="24"/>
          <w:highlight w:val="none"/>
        </w:rPr>
      </w:pPr>
    </w:p>
    <w:p w14:paraId="13021DDC">
      <w:pPr>
        <w:snapToGrid w:val="0"/>
        <w:spacing w:line="360" w:lineRule="auto"/>
        <w:ind w:left="-2" w:leftChars="-1" w:right="-817" w:rightChars="-389"/>
        <w:rPr>
          <w:rFonts w:ascii="宋体" w:hAnsi="宋体" w:cs="宋体"/>
          <w:color w:val="auto"/>
          <w:kern w:val="0"/>
          <w:sz w:val="24"/>
          <w:highlight w:val="none"/>
        </w:rPr>
      </w:pPr>
      <w:r>
        <w:rPr>
          <w:rFonts w:hint="eastAsia" w:ascii="宋体" w:hAnsi="宋体"/>
          <w:color w:val="auto"/>
          <w:sz w:val="24"/>
          <w:highlight w:val="none"/>
        </w:rPr>
        <w:t xml:space="preserve">                        </w:t>
      </w:r>
      <w:r>
        <w:rPr>
          <w:rFonts w:hint="eastAsia" w:ascii="宋体" w:hAnsi="宋体" w:cs="宋体"/>
          <w:color w:val="auto"/>
          <w:kern w:val="0"/>
          <w:sz w:val="24"/>
          <w:highlight w:val="none"/>
        </w:rPr>
        <w:t xml:space="preserve">   法定代表人或者委托代理人（签字或者电子签名）： </w:t>
      </w:r>
    </w:p>
    <w:p w14:paraId="0075727A">
      <w:pPr>
        <w:snapToGrid w:val="0"/>
        <w:spacing w:line="360" w:lineRule="auto"/>
        <w:ind w:left="-3" w:leftChars="-15" w:right="-817" w:rightChars="-389" w:hanging="28" w:hangingChars="12"/>
        <w:rPr>
          <w:rFonts w:ascii="宋体" w:hAnsi="宋体" w:cs="宋体"/>
          <w:color w:val="auto"/>
          <w:kern w:val="0"/>
          <w:sz w:val="24"/>
          <w:highlight w:val="none"/>
        </w:rPr>
      </w:pPr>
      <w:r>
        <w:rPr>
          <w:rFonts w:hint="eastAsia" w:ascii="宋体" w:hAnsi="宋体" w:cs="宋体"/>
          <w:color w:val="auto"/>
          <w:kern w:val="0"/>
          <w:sz w:val="24"/>
          <w:highlight w:val="none"/>
        </w:rPr>
        <w:t xml:space="preserve">                                    供应商名称（电子签章）：</w:t>
      </w:r>
    </w:p>
    <w:p w14:paraId="7B0AA3DE">
      <w:pPr>
        <w:wordWrap w:val="0"/>
        <w:spacing w:line="360" w:lineRule="auto"/>
        <w:ind w:firstLine="480" w:firstLineChars="200"/>
        <w:jc w:val="right"/>
        <w:rPr>
          <w:rFonts w:ascii="宋体" w:hAnsi="宋体" w:cs="宋体"/>
          <w:color w:val="auto"/>
          <w:kern w:val="0"/>
          <w:sz w:val="24"/>
          <w:highlight w:val="none"/>
        </w:rPr>
      </w:pPr>
      <w:r>
        <w:rPr>
          <w:rFonts w:hint="eastAsia" w:ascii="宋体" w:hAnsi="宋体" w:cs="宋体"/>
          <w:color w:val="auto"/>
          <w:kern w:val="0"/>
          <w:sz w:val="24"/>
          <w:highlight w:val="none"/>
        </w:rPr>
        <w:t>日 期：</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日</w:t>
      </w:r>
    </w:p>
    <w:p w14:paraId="5194C715">
      <w:pPr>
        <w:wordWrap w:val="0"/>
        <w:spacing w:line="360" w:lineRule="auto"/>
        <w:ind w:firstLine="480" w:firstLineChars="200"/>
        <w:rPr>
          <w:rFonts w:hint="eastAsia" w:ascii="宋体" w:hAnsi="宋体" w:eastAsia="宋体" w:cs="宋体"/>
          <w:color w:val="auto"/>
          <w:kern w:val="0"/>
          <w:sz w:val="24"/>
          <w:highlight w:val="none"/>
        </w:rPr>
      </w:pPr>
    </w:p>
    <w:p w14:paraId="37D0D916">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注：1.供应商须在响应文件中按此模板提供承诺函，未提供视为未实质性响应招标（采购）文件要求，按无效磋商处理。</w:t>
      </w:r>
    </w:p>
    <w:p w14:paraId="42007E13">
      <w:pPr>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2.供应商的法定代表人（其他组织的为负责人）或者委托代理人的签名或盖章应真实、有效，如委托代理人签名或盖章的，应提供“法定代表人授权委托书”。</w:t>
      </w:r>
    </w:p>
    <w:p w14:paraId="29FE1D51">
      <w:pPr>
        <w:spacing w:line="300" w:lineRule="auto"/>
        <w:rPr>
          <w:rFonts w:ascii="宋体" w:hAnsi="宋体"/>
          <w:color w:val="auto"/>
          <w:szCs w:val="21"/>
          <w:highlight w:val="none"/>
        </w:rPr>
      </w:pPr>
    </w:p>
    <w:p w14:paraId="2807ED40">
      <w:pPr>
        <w:spacing w:line="300" w:lineRule="auto"/>
        <w:rPr>
          <w:rFonts w:ascii="宋体" w:hAnsi="宋体"/>
          <w:color w:val="auto"/>
          <w:szCs w:val="21"/>
          <w:highlight w:val="none"/>
        </w:rPr>
      </w:pPr>
    </w:p>
    <w:p w14:paraId="0F6A4DAB">
      <w:pPr>
        <w:spacing w:line="300" w:lineRule="auto"/>
        <w:rPr>
          <w:rFonts w:ascii="宋体" w:hAnsi="宋体"/>
          <w:color w:val="auto"/>
          <w:szCs w:val="21"/>
          <w:highlight w:val="none"/>
        </w:rPr>
      </w:pPr>
    </w:p>
    <w:p w14:paraId="0E4F1153">
      <w:pPr>
        <w:spacing w:line="300" w:lineRule="auto"/>
        <w:rPr>
          <w:rFonts w:ascii="宋体" w:hAnsi="宋体"/>
          <w:color w:val="auto"/>
          <w:szCs w:val="21"/>
          <w:highlight w:val="none"/>
        </w:rPr>
      </w:pPr>
    </w:p>
    <w:p w14:paraId="3C186F58">
      <w:pPr>
        <w:spacing w:line="320" w:lineRule="exact"/>
        <w:jc w:val="left"/>
        <w:rPr>
          <w:rFonts w:ascii="宋体" w:hAnsi="宋体"/>
          <w:b/>
          <w:color w:val="auto"/>
          <w:sz w:val="24"/>
          <w:highlight w:val="none"/>
        </w:rPr>
      </w:pPr>
      <w:r>
        <w:rPr>
          <w:rFonts w:ascii="宋体" w:hAnsi="宋体"/>
          <w:color w:val="auto"/>
          <w:szCs w:val="21"/>
          <w:highlight w:val="none"/>
        </w:rPr>
        <w:br w:type="page"/>
      </w:r>
      <w:r>
        <w:rPr>
          <w:rFonts w:hint="eastAsia" w:ascii="宋体" w:hAnsi="宋体"/>
          <w:color w:val="auto"/>
          <w:szCs w:val="21"/>
          <w:highlight w:val="none"/>
        </w:rPr>
        <w:t>4</w:t>
      </w:r>
      <w:r>
        <w:rPr>
          <w:rFonts w:hint="eastAsia" w:ascii="宋体" w:hAnsi="宋体"/>
          <w:b/>
          <w:color w:val="auto"/>
          <w:sz w:val="24"/>
          <w:highlight w:val="none"/>
        </w:rPr>
        <w:t>.</w:t>
      </w:r>
      <w:r>
        <w:rPr>
          <w:rFonts w:hint="eastAsia" w:ascii="宋体" w:hAnsi="宋体"/>
          <w:b/>
          <w:color w:val="auto"/>
          <w:sz w:val="28"/>
          <w:szCs w:val="28"/>
          <w:highlight w:val="none"/>
        </w:rPr>
        <w:t>供应商直接控股股东信息表</w:t>
      </w:r>
    </w:p>
    <w:p w14:paraId="37CF1500">
      <w:pPr>
        <w:snapToGrid w:val="0"/>
        <w:spacing w:before="50" w:afterLines="50"/>
        <w:jc w:val="center"/>
        <w:rPr>
          <w:rFonts w:ascii="宋体" w:hAnsi="宋体"/>
          <w:b/>
          <w:color w:val="auto"/>
          <w:sz w:val="28"/>
          <w:szCs w:val="28"/>
          <w:highlight w:val="none"/>
        </w:rPr>
      </w:pPr>
    </w:p>
    <w:p w14:paraId="5DBAFC04">
      <w:pPr>
        <w:snapToGrid w:val="0"/>
        <w:spacing w:before="5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8"/>
        <w:tblW w:w="9476" w:type="dxa"/>
        <w:tblInd w:w="0" w:type="dxa"/>
        <w:shd w:val="clear" w:color="auto" w:fill="FBFBFB"/>
        <w:tblLayout w:type="fixed"/>
        <w:tblCellMar>
          <w:top w:w="0" w:type="dxa"/>
          <w:left w:w="0" w:type="dxa"/>
          <w:bottom w:w="0" w:type="dxa"/>
          <w:right w:w="0" w:type="dxa"/>
        </w:tblCellMar>
      </w:tblPr>
      <w:tblGrid>
        <w:gridCol w:w="828"/>
        <w:gridCol w:w="2269"/>
        <w:gridCol w:w="1657"/>
        <w:gridCol w:w="3304"/>
        <w:gridCol w:w="1418"/>
      </w:tblGrid>
      <w:tr w14:paraId="4FE6566C">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2ECA95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AB094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65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E3785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3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B42A95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7CCC49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3E927E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A935F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903ED6">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CBF13E">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B7486C">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547C6B">
            <w:pPr>
              <w:spacing w:line="360" w:lineRule="auto"/>
              <w:jc w:val="center"/>
              <w:rPr>
                <w:rFonts w:ascii="宋体" w:hAnsi="宋体" w:cs="宋体"/>
                <w:color w:val="auto"/>
                <w:kern w:val="0"/>
                <w:sz w:val="24"/>
                <w:highlight w:val="none"/>
              </w:rPr>
            </w:pPr>
          </w:p>
        </w:tc>
      </w:tr>
      <w:tr w14:paraId="16FEB43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6B5E2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6AE4C3">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0ECB35">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BE9F03">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BE4301">
            <w:pPr>
              <w:spacing w:line="360" w:lineRule="auto"/>
              <w:jc w:val="center"/>
              <w:rPr>
                <w:rFonts w:ascii="宋体" w:hAnsi="宋体" w:cs="宋体"/>
                <w:color w:val="auto"/>
                <w:kern w:val="0"/>
                <w:sz w:val="24"/>
                <w:highlight w:val="none"/>
              </w:rPr>
            </w:pPr>
          </w:p>
        </w:tc>
      </w:tr>
      <w:tr w14:paraId="2E12474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C28A2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A67572">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43148B">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525671">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B9B770">
            <w:pPr>
              <w:spacing w:line="360" w:lineRule="auto"/>
              <w:jc w:val="center"/>
              <w:rPr>
                <w:rFonts w:ascii="宋体" w:hAnsi="宋体" w:cs="宋体"/>
                <w:color w:val="auto"/>
                <w:kern w:val="0"/>
                <w:sz w:val="24"/>
                <w:highlight w:val="none"/>
              </w:rPr>
            </w:pPr>
          </w:p>
        </w:tc>
      </w:tr>
      <w:tr w14:paraId="0917D24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F51C6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099DBB">
            <w:pPr>
              <w:spacing w:line="360" w:lineRule="auto"/>
              <w:jc w:val="center"/>
              <w:rPr>
                <w:rFonts w:ascii="宋体" w:hAnsi="宋体" w:cs="宋体"/>
                <w:color w:val="auto"/>
                <w:kern w:val="0"/>
                <w:sz w:val="24"/>
                <w:highlight w:val="none"/>
              </w:rPr>
            </w:pPr>
          </w:p>
        </w:tc>
        <w:tc>
          <w:tcPr>
            <w:tcW w:w="165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CF7298">
            <w:pPr>
              <w:spacing w:line="360" w:lineRule="auto"/>
              <w:jc w:val="center"/>
              <w:rPr>
                <w:rFonts w:ascii="宋体" w:hAnsi="宋体" w:cs="宋体"/>
                <w:color w:val="auto"/>
                <w:kern w:val="0"/>
                <w:sz w:val="24"/>
                <w:highlight w:val="none"/>
              </w:rPr>
            </w:pPr>
          </w:p>
        </w:tc>
        <w:tc>
          <w:tcPr>
            <w:tcW w:w="33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188CDF">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AE826E">
            <w:pPr>
              <w:spacing w:line="360" w:lineRule="auto"/>
              <w:jc w:val="center"/>
              <w:rPr>
                <w:rFonts w:ascii="宋体" w:hAnsi="宋体" w:cs="宋体"/>
                <w:color w:val="auto"/>
                <w:kern w:val="0"/>
                <w:sz w:val="24"/>
                <w:highlight w:val="none"/>
              </w:rPr>
            </w:pPr>
          </w:p>
        </w:tc>
      </w:tr>
    </w:tbl>
    <w:p w14:paraId="2A25B514">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27908940">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692673">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5DFF61EA">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307E916B">
      <w:pPr>
        <w:snapToGrid w:val="0"/>
        <w:spacing w:line="360" w:lineRule="auto"/>
        <w:jc w:val="left"/>
        <w:rPr>
          <w:rFonts w:ascii="宋体" w:hAnsi="宋体"/>
          <w:color w:val="auto"/>
          <w:sz w:val="24"/>
          <w:highlight w:val="none"/>
        </w:rPr>
      </w:pPr>
    </w:p>
    <w:p w14:paraId="7D32961D">
      <w:pPr>
        <w:snapToGrid w:val="0"/>
        <w:spacing w:line="360" w:lineRule="auto"/>
        <w:jc w:val="left"/>
        <w:rPr>
          <w:rFonts w:ascii="宋体" w:hAnsi="宋体"/>
          <w:color w:val="auto"/>
          <w:sz w:val="24"/>
          <w:highlight w:val="none"/>
        </w:rPr>
      </w:pPr>
    </w:p>
    <w:p w14:paraId="16745D37">
      <w:pPr>
        <w:snapToGrid w:val="0"/>
        <w:spacing w:line="360" w:lineRule="auto"/>
        <w:jc w:val="left"/>
        <w:rPr>
          <w:rFonts w:ascii="宋体" w:hAnsi="宋体"/>
          <w:color w:val="auto"/>
          <w:sz w:val="24"/>
          <w:highlight w:val="none"/>
        </w:rPr>
      </w:pPr>
    </w:p>
    <w:p w14:paraId="3A9CED70">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37A42E51">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559A3E02">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14:paraId="21CF038A">
      <w:pPr>
        <w:snapToGrid w:val="0"/>
        <w:jc w:val="center"/>
        <w:rPr>
          <w:rFonts w:ascii="宋体" w:hAnsi="宋体"/>
          <w:b/>
          <w:color w:val="auto"/>
          <w:sz w:val="28"/>
          <w:szCs w:val="28"/>
          <w:highlight w:val="none"/>
        </w:rPr>
      </w:pPr>
    </w:p>
    <w:p w14:paraId="2AA85F9D">
      <w:pPr>
        <w:snapToGrid w:val="0"/>
        <w:spacing w:line="360" w:lineRule="auto"/>
        <w:jc w:val="left"/>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5.</w:t>
      </w:r>
      <w:r>
        <w:rPr>
          <w:color w:val="auto"/>
          <w:highlight w:val="none"/>
        </w:rPr>
        <w:t xml:space="preserve"> </w:t>
      </w:r>
      <w:r>
        <w:rPr>
          <w:rFonts w:hint="eastAsia" w:ascii="宋体" w:hAnsi="宋体"/>
          <w:b/>
          <w:color w:val="auto"/>
          <w:sz w:val="28"/>
          <w:szCs w:val="28"/>
          <w:highlight w:val="none"/>
        </w:rPr>
        <w:t>供应商直接管理关系信息表</w:t>
      </w:r>
    </w:p>
    <w:p w14:paraId="5919A319">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165FF0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6241C2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9B91E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E0D62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B8908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FE6A03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2F409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D534E8">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44DD8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CDA698">
            <w:pPr>
              <w:spacing w:line="360" w:lineRule="auto"/>
              <w:jc w:val="center"/>
              <w:rPr>
                <w:rFonts w:ascii="宋体" w:hAnsi="宋体" w:cs="宋体"/>
                <w:color w:val="auto"/>
                <w:kern w:val="0"/>
                <w:sz w:val="24"/>
                <w:highlight w:val="none"/>
              </w:rPr>
            </w:pPr>
          </w:p>
        </w:tc>
      </w:tr>
      <w:tr w14:paraId="143BB12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19FA3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E0C7CE">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36E38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B52624">
            <w:pPr>
              <w:spacing w:line="360" w:lineRule="auto"/>
              <w:jc w:val="center"/>
              <w:rPr>
                <w:rFonts w:ascii="宋体" w:hAnsi="宋体" w:cs="宋体"/>
                <w:color w:val="auto"/>
                <w:kern w:val="0"/>
                <w:sz w:val="24"/>
                <w:highlight w:val="none"/>
              </w:rPr>
            </w:pPr>
          </w:p>
        </w:tc>
      </w:tr>
      <w:tr w14:paraId="29047F8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7E111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9EAF3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9AE65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3E272">
            <w:pPr>
              <w:spacing w:line="360" w:lineRule="auto"/>
              <w:jc w:val="center"/>
              <w:rPr>
                <w:rFonts w:ascii="宋体" w:hAnsi="宋体" w:cs="宋体"/>
                <w:color w:val="auto"/>
                <w:kern w:val="0"/>
                <w:sz w:val="24"/>
                <w:highlight w:val="none"/>
              </w:rPr>
            </w:pPr>
          </w:p>
        </w:tc>
      </w:tr>
      <w:tr w14:paraId="4545A25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19927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BE953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80CFCB">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63AC55">
            <w:pPr>
              <w:spacing w:line="360" w:lineRule="auto"/>
              <w:jc w:val="center"/>
              <w:rPr>
                <w:rFonts w:ascii="宋体" w:hAnsi="宋体" w:cs="宋体"/>
                <w:color w:val="auto"/>
                <w:kern w:val="0"/>
                <w:sz w:val="24"/>
                <w:highlight w:val="none"/>
              </w:rPr>
            </w:pPr>
          </w:p>
        </w:tc>
      </w:tr>
    </w:tbl>
    <w:p w14:paraId="388DB1AA">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4E1303A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13BDE3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4C6C70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32EBA734">
      <w:pPr>
        <w:snapToGrid w:val="0"/>
        <w:spacing w:line="360" w:lineRule="auto"/>
        <w:jc w:val="left"/>
        <w:rPr>
          <w:rFonts w:ascii="宋体" w:hAnsi="宋体"/>
          <w:color w:val="auto"/>
          <w:sz w:val="24"/>
          <w:highlight w:val="none"/>
        </w:rPr>
      </w:pPr>
    </w:p>
    <w:p w14:paraId="28DED4A4">
      <w:pPr>
        <w:snapToGrid w:val="0"/>
        <w:spacing w:line="360" w:lineRule="auto"/>
        <w:jc w:val="left"/>
        <w:rPr>
          <w:rFonts w:ascii="宋体" w:hAnsi="宋体"/>
          <w:color w:val="auto"/>
          <w:sz w:val="24"/>
          <w:highlight w:val="none"/>
        </w:rPr>
      </w:pPr>
    </w:p>
    <w:p w14:paraId="01E06E49">
      <w:pPr>
        <w:snapToGrid w:val="0"/>
        <w:spacing w:line="360" w:lineRule="auto"/>
        <w:jc w:val="left"/>
        <w:rPr>
          <w:rFonts w:ascii="宋体" w:hAnsi="宋体"/>
          <w:color w:val="auto"/>
          <w:sz w:val="24"/>
          <w:highlight w:val="none"/>
        </w:rPr>
      </w:pPr>
    </w:p>
    <w:p w14:paraId="00D55820">
      <w:pPr>
        <w:snapToGrid w:val="0"/>
        <w:spacing w:line="360" w:lineRule="auto"/>
        <w:jc w:val="left"/>
        <w:rPr>
          <w:color w:val="auto"/>
          <w:sz w:val="24"/>
          <w:highlight w:val="none"/>
        </w:rPr>
      </w:pPr>
    </w:p>
    <w:p w14:paraId="6FBF7F2C">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w:t>
      </w:r>
    </w:p>
    <w:p w14:paraId="3C0979FD">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供应商名称（电子签章）：</w:t>
      </w:r>
    </w:p>
    <w:p w14:paraId="189BEEA2">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14:paraId="378B0961">
      <w:pPr>
        <w:snapToGrid w:val="0"/>
        <w:spacing w:beforeLines="50" w:after="50"/>
        <w:jc w:val="left"/>
        <w:rPr>
          <w:rFonts w:ascii="宋体" w:hAnsi="宋体"/>
          <w:color w:val="auto"/>
          <w:sz w:val="24"/>
          <w:highlight w:val="none"/>
        </w:rPr>
      </w:pPr>
    </w:p>
    <w:p w14:paraId="6F823219">
      <w:pPr>
        <w:spacing w:line="320" w:lineRule="exact"/>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6.竞标声明</w:t>
      </w:r>
    </w:p>
    <w:p w14:paraId="4B2E262F">
      <w:pPr>
        <w:spacing w:line="320" w:lineRule="exact"/>
        <w:jc w:val="center"/>
        <w:rPr>
          <w:rFonts w:ascii="宋体" w:hAnsi="宋体"/>
          <w:b/>
          <w:color w:val="auto"/>
          <w:sz w:val="32"/>
          <w:szCs w:val="32"/>
          <w:highlight w:val="none"/>
        </w:rPr>
      </w:pPr>
    </w:p>
    <w:p w14:paraId="2B2C27D4">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竞标声明</w:t>
      </w:r>
    </w:p>
    <w:p w14:paraId="24076F05">
      <w:pPr>
        <w:spacing w:line="320" w:lineRule="exact"/>
        <w:jc w:val="center"/>
        <w:rPr>
          <w:rFonts w:ascii="宋体" w:hAnsi="宋体"/>
          <w:color w:val="auto"/>
          <w:sz w:val="24"/>
          <w:szCs w:val="20"/>
          <w:highlight w:val="none"/>
        </w:rPr>
      </w:pPr>
    </w:p>
    <w:p w14:paraId="1F239AFE">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C052251">
      <w:pPr>
        <w:wordWrap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E6682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46B8EF2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3145BC8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62E8B90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0E968E7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7503337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32FA988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22CB100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0F0B88D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20ED981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A93991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73622D5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D92D3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17113F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1E2CC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7283020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0C17D2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1C2C5B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31A77C3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4C23C14">
      <w:pPr>
        <w:pStyle w:val="18"/>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5907E578">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AE1FA0C">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2FCA84A7">
      <w:pPr>
        <w:pStyle w:val="16"/>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59CC0C04">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324A745C">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4363DF54">
      <w:pPr>
        <w:spacing w:line="360" w:lineRule="auto"/>
        <w:contextualSpacing/>
        <w:jc w:val="left"/>
        <w:rPr>
          <w:rFonts w:ascii="宋体" w:hAnsi="宋体" w:cs="宋体"/>
          <w:color w:val="auto"/>
          <w:szCs w:val="21"/>
          <w:highlight w:val="none"/>
        </w:rPr>
      </w:pPr>
    </w:p>
    <w:p w14:paraId="5B2C7F7C">
      <w:pPr>
        <w:spacing w:line="360" w:lineRule="auto"/>
        <w:ind w:firstLine="1800" w:firstLineChars="750"/>
        <w:contextualSpacing/>
        <w:rPr>
          <w:color w:val="auto"/>
          <w:highlight w:val="none"/>
        </w:rPr>
      </w:pPr>
      <w:r>
        <w:rPr>
          <w:rFonts w:hint="eastAsia" w:ascii="宋体" w:hAnsi="宋体"/>
          <w:color w:val="auto"/>
          <w:sz w:val="24"/>
          <w:highlight w:val="none"/>
        </w:rPr>
        <w:t>法定代表人（签字或者盖章或者电子签名）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33FA6372">
      <w:pPr>
        <w:spacing w:line="360" w:lineRule="auto"/>
        <w:ind w:firstLine="4320" w:firstLineChars="1800"/>
        <w:contextualSpacing/>
        <w:rPr>
          <w:rFonts w:ascii="宋体" w:hAnsi="宋体" w:cs="宋体"/>
          <w:color w:val="auto"/>
          <w:szCs w:val="21"/>
          <w:highlight w:val="none"/>
          <w:u w:val="single"/>
        </w:rPr>
      </w:pPr>
      <w:r>
        <w:rPr>
          <w:rFonts w:hint="eastAsia" w:ascii="宋体" w:hAnsi="宋体"/>
          <w:color w:val="auto"/>
          <w:sz w:val="24"/>
          <w:highlight w:val="none"/>
        </w:rPr>
        <w:t>供应商名称（电子签章）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0F8808A7">
      <w:pPr>
        <w:pStyle w:val="16"/>
        <w:tabs>
          <w:tab w:val="left" w:pos="939"/>
        </w:tabs>
        <w:spacing w:line="360" w:lineRule="auto"/>
        <w:ind w:left="0" w:leftChars="0" w:firstLine="420" w:firstLineChars="200"/>
        <w:rPr>
          <w:color w:val="auto"/>
          <w:sz w:val="24"/>
          <w:highlight w:val="none"/>
        </w:rPr>
      </w:pPr>
      <w:r>
        <w:rPr>
          <w:rFonts w:hint="eastAsia" w:ascii="宋体" w:hAnsi="宋体" w:cs="宋体"/>
          <w:color w:val="auto"/>
          <w:szCs w:val="21"/>
          <w:highlight w:val="none"/>
        </w:rPr>
        <w:t xml:space="preserve">                                                        </w:t>
      </w:r>
      <w:r>
        <w:rPr>
          <w:rFonts w:hint="eastAsia"/>
          <w:color w:val="auto"/>
          <w:sz w:val="24"/>
          <w:highlight w:val="none"/>
        </w:rPr>
        <w:t xml:space="preserve"> 年    月    日</w:t>
      </w:r>
    </w:p>
    <w:p w14:paraId="3F624C58">
      <w:pPr>
        <w:pStyle w:val="9"/>
        <w:overflowPunct w:val="0"/>
        <w:spacing w:line="520" w:lineRule="exact"/>
        <w:ind w:firstLine="0"/>
        <w:jc w:val="center"/>
        <w:rPr>
          <w:rFonts w:ascii="微软雅黑" w:hAnsi="微软雅黑" w:eastAsia="微软雅黑" w:cs="微软雅黑"/>
          <w:color w:val="auto"/>
          <w:sz w:val="44"/>
          <w:szCs w:val="44"/>
          <w:highlight w:val="none"/>
        </w:rPr>
      </w:pPr>
      <w:r>
        <w:rPr>
          <w:rFonts w:hint="eastAsia"/>
          <w:color w:val="auto"/>
          <w:sz w:val="24"/>
          <w:highlight w:val="none"/>
        </w:rPr>
        <w:br w:type="page"/>
      </w:r>
      <w:r>
        <w:rPr>
          <w:rFonts w:hint="eastAsia" w:ascii="微软雅黑" w:hAnsi="微软雅黑" w:eastAsia="微软雅黑" w:cs="微软雅黑"/>
          <w:color w:val="auto"/>
          <w:sz w:val="44"/>
          <w:szCs w:val="44"/>
          <w:highlight w:val="none"/>
        </w:rPr>
        <w:t>联合体竞标协议书</w:t>
      </w:r>
    </w:p>
    <w:p w14:paraId="75917558">
      <w:pPr>
        <w:pStyle w:val="9"/>
        <w:overflowPunct w:val="0"/>
        <w:spacing w:line="360" w:lineRule="auto"/>
        <w:ind w:firstLine="0"/>
        <w:rPr>
          <w:rFonts w:ascii="宋体" w:hAnsi="宋体"/>
          <w:color w:val="auto"/>
          <w:sz w:val="24"/>
          <w:szCs w:val="24"/>
          <w:highlight w:val="none"/>
        </w:rPr>
      </w:pPr>
    </w:p>
    <w:p w14:paraId="56637002">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（所有成员单位名称）自愿组成</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（联合体名称）联合体，共同参加</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（项目名称）采购项目竞标。现就联合体竞标事宜订立如下协议。</w:t>
      </w:r>
    </w:p>
    <w:p w14:paraId="0248B792">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（某成员单位名称）为</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（联合体名称）牵头人。</w:t>
      </w:r>
    </w:p>
    <w:p w14:paraId="63FB5407">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039F256C">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321C3654">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p>
    <w:p w14:paraId="66D5A937">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10F9763B">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5FDDF242">
      <w:pPr>
        <w:pStyle w:val="9"/>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注：本协议书应附法定代表人身份证明书；有委托代理的，应附授权委托书（格式自拟）。</w:t>
      </w:r>
    </w:p>
    <w:p w14:paraId="15555BA5">
      <w:pPr>
        <w:pStyle w:val="9"/>
        <w:overflowPunct w:val="0"/>
        <w:spacing w:line="360" w:lineRule="auto"/>
        <w:ind w:firstLineChars="175"/>
        <w:contextualSpacing/>
        <w:rPr>
          <w:rFonts w:ascii="宋体" w:hAnsi="宋体" w:cs="仿宋_GB2312"/>
          <w:color w:val="auto"/>
          <w:sz w:val="24"/>
          <w:szCs w:val="24"/>
          <w:highlight w:val="none"/>
        </w:rPr>
      </w:pPr>
    </w:p>
    <w:p w14:paraId="607C7FA8">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7DB2F4CC">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3547A858">
      <w:pPr>
        <w:pStyle w:val="9"/>
        <w:overflowPunct w:val="0"/>
        <w:spacing w:line="360" w:lineRule="auto"/>
        <w:ind w:firstLine="0"/>
        <w:contextualSpacing/>
        <w:rPr>
          <w:rFonts w:ascii="宋体" w:hAnsi="宋体" w:cs="仿宋_GB2312"/>
          <w:color w:val="auto"/>
          <w:sz w:val="24"/>
          <w:szCs w:val="24"/>
          <w:highlight w:val="none"/>
        </w:rPr>
      </w:pPr>
    </w:p>
    <w:p w14:paraId="304D9587">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7C78271E">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4EB56453">
      <w:pPr>
        <w:pStyle w:val="9"/>
        <w:overflowPunct w:val="0"/>
        <w:spacing w:line="360" w:lineRule="auto"/>
        <w:ind w:firstLine="0"/>
        <w:contextualSpacing/>
        <w:rPr>
          <w:rFonts w:ascii="宋体" w:hAnsi="宋体" w:cs="仿宋_GB2312"/>
          <w:color w:val="auto"/>
          <w:sz w:val="24"/>
          <w:szCs w:val="24"/>
          <w:highlight w:val="none"/>
        </w:rPr>
      </w:pPr>
    </w:p>
    <w:p w14:paraId="1967C0D0">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54CFA455">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10ADE03E">
      <w:pPr>
        <w:pStyle w:val="9"/>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5687375D">
      <w:pPr>
        <w:spacing w:line="360" w:lineRule="auto"/>
        <w:ind w:right="480" w:firstLine="240" w:firstLineChars="100"/>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229E1087">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 xml:space="preserve">                                                年  </w:t>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月  </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51CC5355">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69722452">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2735CDF7">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0EA2DB2E">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025C4FE3">
      <w:pPr>
        <w:snapToGrid w:val="0"/>
        <w:spacing w:beforeLines="50" w:after="50"/>
        <w:rPr>
          <w:rFonts w:ascii="宋体" w:hAnsi="宋体"/>
          <w:color w:val="auto"/>
          <w:sz w:val="24"/>
          <w:szCs w:val="20"/>
          <w:highlight w:val="none"/>
        </w:rPr>
      </w:pPr>
    </w:p>
    <w:p w14:paraId="390AAF45">
      <w:pPr>
        <w:snapToGrid w:val="0"/>
        <w:spacing w:beforeLines="50" w:after="50"/>
        <w:rPr>
          <w:rFonts w:ascii="宋体" w:hAnsi="宋体"/>
          <w:color w:val="auto"/>
          <w:sz w:val="24"/>
          <w:szCs w:val="20"/>
          <w:highlight w:val="none"/>
        </w:rPr>
      </w:pPr>
    </w:p>
    <w:p w14:paraId="37E39F7D">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3DA10D95">
      <w:pPr>
        <w:snapToGrid w:val="0"/>
        <w:spacing w:beforeLines="50" w:after="50"/>
        <w:rPr>
          <w:rFonts w:ascii="宋体" w:hAnsi="宋体"/>
          <w:bCs/>
          <w:color w:val="auto"/>
          <w:sz w:val="24"/>
          <w:szCs w:val="20"/>
          <w:highlight w:val="none"/>
        </w:rPr>
      </w:pPr>
    </w:p>
    <w:p w14:paraId="435EDE61">
      <w:pPr>
        <w:snapToGrid w:val="0"/>
        <w:spacing w:beforeLines="50" w:after="50"/>
        <w:rPr>
          <w:rFonts w:ascii="宋体" w:hAnsi="宋体"/>
          <w:bCs/>
          <w:color w:val="auto"/>
          <w:sz w:val="24"/>
          <w:szCs w:val="20"/>
          <w:highlight w:val="none"/>
        </w:rPr>
      </w:pPr>
    </w:p>
    <w:p w14:paraId="5EC5894B">
      <w:pPr>
        <w:snapToGrid w:val="0"/>
        <w:spacing w:beforeLines="50" w:after="50"/>
        <w:rPr>
          <w:rFonts w:ascii="宋体" w:hAnsi="宋体"/>
          <w:bCs/>
          <w:color w:val="auto"/>
          <w:sz w:val="24"/>
          <w:szCs w:val="20"/>
          <w:highlight w:val="none"/>
        </w:rPr>
      </w:pPr>
    </w:p>
    <w:p w14:paraId="224B6E10">
      <w:pPr>
        <w:snapToGrid w:val="0"/>
        <w:spacing w:beforeLines="50" w:after="50"/>
        <w:rPr>
          <w:rFonts w:ascii="宋体" w:hAnsi="宋体"/>
          <w:bCs/>
          <w:color w:val="auto"/>
          <w:sz w:val="24"/>
          <w:szCs w:val="20"/>
          <w:highlight w:val="none"/>
        </w:rPr>
      </w:pPr>
    </w:p>
    <w:p w14:paraId="6B1B530A">
      <w:pPr>
        <w:snapToGrid w:val="0"/>
        <w:spacing w:beforeLines="50" w:after="50"/>
        <w:rPr>
          <w:rFonts w:ascii="宋体" w:hAnsi="宋体"/>
          <w:bCs/>
          <w:color w:val="auto"/>
          <w:sz w:val="24"/>
          <w:szCs w:val="20"/>
          <w:highlight w:val="none"/>
        </w:rPr>
      </w:pPr>
    </w:p>
    <w:p w14:paraId="3B2C9CA0">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E940EF5">
      <w:pPr>
        <w:snapToGrid w:val="0"/>
        <w:spacing w:beforeLines="50" w:after="50"/>
        <w:ind w:firstLine="720" w:firstLineChars="225"/>
        <w:rPr>
          <w:rFonts w:ascii="宋体" w:hAnsi="宋体" w:cs="仿宋_GB2312"/>
          <w:bCs/>
          <w:color w:val="auto"/>
          <w:sz w:val="32"/>
          <w:szCs w:val="32"/>
          <w:highlight w:val="none"/>
        </w:rPr>
      </w:pPr>
    </w:p>
    <w:p w14:paraId="1F5CB553">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918447A">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1E565AB">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C3B29AA">
      <w:pPr>
        <w:snapToGrid w:val="0"/>
        <w:spacing w:beforeLines="50" w:after="50"/>
        <w:ind w:firstLine="720" w:firstLineChars="225"/>
        <w:rPr>
          <w:rFonts w:ascii="宋体" w:hAnsi="宋体" w:cs="仿宋_GB2312"/>
          <w:bCs/>
          <w:color w:val="auto"/>
          <w:sz w:val="32"/>
          <w:szCs w:val="32"/>
          <w:highlight w:val="none"/>
        </w:rPr>
      </w:pPr>
    </w:p>
    <w:p w14:paraId="7E9F1771">
      <w:pPr>
        <w:pStyle w:val="9"/>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383068D">
      <w:pPr>
        <w:pStyle w:val="9"/>
        <w:snapToGrid w:val="0"/>
        <w:spacing w:before="50" w:after="50"/>
        <w:ind w:firstLine="640" w:firstLineChars="200"/>
        <w:rPr>
          <w:rFonts w:ascii="宋体" w:hAnsi="宋体" w:cs="仿宋_GB2312"/>
          <w:bCs/>
          <w:color w:val="auto"/>
          <w:sz w:val="32"/>
          <w:szCs w:val="32"/>
          <w:highlight w:val="none"/>
        </w:rPr>
      </w:pPr>
    </w:p>
    <w:p w14:paraId="7325D5E0">
      <w:pPr>
        <w:pStyle w:val="9"/>
        <w:snapToGrid w:val="0"/>
        <w:spacing w:before="50" w:after="50"/>
        <w:ind w:firstLine="720" w:firstLineChars="225"/>
        <w:rPr>
          <w:rFonts w:ascii="宋体" w:hAnsi="宋体" w:cs="仿宋_GB2312"/>
          <w:bCs/>
          <w:color w:val="auto"/>
          <w:sz w:val="32"/>
          <w:szCs w:val="32"/>
          <w:highlight w:val="none"/>
        </w:rPr>
      </w:pPr>
    </w:p>
    <w:p w14:paraId="3AB07414">
      <w:pPr>
        <w:pStyle w:val="9"/>
        <w:snapToGrid w:val="0"/>
        <w:spacing w:before="50" w:after="50"/>
        <w:ind w:firstLine="0"/>
        <w:rPr>
          <w:rFonts w:ascii="宋体" w:hAnsi="宋体" w:cs="仿宋_GB2312"/>
          <w:bCs/>
          <w:color w:val="auto"/>
          <w:sz w:val="32"/>
          <w:szCs w:val="32"/>
          <w:highlight w:val="none"/>
        </w:rPr>
      </w:pPr>
    </w:p>
    <w:p w14:paraId="52AC7D48">
      <w:pPr>
        <w:pStyle w:val="9"/>
        <w:snapToGrid w:val="0"/>
        <w:spacing w:before="50" w:after="50"/>
        <w:ind w:firstLine="1280" w:firstLineChars="400"/>
        <w:rPr>
          <w:rFonts w:ascii="宋体" w:hAnsi="宋体" w:cs="仿宋_GB2312"/>
          <w:bCs/>
          <w:color w:val="auto"/>
          <w:sz w:val="32"/>
          <w:szCs w:val="32"/>
          <w:highlight w:val="none"/>
        </w:rPr>
      </w:pPr>
    </w:p>
    <w:p w14:paraId="5107C9EB">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0BDDA60">
      <w:pPr>
        <w:snapToGrid w:val="0"/>
        <w:spacing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6421145E">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05CACB27">
      <w:pPr>
        <w:spacing w:line="440" w:lineRule="exact"/>
        <w:jc w:val="center"/>
        <w:rPr>
          <w:rFonts w:ascii="方正小标宋简体" w:hAnsi="方正小标宋简体" w:eastAsia="方正小标宋简体" w:cs="方正小标宋简体"/>
          <w:bCs/>
          <w:color w:val="auto"/>
          <w:sz w:val="32"/>
          <w:szCs w:val="32"/>
          <w:highlight w:val="none"/>
        </w:rPr>
      </w:pPr>
    </w:p>
    <w:p w14:paraId="067B7D5A">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p>
    <w:p w14:paraId="594C05F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2AD6647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271BC8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r>
        <w:rPr>
          <w:rFonts w:ascii="宋体" w:hAnsi="宋体" w:cs="仿宋_GB2312"/>
          <w:color w:val="auto"/>
          <w:sz w:val="24"/>
          <w:highlight w:val="none"/>
        </w:rPr>
        <w:t xml:space="preserve">           </w:t>
      </w:r>
      <w:r>
        <w:rPr>
          <w:rFonts w:hint="eastAsia" w:ascii="宋体" w:hAnsi="宋体" w:cs="仿宋_GB2312"/>
          <w:color w:val="auto"/>
          <w:sz w:val="24"/>
          <w:highlight w:val="none"/>
        </w:rPr>
        <w:t>单位：元</w:t>
      </w:r>
    </w:p>
    <w:tbl>
      <w:tblPr>
        <w:tblStyle w:val="28"/>
        <w:tblpPr w:leftFromText="180" w:rightFromText="180" w:vertAnchor="text" w:horzAnchor="page" w:tblpX="1434" w:tblpY="885"/>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57"/>
        <w:gridCol w:w="1531"/>
        <w:gridCol w:w="774"/>
        <w:gridCol w:w="1778"/>
        <w:gridCol w:w="1800"/>
        <w:gridCol w:w="669"/>
      </w:tblGrid>
      <w:tr w14:paraId="3F0E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708" w:type="dxa"/>
            <w:tcBorders>
              <w:top w:val="single" w:color="auto" w:sz="4" w:space="0"/>
              <w:left w:val="single" w:color="auto" w:sz="4" w:space="0"/>
              <w:bottom w:val="single" w:color="auto" w:sz="4" w:space="0"/>
              <w:right w:val="single" w:color="auto" w:sz="4" w:space="0"/>
            </w:tcBorders>
            <w:vAlign w:val="center"/>
          </w:tcPr>
          <w:p w14:paraId="5F3D75E1">
            <w:pPr>
              <w:widowControl/>
              <w:wordWrap w:val="0"/>
              <w:spacing w:line="3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序号</w:t>
            </w:r>
          </w:p>
        </w:tc>
        <w:tc>
          <w:tcPr>
            <w:tcW w:w="1957" w:type="dxa"/>
            <w:tcBorders>
              <w:top w:val="single" w:color="auto" w:sz="4" w:space="0"/>
              <w:left w:val="single" w:color="auto" w:sz="4" w:space="0"/>
              <w:bottom w:val="single" w:color="auto" w:sz="4" w:space="0"/>
              <w:right w:val="single" w:color="auto" w:sz="4" w:space="0"/>
            </w:tcBorders>
            <w:vAlign w:val="center"/>
          </w:tcPr>
          <w:p w14:paraId="5E9020CE">
            <w:pPr>
              <w:widowControl/>
              <w:wordWrap w:val="0"/>
              <w:spacing w:line="3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服务名称</w:t>
            </w:r>
          </w:p>
        </w:tc>
        <w:tc>
          <w:tcPr>
            <w:tcW w:w="1531" w:type="dxa"/>
            <w:tcBorders>
              <w:top w:val="single" w:color="auto" w:sz="4" w:space="0"/>
              <w:left w:val="single" w:color="auto" w:sz="4" w:space="0"/>
              <w:bottom w:val="single" w:color="auto" w:sz="4" w:space="0"/>
              <w:right w:val="single" w:color="auto" w:sz="4" w:space="0"/>
            </w:tcBorders>
            <w:vAlign w:val="center"/>
          </w:tcPr>
          <w:p w14:paraId="38DF1330">
            <w:pPr>
              <w:widowControl/>
              <w:wordWrap w:val="0"/>
              <w:spacing w:line="36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数量</w:t>
            </w:r>
          </w:p>
        </w:tc>
        <w:tc>
          <w:tcPr>
            <w:tcW w:w="774" w:type="dxa"/>
            <w:tcBorders>
              <w:top w:val="single" w:color="auto" w:sz="4" w:space="0"/>
              <w:left w:val="single" w:color="auto" w:sz="4" w:space="0"/>
              <w:bottom w:val="single" w:color="auto" w:sz="4" w:space="0"/>
              <w:right w:val="single" w:color="auto" w:sz="4" w:space="0"/>
            </w:tcBorders>
            <w:vAlign w:val="center"/>
          </w:tcPr>
          <w:p w14:paraId="6B62C93B">
            <w:pPr>
              <w:widowControl/>
              <w:wordWrap w:val="0"/>
              <w:spacing w:line="360" w:lineRule="exact"/>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1778" w:type="dxa"/>
            <w:tcBorders>
              <w:top w:val="single" w:color="auto" w:sz="4" w:space="0"/>
              <w:left w:val="single" w:color="auto" w:sz="4" w:space="0"/>
              <w:bottom w:val="single" w:color="auto" w:sz="4" w:space="0"/>
              <w:right w:val="single" w:color="auto" w:sz="4" w:space="0"/>
            </w:tcBorders>
            <w:vAlign w:val="center"/>
          </w:tcPr>
          <w:p w14:paraId="3FD18949">
            <w:pPr>
              <w:widowControl/>
              <w:wordWrap w:val="0"/>
              <w:spacing w:line="360" w:lineRule="exact"/>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单价（元）</w:t>
            </w:r>
          </w:p>
        </w:tc>
        <w:tc>
          <w:tcPr>
            <w:tcW w:w="1800" w:type="dxa"/>
            <w:tcBorders>
              <w:top w:val="single" w:color="auto" w:sz="4" w:space="0"/>
              <w:left w:val="single" w:color="auto" w:sz="4" w:space="0"/>
              <w:bottom w:val="single" w:color="auto" w:sz="4" w:space="0"/>
              <w:right w:val="single" w:color="auto" w:sz="4" w:space="0"/>
            </w:tcBorders>
            <w:vAlign w:val="center"/>
          </w:tcPr>
          <w:p w14:paraId="11381D1B">
            <w:pPr>
              <w:widowControl/>
              <w:wordWrap w:val="0"/>
              <w:spacing w:line="360" w:lineRule="exact"/>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单价合计（元）</w:t>
            </w:r>
          </w:p>
        </w:tc>
        <w:tc>
          <w:tcPr>
            <w:tcW w:w="669" w:type="dxa"/>
            <w:tcBorders>
              <w:top w:val="single" w:color="auto" w:sz="4" w:space="0"/>
              <w:left w:val="single" w:color="auto" w:sz="4" w:space="0"/>
              <w:bottom w:val="single" w:color="auto" w:sz="4" w:space="0"/>
              <w:right w:val="single" w:color="auto" w:sz="4" w:space="0"/>
            </w:tcBorders>
            <w:vAlign w:val="center"/>
          </w:tcPr>
          <w:p w14:paraId="7C3A1B2D">
            <w:pPr>
              <w:widowControl/>
              <w:wordWrap w:val="0"/>
              <w:spacing w:line="360" w:lineRule="exact"/>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F29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08" w:type="dxa"/>
            <w:tcBorders>
              <w:top w:val="single" w:color="auto" w:sz="4" w:space="0"/>
              <w:left w:val="single" w:color="auto" w:sz="4" w:space="0"/>
              <w:bottom w:val="single" w:color="auto" w:sz="4" w:space="0"/>
              <w:right w:val="single" w:color="auto" w:sz="4" w:space="0"/>
            </w:tcBorders>
            <w:vAlign w:val="center"/>
          </w:tcPr>
          <w:p w14:paraId="637BDC50">
            <w:pPr>
              <w:widowControl/>
              <w:wordWrap w:val="0"/>
              <w:spacing w:line="3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957" w:type="dxa"/>
            <w:tcBorders>
              <w:top w:val="single" w:color="auto" w:sz="4" w:space="0"/>
              <w:left w:val="single" w:color="auto" w:sz="4" w:space="0"/>
              <w:bottom w:val="single" w:color="auto" w:sz="4" w:space="0"/>
              <w:right w:val="single" w:color="auto" w:sz="4" w:space="0"/>
            </w:tcBorders>
            <w:vAlign w:val="center"/>
          </w:tcPr>
          <w:p w14:paraId="2F7D6255">
            <w:pPr>
              <w:widowControl/>
              <w:wordWrap w:val="0"/>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水泥蚝桩拆除</w:t>
            </w:r>
          </w:p>
        </w:tc>
        <w:tc>
          <w:tcPr>
            <w:tcW w:w="1531" w:type="dxa"/>
            <w:tcBorders>
              <w:top w:val="single" w:color="auto" w:sz="4" w:space="0"/>
              <w:left w:val="single" w:color="auto" w:sz="4" w:space="0"/>
              <w:bottom w:val="single" w:color="auto" w:sz="4" w:space="0"/>
              <w:right w:val="single" w:color="auto" w:sz="4" w:space="0"/>
            </w:tcBorders>
            <w:vAlign w:val="center"/>
          </w:tcPr>
          <w:p w14:paraId="6B4D91AA">
            <w:pPr>
              <w:widowControl/>
              <w:wordWrap w:val="0"/>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2809947.00</w:t>
            </w:r>
          </w:p>
        </w:tc>
        <w:tc>
          <w:tcPr>
            <w:tcW w:w="774" w:type="dxa"/>
            <w:tcBorders>
              <w:top w:val="single" w:color="auto" w:sz="4" w:space="0"/>
              <w:left w:val="single" w:color="auto" w:sz="4" w:space="0"/>
              <w:bottom w:val="single" w:color="auto" w:sz="4" w:space="0"/>
              <w:right w:val="single" w:color="auto" w:sz="4" w:space="0"/>
            </w:tcBorders>
            <w:vAlign w:val="center"/>
          </w:tcPr>
          <w:p w14:paraId="6C8124C9">
            <w:pPr>
              <w:widowControl/>
              <w:wordWrap w:val="0"/>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根</w:t>
            </w:r>
          </w:p>
        </w:tc>
        <w:tc>
          <w:tcPr>
            <w:tcW w:w="1778" w:type="dxa"/>
            <w:tcBorders>
              <w:top w:val="single" w:color="auto" w:sz="4" w:space="0"/>
              <w:left w:val="single" w:color="auto" w:sz="4" w:space="0"/>
              <w:bottom w:val="single" w:color="auto" w:sz="4" w:space="0"/>
              <w:right w:val="single" w:color="auto" w:sz="4" w:space="0"/>
            </w:tcBorders>
            <w:vAlign w:val="center"/>
          </w:tcPr>
          <w:p w14:paraId="5D17983D">
            <w:pPr>
              <w:widowControl/>
              <w:wordWrap w:val="0"/>
              <w:spacing w:line="360" w:lineRule="exact"/>
              <w:jc w:val="center"/>
              <w:textAlignment w:val="center"/>
              <w:rPr>
                <w:rFonts w:ascii="宋体" w:hAnsi="宋体" w:cs="宋体"/>
                <w:color w:val="auto"/>
                <w:kern w:val="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CD0D217">
            <w:pPr>
              <w:wordWrap w:val="0"/>
              <w:spacing w:line="360" w:lineRule="exact"/>
              <w:jc w:val="center"/>
              <w:rPr>
                <w:rFonts w:ascii="宋体" w:hAnsi="宋体" w:cs="宋体"/>
                <w:color w:val="auto"/>
                <w:sz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6D56BA5F">
            <w:pPr>
              <w:wordWrap w:val="0"/>
              <w:spacing w:line="360" w:lineRule="exact"/>
              <w:jc w:val="center"/>
              <w:rPr>
                <w:rFonts w:ascii="宋体" w:hAnsi="宋体" w:cs="宋体"/>
                <w:color w:val="auto"/>
                <w:sz w:val="24"/>
                <w:highlight w:val="none"/>
              </w:rPr>
            </w:pPr>
          </w:p>
        </w:tc>
      </w:tr>
      <w:tr w14:paraId="62C7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708" w:type="dxa"/>
            <w:tcBorders>
              <w:top w:val="single" w:color="auto" w:sz="4" w:space="0"/>
              <w:left w:val="single" w:color="auto" w:sz="4" w:space="0"/>
              <w:bottom w:val="single" w:color="auto" w:sz="4" w:space="0"/>
              <w:right w:val="single" w:color="auto" w:sz="4" w:space="0"/>
            </w:tcBorders>
            <w:vAlign w:val="center"/>
          </w:tcPr>
          <w:p w14:paraId="78B11FCF">
            <w:pPr>
              <w:widowControl/>
              <w:wordWrap w:val="0"/>
              <w:spacing w:line="3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957" w:type="dxa"/>
            <w:tcBorders>
              <w:top w:val="single" w:color="auto" w:sz="4" w:space="0"/>
              <w:left w:val="single" w:color="auto" w:sz="4" w:space="0"/>
              <w:bottom w:val="single" w:color="auto" w:sz="4" w:space="0"/>
              <w:right w:val="single" w:color="auto" w:sz="4" w:space="0"/>
            </w:tcBorders>
            <w:vAlign w:val="center"/>
          </w:tcPr>
          <w:p w14:paraId="0E5C660E">
            <w:pPr>
              <w:widowControl/>
              <w:wordWrap w:val="0"/>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废弃蚝堆拆除</w:t>
            </w:r>
          </w:p>
        </w:tc>
        <w:tc>
          <w:tcPr>
            <w:tcW w:w="1531" w:type="dxa"/>
            <w:tcBorders>
              <w:top w:val="single" w:color="auto" w:sz="4" w:space="0"/>
              <w:left w:val="single" w:color="auto" w:sz="4" w:space="0"/>
              <w:bottom w:val="single" w:color="auto" w:sz="4" w:space="0"/>
              <w:right w:val="single" w:color="auto" w:sz="4" w:space="0"/>
            </w:tcBorders>
            <w:vAlign w:val="center"/>
          </w:tcPr>
          <w:p w14:paraId="4B93B814">
            <w:pPr>
              <w:widowControl/>
              <w:wordWrap w:val="0"/>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5.73</w:t>
            </w:r>
          </w:p>
        </w:tc>
        <w:tc>
          <w:tcPr>
            <w:tcW w:w="774" w:type="dxa"/>
            <w:tcBorders>
              <w:top w:val="single" w:color="auto" w:sz="4" w:space="0"/>
              <w:left w:val="single" w:color="auto" w:sz="4" w:space="0"/>
              <w:bottom w:val="single" w:color="auto" w:sz="4" w:space="0"/>
              <w:right w:val="single" w:color="auto" w:sz="4" w:space="0"/>
            </w:tcBorders>
            <w:vAlign w:val="center"/>
          </w:tcPr>
          <w:p w14:paraId="42B39C8F">
            <w:pPr>
              <w:widowControl/>
              <w:wordWrap w:val="0"/>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亩</w:t>
            </w:r>
          </w:p>
        </w:tc>
        <w:tc>
          <w:tcPr>
            <w:tcW w:w="1778" w:type="dxa"/>
            <w:tcBorders>
              <w:top w:val="single" w:color="auto" w:sz="4" w:space="0"/>
              <w:left w:val="single" w:color="auto" w:sz="4" w:space="0"/>
              <w:bottom w:val="single" w:color="auto" w:sz="4" w:space="0"/>
              <w:right w:val="single" w:color="auto" w:sz="4" w:space="0"/>
            </w:tcBorders>
            <w:vAlign w:val="center"/>
          </w:tcPr>
          <w:p w14:paraId="277AC460">
            <w:pPr>
              <w:widowControl/>
              <w:wordWrap w:val="0"/>
              <w:spacing w:line="360" w:lineRule="exact"/>
              <w:jc w:val="center"/>
              <w:textAlignment w:val="center"/>
              <w:rPr>
                <w:rFonts w:ascii="宋体" w:hAnsi="宋体" w:cs="宋体"/>
                <w:color w:val="auto"/>
                <w:kern w:val="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0D00CC8F">
            <w:pPr>
              <w:wordWrap w:val="0"/>
              <w:spacing w:line="360" w:lineRule="exact"/>
              <w:jc w:val="center"/>
              <w:rPr>
                <w:rFonts w:ascii="宋体" w:hAnsi="宋体" w:cs="宋体"/>
                <w:color w:val="auto"/>
                <w:sz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48317219">
            <w:pPr>
              <w:wordWrap w:val="0"/>
              <w:spacing w:line="360" w:lineRule="exact"/>
              <w:jc w:val="center"/>
              <w:rPr>
                <w:rFonts w:ascii="宋体" w:hAnsi="宋体" w:cs="宋体"/>
                <w:color w:val="auto"/>
                <w:sz w:val="24"/>
                <w:highlight w:val="none"/>
              </w:rPr>
            </w:pPr>
          </w:p>
        </w:tc>
      </w:tr>
      <w:tr w14:paraId="572E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08" w:type="dxa"/>
            <w:tcBorders>
              <w:top w:val="single" w:color="auto" w:sz="4" w:space="0"/>
              <w:left w:val="single" w:color="auto" w:sz="4" w:space="0"/>
              <w:bottom w:val="single" w:color="auto" w:sz="4" w:space="0"/>
              <w:right w:val="single" w:color="auto" w:sz="4" w:space="0"/>
            </w:tcBorders>
            <w:vAlign w:val="center"/>
          </w:tcPr>
          <w:p w14:paraId="5D92E6FE">
            <w:pPr>
              <w:widowControl/>
              <w:wordWrap w:val="0"/>
              <w:spacing w:line="3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1957" w:type="dxa"/>
            <w:tcBorders>
              <w:top w:val="single" w:color="auto" w:sz="4" w:space="0"/>
              <w:left w:val="single" w:color="auto" w:sz="4" w:space="0"/>
              <w:bottom w:val="single" w:color="auto" w:sz="4" w:space="0"/>
              <w:right w:val="single" w:color="auto" w:sz="4" w:space="0"/>
            </w:tcBorders>
            <w:vAlign w:val="center"/>
          </w:tcPr>
          <w:p w14:paraId="1D83B6A8">
            <w:pPr>
              <w:widowControl/>
              <w:wordWrap w:val="0"/>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渔箔拆除</w:t>
            </w:r>
          </w:p>
        </w:tc>
        <w:tc>
          <w:tcPr>
            <w:tcW w:w="1531" w:type="dxa"/>
            <w:tcBorders>
              <w:top w:val="single" w:color="auto" w:sz="4" w:space="0"/>
              <w:left w:val="single" w:color="auto" w:sz="4" w:space="0"/>
              <w:bottom w:val="single" w:color="auto" w:sz="4" w:space="0"/>
              <w:right w:val="single" w:color="auto" w:sz="4" w:space="0"/>
            </w:tcBorders>
            <w:vAlign w:val="center"/>
          </w:tcPr>
          <w:p w14:paraId="1ACB4CBA">
            <w:pPr>
              <w:widowControl/>
              <w:wordWrap w:val="0"/>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14490.00</w:t>
            </w:r>
          </w:p>
        </w:tc>
        <w:tc>
          <w:tcPr>
            <w:tcW w:w="774" w:type="dxa"/>
            <w:tcBorders>
              <w:top w:val="single" w:color="auto" w:sz="4" w:space="0"/>
              <w:left w:val="single" w:color="auto" w:sz="4" w:space="0"/>
              <w:bottom w:val="single" w:color="auto" w:sz="4" w:space="0"/>
              <w:right w:val="single" w:color="auto" w:sz="4" w:space="0"/>
            </w:tcBorders>
            <w:vAlign w:val="center"/>
          </w:tcPr>
          <w:p w14:paraId="569EA350">
            <w:pPr>
              <w:widowControl/>
              <w:wordWrap w:val="0"/>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米</w:t>
            </w:r>
          </w:p>
        </w:tc>
        <w:tc>
          <w:tcPr>
            <w:tcW w:w="1778" w:type="dxa"/>
            <w:tcBorders>
              <w:top w:val="single" w:color="auto" w:sz="4" w:space="0"/>
              <w:left w:val="single" w:color="auto" w:sz="4" w:space="0"/>
              <w:bottom w:val="single" w:color="auto" w:sz="4" w:space="0"/>
              <w:right w:val="single" w:color="auto" w:sz="4" w:space="0"/>
            </w:tcBorders>
            <w:vAlign w:val="center"/>
          </w:tcPr>
          <w:p w14:paraId="1A1C5A1B">
            <w:pPr>
              <w:widowControl/>
              <w:wordWrap w:val="0"/>
              <w:spacing w:line="360" w:lineRule="exact"/>
              <w:jc w:val="center"/>
              <w:textAlignment w:val="center"/>
              <w:rPr>
                <w:rFonts w:ascii="宋体" w:hAnsi="宋体" w:cs="宋体"/>
                <w:color w:val="auto"/>
                <w:kern w:val="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04A0760D">
            <w:pPr>
              <w:wordWrap w:val="0"/>
              <w:spacing w:line="360" w:lineRule="exact"/>
              <w:jc w:val="center"/>
              <w:rPr>
                <w:rFonts w:ascii="宋体" w:hAnsi="宋体" w:cs="宋体"/>
                <w:color w:val="auto"/>
                <w:sz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41E409D2">
            <w:pPr>
              <w:wordWrap w:val="0"/>
              <w:spacing w:line="360" w:lineRule="exact"/>
              <w:jc w:val="center"/>
              <w:rPr>
                <w:rFonts w:ascii="宋体" w:hAnsi="宋体" w:cs="宋体"/>
                <w:color w:val="auto"/>
                <w:sz w:val="24"/>
                <w:highlight w:val="none"/>
              </w:rPr>
            </w:pPr>
          </w:p>
        </w:tc>
      </w:tr>
      <w:tr w14:paraId="785E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08" w:type="dxa"/>
            <w:tcBorders>
              <w:top w:val="single" w:color="auto" w:sz="4" w:space="0"/>
              <w:left w:val="single" w:color="auto" w:sz="4" w:space="0"/>
              <w:bottom w:val="single" w:color="auto" w:sz="4" w:space="0"/>
              <w:right w:val="single" w:color="auto" w:sz="4" w:space="0"/>
            </w:tcBorders>
            <w:vAlign w:val="center"/>
          </w:tcPr>
          <w:p w14:paraId="21416195">
            <w:pPr>
              <w:widowControl/>
              <w:wordWrap w:val="0"/>
              <w:spacing w:line="3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957" w:type="dxa"/>
            <w:tcBorders>
              <w:top w:val="single" w:color="auto" w:sz="4" w:space="0"/>
              <w:left w:val="single" w:color="auto" w:sz="4" w:space="0"/>
              <w:bottom w:val="single" w:color="auto" w:sz="4" w:space="0"/>
              <w:right w:val="single" w:color="auto" w:sz="4" w:space="0"/>
            </w:tcBorders>
            <w:vAlign w:val="center"/>
          </w:tcPr>
          <w:p w14:paraId="6AA8CFBF">
            <w:pPr>
              <w:widowControl/>
              <w:wordWrap w:val="0"/>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后期验收服务</w:t>
            </w:r>
          </w:p>
        </w:tc>
        <w:tc>
          <w:tcPr>
            <w:tcW w:w="1531" w:type="dxa"/>
            <w:tcBorders>
              <w:top w:val="single" w:color="auto" w:sz="4" w:space="0"/>
              <w:left w:val="single" w:color="auto" w:sz="4" w:space="0"/>
              <w:bottom w:val="single" w:color="auto" w:sz="4" w:space="0"/>
              <w:right w:val="single" w:color="auto" w:sz="4" w:space="0"/>
            </w:tcBorders>
            <w:vAlign w:val="center"/>
          </w:tcPr>
          <w:p w14:paraId="16657DA5">
            <w:pPr>
              <w:widowControl/>
              <w:wordWrap w:val="0"/>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74" w:type="dxa"/>
            <w:tcBorders>
              <w:top w:val="single" w:color="auto" w:sz="4" w:space="0"/>
              <w:left w:val="single" w:color="auto" w:sz="4" w:space="0"/>
              <w:bottom w:val="single" w:color="auto" w:sz="4" w:space="0"/>
              <w:right w:val="single" w:color="auto" w:sz="4" w:space="0"/>
            </w:tcBorders>
            <w:vAlign w:val="center"/>
          </w:tcPr>
          <w:p w14:paraId="2889E434">
            <w:pPr>
              <w:widowControl/>
              <w:wordWrap w:val="0"/>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项</w:t>
            </w:r>
          </w:p>
        </w:tc>
        <w:tc>
          <w:tcPr>
            <w:tcW w:w="1778" w:type="dxa"/>
            <w:tcBorders>
              <w:top w:val="single" w:color="auto" w:sz="4" w:space="0"/>
              <w:left w:val="single" w:color="auto" w:sz="4" w:space="0"/>
              <w:bottom w:val="single" w:color="auto" w:sz="4" w:space="0"/>
              <w:right w:val="single" w:color="auto" w:sz="4" w:space="0"/>
            </w:tcBorders>
            <w:vAlign w:val="center"/>
          </w:tcPr>
          <w:p w14:paraId="61EC9F1C">
            <w:pPr>
              <w:widowControl/>
              <w:wordWrap w:val="0"/>
              <w:spacing w:line="360" w:lineRule="exact"/>
              <w:jc w:val="center"/>
              <w:textAlignment w:val="center"/>
              <w:rPr>
                <w:rFonts w:ascii="宋体" w:hAnsi="宋体" w:cs="宋体"/>
                <w:color w:val="auto"/>
                <w:kern w:val="0"/>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881CFE9">
            <w:pPr>
              <w:wordWrap w:val="0"/>
              <w:spacing w:line="360" w:lineRule="exact"/>
              <w:jc w:val="center"/>
              <w:rPr>
                <w:rFonts w:ascii="宋体" w:hAnsi="宋体" w:cs="宋体"/>
                <w:color w:val="auto"/>
                <w:sz w:val="24"/>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14:paraId="10D034F9">
            <w:pPr>
              <w:wordWrap w:val="0"/>
              <w:spacing w:line="360" w:lineRule="exact"/>
              <w:jc w:val="center"/>
              <w:rPr>
                <w:rFonts w:ascii="宋体" w:hAnsi="宋体" w:cs="宋体"/>
                <w:color w:val="auto"/>
                <w:sz w:val="24"/>
                <w:highlight w:val="none"/>
              </w:rPr>
            </w:pPr>
          </w:p>
        </w:tc>
      </w:tr>
      <w:tr w14:paraId="4633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9217" w:type="dxa"/>
            <w:gridSpan w:val="7"/>
            <w:tcBorders>
              <w:top w:val="single" w:color="auto" w:sz="4" w:space="0"/>
              <w:left w:val="single" w:color="auto" w:sz="4" w:space="0"/>
              <w:bottom w:val="single" w:color="auto" w:sz="4" w:space="0"/>
              <w:right w:val="single" w:color="auto" w:sz="4" w:space="0"/>
            </w:tcBorders>
            <w:vAlign w:val="center"/>
          </w:tcPr>
          <w:p w14:paraId="7533284A">
            <w:pPr>
              <w:wordWrap w:val="0"/>
              <w:spacing w:line="360" w:lineRule="exact"/>
              <w:rPr>
                <w:rFonts w:ascii="宋体" w:hAnsi="宋体" w:cs="宋体"/>
                <w:b/>
                <w:bCs/>
                <w:color w:val="auto"/>
                <w:sz w:val="24"/>
                <w:highlight w:val="none"/>
              </w:rPr>
            </w:pPr>
            <w:r>
              <w:rPr>
                <w:rFonts w:hint="eastAsia" w:ascii="宋体" w:hAnsi="宋体" w:cs="宋体"/>
                <w:b/>
                <w:bCs/>
                <w:color w:val="auto"/>
                <w:sz w:val="24"/>
                <w:highlight w:val="none"/>
              </w:rPr>
              <w:t>磋商总报价（人民币）：</w:t>
            </w:r>
            <w:r>
              <w:rPr>
                <w:rFonts w:hint="eastAsia" w:ascii="宋体" w:hAnsi="宋体" w:cs="宋体"/>
                <w:b/>
                <w:bCs/>
                <w:color w:val="auto"/>
                <w:sz w:val="24"/>
                <w:highlight w:val="none"/>
                <w:u w:val="single"/>
              </w:rPr>
              <w:t xml:space="preserve">（大写）                 （小写）             </w:t>
            </w:r>
          </w:p>
        </w:tc>
      </w:tr>
      <w:tr w14:paraId="1921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9217" w:type="dxa"/>
            <w:gridSpan w:val="7"/>
            <w:tcBorders>
              <w:top w:val="single" w:color="auto" w:sz="4" w:space="0"/>
              <w:left w:val="single" w:color="auto" w:sz="4" w:space="0"/>
              <w:bottom w:val="single" w:color="auto" w:sz="4" w:space="0"/>
              <w:right w:val="single" w:color="auto" w:sz="4" w:space="0"/>
            </w:tcBorders>
            <w:vAlign w:val="center"/>
          </w:tcPr>
          <w:p w14:paraId="6A2FF2CD">
            <w:pPr>
              <w:wordWrap w:val="0"/>
              <w:spacing w:line="360" w:lineRule="exact"/>
              <w:rPr>
                <w:rFonts w:ascii="宋体" w:hAnsi="宋体" w:cs="宋体"/>
                <w:b/>
                <w:bCs/>
                <w:color w:val="auto"/>
                <w:sz w:val="24"/>
                <w:highlight w:val="none"/>
              </w:rPr>
            </w:pPr>
            <w:r>
              <w:rPr>
                <w:rFonts w:hint="eastAsia" w:ascii="宋体" w:hAnsi="宋体" w:cs="宋体"/>
                <w:b/>
                <w:bCs/>
                <w:color w:val="auto"/>
                <w:sz w:val="24"/>
                <w:highlight w:val="none"/>
              </w:rPr>
              <w:t>合同履行期限：</w:t>
            </w:r>
          </w:p>
        </w:tc>
      </w:tr>
    </w:tbl>
    <w:p w14:paraId="30045486">
      <w:pPr>
        <w:spacing w:line="400" w:lineRule="exact"/>
        <w:contextualSpacing/>
        <w:jc w:val="left"/>
        <w:rPr>
          <w:rFonts w:ascii="宋体" w:hAnsi="宋体" w:cs="仿宋_GB2312"/>
          <w:color w:val="auto"/>
          <w:szCs w:val="21"/>
          <w:highlight w:val="none"/>
        </w:rPr>
      </w:pPr>
      <w:r>
        <w:rPr>
          <w:rFonts w:hint="eastAsia" w:ascii="宋体" w:hAnsi="宋体" w:cs="仿宋_GB2312"/>
          <w:color w:val="auto"/>
          <w:szCs w:val="21"/>
          <w:highlight w:val="none"/>
        </w:rPr>
        <w:t xml:space="preserve">注： </w:t>
      </w:r>
    </w:p>
    <w:p w14:paraId="524DD082">
      <w:pPr>
        <w:spacing w:line="400" w:lineRule="exact"/>
        <w:ind w:firstLine="420" w:firstLineChars="200"/>
        <w:contextualSpacing/>
        <w:jc w:val="left"/>
        <w:rPr>
          <w:rFonts w:ascii="宋体" w:hAnsi="宋体" w:cs="仿宋_GB2312"/>
          <w:color w:val="auto"/>
          <w:szCs w:val="21"/>
          <w:highlight w:val="none"/>
        </w:rPr>
      </w:pPr>
      <w:r>
        <w:rPr>
          <w:rFonts w:hint="eastAsia" w:ascii="宋体" w:hAnsi="宋体" w:cs="仿宋_GB2312"/>
          <w:color w:val="auto"/>
          <w:szCs w:val="21"/>
          <w:highlight w:val="none"/>
        </w:rPr>
        <w:t>1. 供应商的报价表必须加盖供应商电子签章并由法定代表人或者委托代理人签字或者电子签名，</w:t>
      </w:r>
      <w:r>
        <w:rPr>
          <w:rFonts w:hint="eastAsia" w:ascii="宋体" w:hAnsi="宋体" w:cs="仿宋_GB2312"/>
          <w:b/>
          <w:color w:val="auto"/>
          <w:szCs w:val="21"/>
          <w:highlight w:val="none"/>
        </w:rPr>
        <w:t>否则其响应文件按无效处理</w:t>
      </w:r>
      <w:r>
        <w:rPr>
          <w:rFonts w:hint="eastAsia" w:ascii="宋体" w:hAnsi="宋体" w:cs="仿宋_GB2312"/>
          <w:color w:val="auto"/>
          <w:szCs w:val="21"/>
          <w:highlight w:val="none"/>
        </w:rPr>
        <w:t>。</w:t>
      </w:r>
    </w:p>
    <w:p w14:paraId="2D5AEA9E">
      <w:pPr>
        <w:spacing w:line="400" w:lineRule="exact"/>
        <w:ind w:firstLine="420" w:firstLineChars="200"/>
        <w:contextualSpacing/>
        <w:rPr>
          <w:rFonts w:ascii="宋体" w:hAnsi="宋体" w:cs="仿宋_GB2312"/>
          <w:b/>
          <w:color w:val="auto"/>
          <w:szCs w:val="21"/>
          <w:highlight w:val="none"/>
        </w:rPr>
      </w:pPr>
      <w:r>
        <w:rPr>
          <w:rFonts w:hint="eastAsia" w:ascii="宋体" w:hAnsi="宋体" w:cs="仿宋_GB2312"/>
          <w:bCs/>
          <w:color w:val="auto"/>
          <w:szCs w:val="21"/>
          <w:highlight w:val="none"/>
        </w:rPr>
        <w:t>2.</w:t>
      </w:r>
      <w:r>
        <w:rPr>
          <w:rFonts w:hint="eastAsia" w:ascii="宋体" w:hAnsi="宋体" w:cs="仿宋_GB2312"/>
          <w:color w:val="auto"/>
          <w:szCs w:val="21"/>
          <w:highlight w:val="none"/>
        </w:rPr>
        <w:t xml:space="preserve"> 报价一经涂改，应在涂改处加盖供应商公章或者加盖电子签章或者由法定代表人或者授权委托人签字</w:t>
      </w:r>
      <w:r>
        <w:rPr>
          <w:rFonts w:hint="eastAsia" w:ascii="宋体" w:hAnsi="宋体"/>
          <w:color w:val="auto"/>
          <w:szCs w:val="21"/>
          <w:highlight w:val="none"/>
        </w:rPr>
        <w:t>（或者电子签名）</w:t>
      </w:r>
      <w:r>
        <w:rPr>
          <w:rFonts w:hint="eastAsia" w:ascii="宋体" w:hAnsi="宋体" w:cs="仿宋_GB2312"/>
          <w:b/>
          <w:color w:val="auto"/>
          <w:szCs w:val="21"/>
          <w:highlight w:val="none"/>
        </w:rPr>
        <w:t>，否则其响应文件按无效处理。</w:t>
      </w:r>
    </w:p>
    <w:p w14:paraId="1073E952">
      <w:pPr>
        <w:spacing w:line="400" w:lineRule="exact"/>
        <w:ind w:firstLine="422" w:firstLineChars="200"/>
        <w:contextualSpacing/>
        <w:rPr>
          <w:rFonts w:ascii="宋体" w:hAnsi="宋体" w:cs="仿宋_GB2312"/>
          <w:b/>
          <w:color w:val="auto"/>
          <w:spacing w:val="-6"/>
          <w:szCs w:val="21"/>
          <w:highlight w:val="none"/>
        </w:rPr>
      </w:pPr>
      <w:r>
        <w:rPr>
          <w:rFonts w:hint="eastAsia" w:ascii="宋体" w:hAnsi="宋体" w:cs="仿宋_GB2312"/>
          <w:b/>
          <w:color w:val="auto"/>
          <w:szCs w:val="21"/>
          <w:highlight w:val="none"/>
        </w:rPr>
        <w:t>3.供应商磋商报价超过采购预算的，按无效磋商处理。</w:t>
      </w:r>
    </w:p>
    <w:p w14:paraId="13C75DC9">
      <w:pPr>
        <w:spacing w:line="360" w:lineRule="auto"/>
        <w:ind w:right="-817" w:rightChars="-389"/>
        <w:contextualSpacing/>
        <w:rPr>
          <w:rFonts w:ascii="宋体" w:hAnsi="宋体" w:cs="仿宋_GB2312"/>
          <w:color w:val="auto"/>
          <w:sz w:val="24"/>
          <w:highlight w:val="none"/>
        </w:rPr>
      </w:pPr>
    </w:p>
    <w:p w14:paraId="29625DAC">
      <w:pPr>
        <w:spacing w:line="360" w:lineRule="auto"/>
        <w:ind w:right="-817" w:rightChars="-389" w:firstLine="2640" w:firstLineChars="1100"/>
        <w:contextualSpacing/>
        <w:rPr>
          <w:rFonts w:ascii="宋体" w:hAnsi="宋体" w:cs="仿宋_GB2312"/>
          <w:color w:val="auto"/>
          <w:sz w:val="24"/>
          <w:highlight w:val="none"/>
        </w:rPr>
      </w:pPr>
    </w:p>
    <w:p w14:paraId="7FD34481">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60EBD466">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14E18812">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3383392B">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1C3E1F5F">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6AE98F59">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07EA19A9">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5654C5E4">
      <w:pPr>
        <w:snapToGrid w:val="0"/>
        <w:spacing w:beforeLines="50" w:after="50"/>
        <w:rPr>
          <w:rFonts w:ascii="宋体" w:hAnsi="宋体"/>
          <w:color w:val="auto"/>
          <w:sz w:val="24"/>
          <w:szCs w:val="20"/>
          <w:highlight w:val="none"/>
        </w:rPr>
      </w:pPr>
    </w:p>
    <w:p w14:paraId="126AE7FC">
      <w:pPr>
        <w:snapToGrid w:val="0"/>
        <w:spacing w:beforeLines="50" w:after="50"/>
        <w:rPr>
          <w:rFonts w:ascii="宋体" w:hAnsi="宋体"/>
          <w:color w:val="auto"/>
          <w:sz w:val="24"/>
          <w:szCs w:val="20"/>
          <w:highlight w:val="none"/>
        </w:rPr>
      </w:pPr>
    </w:p>
    <w:p w14:paraId="17E5120A">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438E3530">
      <w:pPr>
        <w:snapToGrid w:val="0"/>
        <w:spacing w:beforeLines="50" w:after="50"/>
        <w:rPr>
          <w:rFonts w:ascii="宋体" w:hAnsi="宋体"/>
          <w:bCs/>
          <w:color w:val="auto"/>
          <w:sz w:val="24"/>
          <w:szCs w:val="20"/>
          <w:highlight w:val="none"/>
        </w:rPr>
      </w:pPr>
    </w:p>
    <w:p w14:paraId="02962DD7">
      <w:pPr>
        <w:snapToGrid w:val="0"/>
        <w:spacing w:beforeLines="50" w:after="50"/>
        <w:rPr>
          <w:rFonts w:ascii="宋体" w:hAnsi="宋体"/>
          <w:bCs/>
          <w:color w:val="auto"/>
          <w:sz w:val="24"/>
          <w:szCs w:val="20"/>
          <w:highlight w:val="none"/>
        </w:rPr>
      </w:pPr>
    </w:p>
    <w:p w14:paraId="0307DA0E">
      <w:pPr>
        <w:snapToGrid w:val="0"/>
        <w:spacing w:beforeLines="50" w:after="50"/>
        <w:rPr>
          <w:rFonts w:ascii="宋体" w:hAnsi="宋体"/>
          <w:bCs/>
          <w:color w:val="auto"/>
          <w:sz w:val="24"/>
          <w:szCs w:val="20"/>
          <w:highlight w:val="none"/>
        </w:rPr>
      </w:pPr>
    </w:p>
    <w:p w14:paraId="2077C293">
      <w:pPr>
        <w:snapToGrid w:val="0"/>
        <w:spacing w:beforeLines="50" w:after="50"/>
        <w:rPr>
          <w:rFonts w:ascii="宋体" w:hAnsi="宋体"/>
          <w:bCs/>
          <w:color w:val="auto"/>
          <w:sz w:val="24"/>
          <w:szCs w:val="20"/>
          <w:highlight w:val="none"/>
        </w:rPr>
      </w:pPr>
    </w:p>
    <w:p w14:paraId="45CF4A96">
      <w:pPr>
        <w:snapToGrid w:val="0"/>
        <w:spacing w:beforeLines="50" w:after="50"/>
        <w:rPr>
          <w:rFonts w:ascii="宋体" w:hAnsi="宋体"/>
          <w:bCs/>
          <w:color w:val="auto"/>
          <w:sz w:val="24"/>
          <w:szCs w:val="20"/>
          <w:highlight w:val="none"/>
        </w:rPr>
      </w:pPr>
    </w:p>
    <w:p w14:paraId="7AFEA71B">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A25738D">
      <w:pPr>
        <w:snapToGrid w:val="0"/>
        <w:spacing w:beforeLines="50" w:after="50"/>
        <w:ind w:firstLine="720" w:firstLineChars="225"/>
        <w:rPr>
          <w:rFonts w:ascii="宋体" w:hAnsi="宋体" w:cs="仿宋_GB2312"/>
          <w:bCs/>
          <w:color w:val="auto"/>
          <w:sz w:val="32"/>
          <w:szCs w:val="32"/>
          <w:highlight w:val="none"/>
        </w:rPr>
      </w:pPr>
    </w:p>
    <w:p w14:paraId="3C3AE4DA">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EF13420">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E37E362">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EA9AA5A">
      <w:pPr>
        <w:snapToGrid w:val="0"/>
        <w:spacing w:beforeLines="50" w:after="50"/>
        <w:ind w:firstLine="720" w:firstLineChars="225"/>
        <w:rPr>
          <w:rFonts w:ascii="宋体" w:hAnsi="宋体" w:cs="仿宋_GB2312"/>
          <w:bCs/>
          <w:color w:val="auto"/>
          <w:sz w:val="32"/>
          <w:szCs w:val="32"/>
          <w:highlight w:val="none"/>
        </w:rPr>
      </w:pPr>
    </w:p>
    <w:p w14:paraId="0812A20C">
      <w:pPr>
        <w:pStyle w:val="9"/>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EE81FB6">
      <w:pPr>
        <w:pStyle w:val="9"/>
        <w:snapToGrid w:val="0"/>
        <w:spacing w:before="50" w:after="50"/>
        <w:ind w:firstLine="640" w:firstLineChars="200"/>
        <w:rPr>
          <w:rFonts w:ascii="宋体" w:hAnsi="宋体" w:cs="仿宋_GB2312"/>
          <w:bCs/>
          <w:color w:val="auto"/>
          <w:sz w:val="32"/>
          <w:szCs w:val="32"/>
          <w:highlight w:val="none"/>
        </w:rPr>
      </w:pPr>
    </w:p>
    <w:p w14:paraId="69E61A24">
      <w:pPr>
        <w:pStyle w:val="9"/>
        <w:snapToGrid w:val="0"/>
        <w:spacing w:before="50" w:after="50"/>
        <w:ind w:firstLine="720" w:firstLineChars="225"/>
        <w:rPr>
          <w:rFonts w:ascii="宋体" w:hAnsi="宋体" w:cs="仿宋_GB2312"/>
          <w:bCs/>
          <w:color w:val="auto"/>
          <w:sz w:val="32"/>
          <w:szCs w:val="32"/>
          <w:highlight w:val="none"/>
        </w:rPr>
      </w:pPr>
    </w:p>
    <w:p w14:paraId="31B3E02B">
      <w:pPr>
        <w:pStyle w:val="9"/>
        <w:snapToGrid w:val="0"/>
        <w:spacing w:before="50" w:after="50"/>
        <w:ind w:firstLine="0"/>
        <w:rPr>
          <w:rFonts w:ascii="宋体" w:hAnsi="宋体" w:cs="仿宋_GB2312"/>
          <w:bCs/>
          <w:color w:val="auto"/>
          <w:sz w:val="32"/>
          <w:szCs w:val="32"/>
          <w:highlight w:val="none"/>
        </w:rPr>
      </w:pPr>
    </w:p>
    <w:p w14:paraId="14C4EE4F">
      <w:pPr>
        <w:pStyle w:val="9"/>
        <w:snapToGrid w:val="0"/>
        <w:spacing w:before="50" w:after="50"/>
        <w:ind w:firstLine="1280" w:firstLineChars="400"/>
        <w:rPr>
          <w:rFonts w:ascii="宋体" w:hAnsi="宋体" w:cs="仿宋_GB2312"/>
          <w:bCs/>
          <w:color w:val="auto"/>
          <w:sz w:val="32"/>
          <w:szCs w:val="32"/>
          <w:highlight w:val="none"/>
        </w:rPr>
      </w:pPr>
    </w:p>
    <w:p w14:paraId="0BD3ACC8">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627E675">
      <w:pPr>
        <w:snapToGrid w:val="0"/>
        <w:spacing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7872799C">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6633F20A">
      <w:pPr>
        <w:spacing w:line="400" w:lineRule="exact"/>
        <w:rPr>
          <w:rFonts w:ascii="仿宋_GB2312" w:hAnsi="仿宋_GB2312" w:eastAsia="仿宋_GB2312" w:cs="仿宋_GB2312"/>
          <w:color w:val="auto"/>
          <w:sz w:val="32"/>
          <w:szCs w:val="32"/>
          <w:highlight w:val="none"/>
        </w:rPr>
      </w:pPr>
    </w:p>
    <w:p w14:paraId="3D7B8324">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016F8837">
      <w:pPr>
        <w:spacing w:line="360" w:lineRule="auto"/>
        <w:ind w:firstLine="640" w:firstLineChars="200"/>
        <w:contextualSpacing/>
        <w:rPr>
          <w:rFonts w:ascii="仿宋_GB2312" w:hAnsi="仿宋_GB2312" w:eastAsia="仿宋_GB2312" w:cs="仿宋_GB2312"/>
          <w:color w:val="auto"/>
          <w:sz w:val="32"/>
          <w:szCs w:val="32"/>
          <w:highlight w:val="none"/>
        </w:rPr>
      </w:pPr>
    </w:p>
    <w:p w14:paraId="03B69BF9">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r>
        <w:rPr>
          <w:rFonts w:hint="eastAsia" w:ascii="宋体" w:hAnsi="宋体" w:cs="仿宋_GB2312"/>
          <w:bCs/>
          <w:color w:val="auto"/>
          <w:sz w:val="24"/>
          <w:highlight w:val="none"/>
        </w:rPr>
        <w:t>：</w:t>
      </w:r>
    </w:p>
    <w:p w14:paraId="16713A4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5A67B5B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0B8106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341197F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38D5E29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4B31A03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4FD04B0E">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r>
        <w:rPr>
          <w:rFonts w:hint="eastAsia" w:ascii="宋体" w:hAnsi="宋体" w:cs="仿宋_GB2312"/>
          <w:bCs/>
          <w:color w:val="auto"/>
          <w:sz w:val="24"/>
          <w:highlight w:val="none"/>
        </w:rPr>
        <w:t>：</w:t>
      </w:r>
    </w:p>
    <w:p w14:paraId="2B43452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5E3BB45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08FFBED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0C09F20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011B03F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5AF95C7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044A85B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0D853B37">
      <w:pPr>
        <w:spacing w:line="360" w:lineRule="auto"/>
        <w:ind w:firstLine="480" w:firstLineChars="200"/>
        <w:contextualSpacing/>
        <w:rPr>
          <w:rFonts w:ascii="宋体" w:hAnsi="宋体" w:cs="仿宋_GB2312"/>
          <w:color w:val="auto"/>
          <w:sz w:val="24"/>
          <w:highlight w:val="none"/>
        </w:rPr>
      </w:pPr>
    </w:p>
    <w:p w14:paraId="326A25B7">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64F65D7A">
      <w:pPr>
        <w:spacing w:line="360" w:lineRule="auto"/>
        <w:contextualSpacing/>
        <w:rPr>
          <w:rFonts w:ascii="宋体" w:hAnsi="宋体" w:cs="仿宋_GB2312"/>
          <w:color w:val="auto"/>
          <w:sz w:val="24"/>
          <w:highlight w:val="none"/>
        </w:rPr>
      </w:pPr>
    </w:p>
    <w:p w14:paraId="55B8EA80">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0154E0B5">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7B268AA9">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790DECE9">
      <w:pPr>
        <w:spacing w:line="360" w:lineRule="auto"/>
        <w:ind w:left="540"/>
        <w:contextualSpacing/>
        <w:rPr>
          <w:rFonts w:ascii="仿宋_GB2312" w:hAnsi="仿宋_GB2312" w:eastAsia="仿宋_GB2312" w:cs="仿宋_GB2312"/>
          <w:color w:val="auto"/>
          <w:sz w:val="32"/>
          <w:szCs w:val="32"/>
          <w:highlight w:val="none"/>
        </w:rPr>
      </w:pPr>
    </w:p>
    <w:p w14:paraId="78AB666F">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56ABBDB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25E0F529">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42490EDB">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0C6755C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24310FA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7E5C1BAE">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6B9898D2">
      <w:pPr>
        <w:spacing w:line="360" w:lineRule="auto"/>
        <w:ind w:left="540"/>
        <w:contextualSpacing/>
        <w:rPr>
          <w:rFonts w:ascii="宋体" w:hAnsi="宋体" w:cs="仿宋_GB2312"/>
          <w:color w:val="auto"/>
          <w:sz w:val="24"/>
          <w:highlight w:val="none"/>
        </w:rPr>
      </w:pPr>
    </w:p>
    <w:p w14:paraId="755CE88A">
      <w:pPr>
        <w:spacing w:line="360" w:lineRule="auto"/>
        <w:ind w:left="540"/>
        <w:contextualSpacing/>
        <w:rPr>
          <w:rFonts w:ascii="宋体" w:hAnsi="宋体" w:cs="仿宋_GB2312"/>
          <w:color w:val="auto"/>
          <w:sz w:val="24"/>
          <w:highlight w:val="none"/>
        </w:rPr>
      </w:pPr>
    </w:p>
    <w:p w14:paraId="6EA775E0">
      <w:pPr>
        <w:spacing w:line="360" w:lineRule="auto"/>
        <w:ind w:left="540"/>
        <w:contextualSpacing/>
        <w:rPr>
          <w:rFonts w:ascii="宋体" w:hAnsi="宋体" w:cs="仿宋_GB2312"/>
          <w:color w:val="auto"/>
          <w:sz w:val="24"/>
          <w:highlight w:val="none"/>
        </w:rPr>
      </w:pPr>
    </w:p>
    <w:p w14:paraId="67E5CC0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269F2987">
      <w:pPr>
        <w:spacing w:line="360" w:lineRule="auto"/>
        <w:ind w:left="540"/>
        <w:contextualSpacing/>
        <w:rPr>
          <w:rFonts w:ascii="宋体" w:hAnsi="宋体" w:cs="仿宋_GB2312"/>
          <w:color w:val="auto"/>
          <w:sz w:val="24"/>
          <w:highlight w:val="none"/>
        </w:rPr>
      </w:pPr>
    </w:p>
    <w:p w14:paraId="6CD1DFFE">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1BEFA807">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6FF7C1C4">
      <w:pPr>
        <w:spacing w:line="360" w:lineRule="auto"/>
        <w:contextualSpacing/>
        <w:jc w:val="center"/>
        <w:rPr>
          <w:rFonts w:ascii="宋体" w:hAnsi="宋体" w:cs="仿宋_GB2312"/>
          <w:b/>
          <w:color w:val="auto"/>
          <w:sz w:val="24"/>
          <w:highlight w:val="none"/>
        </w:rPr>
      </w:pPr>
    </w:p>
    <w:p w14:paraId="0706A4CA">
      <w:pPr>
        <w:spacing w:line="360" w:lineRule="auto"/>
        <w:contextualSpacing/>
        <w:jc w:val="left"/>
        <w:rPr>
          <w:rFonts w:ascii="宋体" w:hAnsi="宋体" w:cs="仿宋_GB2312"/>
          <w:color w:val="auto"/>
          <w:sz w:val="24"/>
          <w:highlight w:val="none"/>
        </w:rPr>
      </w:pPr>
    </w:p>
    <w:p w14:paraId="19365A23">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76E91980">
      <w:pPr>
        <w:adjustRightInd w:val="0"/>
        <w:snapToGrid w:val="0"/>
        <w:spacing w:line="300" w:lineRule="auto"/>
        <w:jc w:val="left"/>
        <w:rPr>
          <w:rFonts w:ascii="宋体" w:hAnsi="宋体"/>
          <w:b/>
          <w:color w:val="auto"/>
          <w:szCs w:val="21"/>
          <w:highlight w:val="none"/>
        </w:rPr>
      </w:pPr>
    </w:p>
    <w:p w14:paraId="48733677">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p>
    <w:p w14:paraId="07BDF341">
      <w:pPr>
        <w:spacing w:line="520" w:lineRule="exact"/>
        <w:jc w:val="center"/>
        <w:rPr>
          <w:rFonts w:ascii="方正小标宋简体" w:hAnsi="方正小标宋简体" w:eastAsia="方正小标宋简体" w:cs="方正小标宋简体"/>
          <w:color w:val="auto"/>
          <w:sz w:val="44"/>
          <w:szCs w:val="44"/>
          <w:highlight w:val="none"/>
        </w:rPr>
      </w:pPr>
      <w:bookmarkStart w:id="84" w:name="_Hlk65853643"/>
      <w:r>
        <w:rPr>
          <w:rFonts w:hint="eastAsia" w:ascii="方正小标宋简体" w:hAnsi="方正小标宋简体" w:eastAsia="方正小标宋简体" w:cs="方正小标宋简体"/>
          <w:color w:val="auto"/>
          <w:sz w:val="44"/>
          <w:szCs w:val="44"/>
          <w:highlight w:val="none"/>
        </w:rPr>
        <w:t>授权委托书</w:t>
      </w:r>
    </w:p>
    <w:p w14:paraId="295243A5">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6746D619">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ECB3B72">
      <w:pPr>
        <w:spacing w:line="520" w:lineRule="exact"/>
        <w:rPr>
          <w:rFonts w:ascii="仿宋_GB2312" w:hAnsi="仿宋_GB2312" w:eastAsia="仿宋_GB2312" w:cs="仿宋_GB2312"/>
          <w:color w:val="auto"/>
          <w:sz w:val="32"/>
          <w:szCs w:val="32"/>
          <w:highlight w:val="none"/>
        </w:rPr>
      </w:pPr>
    </w:p>
    <w:p w14:paraId="17642ACE">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0A97298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79700C27">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68EC1F2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D1AD6C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C9750D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20A72E41">
      <w:pPr>
        <w:spacing w:line="360" w:lineRule="auto"/>
        <w:rPr>
          <w:rFonts w:ascii="宋体" w:hAnsi="宋体" w:cs="仿宋_GB2312"/>
          <w:color w:val="auto"/>
          <w:sz w:val="24"/>
          <w:highlight w:val="none"/>
        </w:rPr>
      </w:pPr>
    </w:p>
    <w:p w14:paraId="2E814A8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29038E2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3C4A36E2">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13A84495">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4CC3473A">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76999CDC">
      <w:pPr>
        <w:spacing w:line="360" w:lineRule="auto"/>
        <w:rPr>
          <w:rFonts w:ascii="宋体" w:hAnsi="宋体" w:cs="仿宋_GB2312"/>
          <w:color w:val="auto"/>
          <w:sz w:val="24"/>
          <w:highlight w:val="none"/>
        </w:rPr>
      </w:pPr>
    </w:p>
    <w:p w14:paraId="64497804">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1D51D263">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85" w:name="_Hlk65853109"/>
      <w:bookmarkStart w:id="86" w:name="_Hlk65853542"/>
      <w:r>
        <w:rPr>
          <w:rFonts w:hint="eastAsia" w:ascii="宋体" w:hAnsi="宋体" w:cs="仿宋_GB2312"/>
          <w:color w:val="auto"/>
          <w:sz w:val="24"/>
          <w:highlight w:val="none"/>
        </w:rPr>
        <w:t>法人、其他组织竞标时“我方”是指“我单位”，自然人竞标时“我方”是指“本人”。</w:t>
      </w:r>
      <w:bookmarkEnd w:id="85"/>
    </w:p>
    <w:bookmarkEnd w:id="86"/>
    <w:p w14:paraId="7A56D06B">
      <w:pPr>
        <w:spacing w:line="360" w:lineRule="auto"/>
        <w:ind w:firstLine="420" w:firstLineChars="200"/>
        <w:jc w:val="left"/>
        <w:rPr>
          <w:rFonts w:ascii="仿宋_GB2312" w:hAnsi="仿宋_GB2312" w:eastAsia="仿宋_GB2312" w:cs="仿宋_GB2312"/>
          <w:color w:val="auto"/>
          <w:szCs w:val="21"/>
          <w:highlight w:val="none"/>
        </w:rPr>
      </w:pPr>
    </w:p>
    <w:p w14:paraId="1CBA2DE9">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59DE2D1C">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710E6F8F">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565F8ADF">
      <w:pPr>
        <w:spacing w:line="500" w:lineRule="exact"/>
        <w:jc w:val="center"/>
        <w:rPr>
          <w:rFonts w:ascii="方正小标宋简体" w:hAnsi="方正小标宋简体" w:eastAsia="方正小标宋简体" w:cs="方正小标宋简体"/>
          <w:color w:val="auto"/>
          <w:sz w:val="44"/>
          <w:szCs w:val="44"/>
          <w:highlight w:val="none"/>
        </w:rPr>
      </w:pPr>
    </w:p>
    <w:p w14:paraId="529CC5D3">
      <w:pPr>
        <w:spacing w:line="500" w:lineRule="exact"/>
        <w:jc w:val="center"/>
        <w:rPr>
          <w:rFonts w:ascii="仿宋_GB2312" w:hAnsi="仿宋_GB2312" w:eastAsia="仿宋_GB2312" w:cs="仿宋_GB2312"/>
          <w:color w:val="auto"/>
          <w:sz w:val="32"/>
          <w:szCs w:val="32"/>
          <w:highlight w:val="none"/>
        </w:rPr>
      </w:pPr>
    </w:p>
    <w:p w14:paraId="7AC9A3EA">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2404C5E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44147F8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075C6CE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60C5A19">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附：法定代表人身份证明书及委托代理人有效身份证正反面复印件</w:t>
      </w:r>
    </w:p>
    <w:p w14:paraId="2CBAD76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51F37D91">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牵头人名称（电子签章）：</w:t>
      </w:r>
    </w:p>
    <w:p w14:paraId="6188CAA6">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F0B48F4">
      <w:pPr>
        <w:spacing w:line="360" w:lineRule="auto"/>
        <w:contextualSpacing/>
        <w:rPr>
          <w:rFonts w:ascii="宋体" w:hAnsi="宋体" w:cs="仿宋_GB2312"/>
          <w:color w:val="auto"/>
          <w:sz w:val="24"/>
          <w:highlight w:val="none"/>
        </w:rPr>
      </w:pPr>
    </w:p>
    <w:p w14:paraId="5280CFF3">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04026672">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1B75D052">
      <w:pPr>
        <w:spacing w:line="360" w:lineRule="auto"/>
        <w:contextualSpacing/>
        <w:rPr>
          <w:rFonts w:ascii="宋体" w:hAnsi="宋体" w:cs="仿宋_GB2312"/>
          <w:color w:val="auto"/>
          <w:sz w:val="24"/>
          <w:highlight w:val="none"/>
        </w:rPr>
      </w:pPr>
    </w:p>
    <w:p w14:paraId="738F5923">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6CBF4022">
      <w:pPr>
        <w:spacing w:line="360" w:lineRule="auto"/>
        <w:ind w:firstLine="480" w:firstLineChars="200"/>
        <w:jc w:val="left"/>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bookmarkEnd w:id="84"/>
    <w:p w14:paraId="335071C6">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7923EC51">
      <w:pPr>
        <w:spacing w:line="500" w:lineRule="exact"/>
        <w:jc w:val="center"/>
        <w:rPr>
          <w:rFonts w:ascii="宋体" w:hAnsi="宋体"/>
          <w:b/>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（注：按采购需求具体条款修改）</w:t>
      </w:r>
    </w:p>
    <w:p w14:paraId="1C9CEC2A">
      <w:pPr>
        <w:spacing w:line="360" w:lineRule="auto"/>
        <w:contextualSpacing/>
        <w:jc w:val="left"/>
        <w:rPr>
          <w:rFonts w:ascii="宋体" w:hAnsi="宋体"/>
          <w:color w:val="auto"/>
          <w:sz w:val="24"/>
          <w:highlight w:val="none"/>
        </w:rPr>
      </w:pPr>
    </w:p>
    <w:p w14:paraId="144BA91A">
      <w:pPr>
        <w:pStyle w:val="18"/>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p w14:paraId="5B0508F5">
      <w:pPr>
        <w:spacing w:line="360" w:lineRule="auto"/>
        <w:contextualSpacing/>
        <w:jc w:val="left"/>
        <w:rPr>
          <w:rFonts w:ascii="宋体" w:hAnsi="宋体" w:cs="仿宋_GB2312"/>
          <w:color w:val="auto"/>
          <w:sz w:val="24"/>
          <w:highlight w:val="none"/>
          <w:u w:val="single"/>
        </w:rPr>
      </w:pPr>
    </w:p>
    <w:tbl>
      <w:tblPr>
        <w:tblStyle w:val="28"/>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44FE4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2178" w:type="dxa"/>
            <w:tcBorders>
              <w:top w:val="single" w:color="auto" w:sz="4" w:space="0"/>
              <w:left w:val="single" w:color="auto" w:sz="4" w:space="0"/>
              <w:bottom w:val="single" w:color="auto" w:sz="4" w:space="0"/>
              <w:right w:val="single" w:color="auto" w:sz="4" w:space="0"/>
            </w:tcBorders>
            <w:vAlign w:val="center"/>
          </w:tcPr>
          <w:p w14:paraId="24BB28CF">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62D0C943">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17E437C4">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795299DD">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39B0E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78" w:type="dxa"/>
            <w:tcBorders>
              <w:top w:val="single" w:color="auto" w:sz="4" w:space="0"/>
              <w:left w:val="single" w:color="auto" w:sz="4" w:space="0"/>
              <w:bottom w:val="single" w:color="auto" w:sz="4" w:space="0"/>
              <w:right w:val="single" w:color="auto" w:sz="4" w:space="0"/>
            </w:tcBorders>
            <w:vAlign w:val="center"/>
          </w:tcPr>
          <w:p w14:paraId="5E929621">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D8C170B">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A09E259">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A790679">
            <w:pPr>
              <w:spacing w:line="360" w:lineRule="auto"/>
              <w:contextualSpacing/>
              <w:jc w:val="center"/>
              <w:rPr>
                <w:rFonts w:ascii="宋体" w:hAnsi="宋体" w:cs="仿宋_GB2312"/>
                <w:color w:val="auto"/>
                <w:sz w:val="24"/>
                <w:highlight w:val="none"/>
              </w:rPr>
            </w:pPr>
          </w:p>
        </w:tc>
      </w:tr>
      <w:tr w14:paraId="6CF09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178" w:type="dxa"/>
            <w:tcBorders>
              <w:top w:val="single" w:color="auto" w:sz="4" w:space="0"/>
              <w:left w:val="single" w:color="auto" w:sz="4" w:space="0"/>
              <w:bottom w:val="single" w:color="auto" w:sz="4" w:space="0"/>
              <w:right w:val="single" w:color="auto" w:sz="4" w:space="0"/>
            </w:tcBorders>
            <w:vAlign w:val="center"/>
          </w:tcPr>
          <w:p w14:paraId="5AFC4B20">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790FBCD1">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30290AB">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5ED778F">
            <w:pPr>
              <w:spacing w:line="360" w:lineRule="auto"/>
              <w:ind w:left="43"/>
              <w:contextualSpacing/>
              <w:jc w:val="center"/>
              <w:rPr>
                <w:rFonts w:ascii="宋体" w:hAnsi="宋体" w:cs="仿宋_GB2312"/>
                <w:color w:val="auto"/>
                <w:sz w:val="24"/>
                <w:highlight w:val="none"/>
              </w:rPr>
            </w:pPr>
          </w:p>
        </w:tc>
      </w:tr>
      <w:tr w14:paraId="08530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178" w:type="dxa"/>
            <w:tcBorders>
              <w:top w:val="single" w:color="auto" w:sz="4" w:space="0"/>
              <w:left w:val="single" w:color="auto" w:sz="4" w:space="0"/>
              <w:bottom w:val="single" w:color="auto" w:sz="4" w:space="0"/>
              <w:right w:val="single" w:color="auto" w:sz="4" w:space="0"/>
            </w:tcBorders>
            <w:vAlign w:val="center"/>
          </w:tcPr>
          <w:p w14:paraId="5FB3E032">
            <w:pPr>
              <w:spacing w:line="360" w:lineRule="auto"/>
              <w:contextualSpacing/>
              <w:jc w:val="center"/>
              <w:rPr>
                <w:rFonts w:ascii="宋体" w:hAnsi="宋体" w:cs="仿宋_GB2312"/>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3092E02">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821460C">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39751C7">
            <w:pPr>
              <w:spacing w:line="360" w:lineRule="auto"/>
              <w:contextualSpacing/>
              <w:jc w:val="center"/>
              <w:rPr>
                <w:rFonts w:ascii="宋体" w:hAnsi="宋体" w:cs="仿宋_GB2312"/>
                <w:color w:val="auto"/>
                <w:sz w:val="24"/>
                <w:highlight w:val="none"/>
              </w:rPr>
            </w:pPr>
          </w:p>
        </w:tc>
      </w:tr>
    </w:tbl>
    <w:p w14:paraId="21901737">
      <w:pPr>
        <w:pStyle w:val="15"/>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44ECED34">
      <w:pPr>
        <w:pStyle w:val="15"/>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采购需求”中的“商务要求”逐条作出明确响应，并作出偏离说明。</w:t>
      </w:r>
    </w:p>
    <w:p w14:paraId="7B602E36">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3F1D72FD">
      <w:pPr>
        <w:spacing w:line="360" w:lineRule="auto"/>
        <w:ind w:right="-817" w:rightChars="-389"/>
        <w:contextualSpacing/>
        <w:rPr>
          <w:rFonts w:ascii="宋体" w:hAnsi="宋体" w:cs="仿宋_GB2312"/>
          <w:color w:val="auto"/>
          <w:sz w:val="24"/>
          <w:highlight w:val="none"/>
        </w:rPr>
      </w:pPr>
    </w:p>
    <w:p w14:paraId="3D9AD4D5">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91A7DBA">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2853E51A">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2CC581C2">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7B2020F7">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21DE1C7D">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394B324B">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2279EDD2">
      <w:pPr>
        <w:adjustRightInd w:val="0"/>
        <w:snapToGrid w:val="0"/>
        <w:spacing w:line="520" w:lineRule="exact"/>
        <w:rPr>
          <w:rFonts w:ascii="宋体" w:hAnsi="宋体"/>
          <w:color w:val="auto"/>
          <w:szCs w:val="21"/>
          <w:highlight w:val="none"/>
          <w:u w:val="single"/>
        </w:rPr>
      </w:pPr>
    </w:p>
    <w:p w14:paraId="0CD168DE">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2E43AC24">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技术要求偏离表</w:t>
      </w:r>
    </w:p>
    <w:p w14:paraId="76426544">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1BAF82B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4360B1B2">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3ECBC6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A0443C9">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87" w:name="_Toc373333689"/>
            <w:bookmarkStart w:id="88" w:name="_Toc383699906"/>
            <w:bookmarkStart w:id="89" w:name="_Toc295404981"/>
            <w:bookmarkStart w:id="90" w:name="_Toc254970729"/>
            <w:bookmarkStart w:id="91" w:name="_Toc173211900"/>
            <w:bookmarkStart w:id="92" w:name="_Toc254970588"/>
            <w:bookmarkStart w:id="93" w:name="_Toc301781611"/>
            <w:bookmarkStart w:id="94" w:name="_Toc173066401"/>
            <w:bookmarkStart w:id="95" w:name="_Toc297193185"/>
            <w:r>
              <w:rPr>
                <w:rFonts w:hint="eastAsia" w:ascii="宋体" w:hAnsi="宋体" w:eastAsia="宋体" w:cs="仿宋_GB2312"/>
                <w:color w:val="auto"/>
                <w:kern w:val="2"/>
                <w:sz w:val="24"/>
                <w:szCs w:val="24"/>
                <w:highlight w:val="none"/>
              </w:rPr>
              <w:t>序号</w:t>
            </w:r>
            <w:bookmarkEnd w:id="87"/>
            <w:bookmarkEnd w:id="88"/>
            <w:bookmarkEnd w:id="89"/>
            <w:bookmarkEnd w:id="90"/>
            <w:bookmarkEnd w:id="91"/>
            <w:bookmarkEnd w:id="92"/>
            <w:bookmarkEnd w:id="93"/>
            <w:bookmarkEnd w:id="94"/>
            <w:bookmarkEnd w:id="95"/>
          </w:p>
        </w:tc>
        <w:tc>
          <w:tcPr>
            <w:tcW w:w="915" w:type="dxa"/>
            <w:tcBorders>
              <w:right w:val="single" w:color="auto" w:sz="4" w:space="0"/>
            </w:tcBorders>
            <w:vAlign w:val="center"/>
          </w:tcPr>
          <w:p w14:paraId="1ECEA25F">
            <w:pPr>
              <w:pStyle w:val="4"/>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038" w:type="dxa"/>
            <w:tcBorders>
              <w:left w:val="single" w:color="auto" w:sz="4" w:space="0"/>
            </w:tcBorders>
            <w:vAlign w:val="center"/>
          </w:tcPr>
          <w:p w14:paraId="70CF8501">
            <w:pPr>
              <w:pStyle w:val="4"/>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磋商文件技术要求</w:t>
            </w:r>
          </w:p>
        </w:tc>
        <w:tc>
          <w:tcPr>
            <w:tcW w:w="2734" w:type="dxa"/>
            <w:vAlign w:val="center"/>
          </w:tcPr>
          <w:p w14:paraId="605949F2">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96" w:name="_Toc297193187"/>
            <w:bookmarkStart w:id="97" w:name="_Toc173211902"/>
            <w:bookmarkStart w:id="98" w:name="_Toc373333691"/>
            <w:bookmarkStart w:id="99" w:name="_Toc295404983"/>
            <w:bookmarkStart w:id="100" w:name="_Toc254970590"/>
            <w:bookmarkStart w:id="101" w:name="_Toc173066403"/>
            <w:bookmarkStart w:id="102" w:name="_Toc254970731"/>
            <w:bookmarkStart w:id="103" w:name="_Toc301781613"/>
            <w:bookmarkStart w:id="104" w:name="_Toc383699908"/>
            <w:r>
              <w:rPr>
                <w:rFonts w:hint="eastAsia" w:ascii="宋体" w:hAnsi="宋体" w:eastAsia="宋体" w:cs="仿宋_GB2312"/>
                <w:color w:val="auto"/>
                <w:kern w:val="2"/>
                <w:sz w:val="24"/>
                <w:szCs w:val="24"/>
                <w:highlight w:val="none"/>
              </w:rPr>
              <w:t>竞标响应</w:t>
            </w:r>
            <w:bookmarkEnd w:id="96"/>
            <w:bookmarkEnd w:id="97"/>
            <w:bookmarkEnd w:id="98"/>
            <w:bookmarkEnd w:id="99"/>
            <w:bookmarkEnd w:id="100"/>
            <w:bookmarkEnd w:id="101"/>
            <w:bookmarkEnd w:id="102"/>
            <w:bookmarkEnd w:id="103"/>
            <w:bookmarkEnd w:id="104"/>
          </w:p>
        </w:tc>
        <w:tc>
          <w:tcPr>
            <w:tcW w:w="1492" w:type="dxa"/>
            <w:vAlign w:val="center"/>
          </w:tcPr>
          <w:p w14:paraId="2B165DF0">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05" w:name="_Toc173211903"/>
            <w:bookmarkStart w:id="106" w:name="_Toc297193188"/>
            <w:bookmarkStart w:id="107" w:name="_Toc383699909"/>
            <w:bookmarkStart w:id="108" w:name="_Toc373333692"/>
            <w:bookmarkStart w:id="109" w:name="_Toc173066404"/>
            <w:bookmarkStart w:id="110" w:name="_Toc254970732"/>
            <w:bookmarkStart w:id="111" w:name="_Toc295404984"/>
            <w:bookmarkStart w:id="112" w:name="_Toc301781614"/>
            <w:bookmarkStart w:id="113" w:name="_Toc254970591"/>
            <w:r>
              <w:rPr>
                <w:rFonts w:hint="eastAsia" w:ascii="宋体" w:hAnsi="宋体" w:eastAsia="宋体" w:cs="仿宋_GB2312"/>
                <w:color w:val="auto"/>
                <w:kern w:val="2"/>
                <w:sz w:val="24"/>
                <w:szCs w:val="24"/>
                <w:highlight w:val="none"/>
              </w:rPr>
              <w:t>偏离</w:t>
            </w:r>
            <w:bookmarkEnd w:id="105"/>
            <w:bookmarkEnd w:id="106"/>
            <w:bookmarkEnd w:id="107"/>
            <w:bookmarkEnd w:id="108"/>
            <w:bookmarkEnd w:id="109"/>
            <w:bookmarkEnd w:id="110"/>
            <w:bookmarkEnd w:id="111"/>
            <w:bookmarkEnd w:id="112"/>
            <w:bookmarkEnd w:id="113"/>
            <w:bookmarkStart w:id="114" w:name="_Toc383699910"/>
            <w:bookmarkStart w:id="115" w:name="_Toc295404985"/>
            <w:bookmarkStart w:id="116" w:name="_Toc373333693"/>
            <w:bookmarkStart w:id="117" w:name="_Toc173066405"/>
            <w:bookmarkStart w:id="118" w:name="_Toc297193189"/>
            <w:bookmarkStart w:id="119" w:name="_Toc254970733"/>
            <w:bookmarkStart w:id="120" w:name="_Toc301781615"/>
            <w:bookmarkStart w:id="121" w:name="_Toc173211904"/>
            <w:bookmarkStart w:id="122" w:name="_Toc254970592"/>
            <w:r>
              <w:rPr>
                <w:rFonts w:hint="eastAsia" w:ascii="宋体" w:hAnsi="宋体" w:eastAsia="宋体" w:cs="仿宋_GB2312"/>
                <w:color w:val="auto"/>
                <w:kern w:val="2"/>
                <w:sz w:val="24"/>
                <w:szCs w:val="24"/>
                <w:highlight w:val="none"/>
              </w:rPr>
              <w:t>说明</w:t>
            </w:r>
            <w:bookmarkEnd w:id="114"/>
            <w:bookmarkEnd w:id="115"/>
            <w:bookmarkEnd w:id="116"/>
            <w:bookmarkEnd w:id="117"/>
            <w:bookmarkEnd w:id="118"/>
            <w:bookmarkEnd w:id="119"/>
            <w:bookmarkEnd w:id="120"/>
            <w:bookmarkEnd w:id="121"/>
            <w:bookmarkEnd w:id="122"/>
          </w:p>
        </w:tc>
      </w:tr>
      <w:tr w14:paraId="67DF8A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A493848">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23" w:name="_Toc254970734"/>
            <w:bookmarkStart w:id="124" w:name="_Toc254970593"/>
            <w:bookmarkStart w:id="125" w:name="_Toc383699911"/>
            <w:bookmarkStart w:id="126" w:name="_Toc373333694"/>
            <w:bookmarkStart w:id="127" w:name="_Toc173211905"/>
            <w:bookmarkStart w:id="128" w:name="_Toc295404986"/>
            <w:bookmarkStart w:id="129" w:name="_Toc173066406"/>
            <w:bookmarkStart w:id="130" w:name="_Toc297193190"/>
            <w:bookmarkStart w:id="131" w:name="_Toc301781616"/>
            <w:r>
              <w:rPr>
                <w:rFonts w:hint="eastAsia" w:ascii="宋体" w:hAnsi="宋体" w:eastAsia="宋体" w:cs="仿宋_GB2312"/>
                <w:color w:val="auto"/>
                <w:kern w:val="2"/>
                <w:sz w:val="24"/>
                <w:szCs w:val="24"/>
                <w:highlight w:val="none"/>
              </w:rPr>
              <w:t>1</w:t>
            </w:r>
            <w:bookmarkEnd w:id="123"/>
            <w:bookmarkEnd w:id="124"/>
            <w:bookmarkEnd w:id="125"/>
            <w:bookmarkEnd w:id="126"/>
            <w:bookmarkEnd w:id="127"/>
            <w:bookmarkEnd w:id="128"/>
            <w:bookmarkEnd w:id="129"/>
            <w:bookmarkEnd w:id="130"/>
            <w:bookmarkEnd w:id="131"/>
          </w:p>
        </w:tc>
        <w:tc>
          <w:tcPr>
            <w:tcW w:w="915" w:type="dxa"/>
            <w:tcBorders>
              <w:right w:val="single" w:color="auto" w:sz="4" w:space="0"/>
            </w:tcBorders>
            <w:vAlign w:val="center"/>
          </w:tcPr>
          <w:p w14:paraId="141DAF89">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3C189375">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3AD0BFB0">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52605A8A">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23A652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0EAE30F">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32" w:name="_Toc254970594"/>
            <w:bookmarkStart w:id="133" w:name="_Toc295404987"/>
            <w:bookmarkStart w:id="134" w:name="_Toc301781617"/>
            <w:bookmarkStart w:id="135" w:name="_Toc297193191"/>
            <w:bookmarkStart w:id="136" w:name="_Toc173066407"/>
            <w:bookmarkStart w:id="137" w:name="_Toc254970735"/>
            <w:bookmarkStart w:id="138" w:name="_Toc373333695"/>
            <w:bookmarkStart w:id="139" w:name="_Toc383699912"/>
            <w:bookmarkStart w:id="140" w:name="_Toc173211906"/>
            <w:r>
              <w:rPr>
                <w:rFonts w:hint="eastAsia" w:ascii="宋体" w:hAnsi="宋体" w:eastAsia="宋体" w:cs="仿宋_GB2312"/>
                <w:color w:val="auto"/>
                <w:kern w:val="2"/>
                <w:sz w:val="24"/>
                <w:szCs w:val="24"/>
                <w:highlight w:val="none"/>
              </w:rPr>
              <w:t>2</w:t>
            </w:r>
            <w:bookmarkEnd w:id="132"/>
            <w:bookmarkEnd w:id="133"/>
            <w:bookmarkEnd w:id="134"/>
            <w:bookmarkEnd w:id="135"/>
            <w:bookmarkEnd w:id="136"/>
            <w:bookmarkEnd w:id="137"/>
            <w:bookmarkEnd w:id="138"/>
            <w:bookmarkEnd w:id="139"/>
            <w:bookmarkEnd w:id="140"/>
          </w:p>
        </w:tc>
        <w:tc>
          <w:tcPr>
            <w:tcW w:w="915" w:type="dxa"/>
            <w:tcBorders>
              <w:right w:val="single" w:color="auto" w:sz="4" w:space="0"/>
            </w:tcBorders>
            <w:vAlign w:val="center"/>
          </w:tcPr>
          <w:p w14:paraId="596FCA93">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6D9A3C85">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0EF0F5FF">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451B2B90">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22A768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5C320CD">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41" w:name="_Toc373333696"/>
            <w:bookmarkStart w:id="142" w:name="_Toc295404988"/>
            <w:bookmarkStart w:id="143" w:name="_Toc254970736"/>
            <w:bookmarkStart w:id="144" w:name="_Toc301781618"/>
            <w:bookmarkStart w:id="145" w:name="_Toc383699913"/>
            <w:bookmarkStart w:id="146" w:name="_Toc297193192"/>
            <w:bookmarkStart w:id="147" w:name="_Toc173066408"/>
            <w:bookmarkStart w:id="148" w:name="_Toc254970595"/>
            <w:bookmarkStart w:id="149" w:name="_Toc173211907"/>
            <w:r>
              <w:rPr>
                <w:rFonts w:hint="eastAsia" w:ascii="宋体" w:hAnsi="宋体" w:eastAsia="宋体" w:cs="仿宋_GB2312"/>
                <w:color w:val="auto"/>
                <w:kern w:val="2"/>
                <w:sz w:val="24"/>
                <w:szCs w:val="24"/>
                <w:highlight w:val="none"/>
              </w:rPr>
              <w:t>3</w:t>
            </w:r>
            <w:bookmarkEnd w:id="141"/>
            <w:bookmarkEnd w:id="142"/>
            <w:bookmarkEnd w:id="143"/>
            <w:bookmarkEnd w:id="144"/>
            <w:bookmarkEnd w:id="145"/>
            <w:bookmarkEnd w:id="146"/>
            <w:bookmarkEnd w:id="147"/>
            <w:bookmarkEnd w:id="148"/>
            <w:bookmarkEnd w:id="149"/>
          </w:p>
        </w:tc>
        <w:tc>
          <w:tcPr>
            <w:tcW w:w="915" w:type="dxa"/>
            <w:tcBorders>
              <w:right w:val="single" w:color="auto" w:sz="4" w:space="0"/>
            </w:tcBorders>
            <w:vAlign w:val="center"/>
          </w:tcPr>
          <w:p w14:paraId="5FF96E6C">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0658B638">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73217589">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74676239">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63CBF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6BE756D4">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50" w:name="_Toc173211908"/>
            <w:bookmarkStart w:id="151" w:name="_Toc254970737"/>
            <w:bookmarkStart w:id="152" w:name="_Toc373333697"/>
            <w:bookmarkStart w:id="153" w:name="_Toc254970596"/>
            <w:bookmarkStart w:id="154" w:name="_Toc295404989"/>
            <w:bookmarkStart w:id="155" w:name="_Toc383699914"/>
            <w:bookmarkStart w:id="156" w:name="_Toc301781619"/>
            <w:bookmarkStart w:id="157" w:name="_Toc297193193"/>
            <w:bookmarkStart w:id="158" w:name="_Toc173066409"/>
            <w:r>
              <w:rPr>
                <w:rFonts w:hint="eastAsia" w:ascii="宋体" w:hAnsi="宋体" w:eastAsia="宋体" w:cs="仿宋_GB2312"/>
                <w:color w:val="auto"/>
                <w:kern w:val="2"/>
                <w:sz w:val="24"/>
                <w:szCs w:val="24"/>
                <w:highlight w:val="none"/>
              </w:rPr>
              <w:t>4</w:t>
            </w:r>
            <w:bookmarkEnd w:id="150"/>
            <w:bookmarkEnd w:id="151"/>
            <w:bookmarkEnd w:id="152"/>
            <w:bookmarkEnd w:id="153"/>
            <w:bookmarkEnd w:id="154"/>
            <w:bookmarkEnd w:id="155"/>
            <w:bookmarkEnd w:id="156"/>
            <w:bookmarkEnd w:id="157"/>
            <w:bookmarkEnd w:id="158"/>
          </w:p>
        </w:tc>
        <w:tc>
          <w:tcPr>
            <w:tcW w:w="915" w:type="dxa"/>
            <w:tcBorders>
              <w:right w:val="single" w:color="auto" w:sz="4" w:space="0"/>
            </w:tcBorders>
            <w:vAlign w:val="center"/>
          </w:tcPr>
          <w:p w14:paraId="7B65182C">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038AF8A6">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47305A01">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609013EB">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5FDB36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D4E60B6">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59" w:name="_Toc383699915"/>
            <w:bookmarkStart w:id="160" w:name="_Toc173211909"/>
            <w:bookmarkStart w:id="161" w:name="_Toc297193194"/>
            <w:bookmarkStart w:id="162" w:name="_Toc373333698"/>
            <w:bookmarkStart w:id="163" w:name="_Toc295404990"/>
            <w:bookmarkStart w:id="164" w:name="_Toc254970738"/>
            <w:bookmarkStart w:id="165" w:name="_Toc254970597"/>
            <w:bookmarkStart w:id="166" w:name="_Toc173066410"/>
            <w:bookmarkStart w:id="167" w:name="_Toc301781620"/>
            <w:r>
              <w:rPr>
                <w:rFonts w:hint="eastAsia" w:ascii="宋体" w:hAnsi="宋体" w:eastAsia="宋体" w:cs="仿宋_GB2312"/>
                <w:color w:val="auto"/>
                <w:kern w:val="2"/>
                <w:sz w:val="24"/>
                <w:szCs w:val="24"/>
                <w:highlight w:val="none"/>
              </w:rPr>
              <w:t>5</w:t>
            </w:r>
            <w:bookmarkEnd w:id="159"/>
            <w:bookmarkEnd w:id="160"/>
            <w:bookmarkEnd w:id="161"/>
            <w:bookmarkEnd w:id="162"/>
            <w:bookmarkEnd w:id="163"/>
            <w:bookmarkEnd w:id="164"/>
            <w:bookmarkEnd w:id="165"/>
            <w:bookmarkEnd w:id="166"/>
            <w:bookmarkEnd w:id="167"/>
          </w:p>
        </w:tc>
        <w:tc>
          <w:tcPr>
            <w:tcW w:w="915" w:type="dxa"/>
            <w:tcBorders>
              <w:right w:val="single" w:color="auto" w:sz="4" w:space="0"/>
            </w:tcBorders>
            <w:vAlign w:val="center"/>
          </w:tcPr>
          <w:p w14:paraId="449A1343">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12957434">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673FA7C3">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73A83F86">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r w14:paraId="32B9AF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02863AE4">
            <w:pPr>
              <w:pStyle w:val="4"/>
              <w:spacing w:line="360" w:lineRule="auto"/>
              <w:ind w:firstLine="0" w:firstLineChars="0"/>
              <w:contextualSpacing/>
              <w:jc w:val="center"/>
              <w:rPr>
                <w:rFonts w:ascii="宋体" w:hAnsi="宋体" w:eastAsia="宋体" w:cs="仿宋_GB2312"/>
                <w:color w:val="auto"/>
                <w:kern w:val="2"/>
                <w:sz w:val="24"/>
                <w:szCs w:val="24"/>
                <w:highlight w:val="none"/>
              </w:rPr>
            </w:pPr>
            <w:bookmarkStart w:id="168" w:name="_Toc383699916"/>
            <w:bookmarkStart w:id="169" w:name="_Toc295404991"/>
            <w:bookmarkStart w:id="170" w:name="_Toc373333699"/>
            <w:bookmarkStart w:id="171" w:name="_Toc254970602"/>
            <w:bookmarkStart w:id="172" w:name="_Toc301781621"/>
            <w:bookmarkStart w:id="173" w:name="_Toc173066415"/>
            <w:bookmarkStart w:id="174" w:name="_Toc173211914"/>
            <w:bookmarkStart w:id="175" w:name="_Toc254970743"/>
            <w:bookmarkStart w:id="176" w:name="_Toc297193195"/>
            <w:r>
              <w:rPr>
                <w:rFonts w:hint="eastAsia" w:ascii="宋体" w:hAnsi="宋体" w:eastAsia="宋体" w:cs="仿宋_GB2312"/>
                <w:color w:val="auto"/>
                <w:kern w:val="2"/>
                <w:sz w:val="24"/>
                <w:szCs w:val="24"/>
                <w:highlight w:val="none"/>
              </w:rPr>
              <w:t>…</w:t>
            </w:r>
            <w:bookmarkEnd w:id="168"/>
            <w:bookmarkEnd w:id="169"/>
            <w:bookmarkEnd w:id="170"/>
            <w:bookmarkEnd w:id="171"/>
            <w:bookmarkEnd w:id="172"/>
            <w:bookmarkEnd w:id="173"/>
            <w:bookmarkEnd w:id="174"/>
            <w:bookmarkEnd w:id="175"/>
            <w:bookmarkEnd w:id="176"/>
          </w:p>
        </w:tc>
        <w:tc>
          <w:tcPr>
            <w:tcW w:w="915" w:type="dxa"/>
            <w:tcBorders>
              <w:right w:val="single" w:color="auto" w:sz="4" w:space="0"/>
            </w:tcBorders>
            <w:vAlign w:val="center"/>
          </w:tcPr>
          <w:p w14:paraId="29E9DD58">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038" w:type="dxa"/>
            <w:tcBorders>
              <w:left w:val="single" w:color="auto" w:sz="4" w:space="0"/>
            </w:tcBorders>
            <w:vAlign w:val="center"/>
          </w:tcPr>
          <w:p w14:paraId="6BEBDD79">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734" w:type="dxa"/>
            <w:vAlign w:val="center"/>
          </w:tcPr>
          <w:p w14:paraId="07D3980A">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tcBorders>
              <w:right w:val="single" w:color="auto" w:sz="4" w:space="0"/>
            </w:tcBorders>
            <w:vAlign w:val="center"/>
          </w:tcPr>
          <w:p w14:paraId="399F9B4A">
            <w:pPr>
              <w:pStyle w:val="4"/>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78606E81">
      <w:pPr>
        <w:pStyle w:val="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4CE5FADA">
      <w:pPr>
        <w:pStyle w:val="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采购需求”中的技术要求逐条作出明确响应，并作出偏离说明。</w:t>
      </w:r>
    </w:p>
    <w:p w14:paraId="4B6A8B91">
      <w:pPr>
        <w:pStyle w:val="4"/>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722AC652">
      <w:pPr>
        <w:spacing w:line="360" w:lineRule="auto"/>
        <w:ind w:right="-817" w:rightChars="-389"/>
        <w:contextualSpacing/>
        <w:rPr>
          <w:rFonts w:ascii="宋体" w:hAnsi="宋体" w:cs="仿宋_GB2312"/>
          <w:color w:val="auto"/>
          <w:sz w:val="24"/>
          <w:highlight w:val="none"/>
        </w:rPr>
      </w:pPr>
    </w:p>
    <w:p w14:paraId="3D5752AF">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225384C9">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7963AE0E">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6D929D5A">
      <w:pPr>
        <w:snapToGrid w:val="0"/>
        <w:spacing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61F7BC60">
      <w:pPr>
        <w:snapToGrid w:val="0"/>
        <w:spacing w:beforeLines="50" w:after="50"/>
        <w:ind w:left="142"/>
        <w:jc w:val="left"/>
        <w:rPr>
          <w:rFonts w:ascii="宋体" w:hAnsi="宋体"/>
          <w:b/>
          <w:color w:val="auto"/>
          <w:sz w:val="24"/>
          <w:highlight w:val="none"/>
        </w:rPr>
      </w:pPr>
    </w:p>
    <w:p w14:paraId="5D93B80D">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5EE9C814">
      <w:pPr>
        <w:pStyle w:val="18"/>
        <w:spacing w:line="360" w:lineRule="auto"/>
        <w:contextualSpacing/>
        <w:rPr>
          <w:color w:val="auto"/>
          <w:sz w:val="24"/>
          <w:szCs w:val="24"/>
          <w:highlight w:val="none"/>
        </w:rPr>
      </w:pPr>
      <w:r>
        <w:rPr>
          <w:rFonts w:hint="eastAsia"/>
          <w:color w:val="auto"/>
          <w:sz w:val="24"/>
          <w:szCs w:val="24"/>
          <w:highlight w:val="none"/>
        </w:rPr>
        <w:t>所竞分标：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793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FB0F53">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14:paraId="72613E18">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14:paraId="73B85BF0">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14:paraId="53F880A8">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14:paraId="065A0912">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参加本单位</w:t>
            </w:r>
          </w:p>
          <w:p w14:paraId="4AE296D3">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14:paraId="65F6B742">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14:paraId="51F9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DF930DD">
            <w:pPr>
              <w:spacing w:line="360" w:lineRule="auto"/>
              <w:contextualSpacing/>
              <w:jc w:val="center"/>
              <w:rPr>
                <w:rFonts w:ascii="宋体" w:hAnsi="宋体"/>
                <w:color w:val="auto"/>
                <w:sz w:val="24"/>
                <w:szCs w:val="20"/>
                <w:highlight w:val="none"/>
              </w:rPr>
            </w:pPr>
          </w:p>
        </w:tc>
        <w:tc>
          <w:tcPr>
            <w:tcW w:w="709" w:type="dxa"/>
            <w:vAlign w:val="center"/>
          </w:tcPr>
          <w:p w14:paraId="003204BE">
            <w:pPr>
              <w:spacing w:line="360" w:lineRule="auto"/>
              <w:contextualSpacing/>
              <w:jc w:val="center"/>
              <w:rPr>
                <w:rFonts w:ascii="宋体" w:hAnsi="宋体"/>
                <w:color w:val="auto"/>
                <w:sz w:val="24"/>
                <w:szCs w:val="20"/>
                <w:highlight w:val="none"/>
              </w:rPr>
            </w:pPr>
          </w:p>
        </w:tc>
        <w:tc>
          <w:tcPr>
            <w:tcW w:w="1701" w:type="dxa"/>
            <w:vAlign w:val="center"/>
          </w:tcPr>
          <w:p w14:paraId="48C7AE73">
            <w:pPr>
              <w:spacing w:line="360" w:lineRule="auto"/>
              <w:contextualSpacing/>
              <w:jc w:val="center"/>
              <w:rPr>
                <w:rFonts w:ascii="宋体" w:hAnsi="宋体"/>
                <w:color w:val="auto"/>
                <w:sz w:val="24"/>
                <w:szCs w:val="20"/>
                <w:highlight w:val="none"/>
              </w:rPr>
            </w:pPr>
          </w:p>
        </w:tc>
        <w:tc>
          <w:tcPr>
            <w:tcW w:w="1420" w:type="dxa"/>
            <w:vAlign w:val="center"/>
          </w:tcPr>
          <w:p w14:paraId="4B594A38">
            <w:pPr>
              <w:spacing w:line="360" w:lineRule="auto"/>
              <w:contextualSpacing/>
              <w:jc w:val="center"/>
              <w:rPr>
                <w:rFonts w:ascii="宋体" w:hAnsi="宋体"/>
                <w:color w:val="auto"/>
                <w:sz w:val="24"/>
                <w:szCs w:val="20"/>
                <w:highlight w:val="none"/>
              </w:rPr>
            </w:pPr>
          </w:p>
        </w:tc>
        <w:tc>
          <w:tcPr>
            <w:tcW w:w="1698" w:type="dxa"/>
            <w:vAlign w:val="center"/>
          </w:tcPr>
          <w:p w14:paraId="1D90B716">
            <w:pPr>
              <w:spacing w:line="360" w:lineRule="auto"/>
              <w:contextualSpacing/>
              <w:jc w:val="center"/>
              <w:rPr>
                <w:rFonts w:ascii="宋体" w:hAnsi="宋体"/>
                <w:color w:val="auto"/>
                <w:sz w:val="24"/>
                <w:szCs w:val="20"/>
                <w:highlight w:val="none"/>
              </w:rPr>
            </w:pPr>
          </w:p>
        </w:tc>
        <w:tc>
          <w:tcPr>
            <w:tcW w:w="1843" w:type="dxa"/>
            <w:vAlign w:val="center"/>
          </w:tcPr>
          <w:p w14:paraId="17475F04">
            <w:pPr>
              <w:spacing w:line="360" w:lineRule="auto"/>
              <w:contextualSpacing/>
              <w:jc w:val="center"/>
              <w:rPr>
                <w:rFonts w:ascii="宋体" w:hAnsi="宋体"/>
                <w:color w:val="auto"/>
                <w:sz w:val="24"/>
                <w:szCs w:val="20"/>
                <w:highlight w:val="none"/>
              </w:rPr>
            </w:pPr>
          </w:p>
        </w:tc>
      </w:tr>
      <w:tr w14:paraId="67F8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AEB8FE">
            <w:pPr>
              <w:spacing w:line="360" w:lineRule="auto"/>
              <w:contextualSpacing/>
              <w:jc w:val="center"/>
              <w:rPr>
                <w:rFonts w:ascii="宋体" w:hAnsi="宋体"/>
                <w:color w:val="auto"/>
                <w:sz w:val="24"/>
                <w:szCs w:val="20"/>
                <w:highlight w:val="none"/>
              </w:rPr>
            </w:pPr>
          </w:p>
        </w:tc>
        <w:tc>
          <w:tcPr>
            <w:tcW w:w="709" w:type="dxa"/>
            <w:vAlign w:val="center"/>
          </w:tcPr>
          <w:p w14:paraId="55DF7FAE">
            <w:pPr>
              <w:spacing w:line="360" w:lineRule="auto"/>
              <w:contextualSpacing/>
              <w:jc w:val="center"/>
              <w:rPr>
                <w:rFonts w:ascii="宋体" w:hAnsi="宋体"/>
                <w:color w:val="auto"/>
                <w:sz w:val="24"/>
                <w:szCs w:val="20"/>
                <w:highlight w:val="none"/>
              </w:rPr>
            </w:pPr>
          </w:p>
        </w:tc>
        <w:tc>
          <w:tcPr>
            <w:tcW w:w="1701" w:type="dxa"/>
            <w:vAlign w:val="center"/>
          </w:tcPr>
          <w:p w14:paraId="61F10C91">
            <w:pPr>
              <w:spacing w:line="360" w:lineRule="auto"/>
              <w:contextualSpacing/>
              <w:jc w:val="center"/>
              <w:rPr>
                <w:rFonts w:ascii="宋体" w:hAnsi="宋体"/>
                <w:color w:val="auto"/>
                <w:sz w:val="24"/>
                <w:szCs w:val="20"/>
                <w:highlight w:val="none"/>
              </w:rPr>
            </w:pPr>
          </w:p>
        </w:tc>
        <w:tc>
          <w:tcPr>
            <w:tcW w:w="1420" w:type="dxa"/>
            <w:vAlign w:val="center"/>
          </w:tcPr>
          <w:p w14:paraId="7F6AFA56">
            <w:pPr>
              <w:spacing w:line="360" w:lineRule="auto"/>
              <w:contextualSpacing/>
              <w:jc w:val="center"/>
              <w:rPr>
                <w:rFonts w:ascii="宋体" w:hAnsi="宋体"/>
                <w:color w:val="auto"/>
                <w:sz w:val="24"/>
                <w:szCs w:val="20"/>
                <w:highlight w:val="none"/>
              </w:rPr>
            </w:pPr>
          </w:p>
        </w:tc>
        <w:tc>
          <w:tcPr>
            <w:tcW w:w="1698" w:type="dxa"/>
            <w:vAlign w:val="center"/>
          </w:tcPr>
          <w:p w14:paraId="34235FD7">
            <w:pPr>
              <w:spacing w:line="360" w:lineRule="auto"/>
              <w:contextualSpacing/>
              <w:jc w:val="center"/>
              <w:rPr>
                <w:rFonts w:ascii="宋体" w:hAnsi="宋体"/>
                <w:color w:val="auto"/>
                <w:sz w:val="24"/>
                <w:szCs w:val="20"/>
                <w:highlight w:val="none"/>
              </w:rPr>
            </w:pPr>
          </w:p>
        </w:tc>
        <w:tc>
          <w:tcPr>
            <w:tcW w:w="1843" w:type="dxa"/>
            <w:vAlign w:val="center"/>
          </w:tcPr>
          <w:p w14:paraId="590A333E">
            <w:pPr>
              <w:spacing w:line="360" w:lineRule="auto"/>
              <w:contextualSpacing/>
              <w:jc w:val="center"/>
              <w:rPr>
                <w:rFonts w:ascii="宋体" w:hAnsi="宋体"/>
                <w:color w:val="auto"/>
                <w:sz w:val="24"/>
                <w:szCs w:val="20"/>
                <w:highlight w:val="none"/>
              </w:rPr>
            </w:pPr>
          </w:p>
        </w:tc>
      </w:tr>
      <w:tr w14:paraId="7E76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776FE3">
            <w:pPr>
              <w:spacing w:line="360" w:lineRule="auto"/>
              <w:contextualSpacing/>
              <w:jc w:val="center"/>
              <w:rPr>
                <w:rFonts w:ascii="宋体" w:hAnsi="宋体"/>
                <w:color w:val="auto"/>
                <w:sz w:val="24"/>
                <w:szCs w:val="20"/>
                <w:highlight w:val="none"/>
              </w:rPr>
            </w:pPr>
          </w:p>
        </w:tc>
        <w:tc>
          <w:tcPr>
            <w:tcW w:w="709" w:type="dxa"/>
            <w:vAlign w:val="center"/>
          </w:tcPr>
          <w:p w14:paraId="2FD927CB">
            <w:pPr>
              <w:spacing w:line="360" w:lineRule="auto"/>
              <w:contextualSpacing/>
              <w:jc w:val="center"/>
              <w:rPr>
                <w:rFonts w:ascii="宋体" w:hAnsi="宋体"/>
                <w:color w:val="auto"/>
                <w:sz w:val="24"/>
                <w:szCs w:val="20"/>
                <w:highlight w:val="none"/>
              </w:rPr>
            </w:pPr>
          </w:p>
        </w:tc>
        <w:tc>
          <w:tcPr>
            <w:tcW w:w="1701" w:type="dxa"/>
            <w:vAlign w:val="center"/>
          </w:tcPr>
          <w:p w14:paraId="6A88D3D3">
            <w:pPr>
              <w:spacing w:line="360" w:lineRule="auto"/>
              <w:contextualSpacing/>
              <w:jc w:val="center"/>
              <w:rPr>
                <w:rFonts w:ascii="宋体" w:hAnsi="宋体"/>
                <w:color w:val="auto"/>
                <w:sz w:val="24"/>
                <w:szCs w:val="20"/>
                <w:highlight w:val="none"/>
              </w:rPr>
            </w:pPr>
          </w:p>
        </w:tc>
        <w:tc>
          <w:tcPr>
            <w:tcW w:w="1420" w:type="dxa"/>
            <w:vAlign w:val="center"/>
          </w:tcPr>
          <w:p w14:paraId="6208BFC2">
            <w:pPr>
              <w:spacing w:line="360" w:lineRule="auto"/>
              <w:contextualSpacing/>
              <w:jc w:val="center"/>
              <w:rPr>
                <w:rFonts w:ascii="宋体" w:hAnsi="宋体"/>
                <w:color w:val="auto"/>
                <w:sz w:val="24"/>
                <w:szCs w:val="20"/>
                <w:highlight w:val="none"/>
              </w:rPr>
            </w:pPr>
          </w:p>
        </w:tc>
        <w:tc>
          <w:tcPr>
            <w:tcW w:w="1698" w:type="dxa"/>
            <w:vAlign w:val="center"/>
          </w:tcPr>
          <w:p w14:paraId="3D308373">
            <w:pPr>
              <w:spacing w:line="360" w:lineRule="auto"/>
              <w:contextualSpacing/>
              <w:jc w:val="center"/>
              <w:rPr>
                <w:rFonts w:ascii="宋体" w:hAnsi="宋体"/>
                <w:color w:val="auto"/>
                <w:sz w:val="24"/>
                <w:szCs w:val="20"/>
                <w:highlight w:val="none"/>
              </w:rPr>
            </w:pPr>
          </w:p>
        </w:tc>
        <w:tc>
          <w:tcPr>
            <w:tcW w:w="1843" w:type="dxa"/>
            <w:vAlign w:val="center"/>
          </w:tcPr>
          <w:p w14:paraId="60F45078">
            <w:pPr>
              <w:spacing w:line="360" w:lineRule="auto"/>
              <w:contextualSpacing/>
              <w:jc w:val="center"/>
              <w:rPr>
                <w:rFonts w:ascii="宋体" w:hAnsi="宋体"/>
                <w:color w:val="auto"/>
                <w:sz w:val="24"/>
                <w:szCs w:val="20"/>
                <w:highlight w:val="none"/>
              </w:rPr>
            </w:pPr>
          </w:p>
        </w:tc>
      </w:tr>
    </w:tbl>
    <w:p w14:paraId="5C6D2C2F">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14:paraId="07618933">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在填写时，如本表格不适合供应商的实际情况，可根据本表格式自行制表填写。</w:t>
      </w:r>
    </w:p>
    <w:p w14:paraId="0FA47F23">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供应商应当附本表所列证书的复印件并加盖供应商电子签章。</w:t>
      </w:r>
    </w:p>
    <w:p w14:paraId="009BE592">
      <w:pPr>
        <w:spacing w:line="360" w:lineRule="auto"/>
        <w:contextualSpacing/>
        <w:rPr>
          <w:rFonts w:ascii="宋体" w:hAnsi="宋体"/>
          <w:color w:val="auto"/>
          <w:sz w:val="24"/>
          <w:highlight w:val="none"/>
        </w:rPr>
      </w:pPr>
    </w:p>
    <w:p w14:paraId="585F40B1">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3943B09C">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供应商</w:t>
      </w:r>
      <w:r>
        <w:rPr>
          <w:rFonts w:hint="eastAsia" w:ascii="宋体" w:hAnsi="宋体" w:cs="仿宋_GB2312"/>
          <w:color w:val="auto"/>
          <w:sz w:val="24"/>
          <w:highlight w:val="none"/>
        </w:rPr>
        <w:t>名称</w:t>
      </w:r>
      <w:r>
        <w:rPr>
          <w:rFonts w:hint="eastAsia" w:ascii="宋体" w:hAnsi="宋体"/>
          <w:color w:val="auto"/>
          <w:spacing w:val="20"/>
          <w:sz w:val="24"/>
          <w:highlight w:val="none"/>
        </w:rPr>
        <w:t>（电子签章）：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66E45819">
      <w:pPr>
        <w:snapToGrid w:val="0"/>
        <w:spacing w:before="50" w:afterLines="50"/>
        <w:jc w:val="left"/>
        <w:rPr>
          <w:rFonts w:ascii="宋体" w:hAnsi="宋体"/>
          <w:color w:val="auto"/>
          <w:sz w:val="24"/>
          <w:szCs w:val="20"/>
          <w:highlight w:val="none"/>
        </w:rPr>
      </w:pPr>
    </w:p>
    <w:p w14:paraId="07DFB8DC">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4C2EBD94">
      <w:pPr>
        <w:snapToGrid w:val="0"/>
        <w:spacing w:beforeLines="50" w:after="50"/>
        <w:jc w:val="left"/>
        <w:rPr>
          <w:rFonts w:ascii="方正小标宋简体" w:hAnsi="方正小标宋简体" w:eastAsia="方正小标宋简体" w:cs="方正小标宋简体"/>
          <w:bCs/>
          <w:color w:val="auto"/>
          <w:szCs w:val="21"/>
          <w:highlight w:val="none"/>
        </w:rPr>
      </w:pPr>
      <w:r>
        <w:rPr>
          <w:rFonts w:hint="eastAsia" w:ascii="方正小标宋简体" w:hAnsi="方正小标宋简体" w:eastAsia="方正小标宋简体" w:cs="方正小标宋简体"/>
          <w:bCs/>
          <w:color w:val="auto"/>
          <w:szCs w:val="21"/>
          <w:highlight w:val="none"/>
        </w:rPr>
        <w:br w:type="page"/>
      </w:r>
      <w:r>
        <w:rPr>
          <w:rFonts w:hint="eastAsia" w:ascii="方正小标宋简体" w:hAnsi="方正小标宋简体" w:eastAsia="方正小标宋简体" w:cs="方正小标宋简体"/>
          <w:bCs/>
          <w:color w:val="auto"/>
          <w:szCs w:val="21"/>
          <w:highlight w:val="none"/>
        </w:rPr>
        <w:t>代理服务费承诺书（如本项目为采购人支付代理服务费的，无需提供）</w:t>
      </w:r>
    </w:p>
    <w:p w14:paraId="329A26F6">
      <w:pPr>
        <w:snapToGrid w:val="0"/>
        <w:spacing w:beforeLines="50" w:after="50"/>
        <w:jc w:val="left"/>
        <w:rPr>
          <w:rFonts w:ascii="方正小标宋简体" w:hAnsi="方正小标宋简体" w:eastAsia="方正小标宋简体" w:cs="方正小标宋简体"/>
          <w:bCs/>
          <w:color w:val="auto"/>
          <w:szCs w:val="21"/>
          <w:highlight w:val="none"/>
        </w:rPr>
      </w:pPr>
    </w:p>
    <w:p w14:paraId="75E6093A">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77C19ABE">
      <w:pPr>
        <w:snapToGrid w:val="0"/>
        <w:spacing w:beforeLines="50" w:after="50"/>
        <w:jc w:val="center"/>
        <w:rPr>
          <w:rFonts w:ascii="宋体" w:hAnsi="宋体"/>
          <w:b/>
          <w:color w:val="auto"/>
          <w:sz w:val="24"/>
          <w:highlight w:val="none"/>
        </w:rPr>
      </w:pPr>
    </w:p>
    <w:p w14:paraId="1B1291CA">
      <w:pPr>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采购代理机构名称</w:t>
      </w:r>
      <w:r>
        <w:rPr>
          <w:rFonts w:hint="eastAsia" w:ascii="宋体" w:hAnsi="宋体"/>
          <w:color w:val="auto"/>
          <w:sz w:val="24"/>
          <w:highlight w:val="none"/>
        </w:rPr>
        <w:t>：</w:t>
      </w:r>
    </w:p>
    <w:p w14:paraId="10127BF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61B4D6D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1.我方承诺，若本单位成交，保证在发出成交通知书之后，按本项目采购文件的规定标准向贵单位一次性足额支付代理服务费， 在领取成交通知书后，由于被质疑、投诉或者其他原因而导致成交结果改变，我方将放弃对已缴纳的成交服务费追还的一切权利。</w:t>
      </w:r>
    </w:p>
    <w:p w14:paraId="6CC24ED5">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06009BDC">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第一种方式：开具增值税普通发票。开票信息如下：</w:t>
      </w:r>
    </w:p>
    <w:p w14:paraId="22BDA5B2">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0FCC4BC">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ABF4FA1">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第二种方式：开具增值税专用发票，开票信息如下：</w:t>
      </w:r>
    </w:p>
    <w:p w14:paraId="0401AA7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2539D310">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7DA53C8">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90CFCEA">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7808113">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_                           </w:t>
      </w:r>
      <w:r>
        <w:rPr>
          <w:rFonts w:hint="eastAsia" w:ascii="宋体" w:hAnsi="宋体"/>
          <w:color w:val="auto"/>
          <w:sz w:val="24"/>
          <w:highlight w:val="none"/>
        </w:rPr>
        <w:t>；</w:t>
      </w:r>
    </w:p>
    <w:p w14:paraId="0B808D37">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76F9CEB">
      <w:pPr>
        <w:spacing w:line="440" w:lineRule="exact"/>
        <w:rPr>
          <w:rFonts w:ascii="宋体" w:hAnsi="宋体"/>
          <w:color w:val="auto"/>
          <w:sz w:val="24"/>
          <w:highlight w:val="none"/>
        </w:rPr>
      </w:pPr>
    </w:p>
    <w:p w14:paraId="58BDF6EB">
      <w:pPr>
        <w:spacing w:line="440" w:lineRule="exact"/>
        <w:rPr>
          <w:rFonts w:ascii="宋体" w:hAnsi="宋体"/>
          <w:color w:val="auto"/>
          <w:sz w:val="24"/>
          <w:highlight w:val="none"/>
        </w:rPr>
      </w:pPr>
    </w:p>
    <w:p w14:paraId="4222FAB8">
      <w:pPr>
        <w:spacing w:line="440" w:lineRule="exact"/>
        <w:rPr>
          <w:rFonts w:ascii="宋体" w:hAnsi="宋体"/>
          <w:color w:val="auto"/>
          <w:sz w:val="24"/>
          <w:highlight w:val="none"/>
        </w:rPr>
      </w:pPr>
    </w:p>
    <w:p w14:paraId="0C88A359">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5CB8D7A3">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供应商公章（电子签章）：</w:t>
      </w:r>
    </w:p>
    <w:p w14:paraId="46246620">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1C025AFC">
      <w:pPr>
        <w:jc w:val="center"/>
        <w:rPr>
          <w:rFonts w:ascii="方正小标宋简体" w:hAnsi="方正小标宋简体" w:eastAsia="方正小标宋简体" w:cs="方正小标宋简体"/>
          <w:color w:val="auto"/>
          <w:sz w:val="44"/>
          <w:szCs w:val="44"/>
          <w:highlight w:val="none"/>
        </w:rPr>
      </w:pPr>
      <w:bookmarkStart w:id="177" w:name="_Toc71365926"/>
      <w:r>
        <w:rPr>
          <w:rFonts w:hint="eastAsia" w:ascii="方正小标宋简体" w:hAnsi="方正小标宋简体" w:eastAsia="方正小标宋简体" w:cs="方正小标宋简体"/>
          <w:color w:val="auto"/>
          <w:sz w:val="44"/>
          <w:szCs w:val="44"/>
          <w:highlight w:val="none"/>
        </w:rPr>
        <w:t>中小企业声明函（服务）</w:t>
      </w:r>
      <w:bookmarkEnd w:id="177"/>
    </w:p>
    <w:p w14:paraId="7CFE6468">
      <w:pPr>
        <w:spacing w:before="2" w:line="500" w:lineRule="exact"/>
        <w:ind w:firstLine="708" w:firstLineChars="294"/>
        <w:rPr>
          <w:rFonts w:ascii="宋体" w:hAnsi="宋体" w:cs="宋体"/>
          <w:b/>
          <w:bCs/>
          <w:color w:val="auto"/>
          <w:sz w:val="24"/>
          <w:highlight w:val="none"/>
        </w:rPr>
      </w:pPr>
    </w:p>
    <w:p w14:paraId="143DD9EF">
      <w:pPr>
        <w:pStyle w:val="2"/>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1DE9F042">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7F9A9B8">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47AF111D">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3B9FB698">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54B7D9A5">
      <w:pPr>
        <w:pStyle w:val="2"/>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2792A0B1">
      <w:pPr>
        <w:pStyle w:val="2"/>
        <w:spacing w:before="56" w:line="500" w:lineRule="exact"/>
        <w:ind w:right="1808" w:firstLine="705" w:firstLineChars="294"/>
        <w:rPr>
          <w:rFonts w:ascii="宋体" w:hAnsi="宋体"/>
          <w:color w:val="auto"/>
          <w:sz w:val="24"/>
          <w:highlight w:val="none"/>
        </w:rPr>
      </w:pPr>
    </w:p>
    <w:p w14:paraId="7365BEF2">
      <w:pPr>
        <w:pStyle w:val="2"/>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企业名称（章）</w:t>
      </w:r>
      <w:r>
        <w:rPr>
          <w:rFonts w:hint="eastAsia" w:ascii="宋体" w:hAnsi="宋体"/>
          <w:color w:val="auto"/>
          <w:sz w:val="24"/>
          <w:highlight w:val="none"/>
        </w:rPr>
        <w:t>：</w:t>
      </w:r>
      <w:r>
        <w:rPr>
          <w:rFonts w:ascii="宋体" w:hAnsi="宋体"/>
          <w:color w:val="auto"/>
          <w:sz w:val="24"/>
          <w:highlight w:val="none"/>
        </w:rPr>
        <w:t xml:space="preserve"> </w:t>
      </w:r>
    </w:p>
    <w:p w14:paraId="28B73673">
      <w:pPr>
        <w:pStyle w:val="2"/>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r>
        <w:rPr>
          <w:rFonts w:hint="eastAsia" w:ascii="宋体" w:hAnsi="宋体"/>
          <w:color w:val="auto"/>
          <w:sz w:val="24"/>
          <w:highlight w:val="none"/>
        </w:rPr>
        <w:t>：</w:t>
      </w:r>
    </w:p>
    <w:p w14:paraId="4C9D7C3D">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A1468D7">
      <w:pPr>
        <w:spacing w:line="520" w:lineRule="exact"/>
        <w:jc w:val="center"/>
        <w:rPr>
          <w:rFonts w:ascii="宋体" w:hAnsi="宋体"/>
          <w:color w:val="auto"/>
          <w:sz w:val="24"/>
          <w:highlight w:val="none"/>
        </w:rPr>
      </w:pPr>
      <w:r>
        <w:rPr>
          <w:rFonts w:ascii="宋体" w:hAnsi="宋体"/>
          <w:color w:val="auto"/>
          <w:sz w:val="24"/>
          <w:highlight w:val="none"/>
        </w:rPr>
        <w:br w:type="page"/>
      </w:r>
    </w:p>
    <w:p w14:paraId="33D2C0E2">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3A81A56F">
      <w:pPr>
        <w:spacing w:line="360" w:lineRule="auto"/>
        <w:contextualSpacing/>
        <w:rPr>
          <w:rFonts w:ascii="仿宋_GB2312" w:hAnsi="仿宋_GB2312" w:eastAsia="仿宋_GB2312" w:cs="仿宋_GB2312"/>
          <w:color w:val="auto"/>
          <w:sz w:val="32"/>
          <w:szCs w:val="32"/>
          <w:highlight w:val="none"/>
        </w:rPr>
      </w:pPr>
    </w:p>
    <w:p w14:paraId="1254686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77B6F5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0B3D20CA">
      <w:pPr>
        <w:spacing w:line="360" w:lineRule="auto"/>
        <w:contextualSpacing/>
        <w:rPr>
          <w:rFonts w:ascii="宋体" w:hAnsi="宋体" w:cs="仿宋_GB2312"/>
          <w:color w:val="auto"/>
          <w:sz w:val="24"/>
          <w:highlight w:val="none"/>
        </w:rPr>
      </w:pPr>
    </w:p>
    <w:p w14:paraId="693B88A2">
      <w:pPr>
        <w:spacing w:line="360" w:lineRule="auto"/>
        <w:contextualSpacing/>
        <w:rPr>
          <w:rFonts w:ascii="宋体" w:hAnsi="宋体" w:cs="仿宋_GB2312"/>
          <w:color w:val="auto"/>
          <w:sz w:val="24"/>
          <w:highlight w:val="none"/>
        </w:rPr>
      </w:pPr>
    </w:p>
    <w:p w14:paraId="66810D2D">
      <w:pPr>
        <w:spacing w:line="360" w:lineRule="auto"/>
        <w:contextualSpacing/>
        <w:rPr>
          <w:rFonts w:ascii="宋体" w:hAnsi="宋体" w:cs="仿宋_GB2312"/>
          <w:color w:val="auto"/>
          <w:sz w:val="24"/>
          <w:highlight w:val="none"/>
        </w:rPr>
      </w:pPr>
    </w:p>
    <w:p w14:paraId="59CC0375">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7AE16954">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54534D8F">
      <w:pPr>
        <w:spacing w:line="360" w:lineRule="auto"/>
        <w:contextualSpacing/>
        <w:rPr>
          <w:rFonts w:ascii="宋体" w:hAnsi="宋体" w:cs="仿宋_GB2312"/>
          <w:color w:val="auto"/>
          <w:sz w:val="24"/>
          <w:highlight w:val="none"/>
        </w:rPr>
      </w:pPr>
    </w:p>
    <w:p w14:paraId="43606CF8">
      <w:pPr>
        <w:spacing w:line="360" w:lineRule="auto"/>
        <w:contextualSpacing/>
        <w:rPr>
          <w:rFonts w:ascii="宋体" w:hAnsi="宋体" w:cs="仿宋_GB2312"/>
          <w:color w:val="auto"/>
          <w:sz w:val="24"/>
          <w:highlight w:val="none"/>
        </w:rPr>
      </w:pPr>
    </w:p>
    <w:p w14:paraId="7A926866">
      <w:pPr>
        <w:spacing w:line="360" w:lineRule="auto"/>
        <w:contextualSpacing/>
        <w:rPr>
          <w:rFonts w:ascii="宋体" w:hAnsi="宋体" w:cs="仿宋_GB2312"/>
          <w:color w:val="auto"/>
          <w:sz w:val="24"/>
          <w:highlight w:val="none"/>
        </w:rPr>
      </w:pPr>
    </w:p>
    <w:p w14:paraId="197E6EA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51ADAB30">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14:paraId="3763EC06">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2FC27814">
      <w:pPr>
        <w:pStyle w:val="18"/>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r>
        <w:rPr>
          <w:rFonts w:hint="eastAsia" w:hAnsi="宋体"/>
          <w:bCs/>
          <w:color w:val="auto"/>
          <w:sz w:val="24"/>
          <w:szCs w:val="24"/>
          <w:highlight w:val="none"/>
        </w:rPr>
        <w:t>：</w:t>
      </w:r>
    </w:p>
    <w:p w14:paraId="14BC2206">
      <w:pPr>
        <w:pStyle w:val="18"/>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F9BE84E">
      <w:pPr>
        <w:pStyle w:val="18"/>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3D3FC45">
      <w:pPr>
        <w:pStyle w:val="18"/>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1D7557A">
      <w:pPr>
        <w:pStyle w:val="18"/>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7D1111EE">
      <w:pPr>
        <w:pStyle w:val="18"/>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98C96A5">
      <w:pPr>
        <w:pStyle w:val="18"/>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24EB527">
      <w:pPr>
        <w:pStyle w:val="18"/>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r>
        <w:rPr>
          <w:rFonts w:hint="eastAsia" w:hAnsi="宋体"/>
          <w:bCs/>
          <w:color w:val="auto"/>
          <w:sz w:val="24"/>
          <w:szCs w:val="24"/>
          <w:highlight w:val="none"/>
        </w:rPr>
        <w:t>：</w:t>
      </w:r>
    </w:p>
    <w:p w14:paraId="1A8E280A">
      <w:pPr>
        <w:pStyle w:val="18"/>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EF817B7">
      <w:pPr>
        <w:pStyle w:val="18"/>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00088340">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8F036B1">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5477C5EC">
      <w:pPr>
        <w:pStyle w:val="18"/>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279097F4">
      <w:pPr>
        <w:pStyle w:val="18"/>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142CD7B9">
      <w:pPr>
        <w:pStyle w:val="18"/>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689EEDEB">
      <w:pPr>
        <w:pStyle w:val="18"/>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57A25632">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7F081159">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2C068C7B">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5658FC49">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30A068B0">
      <w:pPr>
        <w:pStyle w:val="18"/>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47F80182">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2C9C2EA6">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96B588E">
      <w:pPr>
        <w:pStyle w:val="18"/>
        <w:spacing w:line="360" w:lineRule="auto"/>
        <w:ind w:left="25" w:leftChars="12" w:firstLine="352" w:firstLineChars="147"/>
        <w:contextualSpacing/>
        <w:rPr>
          <w:rFonts w:hAnsi="宋体"/>
          <w:color w:val="auto"/>
          <w:sz w:val="24"/>
          <w:szCs w:val="24"/>
          <w:highlight w:val="none"/>
        </w:rPr>
      </w:pPr>
    </w:p>
    <w:p w14:paraId="2E6EA86E">
      <w:pPr>
        <w:pStyle w:val="18"/>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1AAEE1AF">
      <w:pPr>
        <w:pStyle w:val="18"/>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59A2FB63">
      <w:pPr>
        <w:pStyle w:val="18"/>
        <w:spacing w:line="360" w:lineRule="auto"/>
        <w:contextualSpacing/>
        <w:rPr>
          <w:rFonts w:hAnsi="宋体"/>
          <w:b/>
          <w:color w:val="auto"/>
          <w:sz w:val="24"/>
          <w:szCs w:val="24"/>
          <w:highlight w:val="none"/>
        </w:rPr>
      </w:pPr>
      <w:r>
        <w:rPr>
          <w:rFonts w:hint="eastAsia" w:hAnsi="宋体"/>
          <w:b/>
          <w:color w:val="auto"/>
          <w:sz w:val="24"/>
          <w:szCs w:val="24"/>
          <w:highlight w:val="none"/>
        </w:rPr>
        <w:t>说明</w:t>
      </w:r>
      <w:r>
        <w:rPr>
          <w:rFonts w:hint="eastAsia" w:hAnsi="宋体"/>
          <w:color w:val="auto"/>
          <w:sz w:val="24"/>
          <w:szCs w:val="24"/>
          <w:highlight w:val="none"/>
        </w:rPr>
        <w:t>：</w:t>
      </w:r>
    </w:p>
    <w:p w14:paraId="7DFE84EF">
      <w:pPr>
        <w:pStyle w:val="18"/>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1995EA58">
      <w:pPr>
        <w:pStyle w:val="18"/>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B45BA3">
      <w:pPr>
        <w:pStyle w:val="18"/>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13C64EAD">
      <w:pPr>
        <w:pStyle w:val="18"/>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6AE0B21B">
      <w:pPr>
        <w:pStyle w:val="18"/>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6CB11119">
      <w:pPr>
        <w:pStyle w:val="18"/>
        <w:snapToGrid w:val="0"/>
        <w:rPr>
          <w:b/>
          <w:color w:val="auto"/>
          <w:sz w:val="24"/>
          <w:szCs w:val="24"/>
          <w:highlight w:val="none"/>
        </w:rPr>
      </w:pPr>
    </w:p>
    <w:p w14:paraId="203AAF23">
      <w:pPr>
        <w:rPr>
          <w:color w:val="auto"/>
          <w:sz w:val="32"/>
          <w:szCs w:val="40"/>
          <w:highlight w:val="none"/>
        </w:rPr>
      </w:pPr>
    </w:p>
    <w:p w14:paraId="73C27AD9">
      <w:pPr>
        <w:rPr>
          <w:color w:val="auto"/>
          <w:sz w:val="32"/>
          <w:szCs w:val="40"/>
          <w:highlight w:val="none"/>
        </w:rPr>
      </w:pPr>
    </w:p>
    <w:p w14:paraId="2634DFAE">
      <w:pPr>
        <w:rPr>
          <w:color w:val="auto"/>
          <w:sz w:val="32"/>
          <w:szCs w:val="40"/>
          <w:highlight w:val="none"/>
        </w:rPr>
      </w:pPr>
    </w:p>
    <w:p w14:paraId="7A4FCC63">
      <w:pPr>
        <w:rPr>
          <w:color w:val="auto"/>
          <w:sz w:val="32"/>
          <w:szCs w:val="40"/>
          <w:highlight w:val="none"/>
        </w:rPr>
      </w:pPr>
    </w:p>
    <w:p w14:paraId="4C3C79F9">
      <w:pPr>
        <w:rPr>
          <w:color w:val="auto"/>
          <w:sz w:val="32"/>
          <w:szCs w:val="40"/>
          <w:highlight w:val="none"/>
        </w:rPr>
      </w:pPr>
    </w:p>
    <w:p w14:paraId="72A13409">
      <w:pPr>
        <w:rPr>
          <w:color w:val="auto"/>
          <w:sz w:val="32"/>
          <w:szCs w:val="40"/>
          <w:highlight w:val="none"/>
        </w:rPr>
      </w:pPr>
    </w:p>
    <w:p w14:paraId="3880F0DD">
      <w:pPr>
        <w:rPr>
          <w:color w:val="auto"/>
          <w:sz w:val="32"/>
          <w:szCs w:val="40"/>
          <w:highlight w:val="none"/>
        </w:rPr>
      </w:pPr>
    </w:p>
    <w:p w14:paraId="5FA8AC68">
      <w:pPr>
        <w:rPr>
          <w:color w:val="auto"/>
          <w:sz w:val="32"/>
          <w:szCs w:val="40"/>
          <w:highlight w:val="none"/>
        </w:rPr>
      </w:pPr>
    </w:p>
    <w:p w14:paraId="047C04EB">
      <w:pPr>
        <w:rPr>
          <w:color w:val="auto"/>
          <w:sz w:val="32"/>
          <w:szCs w:val="40"/>
          <w:highlight w:val="none"/>
        </w:rPr>
      </w:pPr>
    </w:p>
    <w:p w14:paraId="7112848F">
      <w:pPr>
        <w:rPr>
          <w:color w:val="auto"/>
          <w:sz w:val="32"/>
          <w:szCs w:val="40"/>
          <w:highlight w:val="none"/>
        </w:rPr>
      </w:pPr>
    </w:p>
    <w:p w14:paraId="44EB3229">
      <w:pPr>
        <w:rPr>
          <w:color w:val="auto"/>
          <w:sz w:val="32"/>
          <w:szCs w:val="40"/>
          <w:highlight w:val="none"/>
        </w:rPr>
      </w:pPr>
    </w:p>
    <w:p w14:paraId="3E671B90">
      <w:pPr>
        <w:rPr>
          <w:color w:val="auto"/>
          <w:sz w:val="32"/>
          <w:szCs w:val="40"/>
          <w:highlight w:val="none"/>
        </w:rPr>
      </w:pPr>
    </w:p>
    <w:p w14:paraId="0A6923E3">
      <w:pPr>
        <w:rPr>
          <w:color w:val="auto"/>
          <w:sz w:val="32"/>
          <w:szCs w:val="40"/>
          <w:highlight w:val="none"/>
        </w:rPr>
      </w:pPr>
    </w:p>
    <w:p w14:paraId="7194EA15">
      <w:pPr>
        <w:rPr>
          <w:color w:val="auto"/>
          <w:sz w:val="32"/>
          <w:szCs w:val="40"/>
          <w:highlight w:val="none"/>
        </w:rPr>
      </w:pPr>
    </w:p>
    <w:p w14:paraId="1BBBE38F">
      <w:pP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30C1C3FB">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4E77FE97">
      <w:pPr>
        <w:pStyle w:val="18"/>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r>
        <w:rPr>
          <w:rFonts w:hint="eastAsia" w:hAnsi="宋体"/>
          <w:bCs/>
          <w:color w:val="auto"/>
          <w:sz w:val="24"/>
          <w:szCs w:val="24"/>
          <w:highlight w:val="none"/>
        </w:rPr>
        <w:t>：</w:t>
      </w:r>
    </w:p>
    <w:p w14:paraId="33CB4B32">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35C5AB2">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418E528">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52E15D1E">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2EA300E">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78B4E22">
      <w:pPr>
        <w:pStyle w:val="18"/>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6EAC2F2">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4F97F5C">
      <w:pPr>
        <w:pStyle w:val="18"/>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0355FA88">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58A25443">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6D1F64F">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7EE0DCE">
      <w:pPr>
        <w:pStyle w:val="18"/>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016174E9">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37A22286">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0C6E665C">
      <w:pPr>
        <w:pStyle w:val="18"/>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C983F44">
      <w:pPr>
        <w:pStyle w:val="18"/>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8C7D54E">
      <w:pPr>
        <w:pStyle w:val="18"/>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r>
        <w:rPr>
          <w:rFonts w:hint="eastAsia" w:hAnsi="宋体"/>
          <w:bCs/>
          <w:color w:val="auto"/>
          <w:sz w:val="24"/>
          <w:szCs w:val="24"/>
          <w:highlight w:val="none"/>
        </w:rPr>
        <w:t>：</w:t>
      </w:r>
    </w:p>
    <w:p w14:paraId="0387B9F6">
      <w:pPr>
        <w:pStyle w:val="18"/>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D1BA117">
      <w:pPr>
        <w:pStyle w:val="18"/>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75DD609A">
      <w:pPr>
        <w:pStyle w:val="18"/>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DCF5761">
      <w:pPr>
        <w:pStyle w:val="18"/>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B91D8C9">
      <w:pPr>
        <w:pStyle w:val="18"/>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56C2ED5">
      <w:pPr>
        <w:pStyle w:val="18"/>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8A4D624">
      <w:pPr>
        <w:pStyle w:val="18"/>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399A2B8C">
      <w:pPr>
        <w:pStyle w:val="18"/>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3F5258F6">
      <w:pPr>
        <w:pStyle w:val="18"/>
        <w:spacing w:line="360" w:lineRule="auto"/>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613C15B">
      <w:pPr>
        <w:pStyle w:val="18"/>
        <w:spacing w:line="360" w:lineRule="auto"/>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67EE8D9">
      <w:pPr>
        <w:pStyle w:val="18"/>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0C5A4F57">
      <w:pPr>
        <w:pStyle w:val="18"/>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626F18B4">
      <w:pPr>
        <w:pStyle w:val="18"/>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2AC87C2D">
      <w:pPr>
        <w:pStyle w:val="18"/>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305EF56">
      <w:pPr>
        <w:pStyle w:val="18"/>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0966C980">
      <w:pPr>
        <w:pStyle w:val="18"/>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5915B4F">
      <w:pPr>
        <w:pStyle w:val="18"/>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AE1E60C">
      <w:pPr>
        <w:pStyle w:val="18"/>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20C7E4C8">
      <w:pPr>
        <w:pStyle w:val="18"/>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47384C43">
      <w:pPr>
        <w:pStyle w:val="18"/>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r>
        <w:rPr>
          <w:rFonts w:hint="eastAsia" w:hAnsi="宋体"/>
          <w:color w:val="auto"/>
          <w:sz w:val="24"/>
          <w:szCs w:val="24"/>
          <w:highlight w:val="none"/>
        </w:rPr>
        <w:t>：</w:t>
      </w:r>
    </w:p>
    <w:p w14:paraId="44A54B1A">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11E1266">
      <w:pPr>
        <w:pStyle w:val="18"/>
        <w:spacing w:line="360" w:lineRule="auto"/>
        <w:ind w:left="25" w:leftChars="12" w:firstLine="352" w:firstLineChars="147"/>
        <w:rPr>
          <w:rFonts w:hAnsi="宋体"/>
          <w:color w:val="auto"/>
          <w:sz w:val="24"/>
          <w:szCs w:val="24"/>
          <w:highlight w:val="none"/>
        </w:rPr>
      </w:pPr>
    </w:p>
    <w:p w14:paraId="74694617">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69BFCEAA">
      <w:pPr>
        <w:pStyle w:val="18"/>
        <w:spacing w:line="360" w:lineRule="auto"/>
        <w:ind w:left="25" w:leftChars="12" w:firstLine="352" w:firstLineChars="147"/>
        <w:rPr>
          <w:rFonts w:hAnsi="宋体"/>
          <w:color w:val="auto"/>
          <w:sz w:val="24"/>
          <w:szCs w:val="24"/>
          <w:highlight w:val="none"/>
        </w:rPr>
      </w:pPr>
    </w:p>
    <w:p w14:paraId="6E270464">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3DC70DD5">
      <w:pPr>
        <w:pStyle w:val="18"/>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 xml:space="preserve">                                                                                 </w:t>
      </w:r>
    </w:p>
    <w:p w14:paraId="1C5514E4">
      <w:pPr>
        <w:pStyle w:val="18"/>
        <w:snapToGrid w:val="0"/>
        <w:spacing w:line="360" w:lineRule="auto"/>
        <w:rPr>
          <w:rFonts w:hAnsi="宋体"/>
          <w:b/>
          <w:color w:val="auto"/>
          <w:sz w:val="24"/>
          <w:szCs w:val="24"/>
          <w:highlight w:val="none"/>
        </w:rPr>
      </w:pPr>
      <w:r>
        <w:rPr>
          <w:rFonts w:hint="eastAsia" w:hAnsi="宋体"/>
          <w:b/>
          <w:color w:val="auto"/>
          <w:sz w:val="24"/>
          <w:szCs w:val="24"/>
          <w:highlight w:val="none"/>
        </w:rPr>
        <w:t>说明</w:t>
      </w:r>
      <w:r>
        <w:rPr>
          <w:rFonts w:hint="eastAsia" w:hAnsi="宋体"/>
          <w:color w:val="auto"/>
          <w:sz w:val="24"/>
          <w:szCs w:val="24"/>
          <w:highlight w:val="none"/>
        </w:rPr>
        <w:t>：</w:t>
      </w:r>
    </w:p>
    <w:p w14:paraId="112DB336">
      <w:pPr>
        <w:pStyle w:val="18"/>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14976941">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2B80272">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407549E4">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985B56E">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3E602497">
      <w:pPr>
        <w:pStyle w:val="18"/>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6B107956">
      <w:pPr>
        <w:pStyle w:val="5"/>
        <w:jc w:val="center"/>
        <w:rPr>
          <w:color w:val="auto"/>
          <w:highlight w:val="none"/>
        </w:rPr>
      </w:pPr>
      <w:bookmarkStart w:id="178" w:name="_Toc10542"/>
      <w:r>
        <w:rPr>
          <w:rFonts w:hint="eastAsia"/>
          <w:color w:val="auto"/>
          <w:highlight w:val="none"/>
        </w:rPr>
        <w:t>第六章 合同文本</w:t>
      </w:r>
      <w:bookmarkEnd w:id="178"/>
    </w:p>
    <w:p w14:paraId="0DBFA7A0">
      <w:pPr>
        <w:autoSpaceDE w:val="0"/>
        <w:autoSpaceDN w:val="0"/>
        <w:adjustRightInd w:val="0"/>
        <w:snapToGrid w:val="0"/>
        <w:spacing w:line="640" w:lineRule="exact"/>
        <w:jc w:val="center"/>
        <w:rPr>
          <w:rFonts w:ascii="宋体" w:hAnsi="宋体"/>
          <w:b/>
          <w:bCs/>
          <w:color w:val="auto"/>
          <w:sz w:val="32"/>
          <w:szCs w:val="32"/>
          <w:highlight w:val="none"/>
        </w:rPr>
      </w:pPr>
    </w:p>
    <w:p w14:paraId="07E020C5">
      <w:pPr>
        <w:pStyle w:val="2"/>
        <w:rPr>
          <w:color w:val="auto"/>
          <w:highlight w:val="none"/>
        </w:rPr>
      </w:pPr>
    </w:p>
    <w:p w14:paraId="4896373F">
      <w:pPr>
        <w:autoSpaceDE w:val="0"/>
        <w:autoSpaceDN w:val="0"/>
        <w:adjustRightInd w:val="0"/>
        <w:snapToGrid w:val="0"/>
        <w:spacing w:line="6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政府采购合同</w:t>
      </w:r>
    </w:p>
    <w:p w14:paraId="1CC28DC8">
      <w:pPr>
        <w:wordWrap w:val="0"/>
        <w:spacing w:line="700" w:lineRule="exact"/>
        <w:ind w:firstLine="1799" w:firstLineChars="640"/>
        <w:rPr>
          <w:rFonts w:ascii="宋体" w:hAnsi="宋体" w:cs="Courier New"/>
          <w:b/>
          <w:color w:val="auto"/>
          <w:sz w:val="28"/>
          <w:szCs w:val="28"/>
          <w:highlight w:val="none"/>
        </w:rPr>
      </w:pPr>
    </w:p>
    <w:p w14:paraId="2D7A11B7">
      <w:pPr>
        <w:wordWrap w:val="0"/>
        <w:spacing w:line="700" w:lineRule="exact"/>
        <w:ind w:firstLine="1799" w:firstLineChars="640"/>
        <w:rPr>
          <w:rFonts w:ascii="宋体" w:hAnsi="宋体" w:cs="Courier New"/>
          <w:b/>
          <w:color w:val="auto"/>
          <w:sz w:val="28"/>
          <w:szCs w:val="28"/>
          <w:highlight w:val="none"/>
        </w:rPr>
      </w:pPr>
    </w:p>
    <w:p w14:paraId="3D6C5CC5">
      <w:pPr>
        <w:wordWrap w:val="0"/>
        <w:spacing w:line="700" w:lineRule="exact"/>
        <w:ind w:firstLine="1799" w:firstLineChars="640"/>
        <w:rPr>
          <w:rFonts w:ascii="宋体" w:hAnsi="宋体" w:cs="Courier New"/>
          <w:b/>
          <w:color w:val="auto"/>
          <w:sz w:val="28"/>
          <w:szCs w:val="28"/>
          <w:highlight w:val="none"/>
        </w:rPr>
      </w:pPr>
    </w:p>
    <w:p w14:paraId="669A6DBD">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合同名称</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14CA4767">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合同编号</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01BC45E7">
      <w:pPr>
        <w:wordWrap w:val="0"/>
        <w:spacing w:line="700" w:lineRule="exact"/>
        <w:ind w:firstLine="1799" w:firstLineChars="640"/>
        <w:rPr>
          <w:rFonts w:ascii="宋体" w:hAnsi="宋体" w:cs="Courier New"/>
          <w:b/>
          <w:color w:val="auto"/>
          <w:sz w:val="28"/>
          <w:szCs w:val="28"/>
          <w:highlight w:val="none"/>
        </w:rPr>
      </w:pPr>
    </w:p>
    <w:p w14:paraId="78D5FBBE">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采购人（甲方）</w:t>
      </w:r>
      <w:r>
        <w:rPr>
          <w:rFonts w:hint="eastAsia" w:ascii="宋体" w:hAnsi="宋体" w:cs="Courier New"/>
          <w:b/>
          <w:color w:val="auto"/>
          <w:sz w:val="28"/>
          <w:szCs w:val="28"/>
          <w:highlight w:val="none"/>
          <w:u w:val="single"/>
        </w:rPr>
        <w:t xml:space="preserve">                      </w:t>
      </w:r>
    </w:p>
    <w:p w14:paraId="2C3DE37F">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供 应 商（乙方）</w:t>
      </w:r>
      <w:r>
        <w:rPr>
          <w:rFonts w:hint="eastAsia" w:ascii="宋体" w:hAnsi="宋体" w:cs="Courier New"/>
          <w:b/>
          <w:color w:val="auto"/>
          <w:sz w:val="28"/>
          <w:szCs w:val="28"/>
          <w:highlight w:val="none"/>
          <w:u w:val="single"/>
        </w:rPr>
        <w:t xml:space="preserve">                    </w:t>
      </w:r>
    </w:p>
    <w:p w14:paraId="56A41E58">
      <w:pPr>
        <w:wordWrap w:val="0"/>
        <w:spacing w:line="700" w:lineRule="exact"/>
        <w:ind w:firstLine="1799" w:firstLineChars="640"/>
        <w:rPr>
          <w:rFonts w:ascii="宋体" w:hAnsi="宋体" w:cs="Courier New"/>
          <w:b/>
          <w:color w:val="auto"/>
          <w:sz w:val="28"/>
          <w:szCs w:val="28"/>
          <w:highlight w:val="none"/>
        </w:rPr>
      </w:pPr>
    </w:p>
    <w:p w14:paraId="70B15871">
      <w:pPr>
        <w:wordWrap w:val="0"/>
        <w:spacing w:line="700" w:lineRule="exact"/>
        <w:ind w:firstLine="1799" w:firstLineChars="640"/>
        <w:rPr>
          <w:rFonts w:ascii="宋体" w:hAnsi="宋体" w:cs="Courier New"/>
          <w:b/>
          <w:color w:val="auto"/>
          <w:sz w:val="28"/>
          <w:szCs w:val="28"/>
          <w:highlight w:val="none"/>
          <w:u w:val="single"/>
        </w:rPr>
      </w:pPr>
      <w:r>
        <w:rPr>
          <w:rFonts w:hint="eastAsia" w:ascii="宋体" w:hAnsi="宋体" w:cs="Courier New"/>
          <w:b/>
          <w:color w:val="auto"/>
          <w:sz w:val="28"/>
          <w:szCs w:val="28"/>
          <w:highlight w:val="none"/>
        </w:rPr>
        <w:t>签订合同地点</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44C8CDCB">
      <w:pPr>
        <w:wordWrap w:val="0"/>
        <w:spacing w:line="700" w:lineRule="exact"/>
        <w:ind w:firstLine="1799" w:firstLineChars="640"/>
        <w:rPr>
          <w:rFonts w:ascii="宋体" w:hAnsi="宋体" w:cs="Courier New"/>
          <w:b/>
          <w:color w:val="auto"/>
          <w:sz w:val="28"/>
          <w:szCs w:val="28"/>
          <w:highlight w:val="none"/>
        </w:rPr>
      </w:pPr>
      <w:r>
        <w:rPr>
          <w:rFonts w:hint="eastAsia" w:ascii="宋体" w:hAnsi="宋体" w:cs="Courier New"/>
          <w:b/>
          <w:color w:val="auto"/>
          <w:sz w:val="28"/>
          <w:szCs w:val="28"/>
          <w:highlight w:val="none"/>
        </w:rPr>
        <w:t>签订合同时间</w:t>
      </w:r>
      <w:r>
        <w:rPr>
          <w:rFonts w:hint="eastAsia" w:ascii="宋体" w:hAnsi="宋体" w:cs="Courier New"/>
          <w:color w:val="auto"/>
          <w:sz w:val="28"/>
          <w:szCs w:val="28"/>
          <w:highlight w:val="none"/>
        </w:rPr>
        <w:t>：</w:t>
      </w:r>
      <w:r>
        <w:rPr>
          <w:rFonts w:hint="eastAsia" w:ascii="宋体" w:hAnsi="宋体" w:cs="Courier New"/>
          <w:b/>
          <w:color w:val="auto"/>
          <w:sz w:val="28"/>
          <w:szCs w:val="28"/>
          <w:highlight w:val="none"/>
          <w:u w:val="single"/>
        </w:rPr>
        <w:t xml:space="preserve">                      </w:t>
      </w:r>
    </w:p>
    <w:p w14:paraId="30B8F978">
      <w:pPr>
        <w:wordWrap w:val="0"/>
        <w:jc w:val="center"/>
        <w:rPr>
          <w:rFonts w:ascii="宋体" w:hAnsi="宋体" w:cs="Courier New"/>
          <w:color w:val="auto"/>
          <w:szCs w:val="21"/>
          <w:highlight w:val="none"/>
        </w:rPr>
      </w:pPr>
      <w:r>
        <w:rPr>
          <w:rFonts w:hint="eastAsia" w:ascii="宋体" w:hAnsi="宋体" w:cs="Courier New"/>
          <w:color w:val="auto"/>
          <w:szCs w:val="21"/>
          <w:highlight w:val="none"/>
        </w:rPr>
        <w:t xml:space="preserve"> </w:t>
      </w:r>
    </w:p>
    <w:p w14:paraId="4F506362">
      <w:pPr>
        <w:snapToGrid w:val="0"/>
        <w:spacing w:beforeLines="50" w:afterLines="50" w:line="600" w:lineRule="exact"/>
        <w:jc w:val="center"/>
        <w:rPr>
          <w:rFonts w:ascii="宋体" w:hAnsi="宋体"/>
          <w:b/>
          <w:bCs/>
          <w:color w:val="auto"/>
          <w:sz w:val="32"/>
          <w:szCs w:val="32"/>
          <w:highlight w:val="none"/>
        </w:rPr>
      </w:pPr>
      <w:r>
        <w:rPr>
          <w:rFonts w:ascii="Cambria" w:hAnsi="Cambria" w:cs="宋体"/>
          <w:b/>
          <w:bCs/>
          <w:color w:val="auto"/>
          <w:kern w:val="0"/>
          <w:sz w:val="36"/>
          <w:szCs w:val="36"/>
          <w:highlight w:val="none"/>
        </w:rPr>
        <w:br w:type="page"/>
      </w:r>
      <w:r>
        <w:rPr>
          <w:rFonts w:hint="eastAsia" w:ascii="宋体" w:hAnsi="宋体"/>
          <w:b/>
          <w:bCs/>
          <w:color w:val="auto"/>
          <w:sz w:val="32"/>
          <w:szCs w:val="32"/>
          <w:highlight w:val="none"/>
        </w:rPr>
        <w:t>北海市政府采购合同</w:t>
      </w:r>
    </w:p>
    <w:p w14:paraId="421B8DBA">
      <w:pPr>
        <w:wordWrap w:val="0"/>
        <w:snapToGrid w:val="0"/>
        <w:spacing w:line="360" w:lineRule="exact"/>
        <w:ind w:firstLine="5670" w:firstLineChars="2700"/>
        <w:rPr>
          <w:rFonts w:ascii="宋体" w:hAnsi="宋体" w:cs="宋体"/>
          <w:bCs/>
          <w:color w:val="auto"/>
          <w:szCs w:val="21"/>
          <w:highlight w:val="none"/>
          <w:u w:val="single"/>
        </w:rPr>
      </w:pP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7814E8EE">
      <w:pPr>
        <w:wordWrap w:val="0"/>
        <w:snapToGrid w:val="0"/>
        <w:spacing w:line="360" w:lineRule="exact"/>
        <w:ind w:firstLine="5670" w:firstLineChars="2700"/>
        <w:rPr>
          <w:rFonts w:ascii="宋体" w:hAnsi="宋体" w:cs="宋体"/>
          <w:bCs/>
          <w:color w:val="auto"/>
          <w:szCs w:val="21"/>
          <w:highlight w:val="none"/>
          <w:u w:val="single"/>
        </w:rPr>
      </w:pPr>
      <w:r>
        <w:rPr>
          <w:rFonts w:hint="eastAsia" w:ascii="宋体" w:hAnsi="宋体" w:cs="宋体"/>
          <w:bCs/>
          <w:color w:val="auto"/>
          <w:szCs w:val="21"/>
          <w:highlight w:val="none"/>
        </w:rPr>
        <w:t>采购计划编号：</w:t>
      </w:r>
      <w:r>
        <w:rPr>
          <w:rFonts w:hint="eastAsia" w:ascii="宋体" w:hAnsi="宋体" w:cs="宋体"/>
          <w:bCs/>
          <w:color w:val="auto"/>
          <w:szCs w:val="21"/>
          <w:highlight w:val="none"/>
          <w:u w:val="single"/>
        </w:rPr>
        <w:t xml:space="preserve">                </w:t>
      </w:r>
    </w:p>
    <w:p w14:paraId="37533A22">
      <w:pPr>
        <w:wordWrap w:val="0"/>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3ABB16D">
      <w:pPr>
        <w:wordWrap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p>
    <w:p w14:paraId="30B58D91">
      <w:pPr>
        <w:wordWrap w:val="0"/>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项目名称和项目编号</w:t>
      </w:r>
      <w:r>
        <w:rPr>
          <w:rFonts w:hint="eastAsia" w:ascii="宋体" w:hAnsi="宋体" w:cs="宋体"/>
          <w:color w:val="auto"/>
          <w:szCs w:val="21"/>
          <w:highlight w:val="none"/>
          <w:u w:val="single"/>
        </w:rPr>
        <w:t xml:space="preserve">                      </w:t>
      </w:r>
    </w:p>
    <w:p w14:paraId="78E9B716">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签订地点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1C793CB8">
      <w:pPr>
        <w:wordWrap w:val="0"/>
        <w:spacing w:line="360" w:lineRule="exact"/>
        <w:ind w:firstLine="420" w:firstLineChars="200"/>
        <w:rPr>
          <w:rFonts w:ascii="宋体" w:hAnsi="宋体" w:cs="宋体"/>
          <w:color w:val="auto"/>
          <w:szCs w:val="21"/>
          <w:highlight w:val="none"/>
        </w:rPr>
      </w:pPr>
    </w:p>
    <w:p w14:paraId="739FC96C">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政府采购竞争性磋商采购方式管理暂行办法》、《中华人民共和国民法典》等法律、法规规定，按照竞争性磋商文件（以下简称磋商文件）、竞争性磋商响应文件（以下简称响应文件）规定条款和成交供应商的承诺、甲乙双方签订本采购合同。</w:t>
      </w:r>
    </w:p>
    <w:p w14:paraId="535F2A5B">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合同标的及合同金额</w:t>
      </w:r>
    </w:p>
    <w:tbl>
      <w:tblPr>
        <w:tblStyle w:val="28"/>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66"/>
        <w:gridCol w:w="1283"/>
        <w:gridCol w:w="1031"/>
        <w:gridCol w:w="1786"/>
        <w:gridCol w:w="1808"/>
        <w:gridCol w:w="672"/>
      </w:tblGrid>
      <w:tr w14:paraId="36E3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7935844">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1966" w:type="dxa"/>
            <w:tcBorders>
              <w:top w:val="single" w:color="auto" w:sz="4" w:space="0"/>
              <w:left w:val="single" w:color="auto" w:sz="4" w:space="0"/>
              <w:bottom w:val="single" w:color="auto" w:sz="4" w:space="0"/>
              <w:right w:val="single" w:color="auto" w:sz="4" w:space="0"/>
            </w:tcBorders>
            <w:vAlign w:val="center"/>
          </w:tcPr>
          <w:p w14:paraId="15BD6C03">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服务名称</w:t>
            </w:r>
          </w:p>
        </w:tc>
        <w:tc>
          <w:tcPr>
            <w:tcW w:w="1283" w:type="dxa"/>
            <w:tcBorders>
              <w:top w:val="single" w:color="auto" w:sz="4" w:space="0"/>
              <w:left w:val="single" w:color="auto" w:sz="4" w:space="0"/>
              <w:bottom w:val="single" w:color="auto" w:sz="4" w:space="0"/>
              <w:right w:val="single" w:color="auto" w:sz="4" w:space="0"/>
            </w:tcBorders>
            <w:vAlign w:val="center"/>
          </w:tcPr>
          <w:p w14:paraId="0A5969BB">
            <w:pPr>
              <w:widowControl/>
              <w:wordWrap w:val="0"/>
              <w:spacing w:line="36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数量</w:t>
            </w:r>
          </w:p>
        </w:tc>
        <w:tc>
          <w:tcPr>
            <w:tcW w:w="1031" w:type="dxa"/>
            <w:tcBorders>
              <w:top w:val="single" w:color="auto" w:sz="4" w:space="0"/>
              <w:left w:val="single" w:color="auto" w:sz="4" w:space="0"/>
              <w:bottom w:val="single" w:color="auto" w:sz="4" w:space="0"/>
              <w:right w:val="single" w:color="auto" w:sz="4" w:space="0"/>
            </w:tcBorders>
            <w:vAlign w:val="center"/>
          </w:tcPr>
          <w:p w14:paraId="56E78D7A">
            <w:pPr>
              <w:widowControl/>
              <w:wordWrap w:val="0"/>
              <w:spacing w:line="36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786" w:type="dxa"/>
            <w:tcBorders>
              <w:top w:val="single" w:color="auto" w:sz="4" w:space="0"/>
              <w:left w:val="single" w:color="auto" w:sz="4" w:space="0"/>
              <w:bottom w:val="single" w:color="auto" w:sz="4" w:space="0"/>
              <w:right w:val="single" w:color="auto" w:sz="4" w:space="0"/>
            </w:tcBorders>
            <w:vAlign w:val="center"/>
          </w:tcPr>
          <w:p w14:paraId="2358089D">
            <w:pPr>
              <w:widowControl/>
              <w:wordWrap w:val="0"/>
              <w:spacing w:line="36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14:paraId="3BAF9CEE">
            <w:pPr>
              <w:widowControl/>
              <w:wordWrap w:val="0"/>
              <w:spacing w:line="36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单价合计（元）</w:t>
            </w:r>
          </w:p>
        </w:tc>
        <w:tc>
          <w:tcPr>
            <w:tcW w:w="672" w:type="dxa"/>
            <w:tcBorders>
              <w:top w:val="single" w:color="auto" w:sz="4" w:space="0"/>
              <w:left w:val="single" w:color="auto" w:sz="4" w:space="0"/>
              <w:bottom w:val="single" w:color="auto" w:sz="4" w:space="0"/>
              <w:right w:val="single" w:color="auto" w:sz="4" w:space="0"/>
            </w:tcBorders>
            <w:vAlign w:val="center"/>
          </w:tcPr>
          <w:p w14:paraId="32FC18C3">
            <w:pPr>
              <w:widowControl/>
              <w:wordWrap w:val="0"/>
              <w:spacing w:line="36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3B9C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B5CD2EA">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66" w:type="dxa"/>
            <w:tcBorders>
              <w:top w:val="single" w:color="auto" w:sz="4" w:space="0"/>
              <w:left w:val="single" w:color="auto" w:sz="4" w:space="0"/>
              <w:bottom w:val="single" w:color="auto" w:sz="4" w:space="0"/>
              <w:right w:val="single" w:color="auto" w:sz="4" w:space="0"/>
            </w:tcBorders>
            <w:vAlign w:val="center"/>
          </w:tcPr>
          <w:p w14:paraId="4DFE95FF">
            <w:pPr>
              <w:widowControl/>
              <w:wordWrap w:val="0"/>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水泥蚝桩拆除</w:t>
            </w:r>
          </w:p>
        </w:tc>
        <w:tc>
          <w:tcPr>
            <w:tcW w:w="1283" w:type="dxa"/>
            <w:tcBorders>
              <w:top w:val="single" w:color="auto" w:sz="4" w:space="0"/>
              <w:left w:val="single" w:color="auto" w:sz="4" w:space="0"/>
              <w:bottom w:val="single" w:color="auto" w:sz="4" w:space="0"/>
              <w:right w:val="single" w:color="auto" w:sz="4" w:space="0"/>
            </w:tcBorders>
            <w:vAlign w:val="center"/>
          </w:tcPr>
          <w:p w14:paraId="46E33B87">
            <w:pPr>
              <w:widowControl/>
              <w:wordWrap w:val="0"/>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2809947.00</w:t>
            </w:r>
          </w:p>
        </w:tc>
        <w:tc>
          <w:tcPr>
            <w:tcW w:w="1031" w:type="dxa"/>
            <w:tcBorders>
              <w:top w:val="single" w:color="auto" w:sz="4" w:space="0"/>
              <w:left w:val="single" w:color="auto" w:sz="4" w:space="0"/>
              <w:bottom w:val="single" w:color="auto" w:sz="4" w:space="0"/>
              <w:right w:val="single" w:color="auto" w:sz="4" w:space="0"/>
            </w:tcBorders>
            <w:vAlign w:val="center"/>
          </w:tcPr>
          <w:p w14:paraId="792D3710">
            <w:pPr>
              <w:widowControl/>
              <w:wordWrap w:val="0"/>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根</w:t>
            </w:r>
          </w:p>
        </w:tc>
        <w:tc>
          <w:tcPr>
            <w:tcW w:w="1786" w:type="dxa"/>
            <w:tcBorders>
              <w:top w:val="single" w:color="auto" w:sz="4" w:space="0"/>
              <w:left w:val="single" w:color="auto" w:sz="4" w:space="0"/>
              <w:bottom w:val="single" w:color="auto" w:sz="4" w:space="0"/>
              <w:right w:val="single" w:color="auto" w:sz="4" w:space="0"/>
            </w:tcBorders>
            <w:vAlign w:val="center"/>
          </w:tcPr>
          <w:p w14:paraId="71772197">
            <w:pPr>
              <w:widowControl/>
              <w:wordWrap w:val="0"/>
              <w:spacing w:line="360" w:lineRule="exact"/>
              <w:jc w:val="center"/>
              <w:textAlignment w:val="center"/>
              <w:rPr>
                <w:rFonts w:ascii="宋体" w:hAnsi="宋体" w:cs="宋体"/>
                <w:color w:val="auto"/>
                <w:kern w:val="0"/>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15DF7FA9">
            <w:pPr>
              <w:wordWrap w:val="0"/>
              <w:spacing w:line="36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5D629ADE">
            <w:pPr>
              <w:wordWrap w:val="0"/>
              <w:spacing w:line="360" w:lineRule="exact"/>
              <w:jc w:val="center"/>
              <w:rPr>
                <w:rFonts w:ascii="宋体" w:hAnsi="宋体" w:cs="宋体"/>
                <w:color w:val="auto"/>
                <w:szCs w:val="21"/>
                <w:highlight w:val="none"/>
              </w:rPr>
            </w:pPr>
          </w:p>
        </w:tc>
      </w:tr>
      <w:tr w14:paraId="3E6E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5FE441E">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966" w:type="dxa"/>
            <w:tcBorders>
              <w:top w:val="single" w:color="auto" w:sz="4" w:space="0"/>
              <w:left w:val="single" w:color="auto" w:sz="4" w:space="0"/>
              <w:bottom w:val="single" w:color="auto" w:sz="4" w:space="0"/>
              <w:right w:val="single" w:color="auto" w:sz="4" w:space="0"/>
            </w:tcBorders>
            <w:vAlign w:val="center"/>
          </w:tcPr>
          <w:p w14:paraId="6F914AF6">
            <w:pPr>
              <w:widowControl/>
              <w:wordWrap w:val="0"/>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废弃蚝堆拆除</w:t>
            </w:r>
          </w:p>
        </w:tc>
        <w:tc>
          <w:tcPr>
            <w:tcW w:w="1283" w:type="dxa"/>
            <w:tcBorders>
              <w:top w:val="single" w:color="auto" w:sz="4" w:space="0"/>
              <w:left w:val="single" w:color="auto" w:sz="4" w:space="0"/>
              <w:bottom w:val="single" w:color="auto" w:sz="4" w:space="0"/>
              <w:right w:val="single" w:color="auto" w:sz="4" w:space="0"/>
            </w:tcBorders>
            <w:vAlign w:val="center"/>
          </w:tcPr>
          <w:p w14:paraId="15778CE9">
            <w:pPr>
              <w:widowControl/>
              <w:wordWrap w:val="0"/>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5.73</w:t>
            </w:r>
          </w:p>
        </w:tc>
        <w:tc>
          <w:tcPr>
            <w:tcW w:w="1031" w:type="dxa"/>
            <w:tcBorders>
              <w:top w:val="single" w:color="auto" w:sz="4" w:space="0"/>
              <w:left w:val="single" w:color="auto" w:sz="4" w:space="0"/>
              <w:bottom w:val="single" w:color="auto" w:sz="4" w:space="0"/>
              <w:right w:val="single" w:color="auto" w:sz="4" w:space="0"/>
            </w:tcBorders>
            <w:vAlign w:val="center"/>
          </w:tcPr>
          <w:p w14:paraId="2327208E">
            <w:pPr>
              <w:widowControl/>
              <w:wordWrap w:val="0"/>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亩</w:t>
            </w:r>
          </w:p>
        </w:tc>
        <w:tc>
          <w:tcPr>
            <w:tcW w:w="1786" w:type="dxa"/>
            <w:tcBorders>
              <w:top w:val="single" w:color="auto" w:sz="4" w:space="0"/>
              <w:left w:val="single" w:color="auto" w:sz="4" w:space="0"/>
              <w:bottom w:val="single" w:color="auto" w:sz="4" w:space="0"/>
              <w:right w:val="single" w:color="auto" w:sz="4" w:space="0"/>
            </w:tcBorders>
            <w:vAlign w:val="center"/>
          </w:tcPr>
          <w:p w14:paraId="31BE0377">
            <w:pPr>
              <w:widowControl/>
              <w:wordWrap w:val="0"/>
              <w:spacing w:line="360" w:lineRule="exact"/>
              <w:jc w:val="center"/>
              <w:textAlignment w:val="center"/>
              <w:rPr>
                <w:rFonts w:ascii="宋体" w:hAnsi="宋体" w:cs="宋体"/>
                <w:color w:val="auto"/>
                <w:kern w:val="0"/>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032202E4">
            <w:pPr>
              <w:wordWrap w:val="0"/>
              <w:spacing w:line="36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7FB050E8">
            <w:pPr>
              <w:wordWrap w:val="0"/>
              <w:spacing w:line="360" w:lineRule="exact"/>
              <w:jc w:val="center"/>
              <w:rPr>
                <w:rFonts w:ascii="宋体" w:hAnsi="宋体" w:cs="宋体"/>
                <w:color w:val="auto"/>
                <w:szCs w:val="21"/>
                <w:highlight w:val="none"/>
              </w:rPr>
            </w:pPr>
          </w:p>
        </w:tc>
      </w:tr>
      <w:tr w14:paraId="5F44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6EA52DE">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966" w:type="dxa"/>
            <w:tcBorders>
              <w:top w:val="single" w:color="auto" w:sz="4" w:space="0"/>
              <w:left w:val="single" w:color="auto" w:sz="4" w:space="0"/>
              <w:bottom w:val="single" w:color="auto" w:sz="4" w:space="0"/>
              <w:right w:val="single" w:color="auto" w:sz="4" w:space="0"/>
            </w:tcBorders>
            <w:vAlign w:val="center"/>
          </w:tcPr>
          <w:p w14:paraId="470E5382">
            <w:pPr>
              <w:widowControl/>
              <w:wordWrap w:val="0"/>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渔箔拆除</w:t>
            </w:r>
          </w:p>
        </w:tc>
        <w:tc>
          <w:tcPr>
            <w:tcW w:w="1283" w:type="dxa"/>
            <w:tcBorders>
              <w:top w:val="single" w:color="auto" w:sz="4" w:space="0"/>
              <w:left w:val="single" w:color="auto" w:sz="4" w:space="0"/>
              <w:bottom w:val="single" w:color="auto" w:sz="4" w:space="0"/>
              <w:right w:val="single" w:color="auto" w:sz="4" w:space="0"/>
            </w:tcBorders>
            <w:vAlign w:val="center"/>
          </w:tcPr>
          <w:p w14:paraId="3CC05CAF">
            <w:pPr>
              <w:widowControl/>
              <w:wordWrap w:val="0"/>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14490.00</w:t>
            </w:r>
          </w:p>
        </w:tc>
        <w:tc>
          <w:tcPr>
            <w:tcW w:w="1031" w:type="dxa"/>
            <w:tcBorders>
              <w:top w:val="single" w:color="auto" w:sz="4" w:space="0"/>
              <w:left w:val="single" w:color="auto" w:sz="4" w:space="0"/>
              <w:bottom w:val="single" w:color="auto" w:sz="4" w:space="0"/>
              <w:right w:val="single" w:color="auto" w:sz="4" w:space="0"/>
            </w:tcBorders>
            <w:vAlign w:val="center"/>
          </w:tcPr>
          <w:p w14:paraId="71511860">
            <w:pPr>
              <w:widowControl/>
              <w:wordWrap w:val="0"/>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1786" w:type="dxa"/>
            <w:tcBorders>
              <w:top w:val="single" w:color="auto" w:sz="4" w:space="0"/>
              <w:left w:val="single" w:color="auto" w:sz="4" w:space="0"/>
              <w:bottom w:val="single" w:color="auto" w:sz="4" w:space="0"/>
              <w:right w:val="single" w:color="auto" w:sz="4" w:space="0"/>
            </w:tcBorders>
            <w:vAlign w:val="center"/>
          </w:tcPr>
          <w:p w14:paraId="1A917ACC">
            <w:pPr>
              <w:widowControl/>
              <w:wordWrap w:val="0"/>
              <w:spacing w:line="360" w:lineRule="exact"/>
              <w:jc w:val="center"/>
              <w:textAlignment w:val="center"/>
              <w:rPr>
                <w:rFonts w:ascii="宋体" w:hAnsi="宋体" w:cs="宋体"/>
                <w:color w:val="auto"/>
                <w:kern w:val="0"/>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5C51FCB1">
            <w:pPr>
              <w:wordWrap w:val="0"/>
              <w:spacing w:line="36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53DFB46E">
            <w:pPr>
              <w:wordWrap w:val="0"/>
              <w:spacing w:line="360" w:lineRule="exact"/>
              <w:jc w:val="center"/>
              <w:rPr>
                <w:rFonts w:ascii="宋体" w:hAnsi="宋体" w:cs="宋体"/>
                <w:color w:val="auto"/>
                <w:szCs w:val="21"/>
                <w:highlight w:val="none"/>
              </w:rPr>
            </w:pPr>
          </w:p>
        </w:tc>
      </w:tr>
      <w:tr w14:paraId="187D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941AD3D">
            <w:pPr>
              <w:widowControl/>
              <w:wordWrap w:val="0"/>
              <w:spacing w:line="36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1966" w:type="dxa"/>
            <w:tcBorders>
              <w:top w:val="single" w:color="auto" w:sz="4" w:space="0"/>
              <w:left w:val="single" w:color="auto" w:sz="4" w:space="0"/>
              <w:bottom w:val="single" w:color="auto" w:sz="4" w:space="0"/>
              <w:right w:val="single" w:color="auto" w:sz="4" w:space="0"/>
            </w:tcBorders>
            <w:vAlign w:val="center"/>
          </w:tcPr>
          <w:p w14:paraId="5B68A091">
            <w:pPr>
              <w:widowControl/>
              <w:wordWrap w:val="0"/>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后期验收服务</w:t>
            </w:r>
          </w:p>
        </w:tc>
        <w:tc>
          <w:tcPr>
            <w:tcW w:w="1283" w:type="dxa"/>
            <w:tcBorders>
              <w:top w:val="single" w:color="auto" w:sz="4" w:space="0"/>
              <w:left w:val="single" w:color="auto" w:sz="4" w:space="0"/>
              <w:bottom w:val="single" w:color="auto" w:sz="4" w:space="0"/>
              <w:right w:val="single" w:color="auto" w:sz="4" w:space="0"/>
            </w:tcBorders>
            <w:vAlign w:val="center"/>
          </w:tcPr>
          <w:p w14:paraId="1048694A">
            <w:pPr>
              <w:widowControl/>
              <w:wordWrap w:val="0"/>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31" w:type="dxa"/>
            <w:tcBorders>
              <w:top w:val="single" w:color="auto" w:sz="4" w:space="0"/>
              <w:left w:val="single" w:color="auto" w:sz="4" w:space="0"/>
              <w:bottom w:val="single" w:color="auto" w:sz="4" w:space="0"/>
              <w:right w:val="single" w:color="auto" w:sz="4" w:space="0"/>
            </w:tcBorders>
            <w:vAlign w:val="center"/>
          </w:tcPr>
          <w:p w14:paraId="7922ECBC">
            <w:pPr>
              <w:widowControl/>
              <w:wordWrap w:val="0"/>
              <w:spacing w:line="36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786" w:type="dxa"/>
            <w:tcBorders>
              <w:top w:val="single" w:color="auto" w:sz="4" w:space="0"/>
              <w:left w:val="single" w:color="auto" w:sz="4" w:space="0"/>
              <w:bottom w:val="single" w:color="auto" w:sz="4" w:space="0"/>
              <w:right w:val="single" w:color="auto" w:sz="4" w:space="0"/>
            </w:tcBorders>
            <w:vAlign w:val="center"/>
          </w:tcPr>
          <w:p w14:paraId="13DC4087">
            <w:pPr>
              <w:widowControl/>
              <w:wordWrap w:val="0"/>
              <w:spacing w:line="360" w:lineRule="exact"/>
              <w:jc w:val="center"/>
              <w:textAlignment w:val="center"/>
              <w:rPr>
                <w:rFonts w:ascii="宋体" w:hAnsi="宋体" w:cs="宋体"/>
                <w:color w:val="auto"/>
                <w:kern w:val="0"/>
                <w:szCs w:val="21"/>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5C32C50B">
            <w:pPr>
              <w:wordWrap w:val="0"/>
              <w:spacing w:line="36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center"/>
          </w:tcPr>
          <w:p w14:paraId="7C9CCE06">
            <w:pPr>
              <w:wordWrap w:val="0"/>
              <w:spacing w:line="360" w:lineRule="exact"/>
              <w:jc w:val="center"/>
              <w:rPr>
                <w:rFonts w:ascii="宋体" w:hAnsi="宋体" w:cs="宋体"/>
                <w:color w:val="auto"/>
                <w:szCs w:val="21"/>
                <w:highlight w:val="none"/>
              </w:rPr>
            </w:pPr>
          </w:p>
        </w:tc>
      </w:tr>
      <w:tr w14:paraId="094F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257" w:type="dxa"/>
            <w:gridSpan w:val="7"/>
            <w:tcBorders>
              <w:top w:val="single" w:color="auto" w:sz="4" w:space="0"/>
              <w:left w:val="single" w:color="auto" w:sz="4" w:space="0"/>
              <w:bottom w:val="single" w:color="auto" w:sz="4" w:space="0"/>
              <w:right w:val="single" w:color="auto" w:sz="4" w:space="0"/>
            </w:tcBorders>
            <w:vAlign w:val="center"/>
          </w:tcPr>
          <w:p w14:paraId="60D51137">
            <w:pPr>
              <w:wordWrap w:val="0"/>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磋商总报价（人民币）：</w:t>
            </w:r>
            <w:r>
              <w:rPr>
                <w:rFonts w:hint="eastAsia" w:ascii="宋体" w:hAnsi="宋体" w:cs="宋体"/>
                <w:b/>
                <w:bCs/>
                <w:color w:val="auto"/>
                <w:szCs w:val="21"/>
                <w:highlight w:val="none"/>
                <w:u w:val="single"/>
              </w:rPr>
              <w:t xml:space="preserve">（大写）                 （小写）             </w:t>
            </w:r>
          </w:p>
        </w:tc>
      </w:tr>
      <w:tr w14:paraId="25A8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257" w:type="dxa"/>
            <w:gridSpan w:val="7"/>
            <w:tcBorders>
              <w:top w:val="single" w:color="auto" w:sz="4" w:space="0"/>
              <w:left w:val="single" w:color="auto" w:sz="4" w:space="0"/>
              <w:bottom w:val="single" w:color="auto" w:sz="4" w:space="0"/>
              <w:right w:val="single" w:color="auto" w:sz="4" w:space="0"/>
            </w:tcBorders>
            <w:vAlign w:val="center"/>
          </w:tcPr>
          <w:p w14:paraId="154D0EA6">
            <w:pPr>
              <w:wordWrap w:val="0"/>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合同履行期限：</w:t>
            </w:r>
          </w:p>
        </w:tc>
      </w:tr>
    </w:tbl>
    <w:p w14:paraId="6E472A4D">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根据《成交通知书》的成交内容，合同的总金额为：（大写）</w:t>
      </w:r>
      <w:r>
        <w:rPr>
          <w:rFonts w:hint="eastAsia" w:ascii="宋体" w:hAnsi="宋体" w:cs="宋体"/>
          <w:color w:val="auto"/>
          <w:szCs w:val="21"/>
          <w:highlight w:val="none"/>
          <w:u w:val="single"/>
        </w:rPr>
        <w:t>　　　</w:t>
      </w:r>
      <w:r>
        <w:rPr>
          <w:rFonts w:hint="eastAsia" w:ascii="宋体" w:hAnsi="宋体" w:cs="宋体"/>
          <w:color w:val="auto"/>
          <w:szCs w:val="21"/>
          <w:highlight w:val="none"/>
        </w:rPr>
        <w:t>人民币（¥</w:t>
      </w:r>
      <w:r>
        <w:rPr>
          <w:rFonts w:hint="eastAsia" w:ascii="宋体" w:hAnsi="宋体" w:cs="宋体"/>
          <w:color w:val="auto"/>
          <w:szCs w:val="21"/>
          <w:highlight w:val="none"/>
          <w:u w:val="single"/>
        </w:rPr>
        <w:t>　  　</w:t>
      </w:r>
      <w:r>
        <w:rPr>
          <w:rFonts w:hint="eastAsia" w:ascii="宋体" w:hAnsi="宋体" w:cs="宋体"/>
          <w:color w:val="auto"/>
          <w:szCs w:val="21"/>
          <w:highlight w:val="none"/>
        </w:rPr>
        <w:t>元）。</w:t>
      </w:r>
    </w:p>
    <w:p w14:paraId="7D4E2A2E">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合同总金额包括但不限于整体服务价格及设备、人员成本、管理、利润、税金、保险、搬运、包装、运输、培训、验收、检测及其它所有成本、费用的总和。</w:t>
      </w:r>
    </w:p>
    <w:p w14:paraId="62EC3E9A">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09C896C8">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乙方应按磋商文件要求及响应文件承诺向甲方提供服务。</w:t>
      </w:r>
    </w:p>
    <w:p w14:paraId="4A480711">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第三条  权力保证</w:t>
      </w:r>
    </w:p>
    <w:p w14:paraId="0487AA2F">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1.甲方权利和义务</w:t>
      </w:r>
    </w:p>
    <w:p w14:paraId="7EF37795">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（1）甲方负责审核确定乙方提交的清理计划。</w:t>
      </w:r>
    </w:p>
    <w:p w14:paraId="762169C6">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（2）甲方负责监督检查清理区域的清理效果情况。</w:t>
      </w:r>
    </w:p>
    <w:p w14:paraId="0C474C19">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（3）甲方负责对乙方开展的工作情况进行验收，验收小组现场验收确定出清理亩数、清理时长；验收合格的，按实际清理工作量乘以成交单价进行清理费用的支付。</w:t>
      </w:r>
    </w:p>
    <w:p w14:paraId="7BCC18F3">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2.乙方权利和义务</w:t>
      </w:r>
    </w:p>
    <w:p w14:paraId="234A7DD8">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（1）乙方按国家、自治区有关规定和响应文件中的承诺负责组织落实好清理队伍并按安全生产有关规定组织好实施工作；</w:t>
      </w:r>
    </w:p>
    <w:p w14:paraId="7F951FF2">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（2）乙方根据潮汐变化对清理范围内的清理内容开展经常性巡查，巡查发现后需及时沟通甲方共同参与清理；</w:t>
      </w:r>
    </w:p>
    <w:p w14:paraId="65F9796E">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（4）乙方按时支付项目人员工资并按有关规定落实有关保险事项，负责项目人员的人身安全；</w:t>
      </w:r>
    </w:p>
    <w:p w14:paraId="0458F07F">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（5）乙方自行负责实施过程中所需的工具；</w:t>
      </w:r>
    </w:p>
    <w:p w14:paraId="1BACA1B8">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（6）乙方派驻专人负责对清理及实施全过程进行监管及向甲方进行实时汇报，监管应对清理过程拍摄相应照片等进行保存归档，并做好数量统计，接受甲方的检查。</w:t>
      </w:r>
    </w:p>
    <w:p w14:paraId="45A48AE7">
      <w:pPr>
        <w:wordWrap w:val="0"/>
        <w:adjustRightInd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（7）乙方服从甲方的工作安排和监督管理。</w:t>
      </w:r>
    </w:p>
    <w:p w14:paraId="290899D9">
      <w:pPr>
        <w:wordWrap w:val="0"/>
        <w:adjustRightInd w:val="0"/>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（8）乙方按时报送清理数据给甲方。</w:t>
      </w:r>
    </w:p>
    <w:p w14:paraId="23213F33">
      <w:pPr>
        <w:wordWrap w:val="0"/>
        <w:adjustRightInd w:val="0"/>
        <w:spacing w:line="360" w:lineRule="exact"/>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lang w:eastAsia="zh-CN"/>
        </w:rPr>
        <w:t>）在清理过程中，如果与群众发生了冲突，由</w:t>
      </w:r>
      <w:r>
        <w:rPr>
          <w:rFonts w:hint="eastAsia" w:ascii="宋体" w:hAnsi="宋体" w:cs="宋体"/>
          <w:bCs/>
          <w:color w:val="auto"/>
          <w:szCs w:val="21"/>
          <w:highlight w:val="none"/>
          <w:lang w:val="en-US" w:eastAsia="zh-CN"/>
        </w:rPr>
        <w:t>乙方</w:t>
      </w:r>
      <w:r>
        <w:rPr>
          <w:rFonts w:hint="eastAsia" w:ascii="宋体" w:hAnsi="宋体" w:cs="宋体"/>
          <w:bCs/>
          <w:color w:val="auto"/>
          <w:szCs w:val="21"/>
          <w:highlight w:val="none"/>
          <w:lang w:eastAsia="zh-CN"/>
        </w:rPr>
        <w:t>负责协调和解决，因冲突导致人员伤亡财产损失或者工期延误，由此产生的后果均由</w:t>
      </w:r>
      <w:r>
        <w:rPr>
          <w:rFonts w:hint="eastAsia" w:ascii="宋体" w:hAnsi="宋体" w:cs="宋体"/>
          <w:bCs/>
          <w:color w:val="auto"/>
          <w:szCs w:val="21"/>
          <w:highlight w:val="none"/>
          <w:lang w:val="en-US" w:eastAsia="zh-CN"/>
        </w:rPr>
        <w:t>乙方</w:t>
      </w:r>
      <w:r>
        <w:rPr>
          <w:rFonts w:hint="eastAsia" w:ascii="宋体" w:hAnsi="宋体" w:cs="宋体"/>
          <w:bCs/>
          <w:color w:val="auto"/>
          <w:szCs w:val="21"/>
          <w:highlight w:val="none"/>
          <w:lang w:eastAsia="zh-CN"/>
        </w:rPr>
        <w:t>负责。</w:t>
      </w:r>
    </w:p>
    <w:p w14:paraId="63FD6147">
      <w:pPr>
        <w:wordWrap w:val="0"/>
        <w:adjustRightInd w:val="0"/>
        <w:spacing w:line="360" w:lineRule="exact"/>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第四条  合同履行期限及服务地点：</w:t>
      </w:r>
    </w:p>
    <w:p w14:paraId="73566613">
      <w:pPr>
        <w:wordWrap w:val="0"/>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（1）合同履行期限：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D02C973">
      <w:pPr>
        <w:wordWrap w:val="0"/>
        <w:adjustRightIn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（2）服务地点：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D0F1317">
      <w:pPr>
        <w:wordWrap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第五条  项目验收</w:t>
      </w:r>
    </w:p>
    <w:p w14:paraId="147979F3">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1.验收过程中所产生的一切费用均由乙方承担。报价时应考虑相关费用。</w:t>
      </w:r>
    </w:p>
    <w:p w14:paraId="19866BEF">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项目整体清理完成后，甲方在收到乙方提供的验收申请书后10天内组织验收。乙方在项目验收时由采购人对照采购文件及响应文件的服务内容及指标全面核对检验，如不符合采购文件的技术要求以及提供虚假承诺的，按相关规定做违约处理，成交供应商承担所有责任和费用，采购人保留进一步追究责任的权利。</w:t>
      </w:r>
    </w:p>
    <w:p w14:paraId="462166EC">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3.乙方根据清理计划进行清理，要求对验收成果进行验收时，须提前通知甲方进行现场验收，乙方对验收过程必须全程录制视频监控。</w:t>
      </w:r>
    </w:p>
    <w:p w14:paraId="38393CED">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验收标准应达到：单次清理行动结束后（即按照甲方提供的清理范围内非法养殖设施需清理完成后），在当日（次日）最低潮清理验收时，要求清理范围内无竖立的蚝柱；当日清理指定的蚝排，予以驱离（拆除）出清理海域，渔箔、废弃蚝堆等非法养殖设施予以拆除。</w:t>
      </w:r>
    </w:p>
    <w:p w14:paraId="2E9F59F2">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5.采购项目有其他要求的按其要求。</w:t>
      </w:r>
    </w:p>
    <w:p w14:paraId="6FDB0812">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服务要求</w:t>
      </w:r>
    </w:p>
    <w:p w14:paraId="2AB4B1AA">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1.乙方应按照国家有关法律规定、响应文件和本合同所附的《项目实施方案》，为甲方提供服务。</w:t>
      </w:r>
    </w:p>
    <w:p w14:paraId="44A04E18">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2.如在服务过程中发生质量问题，乙方在接到甲方通知后在及时到达甲方现场处理。</w:t>
      </w:r>
    </w:p>
    <w:p w14:paraId="35553991">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3.在服务期内，乙方应对服务的质量及安全问题负责处理解决并承担一切费用。</w:t>
      </w:r>
    </w:p>
    <w:p w14:paraId="2462105D">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4.乙方在履行合同中获取的数据、视频、照片及成果报告等未经甲方书面同意，不得向任何第三方披露或使用。</w:t>
      </w:r>
    </w:p>
    <w:p w14:paraId="3576F3AE">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税费</w:t>
      </w:r>
    </w:p>
    <w:p w14:paraId="1C593EC4">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7CB91393">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付款方式</w:t>
      </w:r>
    </w:p>
    <w:p w14:paraId="0D591DB4">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（1）结算时，工作量少于采购文件中的工作量时，按实际工作量*成交单价（元）结算；工作量多于采购文件中的工作量时，结算最高总额按合同总金额结算。</w:t>
      </w:r>
    </w:p>
    <w:p w14:paraId="49C0339D">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（2）付款进度（每次付款时，乙方应向甲方开具相应金额的合法正式发票，否则甲方有权延长付款期限，并不承担延期付款的违约责任）：</w:t>
      </w:r>
    </w:p>
    <w:p w14:paraId="2F0ACEF6">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①签订合同后十个工作日内，甲方向国库支付机构提出申请支付令、办理国库支付手续，国库支付机构在规定时间内（不计入甲方付款期限）将合同总金额的30%作为预付款支付给乙方；</w:t>
      </w:r>
    </w:p>
    <w:p w14:paraId="13A8276B">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项目完工后，乙方向甲方提交结算材料，甲方根据实际工作量计算初步的结算金额，甲方向国库支付机构提出申请支付令、办理国库支付手续，国库支付机构在规定时间内（不计入甲方付款期限）将初步结算金额的80%支付给乙方；</w:t>
      </w:r>
    </w:p>
    <w:p w14:paraId="1AB511BA">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项目验收合格后十个工作日内，甲方根据通过验收的实际工作量计算最终结算金额，甲方向国库支付机构提出申请支付令、办理国库支付手续，国库支付机构在规定时间内（不计入甲方付款期限）将合同剩余款项支付给乙方。</w:t>
      </w:r>
    </w:p>
    <w:p w14:paraId="390D5EF2">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履约保证金</w:t>
      </w:r>
    </w:p>
    <w:p w14:paraId="15442BF1">
      <w:pPr>
        <w:wordWrap w:val="0"/>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本项目不收取履约保证金。</w:t>
      </w:r>
    </w:p>
    <w:p w14:paraId="534B19E4">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违约责任</w:t>
      </w:r>
    </w:p>
    <w:p w14:paraId="41FFA35A">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1.合同一方不履行合同义务、履行合同义务不符合约定或者违反合同项下所作保证的， 应向对方承担继续履行等补救措施或者赔偿损失等违约责任。</w:t>
      </w:r>
    </w:p>
    <w:p w14:paraId="4D5A8F48">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2.乙方未能按时履行合同服务的，应向甲方支付迟延交付违约金。迟延交付违约金的计算方法如下：</w:t>
      </w:r>
    </w:p>
    <w:p w14:paraId="02E7ED96">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（1）从迟交的第一周到第四周，每周迟延交付违约金为合同价款（报酬）的</w:t>
      </w:r>
      <w:r>
        <w:rPr>
          <w:rFonts w:hint="eastAsia" w:ascii="宋体" w:hAnsi="宋体" w:cs="宋体"/>
          <w:i/>
          <w:color w:val="auto"/>
          <w:kern w:val="0"/>
          <w:szCs w:val="21"/>
          <w:highlight w:val="none"/>
          <w:u w:val="single"/>
        </w:rPr>
        <w:t xml:space="preserve"> 0.5%</w:t>
      </w:r>
      <w:r>
        <w:rPr>
          <w:rFonts w:hint="eastAsia" w:ascii="宋体" w:hAnsi="宋体" w:cs="宋体"/>
          <w:color w:val="auto"/>
          <w:kern w:val="0"/>
          <w:szCs w:val="21"/>
          <w:highlight w:val="none"/>
        </w:rPr>
        <w:t>；</w:t>
      </w:r>
    </w:p>
    <w:p w14:paraId="35CA5FBE">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（2）从迟交的第五周到第八周，每周迟延交付违约金为合同价款（报酬）的</w:t>
      </w:r>
      <w:r>
        <w:rPr>
          <w:rFonts w:hint="eastAsia" w:ascii="宋体" w:hAnsi="宋体" w:cs="宋体"/>
          <w:i/>
          <w:color w:val="auto"/>
          <w:kern w:val="0"/>
          <w:szCs w:val="21"/>
          <w:highlight w:val="none"/>
          <w:u w:val="single"/>
        </w:rPr>
        <w:t xml:space="preserve"> 1%</w:t>
      </w:r>
      <w:r>
        <w:rPr>
          <w:rFonts w:hint="eastAsia" w:ascii="宋体" w:hAnsi="宋体" w:cs="宋体"/>
          <w:color w:val="auto"/>
          <w:kern w:val="0"/>
          <w:szCs w:val="21"/>
          <w:highlight w:val="none"/>
        </w:rPr>
        <w:t>；</w:t>
      </w:r>
    </w:p>
    <w:p w14:paraId="1DB15E64">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（3）从迟交第九周起，每周迟延交付违约金为合同价款（报酬）的</w:t>
      </w:r>
      <w:r>
        <w:rPr>
          <w:rFonts w:hint="eastAsia" w:ascii="宋体" w:hAnsi="宋体" w:cs="宋体"/>
          <w:i/>
          <w:color w:val="auto"/>
          <w:kern w:val="0"/>
          <w:szCs w:val="21"/>
          <w:highlight w:val="none"/>
          <w:u w:val="single"/>
        </w:rPr>
        <w:t xml:space="preserve"> 1.5%</w:t>
      </w:r>
      <w:r>
        <w:rPr>
          <w:rFonts w:hint="eastAsia" w:ascii="宋体" w:hAnsi="宋体" w:cs="宋体"/>
          <w:color w:val="auto"/>
          <w:kern w:val="0"/>
          <w:szCs w:val="21"/>
          <w:highlight w:val="none"/>
        </w:rPr>
        <w:t>。在计算迟延交付违约金时，迟交不足一周的按一周计算。迟延交付违约金的总额不得超过合同价款（报酬）的</w:t>
      </w:r>
      <w:r>
        <w:rPr>
          <w:rFonts w:hint="eastAsia" w:ascii="宋体" w:hAnsi="宋体" w:cs="宋体"/>
          <w:color w:val="auto"/>
          <w:kern w:val="0"/>
          <w:szCs w:val="21"/>
          <w:highlight w:val="none"/>
          <w:u w:val="single"/>
        </w:rPr>
        <w:t xml:space="preserve"> 10%</w:t>
      </w:r>
      <w:r>
        <w:rPr>
          <w:rFonts w:hint="eastAsia" w:ascii="宋体" w:hAnsi="宋体" w:cs="宋体"/>
          <w:color w:val="auto"/>
          <w:kern w:val="0"/>
          <w:szCs w:val="21"/>
          <w:highlight w:val="none"/>
        </w:rPr>
        <w:t>。迟延交付违约金的支付不能免除乙方继续交付相关合同服务的义务，但如迟延交付必然导致合同服务实施、调试、验收等工作推迟的，相关工作应相应顺延。</w:t>
      </w:r>
    </w:p>
    <w:p w14:paraId="4B1CF959">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3.甲方未能按合同约定支付合同价款的，应向乙方支付延迟付款违约金。迟延付款违约金的计算方法如下：</w:t>
      </w:r>
    </w:p>
    <w:p w14:paraId="7308B09E">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（1）从迟付的第一周到第四周，每周迟延付款违约金为迟延付款金额的</w:t>
      </w:r>
      <w:r>
        <w:rPr>
          <w:rFonts w:hint="eastAsia" w:ascii="宋体" w:hAnsi="宋体" w:cs="宋体"/>
          <w:i/>
          <w:color w:val="auto"/>
          <w:kern w:val="0"/>
          <w:szCs w:val="21"/>
          <w:highlight w:val="none"/>
          <w:u w:val="single"/>
        </w:rPr>
        <w:t xml:space="preserve"> 0.5%</w:t>
      </w:r>
      <w:r>
        <w:rPr>
          <w:rFonts w:hint="eastAsia" w:ascii="宋体" w:hAnsi="宋体" w:cs="宋体"/>
          <w:color w:val="auto"/>
          <w:kern w:val="0"/>
          <w:szCs w:val="21"/>
          <w:highlight w:val="none"/>
        </w:rPr>
        <w:t>；</w:t>
      </w:r>
    </w:p>
    <w:p w14:paraId="58A7621C">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（2）从迟付的第五周到第八周，每周迟延付款违约金为迟延付款金额的</w:t>
      </w:r>
      <w:r>
        <w:rPr>
          <w:rFonts w:hint="eastAsia" w:ascii="宋体" w:hAnsi="宋体" w:cs="宋体"/>
          <w:i/>
          <w:color w:val="auto"/>
          <w:kern w:val="0"/>
          <w:szCs w:val="21"/>
          <w:highlight w:val="none"/>
          <w:u w:val="single"/>
        </w:rPr>
        <w:t xml:space="preserve"> 1%</w:t>
      </w:r>
      <w:r>
        <w:rPr>
          <w:rFonts w:hint="eastAsia" w:ascii="宋体" w:hAnsi="宋体" w:cs="宋体"/>
          <w:color w:val="auto"/>
          <w:kern w:val="0"/>
          <w:szCs w:val="21"/>
          <w:highlight w:val="none"/>
        </w:rPr>
        <w:t>；</w:t>
      </w:r>
    </w:p>
    <w:p w14:paraId="2682016D">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（3）从迟付第九周起，每周迟延付款违约金为迟延付款金额的</w:t>
      </w:r>
      <w:r>
        <w:rPr>
          <w:rFonts w:hint="eastAsia" w:ascii="宋体" w:hAnsi="宋体" w:cs="宋体"/>
          <w:i/>
          <w:color w:val="auto"/>
          <w:kern w:val="0"/>
          <w:szCs w:val="21"/>
          <w:highlight w:val="none"/>
          <w:u w:val="single"/>
        </w:rPr>
        <w:t xml:space="preserve"> 1.5%</w:t>
      </w:r>
      <w:r>
        <w:rPr>
          <w:rFonts w:hint="eastAsia" w:ascii="宋体" w:hAnsi="宋体" w:cs="宋体"/>
          <w:color w:val="auto"/>
          <w:kern w:val="0"/>
          <w:szCs w:val="21"/>
          <w:highlight w:val="none"/>
        </w:rPr>
        <w:t>。在计算迟延付款违约金时，迟付不足一周的按一周计算。迟延付款违约金的总额不得超过合同价格的</w:t>
      </w:r>
      <w:r>
        <w:rPr>
          <w:rFonts w:hint="eastAsia" w:ascii="宋体" w:hAnsi="宋体" w:cs="宋体"/>
          <w:color w:val="auto"/>
          <w:kern w:val="0"/>
          <w:szCs w:val="21"/>
          <w:highlight w:val="none"/>
          <w:u w:val="single"/>
        </w:rPr>
        <w:t xml:space="preserve"> 10%</w:t>
      </w:r>
      <w:r>
        <w:rPr>
          <w:rFonts w:hint="eastAsia" w:ascii="宋体" w:hAnsi="宋体" w:cs="宋体"/>
          <w:color w:val="auto"/>
          <w:kern w:val="0"/>
          <w:szCs w:val="21"/>
          <w:highlight w:val="none"/>
        </w:rPr>
        <w:t>。</w:t>
      </w:r>
    </w:p>
    <w:p w14:paraId="6D6E70F1">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4.乙方未按本合同和响应文件承诺提供服务的，乙方应按本合同价款（报酬）的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%向甲方支付违约金。</w:t>
      </w:r>
    </w:p>
    <w:p w14:paraId="2D10B883">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5.因某一方原因导致变更、中止或者终止政府采购合同的，该方应当对另一方受到的损失予以赔偿或者补偿。</w:t>
      </w:r>
    </w:p>
    <w:p w14:paraId="033BC4FC">
      <w:pPr>
        <w:wordWrap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6.其他违约责任按《中华人民共和国民法典》处理。</w:t>
      </w:r>
    </w:p>
    <w:p w14:paraId="7D1FF96C">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不可抗力事件处理</w:t>
      </w:r>
    </w:p>
    <w:p w14:paraId="40678D4C">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1.在合同有效期内，乙方因不可抗力事件导致不能履行合同的，则合同履行期可在甲方同意的前提下予以延长，其延长期与不可抗力影响期相同，但不得影响合同所涉旅游展的举办。</w:t>
      </w:r>
    </w:p>
    <w:p w14:paraId="0F2F8660">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2.不可抗力事件发生后，应在三日内通知甲方，并寄送有关权威机构出具的证明。</w:t>
      </w:r>
    </w:p>
    <w:p w14:paraId="2F4F2B99">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3.不可抗力事件延续三十天以上，双方应通过友好协商，确定是否继续履行合同。</w:t>
      </w:r>
    </w:p>
    <w:p w14:paraId="47D1EB42">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合同争议解决</w:t>
      </w:r>
    </w:p>
    <w:p w14:paraId="6C91E93D">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1.因服务质量问题发生争议的，应邀请国家认可的质量检测机构对服务质量进行鉴定。服务符合标准的，鉴定费由甲方承担；服务不符合标准的，鉴定费由乙方承担。</w:t>
      </w:r>
    </w:p>
    <w:p w14:paraId="216C380C">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2.因履行本合同引起的或与本合同有关的争议，甲乙双方应首先通过友好协商解决，如果协商不能解决，可向项目所在地仲裁委员会申请仲裁。</w:t>
      </w:r>
    </w:p>
    <w:p w14:paraId="54BFAA9F">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1E93AF">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合同生效及其它</w:t>
      </w:r>
    </w:p>
    <w:p w14:paraId="02D650F4">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1.合同经甲乙双方法定代表人、负责人、自然人或相应的授权代表签字并加盖单位公章后生效。</w:t>
      </w:r>
    </w:p>
    <w:p w14:paraId="6D74CDBF">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2.合同执行中涉及采购资金和采购内容修改或补充的，需经北海市财政部门审批，并签订书面补充协议报北海市政府采购管理办公室备案，方可作为主合同不可分割的一部分。</w:t>
      </w:r>
    </w:p>
    <w:p w14:paraId="0F3B33AC">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4F02210C">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合同的变更、终止与转让</w:t>
      </w:r>
    </w:p>
    <w:p w14:paraId="1347BF0D">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3E37F364">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521272C5">
      <w:pPr>
        <w:wordWrap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第十五条  签订本合同依据：</w:t>
      </w:r>
    </w:p>
    <w:p w14:paraId="5599F4A6">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1.竞争性磋商文件；</w:t>
      </w:r>
    </w:p>
    <w:p w14:paraId="5F9F4587">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2.乙方提供的响应（或应答）文件；</w:t>
      </w:r>
    </w:p>
    <w:p w14:paraId="3DAA1959">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3.磋商中的磋商记录；</w:t>
      </w:r>
    </w:p>
    <w:p w14:paraId="56BF0652">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4.成交通知书。</w:t>
      </w:r>
    </w:p>
    <w:p w14:paraId="00BC206D">
      <w:pPr>
        <w:wordWrap w:val="0"/>
        <w:adjustRightInd w:val="0"/>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第十六条　</w:t>
      </w:r>
      <w:r>
        <w:rPr>
          <w:rFonts w:hint="eastAsia" w:ascii="宋体" w:hAnsi="宋体" w:cs="宋体"/>
          <w:color w:val="auto"/>
          <w:szCs w:val="21"/>
          <w:highlight w:val="none"/>
        </w:rPr>
        <w:t>本合同一式四份，具有同等法律效力，政府采购监管部门、采购代理机构各一份，甲乙双方各一份（可根据需要另增加）。</w:t>
      </w:r>
    </w:p>
    <w:p w14:paraId="208EF0B3">
      <w:pPr>
        <w:wordWrap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本合同甲乙双方签字盖章后生效，自签订之日起1个工作日内，甲方或采购代理机构应当将合同上传至广西政府采购云平台报同级财政部门备案，并在指定网站公示。</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9"/>
        <w:gridCol w:w="4510"/>
      </w:tblGrid>
      <w:tr w14:paraId="53EC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4509" w:type="dxa"/>
            <w:vAlign w:val="center"/>
          </w:tcPr>
          <w:p w14:paraId="1060DADC">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甲方（章）           </w:t>
            </w:r>
          </w:p>
          <w:p w14:paraId="067B2117">
            <w:pPr>
              <w:snapToGrid w:val="0"/>
              <w:spacing w:line="360" w:lineRule="exact"/>
              <w:jc w:val="left"/>
              <w:rPr>
                <w:rFonts w:ascii="宋体" w:hAnsi="宋体"/>
                <w:color w:val="auto"/>
                <w:szCs w:val="21"/>
                <w:highlight w:val="none"/>
              </w:rPr>
            </w:pPr>
          </w:p>
          <w:p w14:paraId="063EBB9D">
            <w:pPr>
              <w:snapToGrid w:val="0"/>
              <w:spacing w:line="360" w:lineRule="exact"/>
              <w:jc w:val="right"/>
              <w:rPr>
                <w:rFonts w:ascii="宋体" w:hAnsi="宋体"/>
                <w:color w:val="auto"/>
                <w:szCs w:val="21"/>
                <w:highlight w:val="none"/>
              </w:rPr>
            </w:pPr>
            <w:r>
              <w:rPr>
                <w:rFonts w:hint="eastAsia" w:ascii="宋体" w:hAnsi="宋体"/>
                <w:color w:val="auto"/>
                <w:szCs w:val="21"/>
                <w:highlight w:val="none"/>
              </w:rPr>
              <w:t>年   月   日</w:t>
            </w:r>
          </w:p>
        </w:tc>
        <w:tc>
          <w:tcPr>
            <w:tcW w:w="4510" w:type="dxa"/>
            <w:vAlign w:val="center"/>
          </w:tcPr>
          <w:p w14:paraId="69F80368">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乙方（章）  </w:t>
            </w:r>
          </w:p>
          <w:p w14:paraId="4D30F6E7">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            </w:t>
            </w:r>
          </w:p>
          <w:p w14:paraId="0D21F346">
            <w:pPr>
              <w:snapToGrid w:val="0"/>
              <w:spacing w:line="360" w:lineRule="exact"/>
              <w:jc w:val="right"/>
              <w:rPr>
                <w:rFonts w:ascii="宋体" w:hAnsi="宋体"/>
                <w:color w:val="auto"/>
                <w:szCs w:val="21"/>
                <w:highlight w:val="none"/>
              </w:rPr>
            </w:pPr>
            <w:r>
              <w:rPr>
                <w:rFonts w:hint="eastAsia" w:ascii="宋体" w:hAnsi="宋体"/>
                <w:color w:val="auto"/>
                <w:szCs w:val="21"/>
                <w:highlight w:val="none"/>
              </w:rPr>
              <w:t>年   月   日</w:t>
            </w:r>
          </w:p>
        </w:tc>
      </w:tr>
      <w:tr w14:paraId="0E94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509" w:type="dxa"/>
            <w:vAlign w:val="center"/>
          </w:tcPr>
          <w:p w14:paraId="2F8289CC">
            <w:pPr>
              <w:snapToGrid w:val="0"/>
              <w:spacing w:line="360" w:lineRule="exact"/>
              <w:rPr>
                <w:rFonts w:ascii="宋体" w:hAnsi="宋体"/>
                <w:color w:val="auto"/>
                <w:szCs w:val="21"/>
                <w:highlight w:val="none"/>
              </w:rPr>
            </w:pPr>
            <w:r>
              <w:rPr>
                <w:rFonts w:hint="eastAsia" w:ascii="宋体" w:hAnsi="宋体"/>
                <w:color w:val="auto"/>
                <w:szCs w:val="21"/>
                <w:highlight w:val="none"/>
              </w:rPr>
              <w:t>单位地址：</w:t>
            </w:r>
          </w:p>
        </w:tc>
        <w:tc>
          <w:tcPr>
            <w:tcW w:w="4510" w:type="dxa"/>
            <w:vAlign w:val="center"/>
          </w:tcPr>
          <w:p w14:paraId="395B3B52">
            <w:pPr>
              <w:snapToGrid w:val="0"/>
              <w:spacing w:line="360" w:lineRule="exact"/>
              <w:rPr>
                <w:rFonts w:ascii="宋体" w:hAnsi="宋体"/>
                <w:color w:val="auto"/>
                <w:szCs w:val="21"/>
                <w:highlight w:val="none"/>
              </w:rPr>
            </w:pPr>
            <w:r>
              <w:rPr>
                <w:rFonts w:hint="eastAsia" w:ascii="宋体" w:hAnsi="宋体"/>
                <w:color w:val="auto"/>
                <w:szCs w:val="21"/>
                <w:highlight w:val="none"/>
              </w:rPr>
              <w:t>单位地址：</w:t>
            </w:r>
          </w:p>
        </w:tc>
      </w:tr>
      <w:tr w14:paraId="53E9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509" w:type="dxa"/>
            <w:vAlign w:val="center"/>
          </w:tcPr>
          <w:p w14:paraId="1FC952D7">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w:t>
            </w:r>
          </w:p>
        </w:tc>
        <w:tc>
          <w:tcPr>
            <w:tcW w:w="4510" w:type="dxa"/>
            <w:vAlign w:val="center"/>
          </w:tcPr>
          <w:p w14:paraId="34C7F268">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w:t>
            </w:r>
          </w:p>
        </w:tc>
      </w:tr>
      <w:tr w14:paraId="2A07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509" w:type="dxa"/>
            <w:vAlign w:val="center"/>
          </w:tcPr>
          <w:p w14:paraId="1A7EEA87">
            <w:pPr>
              <w:snapToGrid w:val="0"/>
              <w:spacing w:line="360" w:lineRule="exact"/>
              <w:rPr>
                <w:rFonts w:ascii="宋体" w:hAnsi="宋体"/>
                <w:color w:val="auto"/>
                <w:szCs w:val="21"/>
                <w:highlight w:val="none"/>
              </w:rPr>
            </w:pPr>
            <w:r>
              <w:rPr>
                <w:rFonts w:hint="eastAsia" w:ascii="宋体" w:hAnsi="宋体"/>
                <w:color w:val="auto"/>
                <w:szCs w:val="21"/>
                <w:highlight w:val="none"/>
              </w:rPr>
              <w:t>委托代理人：</w:t>
            </w:r>
            <w:r>
              <w:rPr>
                <w:rFonts w:ascii="宋体" w:hAnsi="宋体"/>
                <w:color w:val="auto"/>
                <w:szCs w:val="21"/>
                <w:highlight w:val="none"/>
              </w:rPr>
              <w:t xml:space="preserve"> </w:t>
            </w:r>
          </w:p>
        </w:tc>
        <w:tc>
          <w:tcPr>
            <w:tcW w:w="4510" w:type="dxa"/>
            <w:vAlign w:val="center"/>
          </w:tcPr>
          <w:p w14:paraId="6A30281A">
            <w:pPr>
              <w:snapToGrid w:val="0"/>
              <w:spacing w:line="360" w:lineRule="exact"/>
              <w:rPr>
                <w:rFonts w:ascii="宋体" w:hAnsi="宋体"/>
                <w:color w:val="auto"/>
                <w:szCs w:val="21"/>
                <w:highlight w:val="none"/>
              </w:rPr>
            </w:pPr>
            <w:r>
              <w:rPr>
                <w:rFonts w:hint="eastAsia" w:ascii="宋体" w:hAnsi="宋体"/>
                <w:color w:val="auto"/>
                <w:szCs w:val="21"/>
                <w:highlight w:val="none"/>
              </w:rPr>
              <w:t>委托代理人</w:t>
            </w:r>
          </w:p>
        </w:tc>
      </w:tr>
      <w:tr w14:paraId="38DC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509" w:type="dxa"/>
            <w:vAlign w:val="center"/>
          </w:tcPr>
          <w:p w14:paraId="44085C2C">
            <w:pPr>
              <w:snapToGrid w:val="0"/>
              <w:spacing w:line="360" w:lineRule="exact"/>
              <w:rPr>
                <w:rFonts w:ascii="宋体" w:hAnsi="宋体"/>
                <w:color w:val="auto"/>
                <w:szCs w:val="21"/>
                <w:highlight w:val="none"/>
              </w:rPr>
            </w:pPr>
            <w:r>
              <w:rPr>
                <w:rFonts w:hint="eastAsia" w:ascii="宋体" w:hAnsi="宋体"/>
                <w:color w:val="auto"/>
                <w:szCs w:val="21"/>
                <w:highlight w:val="none"/>
              </w:rPr>
              <w:t>电话：</w:t>
            </w:r>
          </w:p>
        </w:tc>
        <w:tc>
          <w:tcPr>
            <w:tcW w:w="4510" w:type="dxa"/>
            <w:vAlign w:val="center"/>
          </w:tcPr>
          <w:p w14:paraId="4E8622D1">
            <w:pPr>
              <w:snapToGrid w:val="0"/>
              <w:spacing w:line="360" w:lineRule="exact"/>
              <w:rPr>
                <w:rFonts w:ascii="宋体" w:hAnsi="宋体"/>
                <w:color w:val="auto"/>
                <w:szCs w:val="21"/>
                <w:highlight w:val="none"/>
              </w:rPr>
            </w:pPr>
            <w:r>
              <w:rPr>
                <w:rFonts w:hint="eastAsia" w:ascii="宋体" w:hAnsi="宋体"/>
                <w:color w:val="auto"/>
                <w:szCs w:val="21"/>
                <w:highlight w:val="none"/>
              </w:rPr>
              <w:t>电话：</w:t>
            </w:r>
          </w:p>
        </w:tc>
      </w:tr>
      <w:tr w14:paraId="218D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509" w:type="dxa"/>
            <w:vAlign w:val="center"/>
          </w:tcPr>
          <w:p w14:paraId="5DE35CC3">
            <w:pPr>
              <w:snapToGrid w:val="0"/>
              <w:spacing w:line="360" w:lineRule="exact"/>
              <w:rPr>
                <w:rFonts w:ascii="宋体" w:hAnsi="宋体"/>
                <w:color w:val="auto"/>
                <w:szCs w:val="21"/>
                <w:highlight w:val="none"/>
              </w:rPr>
            </w:pPr>
            <w:r>
              <w:rPr>
                <w:rFonts w:hint="eastAsia" w:ascii="宋体" w:hAnsi="宋体"/>
                <w:color w:val="auto"/>
                <w:szCs w:val="21"/>
                <w:highlight w:val="none"/>
              </w:rPr>
              <w:t>电子邮箱：</w:t>
            </w:r>
          </w:p>
        </w:tc>
        <w:tc>
          <w:tcPr>
            <w:tcW w:w="4510" w:type="dxa"/>
            <w:vAlign w:val="center"/>
          </w:tcPr>
          <w:p w14:paraId="2D44699C">
            <w:pPr>
              <w:snapToGrid w:val="0"/>
              <w:spacing w:line="360" w:lineRule="exact"/>
              <w:rPr>
                <w:rFonts w:ascii="宋体" w:hAnsi="宋体"/>
                <w:color w:val="auto"/>
                <w:szCs w:val="21"/>
                <w:highlight w:val="none"/>
              </w:rPr>
            </w:pPr>
            <w:r>
              <w:rPr>
                <w:rFonts w:hint="eastAsia" w:ascii="宋体" w:hAnsi="宋体"/>
                <w:color w:val="auto"/>
                <w:szCs w:val="21"/>
                <w:highlight w:val="none"/>
              </w:rPr>
              <w:t>电子邮箱：</w:t>
            </w:r>
          </w:p>
        </w:tc>
      </w:tr>
      <w:tr w14:paraId="0050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509" w:type="dxa"/>
            <w:vAlign w:val="center"/>
          </w:tcPr>
          <w:p w14:paraId="22B94FF2">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p>
        </w:tc>
        <w:tc>
          <w:tcPr>
            <w:tcW w:w="4510" w:type="dxa"/>
            <w:vAlign w:val="center"/>
          </w:tcPr>
          <w:p w14:paraId="77CDE77C">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p>
        </w:tc>
      </w:tr>
      <w:tr w14:paraId="2221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509" w:type="dxa"/>
            <w:vAlign w:val="center"/>
          </w:tcPr>
          <w:p w14:paraId="2AF2CD3E">
            <w:pPr>
              <w:snapToGrid w:val="0"/>
              <w:spacing w:line="360" w:lineRule="exact"/>
              <w:rPr>
                <w:rFonts w:ascii="宋体" w:hAnsi="宋体"/>
                <w:color w:val="auto"/>
                <w:szCs w:val="21"/>
                <w:highlight w:val="none"/>
              </w:rPr>
            </w:pPr>
            <w:r>
              <w:rPr>
                <w:rFonts w:hint="eastAsia" w:ascii="宋体" w:hAnsi="宋体"/>
                <w:color w:val="auto"/>
                <w:szCs w:val="21"/>
                <w:highlight w:val="none"/>
              </w:rPr>
              <w:t>账号：</w:t>
            </w:r>
          </w:p>
        </w:tc>
        <w:tc>
          <w:tcPr>
            <w:tcW w:w="4510" w:type="dxa"/>
            <w:vAlign w:val="center"/>
          </w:tcPr>
          <w:p w14:paraId="70456771">
            <w:pPr>
              <w:snapToGrid w:val="0"/>
              <w:spacing w:line="360" w:lineRule="exact"/>
              <w:rPr>
                <w:rFonts w:ascii="宋体" w:hAnsi="宋体"/>
                <w:color w:val="auto"/>
                <w:szCs w:val="21"/>
                <w:highlight w:val="none"/>
              </w:rPr>
            </w:pPr>
            <w:r>
              <w:rPr>
                <w:rFonts w:hint="eastAsia" w:ascii="宋体" w:hAnsi="宋体"/>
                <w:color w:val="auto"/>
                <w:szCs w:val="21"/>
                <w:highlight w:val="none"/>
              </w:rPr>
              <w:t>账号：</w:t>
            </w:r>
          </w:p>
        </w:tc>
      </w:tr>
      <w:tr w14:paraId="260A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4509" w:type="dxa"/>
            <w:vAlign w:val="center"/>
          </w:tcPr>
          <w:p w14:paraId="2E3FEB81">
            <w:pPr>
              <w:snapToGrid w:val="0"/>
              <w:spacing w:line="360" w:lineRule="exact"/>
              <w:rPr>
                <w:rFonts w:ascii="宋体" w:hAnsi="宋体"/>
                <w:color w:val="auto"/>
                <w:szCs w:val="21"/>
                <w:highlight w:val="none"/>
              </w:rPr>
            </w:pPr>
            <w:r>
              <w:rPr>
                <w:rFonts w:hint="eastAsia" w:ascii="宋体" w:hAnsi="宋体"/>
                <w:color w:val="auto"/>
                <w:szCs w:val="21"/>
                <w:highlight w:val="none"/>
              </w:rPr>
              <w:t>邮政编码：</w:t>
            </w:r>
          </w:p>
        </w:tc>
        <w:tc>
          <w:tcPr>
            <w:tcW w:w="4510" w:type="dxa"/>
            <w:vAlign w:val="center"/>
          </w:tcPr>
          <w:p w14:paraId="3A5FDC0E">
            <w:pPr>
              <w:snapToGrid w:val="0"/>
              <w:spacing w:line="360" w:lineRule="exact"/>
              <w:rPr>
                <w:rFonts w:ascii="宋体" w:hAnsi="宋体"/>
                <w:color w:val="auto"/>
                <w:szCs w:val="21"/>
                <w:highlight w:val="none"/>
              </w:rPr>
            </w:pPr>
            <w:r>
              <w:rPr>
                <w:rFonts w:hint="eastAsia" w:ascii="宋体" w:hAnsi="宋体"/>
                <w:color w:val="auto"/>
                <w:szCs w:val="21"/>
                <w:highlight w:val="none"/>
              </w:rPr>
              <w:t>邮政编码：</w:t>
            </w:r>
          </w:p>
        </w:tc>
      </w:tr>
    </w:tbl>
    <w:p w14:paraId="5741C4D1">
      <w:pPr>
        <w:spacing w:line="400" w:lineRule="exact"/>
        <w:rPr>
          <w:rFonts w:ascii="宋体" w:hAnsi="宋体"/>
          <w:bCs/>
          <w:color w:val="auto"/>
          <w:szCs w:val="21"/>
          <w:highlight w:val="none"/>
        </w:rPr>
      </w:pPr>
    </w:p>
    <w:sectPr>
      <w:headerReference r:id="rId7" w:type="first"/>
      <w:footerReference r:id="rId9" w:type="first"/>
      <w:footerReference r:id="rId8"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AF193E-52FE-4592-9793-C1EEF9593819}"/>
  </w:font>
  <w:font w:name="黑体">
    <w:panose1 w:val="02010609060101010101"/>
    <w:charset w:val="86"/>
    <w:family w:val="auto"/>
    <w:pitch w:val="default"/>
    <w:sig w:usb0="800002BF" w:usb1="38CF7CFA" w:usb2="00000016" w:usb3="00000000" w:csb0="00040001" w:csb1="00000000"/>
    <w:embedRegular r:id="rId2" w:fontKey="{C3E57AFD-B2B3-46B7-B63E-A20D9B839A73}"/>
  </w:font>
  <w:font w:name="Courier New">
    <w:panose1 w:val="02070309020205020404"/>
    <w:charset w:val="01"/>
    <w:family w:val="modern"/>
    <w:pitch w:val="default"/>
    <w:sig w:usb0="E0002EFF" w:usb1="C0007843" w:usb2="00000009" w:usb3="00000000" w:csb0="400001FF" w:csb1="FFFF0000"/>
    <w:embedRegular r:id="rId3" w:fontKey="{A6CB7D73-C49F-4DFD-962F-BC43EE96057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4" w:fontKey="{AB2FAC9F-C6BE-49C9-9561-803B52DC5323}"/>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5C36FD9F-AAB7-48FD-AF03-602D8F250214}"/>
  </w:font>
  <w:font w:name="Tahoma">
    <w:panose1 w:val="020B0604030504040204"/>
    <w:charset w:val="00"/>
    <w:family w:val="swiss"/>
    <w:pitch w:val="default"/>
    <w:sig w:usb0="E1002EFF" w:usb1="C000605B" w:usb2="00000029" w:usb3="00000000" w:csb0="200101FF" w:csb1="20280000"/>
  </w:font>
  <w:font w:name="方正小标宋简体">
    <w:panose1 w:val="02010600010101010101"/>
    <w:charset w:val="86"/>
    <w:family w:val="script"/>
    <w:pitch w:val="default"/>
    <w:sig w:usb0="00000001" w:usb1="080E0000" w:usb2="00000000" w:usb3="00000000" w:csb0="00040000" w:csb1="00000000"/>
    <w:embedRegular r:id="rId6" w:fontKey="{3C1A64DE-34D1-4928-B33B-25F35E478750}"/>
  </w:font>
  <w:font w:name="华文新魏">
    <w:panose1 w:val="02010800040101010101"/>
    <w:charset w:val="86"/>
    <w:family w:val="auto"/>
    <w:pitch w:val="default"/>
    <w:sig w:usb0="00000001" w:usb1="080F0000" w:usb2="00000000" w:usb3="00000000" w:csb0="00040000" w:csb1="00000000"/>
    <w:embedRegular r:id="rId7" w:fontKey="{3B5FA80D-AB93-40D6-BA5C-C450A42F358D}"/>
  </w:font>
  <w:font w:name="Segoe UI Symbol">
    <w:panose1 w:val="020B0502040204020203"/>
    <w:charset w:val="00"/>
    <w:family w:val="swiss"/>
    <w:pitch w:val="default"/>
    <w:sig w:usb0="800001E3" w:usb1="1200FFEF" w:usb2="00040000" w:usb3="04000000" w:csb0="00000001" w:csb1="40000000"/>
    <w:embedRegular r:id="rId8" w:fontKey="{66E41F10-A8BA-41AB-A4AF-E4FA17BD6A8A}"/>
  </w:font>
  <w:font w:name="仿宋">
    <w:panose1 w:val="02010609060101010101"/>
    <w:charset w:val="86"/>
    <w:family w:val="modern"/>
    <w:pitch w:val="default"/>
    <w:sig w:usb0="800002BF" w:usb1="38CF7CFA" w:usb2="00000016" w:usb3="00000000" w:csb0="00040001" w:csb1="00000000"/>
    <w:embedRegular r:id="rId9" w:fontKey="{4176A58C-8337-4D91-8453-3E8EA69263CE}"/>
  </w:font>
  <w:font w:name="Verdana">
    <w:panose1 w:val="020B0604030504040204"/>
    <w:charset w:val="00"/>
    <w:family w:val="swiss"/>
    <w:pitch w:val="default"/>
    <w:sig w:usb0="A00006FF" w:usb1="4000205B" w:usb2="00000010" w:usb3="00000000" w:csb0="2000019F" w:csb1="00000000"/>
    <w:embedRegular r:id="rId10" w:fontKey="{EBA73F2B-EB7E-4289-88E5-4500D6BD38D9}"/>
  </w:font>
  <w:font w:name="微软雅黑">
    <w:panose1 w:val="020B0503020204020204"/>
    <w:charset w:val="86"/>
    <w:family w:val="swiss"/>
    <w:pitch w:val="default"/>
    <w:sig w:usb0="80000287" w:usb1="2ACF3C50" w:usb2="00000016" w:usb3="00000000" w:csb0="0004001F" w:csb1="00000000"/>
    <w:embedRegular r:id="rId11" w:fontKey="{09FE38AD-FCC4-4A9F-B990-BC6B817DD5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2F0D">
    <w:pPr>
      <w:pStyle w:val="21"/>
      <w:tabs>
        <w:tab w:val="center" w:pos="4439"/>
        <w:tab w:val="clear" w:pos="4153"/>
      </w:tabs>
      <w:jc w:val="both"/>
    </w:pPr>
    <w:r>
      <w:pict>
        <v:shape id="文本框 4099"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QNDWbRAQAAqgMAAA4AAAAAAAAAAQAgAAAAHgEAAGRy&#10;cy9lMm9Eb2MueG1sUEsFBgAAAAAGAAYAWQEAAGEFAAAAAA==&#10;">
          <v:path/>
          <v:fill on="f" focussize="0,0"/>
          <v:stroke on="f" joinstyle="miter"/>
          <v:imagedata o:title=""/>
          <o:lock v:ext="edit"/>
          <v:textbox inset="0mm,0mm,0mm,0mm" style="mso-fit-shape-to-text:t;">
            <w:txbxContent>
              <w:p w14:paraId="4D377DEF">
                <w:pPr>
                  <w:pStyle w:val="21"/>
                </w:pPr>
                <w:r>
                  <w:fldChar w:fldCharType="begin"/>
                </w:r>
                <w:r>
                  <w:instrText xml:space="preserve"> PAGE  \* MERGEFORMAT </w:instrText>
                </w:r>
                <w:r>
                  <w:fldChar w:fldCharType="separate"/>
                </w:r>
                <w:r>
                  <w:t>1</w:t>
                </w:r>
                <w:r>
                  <w:fldChar w:fldCharType="end"/>
                </w:r>
              </w:p>
            </w:txbxContent>
          </v:textbox>
        </v:shape>
      </w:pict>
    </w:r>
  </w:p>
  <w:p w14:paraId="0B79B02C">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3F8F7">
    <w:pPr>
      <w:pStyle w:val="21"/>
      <w:tabs>
        <w:tab w:val="center" w:pos="4439"/>
        <w:tab w:val="clear" w:pos="4153"/>
      </w:tabs>
    </w:pPr>
    <w:r>
      <w:pict>
        <v:shape id="文本框 4100" o:spid="_x0000_s1026" o:spt="202" type="#_x0000_t202" style="position:absolute;left:0pt;margin-top:0pt;height:12.05pt;width:9.05pt;mso-position-horizontal:center;mso-position-horizontal-relative:margin;mso-wrap-style:none;z-index:25166336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U+a0AAAAAMBAAAPAAAAAAAAAAEAIAAAACIAAABk&#10;cnMvZG93bnJldi54bWxQSwECFAAUAAAACACHTuJAowIOv9UBAACoAwAADgAAAAAAAAABACAAAAAf&#10;AQAAZHJzL2Uyb0RvYy54bWxQSwUGAAAAAAYABgBZAQAAZgUAAAAA&#10;">
          <v:path/>
          <v:fill on="f" focussize="0,0"/>
          <v:stroke on="f" joinstyle="miter"/>
          <v:imagedata o:title=""/>
          <o:lock v:ext="edit"/>
          <v:textbox inset="0mm,0mm,0mm,0mm" style="mso-fit-shape-to-text:t;">
            <w:txbxContent>
              <w:p w14:paraId="721F8A07"/>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06B7">
    <w:pPr>
      <w:pStyle w:val="21"/>
      <w:jc w:val="center"/>
    </w:pPr>
    <w:r>
      <w:pict>
        <v:shape id="文本框 409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XGZqvzwEAAKoDAAAOAAAAAAAAAAEAIAAAAB4BAABkcnMv&#10;ZTJvRG9jLnhtbFBLBQYAAAAABgAGAFkBAABfBQAAAAA=&#10;">
          <v:path/>
          <v:fill on="f" focussize="0,0"/>
          <v:stroke on="f" joinstyle="miter"/>
          <v:imagedata o:title=""/>
          <o:lock v:ext="edit"/>
          <v:textbox inset="0mm,0mm,0mm,0mm" style="mso-fit-shape-to-text:t;">
            <w:txbxContent>
              <w:p w14:paraId="7466DCDF">
                <w:pPr>
                  <w:pStyle w:val="21"/>
                  <w:jc w:val="center"/>
                </w:pPr>
                <w:r>
                  <w:fldChar w:fldCharType="begin"/>
                </w:r>
                <w:r>
                  <w:instrText xml:space="preserve"> PAGE  \* MERGEFORMAT </w:instrText>
                </w:r>
                <w:r>
                  <w:fldChar w:fldCharType="separate"/>
                </w:r>
                <w:r>
                  <w:t>4</w:t>
                </w:r>
                <w:r>
                  <w:fldChar w:fldCharType="end"/>
                </w:r>
              </w:p>
            </w:txbxContent>
          </v:textbox>
        </v:shape>
      </w:pict>
    </w:r>
  </w:p>
  <w:p w14:paraId="7CFDA7D1">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1158">
    <w:pPr>
      <w:pStyle w:val="21"/>
    </w:pPr>
    <w:r>
      <w:pict>
        <v:shape id="文本框 409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4D2vm9ABAACqAwAADgAAAAAAAAABACAAAAAeAQAAZHJz&#10;L2Uyb0RvYy54bWxQSwUGAAAAAAYABgBZAQAAYAUAAAAA&#10;">
          <v:path/>
          <v:fill on="f" focussize="0,0"/>
          <v:stroke on="f" joinstyle="miter"/>
          <v:imagedata o:title=""/>
          <o:lock v:ext="edit"/>
          <v:textbox inset="0mm,0mm,0mm,0mm" style="mso-fit-shape-to-text:t;">
            <w:txbxContent>
              <w:p w14:paraId="7D071082">
                <w:pPr>
                  <w:pStyle w:val="21"/>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6CB20">
    <w:pPr>
      <w:pStyle w:val="22"/>
      <w:pBdr>
        <w:bottom w:val="none" w:color="auto" w:sz="0" w:space="0"/>
      </w:pBdr>
      <w:rPr>
        <w:rFonts w:hint="eastAsia" w:ascii="宋体" w:hAnsi="宋体" w:eastAsia="宋体"/>
        <w:bCs/>
        <w:u w:val="single"/>
        <w:lang w:eastAsia="zh-CN"/>
      </w:rPr>
    </w:pPr>
    <w:r>
      <w:rPr>
        <w:rFonts w:hint="eastAsia" w:ascii="宋体" w:hAnsi="宋体"/>
        <w:bCs/>
        <w:u w:val="single"/>
      </w:rPr>
      <w:t>项目名称：</w:t>
    </w:r>
    <w:r>
      <w:rPr>
        <w:rFonts w:hint="eastAsia" w:ascii="宋体" w:hAnsi="宋体"/>
        <w:bCs/>
        <w:u w:val="single"/>
        <w:lang w:eastAsia="zh-CN"/>
      </w:rPr>
      <w:t>海城区廉州湾垌尾海域非法养殖占海设施清理项目</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项目编号：</w:t>
    </w:r>
    <w:r>
      <w:rPr>
        <w:rFonts w:hint="eastAsia" w:ascii="宋体" w:hAnsi="宋体"/>
        <w:bCs/>
        <w:u w:val="single"/>
        <w:lang w:eastAsia="zh-CN"/>
      </w:rPr>
      <w:t>BHZC2025-C3-020017-YZLZ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EEA5B">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22B13">
    <w:pPr>
      <w:pStyle w:val="22"/>
      <w:pBdr>
        <w:bottom w:val="none" w:color="auto" w:sz="0" w:space="1"/>
      </w:pBdr>
      <w:rPr>
        <w:rFonts w:hint="eastAsia" w:ascii="宋体" w:hAnsi="宋体" w:eastAsia="宋体"/>
        <w:bCs/>
        <w:u w:val="single"/>
        <w:lang w:eastAsia="zh-CN"/>
      </w:rPr>
    </w:pPr>
    <w:r>
      <w:rPr>
        <w:rFonts w:hint="eastAsia" w:ascii="宋体" w:hAnsi="宋体"/>
        <w:bCs/>
        <w:u w:val="single"/>
      </w:rPr>
      <w:t>项目名称：</w:t>
    </w:r>
    <w:r>
      <w:rPr>
        <w:rFonts w:hint="eastAsia" w:ascii="宋体" w:hAnsi="宋体"/>
        <w:bCs/>
        <w:u w:val="single"/>
        <w:lang w:eastAsia="zh-CN"/>
      </w:rPr>
      <w:t>海城区廉州湾垌尾海域非法养殖占海设施清理项目</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项目编号：</w:t>
    </w:r>
    <w:r>
      <w:rPr>
        <w:rFonts w:hint="eastAsia" w:ascii="宋体" w:hAnsi="宋体"/>
        <w:bCs/>
        <w:u w:val="single"/>
        <w:lang w:eastAsia="zh-CN"/>
      </w:rPr>
      <w:t>BHZC2025-C3-020017-YZLZ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6F67F"/>
    <w:multiLevelType w:val="singleLevel"/>
    <w:tmpl w:val="5696F6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zU1OTBiY2VmNmMxMWY2OGVkMWMyYTU1NDAwZjdiZGUifQ=="/>
  </w:docVars>
  <w:rsids>
    <w:rsidRoot w:val="00F34B14"/>
    <w:rsid w:val="000002E0"/>
    <w:rsid w:val="00000672"/>
    <w:rsid w:val="00000B7F"/>
    <w:rsid w:val="00001013"/>
    <w:rsid w:val="0000140E"/>
    <w:rsid w:val="000016CE"/>
    <w:rsid w:val="00001799"/>
    <w:rsid w:val="00001AF2"/>
    <w:rsid w:val="00001ECA"/>
    <w:rsid w:val="00002D29"/>
    <w:rsid w:val="00003725"/>
    <w:rsid w:val="00003B93"/>
    <w:rsid w:val="0000474D"/>
    <w:rsid w:val="00004C1F"/>
    <w:rsid w:val="00005FDF"/>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6C1A"/>
    <w:rsid w:val="00017645"/>
    <w:rsid w:val="000177DB"/>
    <w:rsid w:val="000179C9"/>
    <w:rsid w:val="00017CCC"/>
    <w:rsid w:val="00020227"/>
    <w:rsid w:val="00020263"/>
    <w:rsid w:val="00020455"/>
    <w:rsid w:val="00020813"/>
    <w:rsid w:val="00020AAC"/>
    <w:rsid w:val="000215D0"/>
    <w:rsid w:val="000220B2"/>
    <w:rsid w:val="00022440"/>
    <w:rsid w:val="0002264C"/>
    <w:rsid w:val="00022731"/>
    <w:rsid w:val="00022792"/>
    <w:rsid w:val="00022A03"/>
    <w:rsid w:val="00024463"/>
    <w:rsid w:val="00025461"/>
    <w:rsid w:val="00025636"/>
    <w:rsid w:val="00025E36"/>
    <w:rsid w:val="00026855"/>
    <w:rsid w:val="00026886"/>
    <w:rsid w:val="00026BD9"/>
    <w:rsid w:val="0002785D"/>
    <w:rsid w:val="00030691"/>
    <w:rsid w:val="000307BE"/>
    <w:rsid w:val="000329E0"/>
    <w:rsid w:val="0003527A"/>
    <w:rsid w:val="000352E9"/>
    <w:rsid w:val="00035494"/>
    <w:rsid w:val="00035677"/>
    <w:rsid w:val="00036125"/>
    <w:rsid w:val="00036A07"/>
    <w:rsid w:val="0003780B"/>
    <w:rsid w:val="00040571"/>
    <w:rsid w:val="00040973"/>
    <w:rsid w:val="0004156E"/>
    <w:rsid w:val="00041713"/>
    <w:rsid w:val="0004440C"/>
    <w:rsid w:val="00044EAE"/>
    <w:rsid w:val="00046B5E"/>
    <w:rsid w:val="000470CB"/>
    <w:rsid w:val="0004783C"/>
    <w:rsid w:val="000509D9"/>
    <w:rsid w:val="000512AF"/>
    <w:rsid w:val="00051ACB"/>
    <w:rsid w:val="000533E7"/>
    <w:rsid w:val="00054C33"/>
    <w:rsid w:val="00055D41"/>
    <w:rsid w:val="00056EF6"/>
    <w:rsid w:val="00057CD6"/>
    <w:rsid w:val="00060DCE"/>
    <w:rsid w:val="000610E3"/>
    <w:rsid w:val="000614F3"/>
    <w:rsid w:val="000623B4"/>
    <w:rsid w:val="00062405"/>
    <w:rsid w:val="00062412"/>
    <w:rsid w:val="000630B3"/>
    <w:rsid w:val="000634A7"/>
    <w:rsid w:val="00063B0B"/>
    <w:rsid w:val="00063F81"/>
    <w:rsid w:val="00064847"/>
    <w:rsid w:val="00065E08"/>
    <w:rsid w:val="000673E2"/>
    <w:rsid w:val="000678B1"/>
    <w:rsid w:val="00067EF1"/>
    <w:rsid w:val="0007063F"/>
    <w:rsid w:val="000707FD"/>
    <w:rsid w:val="00070949"/>
    <w:rsid w:val="000711E4"/>
    <w:rsid w:val="00071E9B"/>
    <w:rsid w:val="000720A1"/>
    <w:rsid w:val="000724D9"/>
    <w:rsid w:val="00072AED"/>
    <w:rsid w:val="00073F47"/>
    <w:rsid w:val="000747AA"/>
    <w:rsid w:val="0007492F"/>
    <w:rsid w:val="00074ED8"/>
    <w:rsid w:val="00075B7E"/>
    <w:rsid w:val="00077ACA"/>
    <w:rsid w:val="00077C70"/>
    <w:rsid w:val="000813B5"/>
    <w:rsid w:val="000816B6"/>
    <w:rsid w:val="0008191E"/>
    <w:rsid w:val="00081BA3"/>
    <w:rsid w:val="00081D2E"/>
    <w:rsid w:val="00081F89"/>
    <w:rsid w:val="000823EE"/>
    <w:rsid w:val="00082619"/>
    <w:rsid w:val="00082D02"/>
    <w:rsid w:val="0008381A"/>
    <w:rsid w:val="00083871"/>
    <w:rsid w:val="00083B91"/>
    <w:rsid w:val="00084195"/>
    <w:rsid w:val="0008473C"/>
    <w:rsid w:val="0008520B"/>
    <w:rsid w:val="000857DE"/>
    <w:rsid w:val="000860BD"/>
    <w:rsid w:val="000871B8"/>
    <w:rsid w:val="00087B0A"/>
    <w:rsid w:val="000916DA"/>
    <w:rsid w:val="00091AAB"/>
    <w:rsid w:val="00092442"/>
    <w:rsid w:val="000929EF"/>
    <w:rsid w:val="00092C26"/>
    <w:rsid w:val="000933BE"/>
    <w:rsid w:val="0009560F"/>
    <w:rsid w:val="0009588E"/>
    <w:rsid w:val="000959EE"/>
    <w:rsid w:val="0009634C"/>
    <w:rsid w:val="000967F8"/>
    <w:rsid w:val="00096DB9"/>
    <w:rsid w:val="00097183"/>
    <w:rsid w:val="000972CB"/>
    <w:rsid w:val="00097608"/>
    <w:rsid w:val="000A0F35"/>
    <w:rsid w:val="000A1175"/>
    <w:rsid w:val="000A131B"/>
    <w:rsid w:val="000A13F3"/>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3FFD"/>
    <w:rsid w:val="000B4321"/>
    <w:rsid w:val="000B63AB"/>
    <w:rsid w:val="000B6A6B"/>
    <w:rsid w:val="000B6C95"/>
    <w:rsid w:val="000B6E23"/>
    <w:rsid w:val="000B7478"/>
    <w:rsid w:val="000B79FC"/>
    <w:rsid w:val="000C1679"/>
    <w:rsid w:val="000C1EE3"/>
    <w:rsid w:val="000C3079"/>
    <w:rsid w:val="000C3AE7"/>
    <w:rsid w:val="000C3CC9"/>
    <w:rsid w:val="000C59C6"/>
    <w:rsid w:val="000C6DE4"/>
    <w:rsid w:val="000C6F93"/>
    <w:rsid w:val="000C7202"/>
    <w:rsid w:val="000C7CC8"/>
    <w:rsid w:val="000D0A89"/>
    <w:rsid w:val="000D1389"/>
    <w:rsid w:val="000D1798"/>
    <w:rsid w:val="000D2508"/>
    <w:rsid w:val="000D25A6"/>
    <w:rsid w:val="000D2626"/>
    <w:rsid w:val="000D411D"/>
    <w:rsid w:val="000D4589"/>
    <w:rsid w:val="000D4809"/>
    <w:rsid w:val="000D73DD"/>
    <w:rsid w:val="000E1C51"/>
    <w:rsid w:val="000E28AB"/>
    <w:rsid w:val="000E2E3E"/>
    <w:rsid w:val="000E3583"/>
    <w:rsid w:val="000E3AF0"/>
    <w:rsid w:val="000E4E04"/>
    <w:rsid w:val="000E693B"/>
    <w:rsid w:val="000E6ADF"/>
    <w:rsid w:val="000E6D5C"/>
    <w:rsid w:val="000E6EC9"/>
    <w:rsid w:val="000E70B4"/>
    <w:rsid w:val="000E7B62"/>
    <w:rsid w:val="000F0E1E"/>
    <w:rsid w:val="000F0F33"/>
    <w:rsid w:val="000F1A1B"/>
    <w:rsid w:val="000F2A95"/>
    <w:rsid w:val="000F3281"/>
    <w:rsid w:val="000F32FD"/>
    <w:rsid w:val="000F3733"/>
    <w:rsid w:val="000F37B1"/>
    <w:rsid w:val="000F4F56"/>
    <w:rsid w:val="000F5F8B"/>
    <w:rsid w:val="000F6153"/>
    <w:rsid w:val="000F64AA"/>
    <w:rsid w:val="000F68A7"/>
    <w:rsid w:val="000F74A0"/>
    <w:rsid w:val="000F7AF4"/>
    <w:rsid w:val="000F7C33"/>
    <w:rsid w:val="000F7F0C"/>
    <w:rsid w:val="001004D6"/>
    <w:rsid w:val="00100830"/>
    <w:rsid w:val="00100BC1"/>
    <w:rsid w:val="001014C0"/>
    <w:rsid w:val="00101D1B"/>
    <w:rsid w:val="00102676"/>
    <w:rsid w:val="00103646"/>
    <w:rsid w:val="00103918"/>
    <w:rsid w:val="00103C40"/>
    <w:rsid w:val="00104897"/>
    <w:rsid w:val="00104AB2"/>
    <w:rsid w:val="00104EDE"/>
    <w:rsid w:val="00104F54"/>
    <w:rsid w:val="00105CDA"/>
    <w:rsid w:val="00106BEE"/>
    <w:rsid w:val="0010711C"/>
    <w:rsid w:val="00107368"/>
    <w:rsid w:val="00107BDF"/>
    <w:rsid w:val="00107C74"/>
    <w:rsid w:val="0011091C"/>
    <w:rsid w:val="00110A2A"/>
    <w:rsid w:val="00111266"/>
    <w:rsid w:val="001112EB"/>
    <w:rsid w:val="00111C7B"/>
    <w:rsid w:val="0011247D"/>
    <w:rsid w:val="00113678"/>
    <w:rsid w:val="00113A7D"/>
    <w:rsid w:val="00113C3E"/>
    <w:rsid w:val="00115E11"/>
    <w:rsid w:val="00115EEE"/>
    <w:rsid w:val="00115F56"/>
    <w:rsid w:val="001162AB"/>
    <w:rsid w:val="00116635"/>
    <w:rsid w:val="00116CA9"/>
    <w:rsid w:val="00116F38"/>
    <w:rsid w:val="001170A4"/>
    <w:rsid w:val="00117AE7"/>
    <w:rsid w:val="00117B85"/>
    <w:rsid w:val="00117CBD"/>
    <w:rsid w:val="0012006A"/>
    <w:rsid w:val="00121979"/>
    <w:rsid w:val="00122064"/>
    <w:rsid w:val="0012280A"/>
    <w:rsid w:val="00124341"/>
    <w:rsid w:val="00124492"/>
    <w:rsid w:val="00124B12"/>
    <w:rsid w:val="001250A0"/>
    <w:rsid w:val="001263B8"/>
    <w:rsid w:val="00127BA0"/>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9C"/>
    <w:rsid w:val="0014277F"/>
    <w:rsid w:val="001434BE"/>
    <w:rsid w:val="00143AAD"/>
    <w:rsid w:val="00144050"/>
    <w:rsid w:val="00144369"/>
    <w:rsid w:val="0014479F"/>
    <w:rsid w:val="001452B4"/>
    <w:rsid w:val="00145320"/>
    <w:rsid w:val="001476D3"/>
    <w:rsid w:val="00147ECF"/>
    <w:rsid w:val="001509CF"/>
    <w:rsid w:val="00150AF4"/>
    <w:rsid w:val="00150D1D"/>
    <w:rsid w:val="001525AA"/>
    <w:rsid w:val="00152A14"/>
    <w:rsid w:val="00152A87"/>
    <w:rsid w:val="00152AC1"/>
    <w:rsid w:val="00153BB5"/>
    <w:rsid w:val="00154518"/>
    <w:rsid w:val="00156359"/>
    <w:rsid w:val="00156DD6"/>
    <w:rsid w:val="0016086E"/>
    <w:rsid w:val="001609B9"/>
    <w:rsid w:val="00160D0C"/>
    <w:rsid w:val="00160DD1"/>
    <w:rsid w:val="00161172"/>
    <w:rsid w:val="00161998"/>
    <w:rsid w:val="00161E65"/>
    <w:rsid w:val="00162597"/>
    <w:rsid w:val="00162728"/>
    <w:rsid w:val="001629AF"/>
    <w:rsid w:val="001629FD"/>
    <w:rsid w:val="00163E37"/>
    <w:rsid w:val="0016428A"/>
    <w:rsid w:val="001647C9"/>
    <w:rsid w:val="00164AF9"/>
    <w:rsid w:val="00165627"/>
    <w:rsid w:val="0016570B"/>
    <w:rsid w:val="001661A3"/>
    <w:rsid w:val="00167226"/>
    <w:rsid w:val="0016782B"/>
    <w:rsid w:val="0016784D"/>
    <w:rsid w:val="00167853"/>
    <w:rsid w:val="00167887"/>
    <w:rsid w:val="0017161C"/>
    <w:rsid w:val="00172CA8"/>
    <w:rsid w:val="00173256"/>
    <w:rsid w:val="00173B0E"/>
    <w:rsid w:val="00173E03"/>
    <w:rsid w:val="00174B44"/>
    <w:rsid w:val="00174B92"/>
    <w:rsid w:val="0017512C"/>
    <w:rsid w:val="001756AF"/>
    <w:rsid w:val="0017586A"/>
    <w:rsid w:val="00175BA6"/>
    <w:rsid w:val="00176CA7"/>
    <w:rsid w:val="00176D0C"/>
    <w:rsid w:val="00176F8E"/>
    <w:rsid w:val="001778C5"/>
    <w:rsid w:val="00177E56"/>
    <w:rsid w:val="00177F0A"/>
    <w:rsid w:val="001801FB"/>
    <w:rsid w:val="00180DA0"/>
    <w:rsid w:val="00181EAD"/>
    <w:rsid w:val="00182862"/>
    <w:rsid w:val="00184F57"/>
    <w:rsid w:val="00185091"/>
    <w:rsid w:val="00185544"/>
    <w:rsid w:val="00185617"/>
    <w:rsid w:val="00186FE1"/>
    <w:rsid w:val="00187A14"/>
    <w:rsid w:val="001902C2"/>
    <w:rsid w:val="0019171E"/>
    <w:rsid w:val="00192368"/>
    <w:rsid w:val="001923A0"/>
    <w:rsid w:val="001928B1"/>
    <w:rsid w:val="00193537"/>
    <w:rsid w:val="00193846"/>
    <w:rsid w:val="00194858"/>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A7B24"/>
    <w:rsid w:val="001A7DBF"/>
    <w:rsid w:val="001B125A"/>
    <w:rsid w:val="001B1EBA"/>
    <w:rsid w:val="001B2142"/>
    <w:rsid w:val="001B2C70"/>
    <w:rsid w:val="001B2F2B"/>
    <w:rsid w:val="001B327A"/>
    <w:rsid w:val="001B35DE"/>
    <w:rsid w:val="001B3A13"/>
    <w:rsid w:val="001B3F5C"/>
    <w:rsid w:val="001B57C9"/>
    <w:rsid w:val="001B59FF"/>
    <w:rsid w:val="001B6512"/>
    <w:rsid w:val="001B65D7"/>
    <w:rsid w:val="001B6752"/>
    <w:rsid w:val="001B6768"/>
    <w:rsid w:val="001B6F1F"/>
    <w:rsid w:val="001B7080"/>
    <w:rsid w:val="001B7ECC"/>
    <w:rsid w:val="001C025B"/>
    <w:rsid w:val="001C115F"/>
    <w:rsid w:val="001C1EAB"/>
    <w:rsid w:val="001C25A7"/>
    <w:rsid w:val="001C2775"/>
    <w:rsid w:val="001C2E61"/>
    <w:rsid w:val="001C318C"/>
    <w:rsid w:val="001C35C4"/>
    <w:rsid w:val="001C3C0E"/>
    <w:rsid w:val="001C4287"/>
    <w:rsid w:val="001C4479"/>
    <w:rsid w:val="001C5190"/>
    <w:rsid w:val="001C51EE"/>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4A"/>
    <w:rsid w:val="00200F7C"/>
    <w:rsid w:val="002012A1"/>
    <w:rsid w:val="002014DB"/>
    <w:rsid w:val="0020150B"/>
    <w:rsid w:val="00201E12"/>
    <w:rsid w:val="00202295"/>
    <w:rsid w:val="002033B5"/>
    <w:rsid w:val="0020382C"/>
    <w:rsid w:val="0020437A"/>
    <w:rsid w:val="0020454C"/>
    <w:rsid w:val="00204740"/>
    <w:rsid w:val="00205129"/>
    <w:rsid w:val="0020521F"/>
    <w:rsid w:val="0020532C"/>
    <w:rsid w:val="002114C7"/>
    <w:rsid w:val="002125AF"/>
    <w:rsid w:val="0021302C"/>
    <w:rsid w:val="00213B1C"/>
    <w:rsid w:val="00213F1E"/>
    <w:rsid w:val="00214202"/>
    <w:rsid w:val="002148E3"/>
    <w:rsid w:val="002150A2"/>
    <w:rsid w:val="0021552D"/>
    <w:rsid w:val="002156AE"/>
    <w:rsid w:val="00215D51"/>
    <w:rsid w:val="00215E99"/>
    <w:rsid w:val="0022054D"/>
    <w:rsid w:val="00220F7F"/>
    <w:rsid w:val="0022107B"/>
    <w:rsid w:val="00221FBD"/>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5FF1"/>
    <w:rsid w:val="00236578"/>
    <w:rsid w:val="002366E1"/>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1043"/>
    <w:rsid w:val="00251C4A"/>
    <w:rsid w:val="002522D4"/>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C2A"/>
    <w:rsid w:val="00273CBE"/>
    <w:rsid w:val="00274538"/>
    <w:rsid w:val="002746B1"/>
    <w:rsid w:val="00274BAD"/>
    <w:rsid w:val="00276FB5"/>
    <w:rsid w:val="002807B0"/>
    <w:rsid w:val="00282382"/>
    <w:rsid w:val="002826DB"/>
    <w:rsid w:val="00282ACB"/>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895"/>
    <w:rsid w:val="00294F10"/>
    <w:rsid w:val="002952B1"/>
    <w:rsid w:val="00295D11"/>
    <w:rsid w:val="00296FB6"/>
    <w:rsid w:val="002974A3"/>
    <w:rsid w:val="002A0001"/>
    <w:rsid w:val="002A0BD9"/>
    <w:rsid w:val="002A0C3A"/>
    <w:rsid w:val="002A0DF8"/>
    <w:rsid w:val="002A0F1C"/>
    <w:rsid w:val="002A1130"/>
    <w:rsid w:val="002A1880"/>
    <w:rsid w:val="002A23B7"/>
    <w:rsid w:val="002A3A57"/>
    <w:rsid w:val="002A4B4F"/>
    <w:rsid w:val="002A57A8"/>
    <w:rsid w:val="002A64F1"/>
    <w:rsid w:val="002A6886"/>
    <w:rsid w:val="002A6DEF"/>
    <w:rsid w:val="002A770B"/>
    <w:rsid w:val="002B013E"/>
    <w:rsid w:val="002B058D"/>
    <w:rsid w:val="002B0C16"/>
    <w:rsid w:val="002B2456"/>
    <w:rsid w:val="002B2AC5"/>
    <w:rsid w:val="002B2CD1"/>
    <w:rsid w:val="002B3528"/>
    <w:rsid w:val="002B3539"/>
    <w:rsid w:val="002B4395"/>
    <w:rsid w:val="002B4532"/>
    <w:rsid w:val="002B4DD9"/>
    <w:rsid w:val="002B5042"/>
    <w:rsid w:val="002B69CC"/>
    <w:rsid w:val="002B6D71"/>
    <w:rsid w:val="002C006E"/>
    <w:rsid w:val="002C03AE"/>
    <w:rsid w:val="002C0C1C"/>
    <w:rsid w:val="002C11AB"/>
    <w:rsid w:val="002C41BF"/>
    <w:rsid w:val="002C4EBB"/>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3768"/>
    <w:rsid w:val="002E38AD"/>
    <w:rsid w:val="002E47E4"/>
    <w:rsid w:val="002E4BF9"/>
    <w:rsid w:val="002E4D61"/>
    <w:rsid w:val="002E68A7"/>
    <w:rsid w:val="002E6E6C"/>
    <w:rsid w:val="002F016E"/>
    <w:rsid w:val="002F0522"/>
    <w:rsid w:val="002F16DD"/>
    <w:rsid w:val="002F199D"/>
    <w:rsid w:val="002F213C"/>
    <w:rsid w:val="002F2453"/>
    <w:rsid w:val="002F33FA"/>
    <w:rsid w:val="002F352D"/>
    <w:rsid w:val="002F381E"/>
    <w:rsid w:val="002F4084"/>
    <w:rsid w:val="002F4A08"/>
    <w:rsid w:val="002F4ADB"/>
    <w:rsid w:val="002F531E"/>
    <w:rsid w:val="002F548D"/>
    <w:rsid w:val="002F5ACC"/>
    <w:rsid w:val="002F704B"/>
    <w:rsid w:val="002F72C3"/>
    <w:rsid w:val="002F768C"/>
    <w:rsid w:val="002F7D1E"/>
    <w:rsid w:val="003001BA"/>
    <w:rsid w:val="00300201"/>
    <w:rsid w:val="0030025A"/>
    <w:rsid w:val="00300F13"/>
    <w:rsid w:val="00301B3B"/>
    <w:rsid w:val="00302AF0"/>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66F"/>
    <w:rsid w:val="00310CC1"/>
    <w:rsid w:val="003117DC"/>
    <w:rsid w:val="00312059"/>
    <w:rsid w:val="00312504"/>
    <w:rsid w:val="00312B89"/>
    <w:rsid w:val="00313026"/>
    <w:rsid w:val="00313831"/>
    <w:rsid w:val="00313913"/>
    <w:rsid w:val="0031421F"/>
    <w:rsid w:val="00314B31"/>
    <w:rsid w:val="00315A65"/>
    <w:rsid w:val="0031642B"/>
    <w:rsid w:val="003165D7"/>
    <w:rsid w:val="0031666B"/>
    <w:rsid w:val="0031670F"/>
    <w:rsid w:val="00316ABE"/>
    <w:rsid w:val="00317BA7"/>
    <w:rsid w:val="00320BE2"/>
    <w:rsid w:val="00320F48"/>
    <w:rsid w:val="00321886"/>
    <w:rsid w:val="00321EDC"/>
    <w:rsid w:val="00322D52"/>
    <w:rsid w:val="0032359E"/>
    <w:rsid w:val="00323688"/>
    <w:rsid w:val="00323694"/>
    <w:rsid w:val="00323BE7"/>
    <w:rsid w:val="00324C3A"/>
    <w:rsid w:val="00324D63"/>
    <w:rsid w:val="003255AF"/>
    <w:rsid w:val="003256EB"/>
    <w:rsid w:val="003259DB"/>
    <w:rsid w:val="0032795B"/>
    <w:rsid w:val="003303CD"/>
    <w:rsid w:val="00330FF2"/>
    <w:rsid w:val="003314D9"/>
    <w:rsid w:val="00331653"/>
    <w:rsid w:val="00331A48"/>
    <w:rsid w:val="00331BCC"/>
    <w:rsid w:val="003330C9"/>
    <w:rsid w:val="0033364C"/>
    <w:rsid w:val="00334415"/>
    <w:rsid w:val="00334D63"/>
    <w:rsid w:val="00335983"/>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3C8C"/>
    <w:rsid w:val="00354062"/>
    <w:rsid w:val="0035459E"/>
    <w:rsid w:val="00354AE9"/>
    <w:rsid w:val="00355C0D"/>
    <w:rsid w:val="00355F01"/>
    <w:rsid w:val="003566A9"/>
    <w:rsid w:val="00356988"/>
    <w:rsid w:val="003569D3"/>
    <w:rsid w:val="00356CE9"/>
    <w:rsid w:val="003570BB"/>
    <w:rsid w:val="00357128"/>
    <w:rsid w:val="0035755E"/>
    <w:rsid w:val="00357A80"/>
    <w:rsid w:val="00360A2A"/>
    <w:rsid w:val="003611D1"/>
    <w:rsid w:val="00361441"/>
    <w:rsid w:val="00361B8B"/>
    <w:rsid w:val="00362DAD"/>
    <w:rsid w:val="00363F39"/>
    <w:rsid w:val="003640FC"/>
    <w:rsid w:val="0036445C"/>
    <w:rsid w:val="00364627"/>
    <w:rsid w:val="00364AB0"/>
    <w:rsid w:val="00364D71"/>
    <w:rsid w:val="003667B0"/>
    <w:rsid w:val="003667DD"/>
    <w:rsid w:val="00366B48"/>
    <w:rsid w:val="00367764"/>
    <w:rsid w:val="00370316"/>
    <w:rsid w:val="003708DE"/>
    <w:rsid w:val="00370DC7"/>
    <w:rsid w:val="00371CBD"/>
    <w:rsid w:val="00371F20"/>
    <w:rsid w:val="003721E3"/>
    <w:rsid w:val="00372B98"/>
    <w:rsid w:val="003737B7"/>
    <w:rsid w:val="00373BA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77F1A"/>
    <w:rsid w:val="00380874"/>
    <w:rsid w:val="00380BBE"/>
    <w:rsid w:val="00381D70"/>
    <w:rsid w:val="0038235E"/>
    <w:rsid w:val="003829D0"/>
    <w:rsid w:val="0038326A"/>
    <w:rsid w:val="00383535"/>
    <w:rsid w:val="0038444F"/>
    <w:rsid w:val="00385BD7"/>
    <w:rsid w:val="003861F0"/>
    <w:rsid w:val="0038649C"/>
    <w:rsid w:val="00386AF0"/>
    <w:rsid w:val="00386CF0"/>
    <w:rsid w:val="00387051"/>
    <w:rsid w:val="00387ECF"/>
    <w:rsid w:val="0039021B"/>
    <w:rsid w:val="00390429"/>
    <w:rsid w:val="003906A0"/>
    <w:rsid w:val="003923D5"/>
    <w:rsid w:val="003931AF"/>
    <w:rsid w:val="0039366C"/>
    <w:rsid w:val="00393E71"/>
    <w:rsid w:val="00393EC8"/>
    <w:rsid w:val="00395E42"/>
    <w:rsid w:val="00396409"/>
    <w:rsid w:val="00396A2D"/>
    <w:rsid w:val="00396FC3"/>
    <w:rsid w:val="003A1431"/>
    <w:rsid w:val="003A1A94"/>
    <w:rsid w:val="003A204E"/>
    <w:rsid w:val="003A2D25"/>
    <w:rsid w:val="003A5101"/>
    <w:rsid w:val="003A5728"/>
    <w:rsid w:val="003A60E7"/>
    <w:rsid w:val="003A7092"/>
    <w:rsid w:val="003A72A1"/>
    <w:rsid w:val="003A7611"/>
    <w:rsid w:val="003A7D1F"/>
    <w:rsid w:val="003B0B6A"/>
    <w:rsid w:val="003B12DA"/>
    <w:rsid w:val="003B2258"/>
    <w:rsid w:val="003B22F7"/>
    <w:rsid w:val="003B29CF"/>
    <w:rsid w:val="003B3A90"/>
    <w:rsid w:val="003B3D01"/>
    <w:rsid w:val="003B534F"/>
    <w:rsid w:val="003B5C0B"/>
    <w:rsid w:val="003B6B4B"/>
    <w:rsid w:val="003B7A79"/>
    <w:rsid w:val="003C0FE1"/>
    <w:rsid w:val="003C151A"/>
    <w:rsid w:val="003C350C"/>
    <w:rsid w:val="003C3733"/>
    <w:rsid w:val="003C3903"/>
    <w:rsid w:val="003C3BA0"/>
    <w:rsid w:val="003C4580"/>
    <w:rsid w:val="003C5C5E"/>
    <w:rsid w:val="003C5C81"/>
    <w:rsid w:val="003C6746"/>
    <w:rsid w:val="003C7555"/>
    <w:rsid w:val="003C7898"/>
    <w:rsid w:val="003D0E27"/>
    <w:rsid w:val="003D0FF5"/>
    <w:rsid w:val="003D11A3"/>
    <w:rsid w:val="003D1537"/>
    <w:rsid w:val="003D183C"/>
    <w:rsid w:val="003D207F"/>
    <w:rsid w:val="003D2D1B"/>
    <w:rsid w:val="003D3809"/>
    <w:rsid w:val="003D48C7"/>
    <w:rsid w:val="003D4C27"/>
    <w:rsid w:val="003D5CBF"/>
    <w:rsid w:val="003D6880"/>
    <w:rsid w:val="003D6D37"/>
    <w:rsid w:val="003D7109"/>
    <w:rsid w:val="003D7CE8"/>
    <w:rsid w:val="003E0514"/>
    <w:rsid w:val="003E1032"/>
    <w:rsid w:val="003E14BE"/>
    <w:rsid w:val="003E164F"/>
    <w:rsid w:val="003E1904"/>
    <w:rsid w:val="003E285E"/>
    <w:rsid w:val="003E3124"/>
    <w:rsid w:val="003E3300"/>
    <w:rsid w:val="003E43D3"/>
    <w:rsid w:val="003E48E1"/>
    <w:rsid w:val="003E50F4"/>
    <w:rsid w:val="003E59BB"/>
    <w:rsid w:val="003E5E97"/>
    <w:rsid w:val="003E6225"/>
    <w:rsid w:val="003E65AC"/>
    <w:rsid w:val="003E66AE"/>
    <w:rsid w:val="003E72B9"/>
    <w:rsid w:val="003E7612"/>
    <w:rsid w:val="003E7C3F"/>
    <w:rsid w:val="003E7ED4"/>
    <w:rsid w:val="003F0E52"/>
    <w:rsid w:val="003F0F6B"/>
    <w:rsid w:val="003F1FC6"/>
    <w:rsid w:val="003F1FE3"/>
    <w:rsid w:val="003F2359"/>
    <w:rsid w:val="003F3232"/>
    <w:rsid w:val="003F3865"/>
    <w:rsid w:val="003F38AC"/>
    <w:rsid w:val="003F3D55"/>
    <w:rsid w:val="003F44E2"/>
    <w:rsid w:val="003F4632"/>
    <w:rsid w:val="003F47BA"/>
    <w:rsid w:val="003F4937"/>
    <w:rsid w:val="003F4FE6"/>
    <w:rsid w:val="003F52B3"/>
    <w:rsid w:val="003F5638"/>
    <w:rsid w:val="003F6617"/>
    <w:rsid w:val="00402332"/>
    <w:rsid w:val="004025C2"/>
    <w:rsid w:val="00403195"/>
    <w:rsid w:val="004033A9"/>
    <w:rsid w:val="00403C06"/>
    <w:rsid w:val="00403E55"/>
    <w:rsid w:val="0040407C"/>
    <w:rsid w:val="0040416C"/>
    <w:rsid w:val="004041CA"/>
    <w:rsid w:val="00404681"/>
    <w:rsid w:val="00405445"/>
    <w:rsid w:val="00405AC1"/>
    <w:rsid w:val="00406923"/>
    <w:rsid w:val="0040763D"/>
    <w:rsid w:val="00410AF5"/>
    <w:rsid w:val="00410D17"/>
    <w:rsid w:val="00412AA9"/>
    <w:rsid w:val="00413373"/>
    <w:rsid w:val="00413442"/>
    <w:rsid w:val="00413821"/>
    <w:rsid w:val="00413BA5"/>
    <w:rsid w:val="004141A3"/>
    <w:rsid w:val="00414909"/>
    <w:rsid w:val="00414F9F"/>
    <w:rsid w:val="0041582F"/>
    <w:rsid w:val="00416112"/>
    <w:rsid w:val="004163EF"/>
    <w:rsid w:val="00417A18"/>
    <w:rsid w:val="00417AE0"/>
    <w:rsid w:val="00417BAA"/>
    <w:rsid w:val="00417CF1"/>
    <w:rsid w:val="004200A8"/>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4006B"/>
    <w:rsid w:val="0044010C"/>
    <w:rsid w:val="0044033F"/>
    <w:rsid w:val="00440630"/>
    <w:rsid w:val="00441F0F"/>
    <w:rsid w:val="00442965"/>
    <w:rsid w:val="004432B6"/>
    <w:rsid w:val="00444157"/>
    <w:rsid w:val="0044417C"/>
    <w:rsid w:val="00444DB3"/>
    <w:rsid w:val="00445617"/>
    <w:rsid w:val="00445859"/>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0DD"/>
    <w:rsid w:val="0046483B"/>
    <w:rsid w:val="00464AB7"/>
    <w:rsid w:val="004655CA"/>
    <w:rsid w:val="00465998"/>
    <w:rsid w:val="00465DE5"/>
    <w:rsid w:val="00467EF8"/>
    <w:rsid w:val="00471671"/>
    <w:rsid w:val="00471AC3"/>
    <w:rsid w:val="00472429"/>
    <w:rsid w:val="004725E5"/>
    <w:rsid w:val="00472751"/>
    <w:rsid w:val="00472F22"/>
    <w:rsid w:val="00473128"/>
    <w:rsid w:val="004731DC"/>
    <w:rsid w:val="00475078"/>
    <w:rsid w:val="00475767"/>
    <w:rsid w:val="00476925"/>
    <w:rsid w:val="004779A0"/>
    <w:rsid w:val="00480623"/>
    <w:rsid w:val="004808E3"/>
    <w:rsid w:val="00480C08"/>
    <w:rsid w:val="00481016"/>
    <w:rsid w:val="00481069"/>
    <w:rsid w:val="0048204C"/>
    <w:rsid w:val="004821BB"/>
    <w:rsid w:val="0048237A"/>
    <w:rsid w:val="004826FE"/>
    <w:rsid w:val="004827D5"/>
    <w:rsid w:val="00482AF2"/>
    <w:rsid w:val="004830C9"/>
    <w:rsid w:val="00483347"/>
    <w:rsid w:val="00483E2E"/>
    <w:rsid w:val="00484B69"/>
    <w:rsid w:val="00485406"/>
    <w:rsid w:val="00485650"/>
    <w:rsid w:val="0048590F"/>
    <w:rsid w:val="00486D60"/>
    <w:rsid w:val="00491FA1"/>
    <w:rsid w:val="00492A25"/>
    <w:rsid w:val="004938A3"/>
    <w:rsid w:val="0049558B"/>
    <w:rsid w:val="00496350"/>
    <w:rsid w:val="0049797C"/>
    <w:rsid w:val="004A1405"/>
    <w:rsid w:val="004A15BD"/>
    <w:rsid w:val="004A1E28"/>
    <w:rsid w:val="004A1FC6"/>
    <w:rsid w:val="004A2E5F"/>
    <w:rsid w:val="004A3837"/>
    <w:rsid w:val="004A38C2"/>
    <w:rsid w:val="004A3C03"/>
    <w:rsid w:val="004A3DB7"/>
    <w:rsid w:val="004A463B"/>
    <w:rsid w:val="004A5088"/>
    <w:rsid w:val="004A5255"/>
    <w:rsid w:val="004A5B62"/>
    <w:rsid w:val="004A6551"/>
    <w:rsid w:val="004A6B28"/>
    <w:rsid w:val="004A6CB0"/>
    <w:rsid w:val="004A70FF"/>
    <w:rsid w:val="004A7BAD"/>
    <w:rsid w:val="004A7EDE"/>
    <w:rsid w:val="004B0D93"/>
    <w:rsid w:val="004B1FA4"/>
    <w:rsid w:val="004B29AC"/>
    <w:rsid w:val="004B2F17"/>
    <w:rsid w:val="004B35DF"/>
    <w:rsid w:val="004B3627"/>
    <w:rsid w:val="004B4922"/>
    <w:rsid w:val="004B57DF"/>
    <w:rsid w:val="004B5976"/>
    <w:rsid w:val="004B6E9F"/>
    <w:rsid w:val="004B722E"/>
    <w:rsid w:val="004B72E8"/>
    <w:rsid w:val="004C01A5"/>
    <w:rsid w:val="004C0412"/>
    <w:rsid w:val="004C2138"/>
    <w:rsid w:val="004C3940"/>
    <w:rsid w:val="004C401E"/>
    <w:rsid w:val="004C4A7B"/>
    <w:rsid w:val="004C51FD"/>
    <w:rsid w:val="004C581E"/>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40F8"/>
    <w:rsid w:val="004E4178"/>
    <w:rsid w:val="004E5866"/>
    <w:rsid w:val="004E6097"/>
    <w:rsid w:val="004E61EF"/>
    <w:rsid w:val="004E63C6"/>
    <w:rsid w:val="004E76A7"/>
    <w:rsid w:val="004E7B03"/>
    <w:rsid w:val="004F0064"/>
    <w:rsid w:val="004F06AC"/>
    <w:rsid w:val="004F0E50"/>
    <w:rsid w:val="004F1233"/>
    <w:rsid w:val="004F165E"/>
    <w:rsid w:val="004F1AB3"/>
    <w:rsid w:val="004F1D2A"/>
    <w:rsid w:val="004F243F"/>
    <w:rsid w:val="004F252C"/>
    <w:rsid w:val="004F36A3"/>
    <w:rsid w:val="004F3E0C"/>
    <w:rsid w:val="004F4308"/>
    <w:rsid w:val="004F62F7"/>
    <w:rsid w:val="004F6996"/>
    <w:rsid w:val="004F7160"/>
    <w:rsid w:val="00500258"/>
    <w:rsid w:val="00500B2D"/>
    <w:rsid w:val="005011AE"/>
    <w:rsid w:val="00501A99"/>
    <w:rsid w:val="00503180"/>
    <w:rsid w:val="005038A4"/>
    <w:rsid w:val="00504CD4"/>
    <w:rsid w:val="00504E1B"/>
    <w:rsid w:val="0050524B"/>
    <w:rsid w:val="00505450"/>
    <w:rsid w:val="00505FC6"/>
    <w:rsid w:val="00507B99"/>
    <w:rsid w:val="005100B7"/>
    <w:rsid w:val="005105DE"/>
    <w:rsid w:val="00510CB3"/>
    <w:rsid w:val="005113C9"/>
    <w:rsid w:val="00512050"/>
    <w:rsid w:val="00512055"/>
    <w:rsid w:val="0051280C"/>
    <w:rsid w:val="00512842"/>
    <w:rsid w:val="005128BE"/>
    <w:rsid w:val="0051356F"/>
    <w:rsid w:val="00513E7C"/>
    <w:rsid w:val="005140BB"/>
    <w:rsid w:val="00514FBE"/>
    <w:rsid w:val="00514FD9"/>
    <w:rsid w:val="0051550A"/>
    <w:rsid w:val="005157B8"/>
    <w:rsid w:val="0051608F"/>
    <w:rsid w:val="00516480"/>
    <w:rsid w:val="005175FB"/>
    <w:rsid w:val="005179FD"/>
    <w:rsid w:val="00517CE9"/>
    <w:rsid w:val="00520EF8"/>
    <w:rsid w:val="005210F7"/>
    <w:rsid w:val="005213FE"/>
    <w:rsid w:val="00521753"/>
    <w:rsid w:val="0052239D"/>
    <w:rsid w:val="005224EE"/>
    <w:rsid w:val="00522879"/>
    <w:rsid w:val="0052395D"/>
    <w:rsid w:val="00523B63"/>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79B"/>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0F4F"/>
    <w:rsid w:val="005522F2"/>
    <w:rsid w:val="005531DF"/>
    <w:rsid w:val="00553874"/>
    <w:rsid w:val="00553DCE"/>
    <w:rsid w:val="00554577"/>
    <w:rsid w:val="00554AD8"/>
    <w:rsid w:val="00554F78"/>
    <w:rsid w:val="00555661"/>
    <w:rsid w:val="00555DA1"/>
    <w:rsid w:val="00556BF7"/>
    <w:rsid w:val="00556E53"/>
    <w:rsid w:val="005571E2"/>
    <w:rsid w:val="00557F60"/>
    <w:rsid w:val="00561730"/>
    <w:rsid w:val="00561B97"/>
    <w:rsid w:val="00562149"/>
    <w:rsid w:val="0056407A"/>
    <w:rsid w:val="005640EB"/>
    <w:rsid w:val="005643AA"/>
    <w:rsid w:val="005666A4"/>
    <w:rsid w:val="00567B5D"/>
    <w:rsid w:val="00570757"/>
    <w:rsid w:val="00573520"/>
    <w:rsid w:val="00573733"/>
    <w:rsid w:val="00573F8B"/>
    <w:rsid w:val="00574554"/>
    <w:rsid w:val="00574E06"/>
    <w:rsid w:val="005751BB"/>
    <w:rsid w:val="00576089"/>
    <w:rsid w:val="005764B1"/>
    <w:rsid w:val="00576852"/>
    <w:rsid w:val="00576D06"/>
    <w:rsid w:val="005779E4"/>
    <w:rsid w:val="00580EC7"/>
    <w:rsid w:val="0058289C"/>
    <w:rsid w:val="005836C7"/>
    <w:rsid w:val="00583C96"/>
    <w:rsid w:val="0058408E"/>
    <w:rsid w:val="005844C3"/>
    <w:rsid w:val="00585374"/>
    <w:rsid w:val="005854CA"/>
    <w:rsid w:val="00585FAB"/>
    <w:rsid w:val="00586C48"/>
    <w:rsid w:val="00590B77"/>
    <w:rsid w:val="00590D9A"/>
    <w:rsid w:val="005913A3"/>
    <w:rsid w:val="00591A5A"/>
    <w:rsid w:val="005920CF"/>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3F43"/>
    <w:rsid w:val="005A46EC"/>
    <w:rsid w:val="005A5EAE"/>
    <w:rsid w:val="005A6273"/>
    <w:rsid w:val="005A6407"/>
    <w:rsid w:val="005A726C"/>
    <w:rsid w:val="005B02A7"/>
    <w:rsid w:val="005B07EC"/>
    <w:rsid w:val="005B0E5A"/>
    <w:rsid w:val="005B131A"/>
    <w:rsid w:val="005B183B"/>
    <w:rsid w:val="005B2B11"/>
    <w:rsid w:val="005B32A4"/>
    <w:rsid w:val="005B3371"/>
    <w:rsid w:val="005B338D"/>
    <w:rsid w:val="005B33A1"/>
    <w:rsid w:val="005B3852"/>
    <w:rsid w:val="005B3BAF"/>
    <w:rsid w:val="005B4DA3"/>
    <w:rsid w:val="005B5BEE"/>
    <w:rsid w:val="005B6C7B"/>
    <w:rsid w:val="005B77D2"/>
    <w:rsid w:val="005C0195"/>
    <w:rsid w:val="005C019B"/>
    <w:rsid w:val="005C08D0"/>
    <w:rsid w:val="005C1AED"/>
    <w:rsid w:val="005C1C32"/>
    <w:rsid w:val="005C2136"/>
    <w:rsid w:val="005C30F5"/>
    <w:rsid w:val="005C3840"/>
    <w:rsid w:val="005C3DCB"/>
    <w:rsid w:val="005C51A5"/>
    <w:rsid w:val="005C557A"/>
    <w:rsid w:val="005C566F"/>
    <w:rsid w:val="005C5C47"/>
    <w:rsid w:val="005C61DD"/>
    <w:rsid w:val="005C6438"/>
    <w:rsid w:val="005C6B8B"/>
    <w:rsid w:val="005C727F"/>
    <w:rsid w:val="005C7DAD"/>
    <w:rsid w:val="005D02E3"/>
    <w:rsid w:val="005D1F34"/>
    <w:rsid w:val="005D2C1F"/>
    <w:rsid w:val="005D317B"/>
    <w:rsid w:val="005D34B2"/>
    <w:rsid w:val="005D3B54"/>
    <w:rsid w:val="005D40CD"/>
    <w:rsid w:val="005D6B59"/>
    <w:rsid w:val="005D784B"/>
    <w:rsid w:val="005D78F4"/>
    <w:rsid w:val="005E03E4"/>
    <w:rsid w:val="005E0454"/>
    <w:rsid w:val="005E05F6"/>
    <w:rsid w:val="005E1B9D"/>
    <w:rsid w:val="005E1BDA"/>
    <w:rsid w:val="005E2375"/>
    <w:rsid w:val="005E2442"/>
    <w:rsid w:val="005E2897"/>
    <w:rsid w:val="005E3111"/>
    <w:rsid w:val="005E3CA0"/>
    <w:rsid w:val="005E3F85"/>
    <w:rsid w:val="005E4A5F"/>
    <w:rsid w:val="005E516A"/>
    <w:rsid w:val="005E57B0"/>
    <w:rsid w:val="005E5B01"/>
    <w:rsid w:val="005E6D3B"/>
    <w:rsid w:val="005F009E"/>
    <w:rsid w:val="005F0418"/>
    <w:rsid w:val="005F0DF1"/>
    <w:rsid w:val="005F1516"/>
    <w:rsid w:val="005F1A6F"/>
    <w:rsid w:val="005F229E"/>
    <w:rsid w:val="005F2564"/>
    <w:rsid w:val="005F3822"/>
    <w:rsid w:val="005F38AF"/>
    <w:rsid w:val="005F4635"/>
    <w:rsid w:val="005F4900"/>
    <w:rsid w:val="005F4E52"/>
    <w:rsid w:val="005F60E3"/>
    <w:rsid w:val="005F6638"/>
    <w:rsid w:val="005F6D58"/>
    <w:rsid w:val="005F7383"/>
    <w:rsid w:val="005F7F36"/>
    <w:rsid w:val="0060058E"/>
    <w:rsid w:val="00602A3C"/>
    <w:rsid w:val="00603EFD"/>
    <w:rsid w:val="0060475B"/>
    <w:rsid w:val="00604BED"/>
    <w:rsid w:val="00604FB6"/>
    <w:rsid w:val="00605387"/>
    <w:rsid w:val="00606302"/>
    <w:rsid w:val="006076FD"/>
    <w:rsid w:val="00607779"/>
    <w:rsid w:val="00610587"/>
    <w:rsid w:val="00610811"/>
    <w:rsid w:val="00610CE8"/>
    <w:rsid w:val="0061143F"/>
    <w:rsid w:val="006114D8"/>
    <w:rsid w:val="00613553"/>
    <w:rsid w:val="00613601"/>
    <w:rsid w:val="00613791"/>
    <w:rsid w:val="00613C8B"/>
    <w:rsid w:val="00614110"/>
    <w:rsid w:val="006150D6"/>
    <w:rsid w:val="00615245"/>
    <w:rsid w:val="0061590D"/>
    <w:rsid w:val="00617EEE"/>
    <w:rsid w:val="00620A1F"/>
    <w:rsid w:val="0062169D"/>
    <w:rsid w:val="0062181E"/>
    <w:rsid w:val="0062211B"/>
    <w:rsid w:val="00622BB7"/>
    <w:rsid w:val="00622C1E"/>
    <w:rsid w:val="00623389"/>
    <w:rsid w:val="00623D7B"/>
    <w:rsid w:val="00623DAA"/>
    <w:rsid w:val="00623FAF"/>
    <w:rsid w:val="006244AB"/>
    <w:rsid w:val="006265C4"/>
    <w:rsid w:val="0062678A"/>
    <w:rsid w:val="006270AF"/>
    <w:rsid w:val="00634367"/>
    <w:rsid w:val="006360E2"/>
    <w:rsid w:val="00636CE3"/>
    <w:rsid w:val="00640082"/>
    <w:rsid w:val="00640291"/>
    <w:rsid w:val="00640D0E"/>
    <w:rsid w:val="00640EFE"/>
    <w:rsid w:val="00641D6D"/>
    <w:rsid w:val="00641FAC"/>
    <w:rsid w:val="00643607"/>
    <w:rsid w:val="00643664"/>
    <w:rsid w:val="00643CAA"/>
    <w:rsid w:val="00644F16"/>
    <w:rsid w:val="006455EB"/>
    <w:rsid w:val="006456C2"/>
    <w:rsid w:val="00645A65"/>
    <w:rsid w:val="00646959"/>
    <w:rsid w:val="006477F0"/>
    <w:rsid w:val="006478E4"/>
    <w:rsid w:val="0065171A"/>
    <w:rsid w:val="00652680"/>
    <w:rsid w:val="00653288"/>
    <w:rsid w:val="00653CDE"/>
    <w:rsid w:val="00654585"/>
    <w:rsid w:val="006552A0"/>
    <w:rsid w:val="0065566E"/>
    <w:rsid w:val="00655AB6"/>
    <w:rsid w:val="00655EFA"/>
    <w:rsid w:val="00656061"/>
    <w:rsid w:val="00656281"/>
    <w:rsid w:val="0065636A"/>
    <w:rsid w:val="00657003"/>
    <w:rsid w:val="006570AE"/>
    <w:rsid w:val="00657477"/>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77F7D"/>
    <w:rsid w:val="0068051E"/>
    <w:rsid w:val="00680B9D"/>
    <w:rsid w:val="00681F13"/>
    <w:rsid w:val="0068200A"/>
    <w:rsid w:val="0068231C"/>
    <w:rsid w:val="00682344"/>
    <w:rsid w:val="00682A52"/>
    <w:rsid w:val="00682F28"/>
    <w:rsid w:val="00683515"/>
    <w:rsid w:val="00684079"/>
    <w:rsid w:val="00684842"/>
    <w:rsid w:val="006859AA"/>
    <w:rsid w:val="00685BD6"/>
    <w:rsid w:val="00687116"/>
    <w:rsid w:val="006878A6"/>
    <w:rsid w:val="00687D5F"/>
    <w:rsid w:val="00690437"/>
    <w:rsid w:val="00690DC3"/>
    <w:rsid w:val="00690E65"/>
    <w:rsid w:val="006911B7"/>
    <w:rsid w:val="00691387"/>
    <w:rsid w:val="00691635"/>
    <w:rsid w:val="0069188E"/>
    <w:rsid w:val="00691974"/>
    <w:rsid w:val="00692BAB"/>
    <w:rsid w:val="00692BF6"/>
    <w:rsid w:val="00692CE6"/>
    <w:rsid w:val="00693186"/>
    <w:rsid w:val="00693381"/>
    <w:rsid w:val="00693B6C"/>
    <w:rsid w:val="006942AE"/>
    <w:rsid w:val="00695421"/>
    <w:rsid w:val="00696395"/>
    <w:rsid w:val="00697BD3"/>
    <w:rsid w:val="00697DFA"/>
    <w:rsid w:val="006A16D5"/>
    <w:rsid w:val="006A1772"/>
    <w:rsid w:val="006A1780"/>
    <w:rsid w:val="006A21DD"/>
    <w:rsid w:val="006A26C6"/>
    <w:rsid w:val="006A3302"/>
    <w:rsid w:val="006A3B28"/>
    <w:rsid w:val="006A4FEE"/>
    <w:rsid w:val="006A5549"/>
    <w:rsid w:val="006A703E"/>
    <w:rsid w:val="006A7BE3"/>
    <w:rsid w:val="006A7D32"/>
    <w:rsid w:val="006B01D1"/>
    <w:rsid w:val="006B0C28"/>
    <w:rsid w:val="006B0DF4"/>
    <w:rsid w:val="006B16EA"/>
    <w:rsid w:val="006B1780"/>
    <w:rsid w:val="006B21DC"/>
    <w:rsid w:val="006B224E"/>
    <w:rsid w:val="006B376E"/>
    <w:rsid w:val="006B4589"/>
    <w:rsid w:val="006B5157"/>
    <w:rsid w:val="006B610E"/>
    <w:rsid w:val="006B6805"/>
    <w:rsid w:val="006B6C07"/>
    <w:rsid w:val="006B6DE0"/>
    <w:rsid w:val="006B7703"/>
    <w:rsid w:val="006B7B07"/>
    <w:rsid w:val="006B7E1F"/>
    <w:rsid w:val="006C16C3"/>
    <w:rsid w:val="006C1938"/>
    <w:rsid w:val="006C2187"/>
    <w:rsid w:val="006C2623"/>
    <w:rsid w:val="006C27D9"/>
    <w:rsid w:val="006C32F4"/>
    <w:rsid w:val="006C3C54"/>
    <w:rsid w:val="006C4B6B"/>
    <w:rsid w:val="006C4CE1"/>
    <w:rsid w:val="006C4F9F"/>
    <w:rsid w:val="006C71A2"/>
    <w:rsid w:val="006C73EC"/>
    <w:rsid w:val="006D0C1D"/>
    <w:rsid w:val="006D28F3"/>
    <w:rsid w:val="006D2E9D"/>
    <w:rsid w:val="006D4A4E"/>
    <w:rsid w:val="006D4C42"/>
    <w:rsid w:val="006D5389"/>
    <w:rsid w:val="006D53A2"/>
    <w:rsid w:val="006D5809"/>
    <w:rsid w:val="006D5941"/>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4AB9"/>
    <w:rsid w:val="006E58BF"/>
    <w:rsid w:val="006E5DD8"/>
    <w:rsid w:val="006E5EA1"/>
    <w:rsid w:val="006E6DEE"/>
    <w:rsid w:val="006E7A5A"/>
    <w:rsid w:val="006E7D4B"/>
    <w:rsid w:val="006F018A"/>
    <w:rsid w:val="006F0760"/>
    <w:rsid w:val="006F11E2"/>
    <w:rsid w:val="006F2574"/>
    <w:rsid w:val="006F3231"/>
    <w:rsid w:val="006F3DE3"/>
    <w:rsid w:val="006F4787"/>
    <w:rsid w:val="006F61D8"/>
    <w:rsid w:val="006F62B7"/>
    <w:rsid w:val="006F70BC"/>
    <w:rsid w:val="006F726C"/>
    <w:rsid w:val="006F7E7C"/>
    <w:rsid w:val="007016E7"/>
    <w:rsid w:val="0070174E"/>
    <w:rsid w:val="007018DB"/>
    <w:rsid w:val="00701B59"/>
    <w:rsid w:val="00701DE6"/>
    <w:rsid w:val="00702740"/>
    <w:rsid w:val="0070381B"/>
    <w:rsid w:val="00703985"/>
    <w:rsid w:val="007060C1"/>
    <w:rsid w:val="0070796C"/>
    <w:rsid w:val="007109BB"/>
    <w:rsid w:val="00710E59"/>
    <w:rsid w:val="00710EBF"/>
    <w:rsid w:val="007110B8"/>
    <w:rsid w:val="0071209F"/>
    <w:rsid w:val="007125A2"/>
    <w:rsid w:val="00713DD9"/>
    <w:rsid w:val="00713F79"/>
    <w:rsid w:val="007148A8"/>
    <w:rsid w:val="00716A66"/>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AE"/>
    <w:rsid w:val="00733DE2"/>
    <w:rsid w:val="00734142"/>
    <w:rsid w:val="007352EA"/>
    <w:rsid w:val="0073792F"/>
    <w:rsid w:val="00740C81"/>
    <w:rsid w:val="00740DA6"/>
    <w:rsid w:val="00741B4B"/>
    <w:rsid w:val="00741D1E"/>
    <w:rsid w:val="00741DD6"/>
    <w:rsid w:val="00741EE2"/>
    <w:rsid w:val="00741F3D"/>
    <w:rsid w:val="0074207F"/>
    <w:rsid w:val="00742367"/>
    <w:rsid w:val="00742EAA"/>
    <w:rsid w:val="00743360"/>
    <w:rsid w:val="00743818"/>
    <w:rsid w:val="00743857"/>
    <w:rsid w:val="007441FB"/>
    <w:rsid w:val="00744517"/>
    <w:rsid w:val="0074522A"/>
    <w:rsid w:val="00745A5F"/>
    <w:rsid w:val="00747295"/>
    <w:rsid w:val="00747829"/>
    <w:rsid w:val="0074789C"/>
    <w:rsid w:val="00747DE2"/>
    <w:rsid w:val="007502D0"/>
    <w:rsid w:val="007504BF"/>
    <w:rsid w:val="007506CD"/>
    <w:rsid w:val="0075267F"/>
    <w:rsid w:val="007526EC"/>
    <w:rsid w:val="00753C48"/>
    <w:rsid w:val="00754250"/>
    <w:rsid w:val="007549A2"/>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3DA"/>
    <w:rsid w:val="00767BFD"/>
    <w:rsid w:val="00767EA0"/>
    <w:rsid w:val="0077068F"/>
    <w:rsid w:val="007706E5"/>
    <w:rsid w:val="00771749"/>
    <w:rsid w:val="00771EDF"/>
    <w:rsid w:val="00772A90"/>
    <w:rsid w:val="00772F8D"/>
    <w:rsid w:val="0077408D"/>
    <w:rsid w:val="00774270"/>
    <w:rsid w:val="007743F6"/>
    <w:rsid w:val="00774733"/>
    <w:rsid w:val="00775679"/>
    <w:rsid w:val="0077574F"/>
    <w:rsid w:val="00775823"/>
    <w:rsid w:val="00777153"/>
    <w:rsid w:val="007777CC"/>
    <w:rsid w:val="00777B32"/>
    <w:rsid w:val="0078051E"/>
    <w:rsid w:val="00781089"/>
    <w:rsid w:val="007838F3"/>
    <w:rsid w:val="007856FE"/>
    <w:rsid w:val="00785F46"/>
    <w:rsid w:val="007865F4"/>
    <w:rsid w:val="00786D5C"/>
    <w:rsid w:val="00786E96"/>
    <w:rsid w:val="00787BB6"/>
    <w:rsid w:val="00787DFF"/>
    <w:rsid w:val="00787F93"/>
    <w:rsid w:val="00791E6D"/>
    <w:rsid w:val="00791EB5"/>
    <w:rsid w:val="0079343F"/>
    <w:rsid w:val="00793696"/>
    <w:rsid w:val="00794D9D"/>
    <w:rsid w:val="007955DA"/>
    <w:rsid w:val="00795E4C"/>
    <w:rsid w:val="00796366"/>
    <w:rsid w:val="00796F65"/>
    <w:rsid w:val="007A0A32"/>
    <w:rsid w:val="007A11C2"/>
    <w:rsid w:val="007A18BB"/>
    <w:rsid w:val="007A27DD"/>
    <w:rsid w:val="007A303D"/>
    <w:rsid w:val="007A41BF"/>
    <w:rsid w:val="007A490A"/>
    <w:rsid w:val="007A7B95"/>
    <w:rsid w:val="007A7C8C"/>
    <w:rsid w:val="007B0297"/>
    <w:rsid w:val="007B02FA"/>
    <w:rsid w:val="007B0F53"/>
    <w:rsid w:val="007B21AE"/>
    <w:rsid w:val="007B2570"/>
    <w:rsid w:val="007B3113"/>
    <w:rsid w:val="007B3304"/>
    <w:rsid w:val="007B3639"/>
    <w:rsid w:val="007B3B5E"/>
    <w:rsid w:val="007B3BF0"/>
    <w:rsid w:val="007B6925"/>
    <w:rsid w:val="007B7490"/>
    <w:rsid w:val="007C0525"/>
    <w:rsid w:val="007C13F7"/>
    <w:rsid w:val="007C1D77"/>
    <w:rsid w:val="007C218D"/>
    <w:rsid w:val="007C2D28"/>
    <w:rsid w:val="007C3E22"/>
    <w:rsid w:val="007C58C1"/>
    <w:rsid w:val="007C6218"/>
    <w:rsid w:val="007C6484"/>
    <w:rsid w:val="007C67C6"/>
    <w:rsid w:val="007C78BE"/>
    <w:rsid w:val="007C7A5D"/>
    <w:rsid w:val="007C7E59"/>
    <w:rsid w:val="007D0476"/>
    <w:rsid w:val="007D0B91"/>
    <w:rsid w:val="007D0F54"/>
    <w:rsid w:val="007D0FE7"/>
    <w:rsid w:val="007D1452"/>
    <w:rsid w:val="007D1563"/>
    <w:rsid w:val="007D1ECB"/>
    <w:rsid w:val="007D3DCB"/>
    <w:rsid w:val="007D460C"/>
    <w:rsid w:val="007D4996"/>
    <w:rsid w:val="007D4AD3"/>
    <w:rsid w:val="007D5D19"/>
    <w:rsid w:val="007D5FDC"/>
    <w:rsid w:val="007D6176"/>
    <w:rsid w:val="007D69CD"/>
    <w:rsid w:val="007D6D68"/>
    <w:rsid w:val="007D7F70"/>
    <w:rsid w:val="007E194F"/>
    <w:rsid w:val="007E32DA"/>
    <w:rsid w:val="007E4998"/>
    <w:rsid w:val="007E4A9C"/>
    <w:rsid w:val="007E6914"/>
    <w:rsid w:val="007E7E2E"/>
    <w:rsid w:val="007E7F78"/>
    <w:rsid w:val="007F0179"/>
    <w:rsid w:val="007F0BCD"/>
    <w:rsid w:val="007F1397"/>
    <w:rsid w:val="007F19EF"/>
    <w:rsid w:val="007F2C13"/>
    <w:rsid w:val="007F2CEC"/>
    <w:rsid w:val="007F2ED1"/>
    <w:rsid w:val="007F2EEE"/>
    <w:rsid w:val="007F3435"/>
    <w:rsid w:val="007F505D"/>
    <w:rsid w:val="007F531B"/>
    <w:rsid w:val="007F55DE"/>
    <w:rsid w:val="007F762D"/>
    <w:rsid w:val="007F78F0"/>
    <w:rsid w:val="007F78FF"/>
    <w:rsid w:val="008001C5"/>
    <w:rsid w:val="00800F6C"/>
    <w:rsid w:val="00801065"/>
    <w:rsid w:val="00801DB4"/>
    <w:rsid w:val="00802C0B"/>
    <w:rsid w:val="008034BA"/>
    <w:rsid w:val="00805040"/>
    <w:rsid w:val="008051FC"/>
    <w:rsid w:val="008055A9"/>
    <w:rsid w:val="008056C4"/>
    <w:rsid w:val="008057FD"/>
    <w:rsid w:val="00805D8B"/>
    <w:rsid w:val="0081010F"/>
    <w:rsid w:val="00810768"/>
    <w:rsid w:val="00810BB6"/>
    <w:rsid w:val="00810E8E"/>
    <w:rsid w:val="00812C44"/>
    <w:rsid w:val="008135E1"/>
    <w:rsid w:val="00813779"/>
    <w:rsid w:val="00813E26"/>
    <w:rsid w:val="0081481D"/>
    <w:rsid w:val="00814BE8"/>
    <w:rsid w:val="00814F6E"/>
    <w:rsid w:val="00815B84"/>
    <w:rsid w:val="00816342"/>
    <w:rsid w:val="008166F6"/>
    <w:rsid w:val="00816BE9"/>
    <w:rsid w:val="00817D10"/>
    <w:rsid w:val="008212CB"/>
    <w:rsid w:val="00822518"/>
    <w:rsid w:val="008226F5"/>
    <w:rsid w:val="00823FC6"/>
    <w:rsid w:val="00824306"/>
    <w:rsid w:val="00825A76"/>
    <w:rsid w:val="00825C74"/>
    <w:rsid w:val="00825CFA"/>
    <w:rsid w:val="00826AB9"/>
    <w:rsid w:val="00826E0E"/>
    <w:rsid w:val="00827451"/>
    <w:rsid w:val="00827D11"/>
    <w:rsid w:val="00827E0F"/>
    <w:rsid w:val="00827F6E"/>
    <w:rsid w:val="00830712"/>
    <w:rsid w:val="00831758"/>
    <w:rsid w:val="008317D9"/>
    <w:rsid w:val="00831AEC"/>
    <w:rsid w:val="0083241D"/>
    <w:rsid w:val="0083279F"/>
    <w:rsid w:val="00832CE9"/>
    <w:rsid w:val="0083307F"/>
    <w:rsid w:val="008334DB"/>
    <w:rsid w:val="00833B7F"/>
    <w:rsid w:val="00833E8E"/>
    <w:rsid w:val="00834906"/>
    <w:rsid w:val="00836075"/>
    <w:rsid w:val="00836417"/>
    <w:rsid w:val="008368C4"/>
    <w:rsid w:val="00837526"/>
    <w:rsid w:val="008407A7"/>
    <w:rsid w:val="0084322B"/>
    <w:rsid w:val="00843F81"/>
    <w:rsid w:val="00844087"/>
    <w:rsid w:val="008448F1"/>
    <w:rsid w:val="0084519E"/>
    <w:rsid w:val="00845CAE"/>
    <w:rsid w:val="0084617B"/>
    <w:rsid w:val="008462C5"/>
    <w:rsid w:val="008462FA"/>
    <w:rsid w:val="00846370"/>
    <w:rsid w:val="00846873"/>
    <w:rsid w:val="008477A5"/>
    <w:rsid w:val="008477E7"/>
    <w:rsid w:val="00847C2B"/>
    <w:rsid w:val="00850272"/>
    <w:rsid w:val="008506B9"/>
    <w:rsid w:val="0085086F"/>
    <w:rsid w:val="00851822"/>
    <w:rsid w:val="00851C16"/>
    <w:rsid w:val="008532BF"/>
    <w:rsid w:val="008539B2"/>
    <w:rsid w:val="00853BF4"/>
    <w:rsid w:val="00854294"/>
    <w:rsid w:val="00854295"/>
    <w:rsid w:val="0085572E"/>
    <w:rsid w:val="00855D45"/>
    <w:rsid w:val="0085788B"/>
    <w:rsid w:val="00857A9E"/>
    <w:rsid w:val="00857DE2"/>
    <w:rsid w:val="0086003D"/>
    <w:rsid w:val="00862779"/>
    <w:rsid w:val="00863A8E"/>
    <w:rsid w:val="0086407F"/>
    <w:rsid w:val="008645E3"/>
    <w:rsid w:val="00864E79"/>
    <w:rsid w:val="0086572B"/>
    <w:rsid w:val="00866615"/>
    <w:rsid w:val="0086661F"/>
    <w:rsid w:val="00866A0D"/>
    <w:rsid w:val="00866DB5"/>
    <w:rsid w:val="0086701D"/>
    <w:rsid w:val="0086702B"/>
    <w:rsid w:val="008672E2"/>
    <w:rsid w:val="0086784E"/>
    <w:rsid w:val="00870103"/>
    <w:rsid w:val="0087121C"/>
    <w:rsid w:val="00871E72"/>
    <w:rsid w:val="00871FD2"/>
    <w:rsid w:val="00872084"/>
    <w:rsid w:val="00872827"/>
    <w:rsid w:val="00872A32"/>
    <w:rsid w:val="00872D46"/>
    <w:rsid w:val="00874684"/>
    <w:rsid w:val="00874911"/>
    <w:rsid w:val="008754E4"/>
    <w:rsid w:val="00876EAE"/>
    <w:rsid w:val="00880106"/>
    <w:rsid w:val="008802A8"/>
    <w:rsid w:val="00880E13"/>
    <w:rsid w:val="00880F95"/>
    <w:rsid w:val="00881B3B"/>
    <w:rsid w:val="00882B44"/>
    <w:rsid w:val="008838AD"/>
    <w:rsid w:val="008841CE"/>
    <w:rsid w:val="00885BC9"/>
    <w:rsid w:val="008864B3"/>
    <w:rsid w:val="008865E5"/>
    <w:rsid w:val="008871B0"/>
    <w:rsid w:val="00890B57"/>
    <w:rsid w:val="00890DEC"/>
    <w:rsid w:val="008916BA"/>
    <w:rsid w:val="0089217C"/>
    <w:rsid w:val="00892790"/>
    <w:rsid w:val="00892F89"/>
    <w:rsid w:val="00893671"/>
    <w:rsid w:val="00895185"/>
    <w:rsid w:val="00895838"/>
    <w:rsid w:val="00895A1E"/>
    <w:rsid w:val="00895A72"/>
    <w:rsid w:val="00895CDF"/>
    <w:rsid w:val="00896679"/>
    <w:rsid w:val="00896D8C"/>
    <w:rsid w:val="008A0784"/>
    <w:rsid w:val="008A0FC9"/>
    <w:rsid w:val="008A1956"/>
    <w:rsid w:val="008A1A7C"/>
    <w:rsid w:val="008A2CE2"/>
    <w:rsid w:val="008A40D3"/>
    <w:rsid w:val="008A469C"/>
    <w:rsid w:val="008A486C"/>
    <w:rsid w:val="008A50FB"/>
    <w:rsid w:val="008A51D1"/>
    <w:rsid w:val="008A5DCE"/>
    <w:rsid w:val="008A75D3"/>
    <w:rsid w:val="008B05DD"/>
    <w:rsid w:val="008B07B8"/>
    <w:rsid w:val="008B17E8"/>
    <w:rsid w:val="008B18F0"/>
    <w:rsid w:val="008B2875"/>
    <w:rsid w:val="008B2C45"/>
    <w:rsid w:val="008B2E7C"/>
    <w:rsid w:val="008B399A"/>
    <w:rsid w:val="008B3E67"/>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341"/>
    <w:rsid w:val="008C653D"/>
    <w:rsid w:val="008C731F"/>
    <w:rsid w:val="008C7482"/>
    <w:rsid w:val="008C74D9"/>
    <w:rsid w:val="008D2050"/>
    <w:rsid w:val="008D3973"/>
    <w:rsid w:val="008D3B2D"/>
    <w:rsid w:val="008D4DAF"/>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6540"/>
    <w:rsid w:val="008E77D4"/>
    <w:rsid w:val="008E7ADD"/>
    <w:rsid w:val="008F091F"/>
    <w:rsid w:val="008F17B2"/>
    <w:rsid w:val="008F22B3"/>
    <w:rsid w:val="008F357A"/>
    <w:rsid w:val="008F357B"/>
    <w:rsid w:val="008F44CA"/>
    <w:rsid w:val="008F49D3"/>
    <w:rsid w:val="008F6411"/>
    <w:rsid w:val="008F6519"/>
    <w:rsid w:val="008F7012"/>
    <w:rsid w:val="008F7ADA"/>
    <w:rsid w:val="008F7B17"/>
    <w:rsid w:val="00900042"/>
    <w:rsid w:val="0090034B"/>
    <w:rsid w:val="0090061F"/>
    <w:rsid w:val="009007CA"/>
    <w:rsid w:val="0090087C"/>
    <w:rsid w:val="00901121"/>
    <w:rsid w:val="00902623"/>
    <w:rsid w:val="00902A67"/>
    <w:rsid w:val="00902C5E"/>
    <w:rsid w:val="00903521"/>
    <w:rsid w:val="00904BE4"/>
    <w:rsid w:val="0090504A"/>
    <w:rsid w:val="009051F5"/>
    <w:rsid w:val="00905221"/>
    <w:rsid w:val="00905664"/>
    <w:rsid w:val="00905A7C"/>
    <w:rsid w:val="00905D7E"/>
    <w:rsid w:val="009061C2"/>
    <w:rsid w:val="00907037"/>
    <w:rsid w:val="00907259"/>
    <w:rsid w:val="00910C5D"/>
    <w:rsid w:val="0091112C"/>
    <w:rsid w:val="0091160A"/>
    <w:rsid w:val="00912E04"/>
    <w:rsid w:val="00913258"/>
    <w:rsid w:val="009133A3"/>
    <w:rsid w:val="00913851"/>
    <w:rsid w:val="00913BB0"/>
    <w:rsid w:val="0091456C"/>
    <w:rsid w:val="00914C58"/>
    <w:rsid w:val="00914D78"/>
    <w:rsid w:val="00914EA5"/>
    <w:rsid w:val="0091564D"/>
    <w:rsid w:val="009156DA"/>
    <w:rsid w:val="00915774"/>
    <w:rsid w:val="009165E3"/>
    <w:rsid w:val="00916BC5"/>
    <w:rsid w:val="00916DC2"/>
    <w:rsid w:val="0091726A"/>
    <w:rsid w:val="00917C01"/>
    <w:rsid w:val="00920184"/>
    <w:rsid w:val="00920EA4"/>
    <w:rsid w:val="00921792"/>
    <w:rsid w:val="00921BEA"/>
    <w:rsid w:val="009227BE"/>
    <w:rsid w:val="009238FD"/>
    <w:rsid w:val="00923998"/>
    <w:rsid w:val="00923DB4"/>
    <w:rsid w:val="0092420B"/>
    <w:rsid w:val="0092430E"/>
    <w:rsid w:val="00925F4B"/>
    <w:rsid w:val="00926112"/>
    <w:rsid w:val="0092625F"/>
    <w:rsid w:val="00926B28"/>
    <w:rsid w:val="00926D9C"/>
    <w:rsid w:val="00927028"/>
    <w:rsid w:val="009275CB"/>
    <w:rsid w:val="00927763"/>
    <w:rsid w:val="0092798B"/>
    <w:rsid w:val="00927A2D"/>
    <w:rsid w:val="00927B37"/>
    <w:rsid w:val="009321B1"/>
    <w:rsid w:val="009327F0"/>
    <w:rsid w:val="00932ED7"/>
    <w:rsid w:val="0093422D"/>
    <w:rsid w:val="0093483B"/>
    <w:rsid w:val="00934CF9"/>
    <w:rsid w:val="00934DD7"/>
    <w:rsid w:val="00935CB2"/>
    <w:rsid w:val="009369A9"/>
    <w:rsid w:val="00936CF7"/>
    <w:rsid w:val="00937783"/>
    <w:rsid w:val="0093781B"/>
    <w:rsid w:val="00937EAD"/>
    <w:rsid w:val="00937F28"/>
    <w:rsid w:val="00940AA6"/>
    <w:rsid w:val="00940FE1"/>
    <w:rsid w:val="00941474"/>
    <w:rsid w:val="00942306"/>
    <w:rsid w:val="009424B8"/>
    <w:rsid w:val="009432E2"/>
    <w:rsid w:val="00944668"/>
    <w:rsid w:val="00944DC6"/>
    <w:rsid w:val="009458B0"/>
    <w:rsid w:val="00945B52"/>
    <w:rsid w:val="00945B7A"/>
    <w:rsid w:val="00945F05"/>
    <w:rsid w:val="00946348"/>
    <w:rsid w:val="0094639A"/>
    <w:rsid w:val="00947224"/>
    <w:rsid w:val="00947797"/>
    <w:rsid w:val="009478A2"/>
    <w:rsid w:val="00950746"/>
    <w:rsid w:val="00951ED3"/>
    <w:rsid w:val="009533BD"/>
    <w:rsid w:val="009536FB"/>
    <w:rsid w:val="00953808"/>
    <w:rsid w:val="0095399D"/>
    <w:rsid w:val="009539A6"/>
    <w:rsid w:val="00954032"/>
    <w:rsid w:val="00954537"/>
    <w:rsid w:val="0095472D"/>
    <w:rsid w:val="00954C5C"/>
    <w:rsid w:val="00955342"/>
    <w:rsid w:val="00955FBB"/>
    <w:rsid w:val="0095694B"/>
    <w:rsid w:val="00956BD5"/>
    <w:rsid w:val="00956D84"/>
    <w:rsid w:val="009577B5"/>
    <w:rsid w:val="0096018C"/>
    <w:rsid w:val="009608E6"/>
    <w:rsid w:val="00960F57"/>
    <w:rsid w:val="00961C90"/>
    <w:rsid w:val="00961F82"/>
    <w:rsid w:val="00965443"/>
    <w:rsid w:val="00965954"/>
    <w:rsid w:val="0096596F"/>
    <w:rsid w:val="00965A21"/>
    <w:rsid w:val="00965DD1"/>
    <w:rsid w:val="00965E55"/>
    <w:rsid w:val="0096608E"/>
    <w:rsid w:val="00966522"/>
    <w:rsid w:val="00966979"/>
    <w:rsid w:val="00966C33"/>
    <w:rsid w:val="00970F18"/>
    <w:rsid w:val="00971CF1"/>
    <w:rsid w:val="00971F5D"/>
    <w:rsid w:val="009721E9"/>
    <w:rsid w:val="00973772"/>
    <w:rsid w:val="009739CB"/>
    <w:rsid w:val="00974E9F"/>
    <w:rsid w:val="0097560A"/>
    <w:rsid w:val="00975E1E"/>
    <w:rsid w:val="00975E70"/>
    <w:rsid w:val="009761DE"/>
    <w:rsid w:val="009766FA"/>
    <w:rsid w:val="00977CD6"/>
    <w:rsid w:val="0098048B"/>
    <w:rsid w:val="00980908"/>
    <w:rsid w:val="00980DF9"/>
    <w:rsid w:val="00981CD8"/>
    <w:rsid w:val="0098243D"/>
    <w:rsid w:val="00982D26"/>
    <w:rsid w:val="00983B6E"/>
    <w:rsid w:val="00983B7B"/>
    <w:rsid w:val="00983FE5"/>
    <w:rsid w:val="009849E9"/>
    <w:rsid w:val="00984AFF"/>
    <w:rsid w:val="009850EA"/>
    <w:rsid w:val="009859E4"/>
    <w:rsid w:val="00985D7F"/>
    <w:rsid w:val="00986F6A"/>
    <w:rsid w:val="00987812"/>
    <w:rsid w:val="00990225"/>
    <w:rsid w:val="00991307"/>
    <w:rsid w:val="00991FAA"/>
    <w:rsid w:val="009928C4"/>
    <w:rsid w:val="00992A13"/>
    <w:rsid w:val="00994AAD"/>
    <w:rsid w:val="00995150"/>
    <w:rsid w:val="0099538C"/>
    <w:rsid w:val="00995D67"/>
    <w:rsid w:val="00996509"/>
    <w:rsid w:val="00997613"/>
    <w:rsid w:val="00997852"/>
    <w:rsid w:val="009A013B"/>
    <w:rsid w:val="009A02F4"/>
    <w:rsid w:val="009A06BF"/>
    <w:rsid w:val="009A0D17"/>
    <w:rsid w:val="009A2494"/>
    <w:rsid w:val="009A32B1"/>
    <w:rsid w:val="009A33A3"/>
    <w:rsid w:val="009A36F2"/>
    <w:rsid w:val="009A3E18"/>
    <w:rsid w:val="009A40C3"/>
    <w:rsid w:val="009A40D5"/>
    <w:rsid w:val="009A5268"/>
    <w:rsid w:val="009A57D0"/>
    <w:rsid w:val="009A5C36"/>
    <w:rsid w:val="009A6559"/>
    <w:rsid w:val="009A674C"/>
    <w:rsid w:val="009A68FC"/>
    <w:rsid w:val="009A6CE4"/>
    <w:rsid w:val="009A7514"/>
    <w:rsid w:val="009A7E7A"/>
    <w:rsid w:val="009B0925"/>
    <w:rsid w:val="009B1584"/>
    <w:rsid w:val="009B18F0"/>
    <w:rsid w:val="009B1F4C"/>
    <w:rsid w:val="009B2471"/>
    <w:rsid w:val="009B2C53"/>
    <w:rsid w:val="009B314F"/>
    <w:rsid w:val="009B439C"/>
    <w:rsid w:val="009B49A1"/>
    <w:rsid w:val="009B4A6C"/>
    <w:rsid w:val="009B4DA8"/>
    <w:rsid w:val="009B519A"/>
    <w:rsid w:val="009B620C"/>
    <w:rsid w:val="009B6753"/>
    <w:rsid w:val="009B676C"/>
    <w:rsid w:val="009B6A26"/>
    <w:rsid w:val="009C079D"/>
    <w:rsid w:val="009C0D70"/>
    <w:rsid w:val="009C13D1"/>
    <w:rsid w:val="009C2555"/>
    <w:rsid w:val="009C2913"/>
    <w:rsid w:val="009C2BD4"/>
    <w:rsid w:val="009C5AFE"/>
    <w:rsid w:val="009C6606"/>
    <w:rsid w:val="009C6CE5"/>
    <w:rsid w:val="009C6D50"/>
    <w:rsid w:val="009C7547"/>
    <w:rsid w:val="009D029D"/>
    <w:rsid w:val="009D05EC"/>
    <w:rsid w:val="009D06B5"/>
    <w:rsid w:val="009D17CA"/>
    <w:rsid w:val="009D18D4"/>
    <w:rsid w:val="009D1FCF"/>
    <w:rsid w:val="009D2F60"/>
    <w:rsid w:val="009D3A2E"/>
    <w:rsid w:val="009D5ADE"/>
    <w:rsid w:val="009D5BAC"/>
    <w:rsid w:val="009D5C56"/>
    <w:rsid w:val="009D6265"/>
    <w:rsid w:val="009D64BD"/>
    <w:rsid w:val="009D6CB1"/>
    <w:rsid w:val="009E0286"/>
    <w:rsid w:val="009E0D41"/>
    <w:rsid w:val="009E10BD"/>
    <w:rsid w:val="009E153F"/>
    <w:rsid w:val="009E18C5"/>
    <w:rsid w:val="009E322A"/>
    <w:rsid w:val="009E393E"/>
    <w:rsid w:val="009E3F36"/>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218"/>
    <w:rsid w:val="00A10CA8"/>
    <w:rsid w:val="00A11042"/>
    <w:rsid w:val="00A12579"/>
    <w:rsid w:val="00A12CDC"/>
    <w:rsid w:val="00A133D8"/>
    <w:rsid w:val="00A15655"/>
    <w:rsid w:val="00A15A40"/>
    <w:rsid w:val="00A160B0"/>
    <w:rsid w:val="00A16FDE"/>
    <w:rsid w:val="00A1740C"/>
    <w:rsid w:val="00A17904"/>
    <w:rsid w:val="00A20069"/>
    <w:rsid w:val="00A2244D"/>
    <w:rsid w:val="00A2253D"/>
    <w:rsid w:val="00A2267F"/>
    <w:rsid w:val="00A22CDB"/>
    <w:rsid w:val="00A232E9"/>
    <w:rsid w:val="00A247B8"/>
    <w:rsid w:val="00A2495A"/>
    <w:rsid w:val="00A24C7A"/>
    <w:rsid w:val="00A24D8F"/>
    <w:rsid w:val="00A25B8B"/>
    <w:rsid w:val="00A25D8E"/>
    <w:rsid w:val="00A2689F"/>
    <w:rsid w:val="00A26ECA"/>
    <w:rsid w:val="00A27461"/>
    <w:rsid w:val="00A27D67"/>
    <w:rsid w:val="00A30ABC"/>
    <w:rsid w:val="00A31C00"/>
    <w:rsid w:val="00A33B74"/>
    <w:rsid w:val="00A342C5"/>
    <w:rsid w:val="00A3467F"/>
    <w:rsid w:val="00A34B28"/>
    <w:rsid w:val="00A34B4C"/>
    <w:rsid w:val="00A35030"/>
    <w:rsid w:val="00A3551A"/>
    <w:rsid w:val="00A366A0"/>
    <w:rsid w:val="00A36D34"/>
    <w:rsid w:val="00A37209"/>
    <w:rsid w:val="00A37584"/>
    <w:rsid w:val="00A376E8"/>
    <w:rsid w:val="00A37F8E"/>
    <w:rsid w:val="00A41537"/>
    <w:rsid w:val="00A41737"/>
    <w:rsid w:val="00A41750"/>
    <w:rsid w:val="00A42B8F"/>
    <w:rsid w:val="00A42D8E"/>
    <w:rsid w:val="00A42DDD"/>
    <w:rsid w:val="00A42F8F"/>
    <w:rsid w:val="00A43254"/>
    <w:rsid w:val="00A43896"/>
    <w:rsid w:val="00A43951"/>
    <w:rsid w:val="00A43A26"/>
    <w:rsid w:val="00A447A0"/>
    <w:rsid w:val="00A44AD3"/>
    <w:rsid w:val="00A459F5"/>
    <w:rsid w:val="00A45FC0"/>
    <w:rsid w:val="00A46802"/>
    <w:rsid w:val="00A46B74"/>
    <w:rsid w:val="00A47BF7"/>
    <w:rsid w:val="00A47ECC"/>
    <w:rsid w:val="00A50171"/>
    <w:rsid w:val="00A504FA"/>
    <w:rsid w:val="00A50AC2"/>
    <w:rsid w:val="00A5102E"/>
    <w:rsid w:val="00A5132E"/>
    <w:rsid w:val="00A51375"/>
    <w:rsid w:val="00A51533"/>
    <w:rsid w:val="00A531D4"/>
    <w:rsid w:val="00A54572"/>
    <w:rsid w:val="00A575B8"/>
    <w:rsid w:val="00A619BB"/>
    <w:rsid w:val="00A61C60"/>
    <w:rsid w:val="00A61ECB"/>
    <w:rsid w:val="00A6410C"/>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4ED"/>
    <w:rsid w:val="00A7657C"/>
    <w:rsid w:val="00A77EFC"/>
    <w:rsid w:val="00A80216"/>
    <w:rsid w:val="00A8118A"/>
    <w:rsid w:val="00A81DA8"/>
    <w:rsid w:val="00A81F2D"/>
    <w:rsid w:val="00A8311C"/>
    <w:rsid w:val="00A835D0"/>
    <w:rsid w:val="00A84C5F"/>
    <w:rsid w:val="00A84FBE"/>
    <w:rsid w:val="00A85930"/>
    <w:rsid w:val="00A863F7"/>
    <w:rsid w:val="00A86604"/>
    <w:rsid w:val="00A87519"/>
    <w:rsid w:val="00A9246D"/>
    <w:rsid w:val="00A92804"/>
    <w:rsid w:val="00A92CCA"/>
    <w:rsid w:val="00A92EED"/>
    <w:rsid w:val="00A93BD0"/>
    <w:rsid w:val="00A93CC2"/>
    <w:rsid w:val="00A93D03"/>
    <w:rsid w:val="00A94D4B"/>
    <w:rsid w:val="00A974CC"/>
    <w:rsid w:val="00AA16FB"/>
    <w:rsid w:val="00AA2001"/>
    <w:rsid w:val="00AA2B5C"/>
    <w:rsid w:val="00AA32D2"/>
    <w:rsid w:val="00AA3B8B"/>
    <w:rsid w:val="00AA3F61"/>
    <w:rsid w:val="00AA4016"/>
    <w:rsid w:val="00AA4C1F"/>
    <w:rsid w:val="00AA5328"/>
    <w:rsid w:val="00AA5393"/>
    <w:rsid w:val="00AA5D54"/>
    <w:rsid w:val="00AA63D4"/>
    <w:rsid w:val="00AA7989"/>
    <w:rsid w:val="00AA7AE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2494"/>
    <w:rsid w:val="00AC40B7"/>
    <w:rsid w:val="00AC5148"/>
    <w:rsid w:val="00AC531F"/>
    <w:rsid w:val="00AC5B36"/>
    <w:rsid w:val="00AC6377"/>
    <w:rsid w:val="00AC66A4"/>
    <w:rsid w:val="00AC6CB1"/>
    <w:rsid w:val="00AC75E9"/>
    <w:rsid w:val="00AC7669"/>
    <w:rsid w:val="00AC7D6D"/>
    <w:rsid w:val="00AD0091"/>
    <w:rsid w:val="00AD23EF"/>
    <w:rsid w:val="00AD2583"/>
    <w:rsid w:val="00AD2662"/>
    <w:rsid w:val="00AD307B"/>
    <w:rsid w:val="00AD3581"/>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910"/>
    <w:rsid w:val="00AF34B8"/>
    <w:rsid w:val="00AF3896"/>
    <w:rsid w:val="00AF39C9"/>
    <w:rsid w:val="00AF3FC2"/>
    <w:rsid w:val="00AF4DEC"/>
    <w:rsid w:val="00AF6C5B"/>
    <w:rsid w:val="00B003FF"/>
    <w:rsid w:val="00B0098A"/>
    <w:rsid w:val="00B00A5F"/>
    <w:rsid w:val="00B0247D"/>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A4F"/>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910"/>
    <w:rsid w:val="00B2504A"/>
    <w:rsid w:val="00B25EE6"/>
    <w:rsid w:val="00B3115A"/>
    <w:rsid w:val="00B3178B"/>
    <w:rsid w:val="00B31825"/>
    <w:rsid w:val="00B31A5C"/>
    <w:rsid w:val="00B32265"/>
    <w:rsid w:val="00B3276D"/>
    <w:rsid w:val="00B33AF9"/>
    <w:rsid w:val="00B33B06"/>
    <w:rsid w:val="00B33C19"/>
    <w:rsid w:val="00B34AE0"/>
    <w:rsid w:val="00B35607"/>
    <w:rsid w:val="00B35A15"/>
    <w:rsid w:val="00B35B45"/>
    <w:rsid w:val="00B36165"/>
    <w:rsid w:val="00B36A99"/>
    <w:rsid w:val="00B40602"/>
    <w:rsid w:val="00B41C80"/>
    <w:rsid w:val="00B42264"/>
    <w:rsid w:val="00B434B2"/>
    <w:rsid w:val="00B43D45"/>
    <w:rsid w:val="00B459AF"/>
    <w:rsid w:val="00B468F2"/>
    <w:rsid w:val="00B469DE"/>
    <w:rsid w:val="00B47286"/>
    <w:rsid w:val="00B47EB4"/>
    <w:rsid w:val="00B50234"/>
    <w:rsid w:val="00B51BF4"/>
    <w:rsid w:val="00B52C68"/>
    <w:rsid w:val="00B5372B"/>
    <w:rsid w:val="00B539B2"/>
    <w:rsid w:val="00B542FE"/>
    <w:rsid w:val="00B55A1B"/>
    <w:rsid w:val="00B561DB"/>
    <w:rsid w:val="00B56DF9"/>
    <w:rsid w:val="00B56E80"/>
    <w:rsid w:val="00B571F1"/>
    <w:rsid w:val="00B57EC7"/>
    <w:rsid w:val="00B600BD"/>
    <w:rsid w:val="00B60E4E"/>
    <w:rsid w:val="00B61274"/>
    <w:rsid w:val="00B61DCE"/>
    <w:rsid w:val="00B62188"/>
    <w:rsid w:val="00B62F79"/>
    <w:rsid w:val="00B62F82"/>
    <w:rsid w:val="00B6306A"/>
    <w:rsid w:val="00B635E3"/>
    <w:rsid w:val="00B662FF"/>
    <w:rsid w:val="00B66679"/>
    <w:rsid w:val="00B668BE"/>
    <w:rsid w:val="00B70145"/>
    <w:rsid w:val="00B717F9"/>
    <w:rsid w:val="00B71A92"/>
    <w:rsid w:val="00B721D8"/>
    <w:rsid w:val="00B72AC5"/>
    <w:rsid w:val="00B730CA"/>
    <w:rsid w:val="00B732EA"/>
    <w:rsid w:val="00B73747"/>
    <w:rsid w:val="00B747C5"/>
    <w:rsid w:val="00B74F2F"/>
    <w:rsid w:val="00B753ED"/>
    <w:rsid w:val="00B7665F"/>
    <w:rsid w:val="00B769BC"/>
    <w:rsid w:val="00B770F7"/>
    <w:rsid w:val="00B77349"/>
    <w:rsid w:val="00B7761E"/>
    <w:rsid w:val="00B80A3D"/>
    <w:rsid w:val="00B80B04"/>
    <w:rsid w:val="00B821E4"/>
    <w:rsid w:val="00B823E0"/>
    <w:rsid w:val="00B8260D"/>
    <w:rsid w:val="00B82765"/>
    <w:rsid w:val="00B82B78"/>
    <w:rsid w:val="00B845B4"/>
    <w:rsid w:val="00B84662"/>
    <w:rsid w:val="00B84C74"/>
    <w:rsid w:val="00B84CE9"/>
    <w:rsid w:val="00B85191"/>
    <w:rsid w:val="00B858A1"/>
    <w:rsid w:val="00B85FEC"/>
    <w:rsid w:val="00B8637D"/>
    <w:rsid w:val="00B864A3"/>
    <w:rsid w:val="00B86C2A"/>
    <w:rsid w:val="00B902A5"/>
    <w:rsid w:val="00B90420"/>
    <w:rsid w:val="00B90848"/>
    <w:rsid w:val="00B91146"/>
    <w:rsid w:val="00B913E4"/>
    <w:rsid w:val="00B91DB9"/>
    <w:rsid w:val="00B91FF3"/>
    <w:rsid w:val="00B925F8"/>
    <w:rsid w:val="00B934AF"/>
    <w:rsid w:val="00B93EFE"/>
    <w:rsid w:val="00B944B9"/>
    <w:rsid w:val="00B94956"/>
    <w:rsid w:val="00B94C7F"/>
    <w:rsid w:val="00B94E93"/>
    <w:rsid w:val="00B956B5"/>
    <w:rsid w:val="00B95956"/>
    <w:rsid w:val="00B96DF2"/>
    <w:rsid w:val="00B96E18"/>
    <w:rsid w:val="00B96F5A"/>
    <w:rsid w:val="00B97B44"/>
    <w:rsid w:val="00BA0B39"/>
    <w:rsid w:val="00BA0CB2"/>
    <w:rsid w:val="00BA0E26"/>
    <w:rsid w:val="00BA138B"/>
    <w:rsid w:val="00BA1A9E"/>
    <w:rsid w:val="00BA305B"/>
    <w:rsid w:val="00BA31BF"/>
    <w:rsid w:val="00BA3916"/>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D16"/>
    <w:rsid w:val="00BB6180"/>
    <w:rsid w:val="00BB69E6"/>
    <w:rsid w:val="00BB7323"/>
    <w:rsid w:val="00BB7BE5"/>
    <w:rsid w:val="00BC08BD"/>
    <w:rsid w:val="00BC11E8"/>
    <w:rsid w:val="00BC1B7A"/>
    <w:rsid w:val="00BC2416"/>
    <w:rsid w:val="00BC2C17"/>
    <w:rsid w:val="00BC397C"/>
    <w:rsid w:val="00BC3ACD"/>
    <w:rsid w:val="00BC3B20"/>
    <w:rsid w:val="00BC3EE4"/>
    <w:rsid w:val="00BC588C"/>
    <w:rsid w:val="00BC6E73"/>
    <w:rsid w:val="00BC721B"/>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60"/>
    <w:rsid w:val="00BE3319"/>
    <w:rsid w:val="00BE3917"/>
    <w:rsid w:val="00BE48D3"/>
    <w:rsid w:val="00BE4BFE"/>
    <w:rsid w:val="00BE4D94"/>
    <w:rsid w:val="00BE50FD"/>
    <w:rsid w:val="00BE51CA"/>
    <w:rsid w:val="00BE537F"/>
    <w:rsid w:val="00BE5D77"/>
    <w:rsid w:val="00BE6884"/>
    <w:rsid w:val="00BE6D47"/>
    <w:rsid w:val="00BE7032"/>
    <w:rsid w:val="00BE7330"/>
    <w:rsid w:val="00BE78F1"/>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55"/>
    <w:rsid w:val="00C031CF"/>
    <w:rsid w:val="00C047AB"/>
    <w:rsid w:val="00C05517"/>
    <w:rsid w:val="00C058AF"/>
    <w:rsid w:val="00C05935"/>
    <w:rsid w:val="00C075B6"/>
    <w:rsid w:val="00C11ACA"/>
    <w:rsid w:val="00C124C1"/>
    <w:rsid w:val="00C128AE"/>
    <w:rsid w:val="00C12BA8"/>
    <w:rsid w:val="00C13094"/>
    <w:rsid w:val="00C136D6"/>
    <w:rsid w:val="00C13D5B"/>
    <w:rsid w:val="00C141D7"/>
    <w:rsid w:val="00C169B9"/>
    <w:rsid w:val="00C1711B"/>
    <w:rsid w:val="00C17AE2"/>
    <w:rsid w:val="00C20140"/>
    <w:rsid w:val="00C20F27"/>
    <w:rsid w:val="00C215CF"/>
    <w:rsid w:val="00C2244B"/>
    <w:rsid w:val="00C22711"/>
    <w:rsid w:val="00C2280A"/>
    <w:rsid w:val="00C22B0D"/>
    <w:rsid w:val="00C22BFF"/>
    <w:rsid w:val="00C23522"/>
    <w:rsid w:val="00C23E89"/>
    <w:rsid w:val="00C240C1"/>
    <w:rsid w:val="00C244A1"/>
    <w:rsid w:val="00C24AED"/>
    <w:rsid w:val="00C250D0"/>
    <w:rsid w:val="00C252AC"/>
    <w:rsid w:val="00C25C0F"/>
    <w:rsid w:val="00C26567"/>
    <w:rsid w:val="00C26923"/>
    <w:rsid w:val="00C2695A"/>
    <w:rsid w:val="00C27214"/>
    <w:rsid w:val="00C27597"/>
    <w:rsid w:val="00C27E5E"/>
    <w:rsid w:val="00C30382"/>
    <w:rsid w:val="00C30772"/>
    <w:rsid w:val="00C30D6F"/>
    <w:rsid w:val="00C31063"/>
    <w:rsid w:val="00C31B7E"/>
    <w:rsid w:val="00C322D1"/>
    <w:rsid w:val="00C3242A"/>
    <w:rsid w:val="00C33201"/>
    <w:rsid w:val="00C33A39"/>
    <w:rsid w:val="00C34619"/>
    <w:rsid w:val="00C3467C"/>
    <w:rsid w:val="00C348D9"/>
    <w:rsid w:val="00C35BCE"/>
    <w:rsid w:val="00C35D01"/>
    <w:rsid w:val="00C360B3"/>
    <w:rsid w:val="00C36885"/>
    <w:rsid w:val="00C37027"/>
    <w:rsid w:val="00C373BF"/>
    <w:rsid w:val="00C37B19"/>
    <w:rsid w:val="00C41349"/>
    <w:rsid w:val="00C413CB"/>
    <w:rsid w:val="00C42752"/>
    <w:rsid w:val="00C42973"/>
    <w:rsid w:val="00C44D22"/>
    <w:rsid w:val="00C46B95"/>
    <w:rsid w:val="00C4712A"/>
    <w:rsid w:val="00C5034F"/>
    <w:rsid w:val="00C50830"/>
    <w:rsid w:val="00C52479"/>
    <w:rsid w:val="00C5266E"/>
    <w:rsid w:val="00C52C59"/>
    <w:rsid w:val="00C5349E"/>
    <w:rsid w:val="00C539FF"/>
    <w:rsid w:val="00C544BD"/>
    <w:rsid w:val="00C54D3D"/>
    <w:rsid w:val="00C55A30"/>
    <w:rsid w:val="00C56384"/>
    <w:rsid w:val="00C60F8C"/>
    <w:rsid w:val="00C61424"/>
    <w:rsid w:val="00C61794"/>
    <w:rsid w:val="00C62635"/>
    <w:rsid w:val="00C62A48"/>
    <w:rsid w:val="00C62AC4"/>
    <w:rsid w:val="00C62B59"/>
    <w:rsid w:val="00C62F96"/>
    <w:rsid w:val="00C631E1"/>
    <w:rsid w:val="00C638D8"/>
    <w:rsid w:val="00C63A43"/>
    <w:rsid w:val="00C63AE7"/>
    <w:rsid w:val="00C63D26"/>
    <w:rsid w:val="00C6540A"/>
    <w:rsid w:val="00C668A1"/>
    <w:rsid w:val="00C67223"/>
    <w:rsid w:val="00C701FE"/>
    <w:rsid w:val="00C707B8"/>
    <w:rsid w:val="00C712AC"/>
    <w:rsid w:val="00C71ADC"/>
    <w:rsid w:val="00C71C15"/>
    <w:rsid w:val="00C71F3D"/>
    <w:rsid w:val="00C72F53"/>
    <w:rsid w:val="00C74035"/>
    <w:rsid w:val="00C748EA"/>
    <w:rsid w:val="00C77818"/>
    <w:rsid w:val="00C8063F"/>
    <w:rsid w:val="00C81282"/>
    <w:rsid w:val="00C827B4"/>
    <w:rsid w:val="00C83214"/>
    <w:rsid w:val="00C8329F"/>
    <w:rsid w:val="00C83B21"/>
    <w:rsid w:val="00C84F8A"/>
    <w:rsid w:val="00C85BA4"/>
    <w:rsid w:val="00C8618F"/>
    <w:rsid w:val="00C8625D"/>
    <w:rsid w:val="00C86A49"/>
    <w:rsid w:val="00C874F1"/>
    <w:rsid w:val="00C90103"/>
    <w:rsid w:val="00C90364"/>
    <w:rsid w:val="00C90372"/>
    <w:rsid w:val="00C9041F"/>
    <w:rsid w:val="00C91023"/>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A66DE"/>
    <w:rsid w:val="00CB105E"/>
    <w:rsid w:val="00CB19D7"/>
    <w:rsid w:val="00CB19FE"/>
    <w:rsid w:val="00CB1C3F"/>
    <w:rsid w:val="00CB2364"/>
    <w:rsid w:val="00CB25BA"/>
    <w:rsid w:val="00CB304C"/>
    <w:rsid w:val="00CB3933"/>
    <w:rsid w:val="00CB5010"/>
    <w:rsid w:val="00CB53E8"/>
    <w:rsid w:val="00CB594A"/>
    <w:rsid w:val="00CB5CB2"/>
    <w:rsid w:val="00CB6979"/>
    <w:rsid w:val="00CB7DDE"/>
    <w:rsid w:val="00CC0A3D"/>
    <w:rsid w:val="00CC2F62"/>
    <w:rsid w:val="00CC2FF0"/>
    <w:rsid w:val="00CC3261"/>
    <w:rsid w:val="00CC3C53"/>
    <w:rsid w:val="00CC3D24"/>
    <w:rsid w:val="00CC3F91"/>
    <w:rsid w:val="00CC47EE"/>
    <w:rsid w:val="00CC4ACD"/>
    <w:rsid w:val="00CC4B0A"/>
    <w:rsid w:val="00CC544A"/>
    <w:rsid w:val="00CC57AE"/>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63D3"/>
    <w:rsid w:val="00CD7111"/>
    <w:rsid w:val="00CD72C5"/>
    <w:rsid w:val="00CD79A7"/>
    <w:rsid w:val="00CD7FAD"/>
    <w:rsid w:val="00CE0789"/>
    <w:rsid w:val="00CE0AF1"/>
    <w:rsid w:val="00CE0E8D"/>
    <w:rsid w:val="00CE1A03"/>
    <w:rsid w:val="00CE2346"/>
    <w:rsid w:val="00CE25B2"/>
    <w:rsid w:val="00CE2D47"/>
    <w:rsid w:val="00CE3529"/>
    <w:rsid w:val="00CE35C8"/>
    <w:rsid w:val="00CE3962"/>
    <w:rsid w:val="00CE4920"/>
    <w:rsid w:val="00CE4A07"/>
    <w:rsid w:val="00CE4D0A"/>
    <w:rsid w:val="00CE4D1A"/>
    <w:rsid w:val="00CE4E8A"/>
    <w:rsid w:val="00CE5105"/>
    <w:rsid w:val="00CE56BD"/>
    <w:rsid w:val="00CE5EC0"/>
    <w:rsid w:val="00CE68AD"/>
    <w:rsid w:val="00CE6F9F"/>
    <w:rsid w:val="00CE7719"/>
    <w:rsid w:val="00CE781A"/>
    <w:rsid w:val="00CE790C"/>
    <w:rsid w:val="00CE7B08"/>
    <w:rsid w:val="00CE7D52"/>
    <w:rsid w:val="00CF0AB7"/>
    <w:rsid w:val="00CF1D74"/>
    <w:rsid w:val="00CF287D"/>
    <w:rsid w:val="00CF2BE2"/>
    <w:rsid w:val="00CF3DEB"/>
    <w:rsid w:val="00CF4498"/>
    <w:rsid w:val="00CF55F9"/>
    <w:rsid w:val="00CF585F"/>
    <w:rsid w:val="00CF5D43"/>
    <w:rsid w:val="00CF6870"/>
    <w:rsid w:val="00CF7074"/>
    <w:rsid w:val="00CF7495"/>
    <w:rsid w:val="00D01CF9"/>
    <w:rsid w:val="00D02D65"/>
    <w:rsid w:val="00D0334D"/>
    <w:rsid w:val="00D0374D"/>
    <w:rsid w:val="00D06D7B"/>
    <w:rsid w:val="00D06DA5"/>
    <w:rsid w:val="00D07191"/>
    <w:rsid w:val="00D07F1D"/>
    <w:rsid w:val="00D10136"/>
    <w:rsid w:val="00D10558"/>
    <w:rsid w:val="00D11D4D"/>
    <w:rsid w:val="00D11DB1"/>
    <w:rsid w:val="00D11F76"/>
    <w:rsid w:val="00D126DC"/>
    <w:rsid w:val="00D12B03"/>
    <w:rsid w:val="00D13E70"/>
    <w:rsid w:val="00D13EE7"/>
    <w:rsid w:val="00D15FCD"/>
    <w:rsid w:val="00D16C58"/>
    <w:rsid w:val="00D17019"/>
    <w:rsid w:val="00D17FC8"/>
    <w:rsid w:val="00D2015B"/>
    <w:rsid w:val="00D20B44"/>
    <w:rsid w:val="00D21168"/>
    <w:rsid w:val="00D2438C"/>
    <w:rsid w:val="00D2585A"/>
    <w:rsid w:val="00D259B0"/>
    <w:rsid w:val="00D259C2"/>
    <w:rsid w:val="00D26C3F"/>
    <w:rsid w:val="00D27185"/>
    <w:rsid w:val="00D3028A"/>
    <w:rsid w:val="00D32A03"/>
    <w:rsid w:val="00D33488"/>
    <w:rsid w:val="00D338D9"/>
    <w:rsid w:val="00D33AB3"/>
    <w:rsid w:val="00D33F24"/>
    <w:rsid w:val="00D34160"/>
    <w:rsid w:val="00D346B8"/>
    <w:rsid w:val="00D34DCA"/>
    <w:rsid w:val="00D35AC8"/>
    <w:rsid w:val="00D35B55"/>
    <w:rsid w:val="00D36F87"/>
    <w:rsid w:val="00D37D77"/>
    <w:rsid w:val="00D37E4E"/>
    <w:rsid w:val="00D417D8"/>
    <w:rsid w:val="00D41F78"/>
    <w:rsid w:val="00D42D63"/>
    <w:rsid w:val="00D42E6C"/>
    <w:rsid w:val="00D4351C"/>
    <w:rsid w:val="00D43B80"/>
    <w:rsid w:val="00D44261"/>
    <w:rsid w:val="00D44988"/>
    <w:rsid w:val="00D45B4C"/>
    <w:rsid w:val="00D45BA4"/>
    <w:rsid w:val="00D471AF"/>
    <w:rsid w:val="00D471E2"/>
    <w:rsid w:val="00D4724F"/>
    <w:rsid w:val="00D4738A"/>
    <w:rsid w:val="00D50519"/>
    <w:rsid w:val="00D50779"/>
    <w:rsid w:val="00D51496"/>
    <w:rsid w:val="00D51601"/>
    <w:rsid w:val="00D51ECB"/>
    <w:rsid w:val="00D5264C"/>
    <w:rsid w:val="00D52BBC"/>
    <w:rsid w:val="00D537FE"/>
    <w:rsid w:val="00D53CC9"/>
    <w:rsid w:val="00D54A6A"/>
    <w:rsid w:val="00D54B8F"/>
    <w:rsid w:val="00D55848"/>
    <w:rsid w:val="00D55951"/>
    <w:rsid w:val="00D559F0"/>
    <w:rsid w:val="00D5650F"/>
    <w:rsid w:val="00D57EB6"/>
    <w:rsid w:val="00D608C0"/>
    <w:rsid w:val="00D60C14"/>
    <w:rsid w:val="00D60D6D"/>
    <w:rsid w:val="00D6128C"/>
    <w:rsid w:val="00D61CFF"/>
    <w:rsid w:val="00D63B22"/>
    <w:rsid w:val="00D63E63"/>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0237"/>
    <w:rsid w:val="00D81AFA"/>
    <w:rsid w:val="00D81EAA"/>
    <w:rsid w:val="00D81FE2"/>
    <w:rsid w:val="00D820A5"/>
    <w:rsid w:val="00D8259F"/>
    <w:rsid w:val="00D825F2"/>
    <w:rsid w:val="00D8285C"/>
    <w:rsid w:val="00D828B1"/>
    <w:rsid w:val="00D8294D"/>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193A"/>
    <w:rsid w:val="00D91AF1"/>
    <w:rsid w:val="00D923B2"/>
    <w:rsid w:val="00D92463"/>
    <w:rsid w:val="00D93E64"/>
    <w:rsid w:val="00D93F64"/>
    <w:rsid w:val="00D94CA4"/>
    <w:rsid w:val="00D95E99"/>
    <w:rsid w:val="00D965D5"/>
    <w:rsid w:val="00D970B3"/>
    <w:rsid w:val="00D97D58"/>
    <w:rsid w:val="00D97DA2"/>
    <w:rsid w:val="00DA0485"/>
    <w:rsid w:val="00DA1A3A"/>
    <w:rsid w:val="00DA2351"/>
    <w:rsid w:val="00DA249E"/>
    <w:rsid w:val="00DA2D3D"/>
    <w:rsid w:val="00DA3855"/>
    <w:rsid w:val="00DA39BA"/>
    <w:rsid w:val="00DA3D28"/>
    <w:rsid w:val="00DA4C30"/>
    <w:rsid w:val="00DA5C6B"/>
    <w:rsid w:val="00DA6A44"/>
    <w:rsid w:val="00DA7A3C"/>
    <w:rsid w:val="00DB145E"/>
    <w:rsid w:val="00DB1A94"/>
    <w:rsid w:val="00DB1D52"/>
    <w:rsid w:val="00DB1E2B"/>
    <w:rsid w:val="00DB1F62"/>
    <w:rsid w:val="00DB21E7"/>
    <w:rsid w:val="00DB2E03"/>
    <w:rsid w:val="00DB3742"/>
    <w:rsid w:val="00DB3E9B"/>
    <w:rsid w:val="00DB3F4B"/>
    <w:rsid w:val="00DB5375"/>
    <w:rsid w:val="00DB5382"/>
    <w:rsid w:val="00DB67C1"/>
    <w:rsid w:val="00DB6C0B"/>
    <w:rsid w:val="00DB70F4"/>
    <w:rsid w:val="00DB748A"/>
    <w:rsid w:val="00DC050E"/>
    <w:rsid w:val="00DC1056"/>
    <w:rsid w:val="00DC1442"/>
    <w:rsid w:val="00DC21D8"/>
    <w:rsid w:val="00DC282A"/>
    <w:rsid w:val="00DC2DE8"/>
    <w:rsid w:val="00DC34DC"/>
    <w:rsid w:val="00DC3780"/>
    <w:rsid w:val="00DC3ADA"/>
    <w:rsid w:val="00DC3CC6"/>
    <w:rsid w:val="00DC3F55"/>
    <w:rsid w:val="00DC4782"/>
    <w:rsid w:val="00DC514A"/>
    <w:rsid w:val="00DC5D05"/>
    <w:rsid w:val="00DC67B1"/>
    <w:rsid w:val="00DC7FBC"/>
    <w:rsid w:val="00DD0019"/>
    <w:rsid w:val="00DD07C2"/>
    <w:rsid w:val="00DD132B"/>
    <w:rsid w:val="00DD1725"/>
    <w:rsid w:val="00DD2159"/>
    <w:rsid w:val="00DD218B"/>
    <w:rsid w:val="00DD2A18"/>
    <w:rsid w:val="00DD3044"/>
    <w:rsid w:val="00DD3985"/>
    <w:rsid w:val="00DD4DAD"/>
    <w:rsid w:val="00DD5783"/>
    <w:rsid w:val="00DD61E8"/>
    <w:rsid w:val="00DD62C0"/>
    <w:rsid w:val="00DD64DE"/>
    <w:rsid w:val="00DD66DE"/>
    <w:rsid w:val="00DD7859"/>
    <w:rsid w:val="00DD7B41"/>
    <w:rsid w:val="00DE0338"/>
    <w:rsid w:val="00DE0784"/>
    <w:rsid w:val="00DE0A1D"/>
    <w:rsid w:val="00DE15B2"/>
    <w:rsid w:val="00DE16BA"/>
    <w:rsid w:val="00DE1A9A"/>
    <w:rsid w:val="00DE33F3"/>
    <w:rsid w:val="00DE3C82"/>
    <w:rsid w:val="00DE3D2C"/>
    <w:rsid w:val="00DE4569"/>
    <w:rsid w:val="00DE5E82"/>
    <w:rsid w:val="00DE5FA6"/>
    <w:rsid w:val="00DE605D"/>
    <w:rsid w:val="00DE6792"/>
    <w:rsid w:val="00DE6AA1"/>
    <w:rsid w:val="00DE7EF7"/>
    <w:rsid w:val="00DF015B"/>
    <w:rsid w:val="00DF02EC"/>
    <w:rsid w:val="00DF10FC"/>
    <w:rsid w:val="00DF1185"/>
    <w:rsid w:val="00DF1299"/>
    <w:rsid w:val="00DF1A70"/>
    <w:rsid w:val="00DF1E5F"/>
    <w:rsid w:val="00DF23A8"/>
    <w:rsid w:val="00DF2E4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4C8"/>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868"/>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363F"/>
    <w:rsid w:val="00E34A77"/>
    <w:rsid w:val="00E34DB1"/>
    <w:rsid w:val="00E352B3"/>
    <w:rsid w:val="00E35931"/>
    <w:rsid w:val="00E359FF"/>
    <w:rsid w:val="00E3699A"/>
    <w:rsid w:val="00E36B82"/>
    <w:rsid w:val="00E402C5"/>
    <w:rsid w:val="00E402F4"/>
    <w:rsid w:val="00E405F1"/>
    <w:rsid w:val="00E417DB"/>
    <w:rsid w:val="00E43054"/>
    <w:rsid w:val="00E43655"/>
    <w:rsid w:val="00E44440"/>
    <w:rsid w:val="00E46013"/>
    <w:rsid w:val="00E464FB"/>
    <w:rsid w:val="00E47099"/>
    <w:rsid w:val="00E47284"/>
    <w:rsid w:val="00E477C3"/>
    <w:rsid w:val="00E47CB6"/>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37E3"/>
    <w:rsid w:val="00E6402D"/>
    <w:rsid w:val="00E6680A"/>
    <w:rsid w:val="00E66F0D"/>
    <w:rsid w:val="00E70615"/>
    <w:rsid w:val="00E7161E"/>
    <w:rsid w:val="00E7207B"/>
    <w:rsid w:val="00E7347A"/>
    <w:rsid w:val="00E73AA6"/>
    <w:rsid w:val="00E75A47"/>
    <w:rsid w:val="00E75BB6"/>
    <w:rsid w:val="00E75D8C"/>
    <w:rsid w:val="00E76A3F"/>
    <w:rsid w:val="00E777F2"/>
    <w:rsid w:val="00E802C9"/>
    <w:rsid w:val="00E80BFB"/>
    <w:rsid w:val="00E80EC2"/>
    <w:rsid w:val="00E80F0A"/>
    <w:rsid w:val="00E811AB"/>
    <w:rsid w:val="00E815D4"/>
    <w:rsid w:val="00E8291B"/>
    <w:rsid w:val="00E82E70"/>
    <w:rsid w:val="00E82F92"/>
    <w:rsid w:val="00E8395F"/>
    <w:rsid w:val="00E8410F"/>
    <w:rsid w:val="00E849D7"/>
    <w:rsid w:val="00E85E41"/>
    <w:rsid w:val="00E85EA1"/>
    <w:rsid w:val="00E8618C"/>
    <w:rsid w:val="00E86703"/>
    <w:rsid w:val="00E86C85"/>
    <w:rsid w:val="00E900DA"/>
    <w:rsid w:val="00E91044"/>
    <w:rsid w:val="00E910D3"/>
    <w:rsid w:val="00E92097"/>
    <w:rsid w:val="00E92154"/>
    <w:rsid w:val="00E923CF"/>
    <w:rsid w:val="00E93685"/>
    <w:rsid w:val="00E93B65"/>
    <w:rsid w:val="00E93C8C"/>
    <w:rsid w:val="00E95111"/>
    <w:rsid w:val="00E95FDF"/>
    <w:rsid w:val="00EA080B"/>
    <w:rsid w:val="00EA14C8"/>
    <w:rsid w:val="00EA2110"/>
    <w:rsid w:val="00EA283A"/>
    <w:rsid w:val="00EA2C90"/>
    <w:rsid w:val="00EA2E07"/>
    <w:rsid w:val="00EA383B"/>
    <w:rsid w:val="00EA48F3"/>
    <w:rsid w:val="00EA60BF"/>
    <w:rsid w:val="00EA7365"/>
    <w:rsid w:val="00EA763F"/>
    <w:rsid w:val="00EA77E9"/>
    <w:rsid w:val="00EB0037"/>
    <w:rsid w:val="00EB05D0"/>
    <w:rsid w:val="00EB1151"/>
    <w:rsid w:val="00EB1D49"/>
    <w:rsid w:val="00EB23D9"/>
    <w:rsid w:val="00EB39A0"/>
    <w:rsid w:val="00EB430A"/>
    <w:rsid w:val="00EB559F"/>
    <w:rsid w:val="00EB566C"/>
    <w:rsid w:val="00EB5A18"/>
    <w:rsid w:val="00EB5F3D"/>
    <w:rsid w:val="00EB677D"/>
    <w:rsid w:val="00EB67A0"/>
    <w:rsid w:val="00EB6C97"/>
    <w:rsid w:val="00EB7E7E"/>
    <w:rsid w:val="00EC1CEB"/>
    <w:rsid w:val="00EC1DC0"/>
    <w:rsid w:val="00EC1DC2"/>
    <w:rsid w:val="00EC1E09"/>
    <w:rsid w:val="00EC210E"/>
    <w:rsid w:val="00EC21EC"/>
    <w:rsid w:val="00EC24B8"/>
    <w:rsid w:val="00EC268C"/>
    <w:rsid w:val="00EC3753"/>
    <w:rsid w:val="00EC4E71"/>
    <w:rsid w:val="00EC5F1C"/>
    <w:rsid w:val="00EC7470"/>
    <w:rsid w:val="00ED0365"/>
    <w:rsid w:val="00ED0865"/>
    <w:rsid w:val="00ED0C1C"/>
    <w:rsid w:val="00ED1C60"/>
    <w:rsid w:val="00ED2EB9"/>
    <w:rsid w:val="00ED3722"/>
    <w:rsid w:val="00ED3A31"/>
    <w:rsid w:val="00ED4469"/>
    <w:rsid w:val="00ED4C30"/>
    <w:rsid w:val="00ED5302"/>
    <w:rsid w:val="00ED5424"/>
    <w:rsid w:val="00ED5F23"/>
    <w:rsid w:val="00ED6DC0"/>
    <w:rsid w:val="00ED7A7A"/>
    <w:rsid w:val="00EE0327"/>
    <w:rsid w:val="00EE038C"/>
    <w:rsid w:val="00EE28C5"/>
    <w:rsid w:val="00EE2F09"/>
    <w:rsid w:val="00EE3B97"/>
    <w:rsid w:val="00EE47C5"/>
    <w:rsid w:val="00EE4824"/>
    <w:rsid w:val="00EE490C"/>
    <w:rsid w:val="00EE4E57"/>
    <w:rsid w:val="00EE5738"/>
    <w:rsid w:val="00EE58BD"/>
    <w:rsid w:val="00EE5E59"/>
    <w:rsid w:val="00EE73D0"/>
    <w:rsid w:val="00EE7CB0"/>
    <w:rsid w:val="00EE7F8E"/>
    <w:rsid w:val="00EF0455"/>
    <w:rsid w:val="00EF08A8"/>
    <w:rsid w:val="00EF167B"/>
    <w:rsid w:val="00EF2496"/>
    <w:rsid w:val="00EF41A8"/>
    <w:rsid w:val="00EF44FB"/>
    <w:rsid w:val="00EF5122"/>
    <w:rsid w:val="00EF5554"/>
    <w:rsid w:val="00EF5AD8"/>
    <w:rsid w:val="00EF6B90"/>
    <w:rsid w:val="00EF7807"/>
    <w:rsid w:val="00EF79F7"/>
    <w:rsid w:val="00EF7D80"/>
    <w:rsid w:val="00F005DE"/>
    <w:rsid w:val="00F006C0"/>
    <w:rsid w:val="00F0125F"/>
    <w:rsid w:val="00F019AA"/>
    <w:rsid w:val="00F0267E"/>
    <w:rsid w:val="00F02686"/>
    <w:rsid w:val="00F030C0"/>
    <w:rsid w:val="00F03291"/>
    <w:rsid w:val="00F03A85"/>
    <w:rsid w:val="00F0459B"/>
    <w:rsid w:val="00F04D6F"/>
    <w:rsid w:val="00F04E15"/>
    <w:rsid w:val="00F05DF3"/>
    <w:rsid w:val="00F06829"/>
    <w:rsid w:val="00F069EA"/>
    <w:rsid w:val="00F070E5"/>
    <w:rsid w:val="00F07DB8"/>
    <w:rsid w:val="00F07DDE"/>
    <w:rsid w:val="00F11675"/>
    <w:rsid w:val="00F123DA"/>
    <w:rsid w:val="00F12557"/>
    <w:rsid w:val="00F13599"/>
    <w:rsid w:val="00F13B28"/>
    <w:rsid w:val="00F156A0"/>
    <w:rsid w:val="00F15730"/>
    <w:rsid w:val="00F176A6"/>
    <w:rsid w:val="00F202C2"/>
    <w:rsid w:val="00F20D26"/>
    <w:rsid w:val="00F212F6"/>
    <w:rsid w:val="00F22756"/>
    <w:rsid w:val="00F23248"/>
    <w:rsid w:val="00F23890"/>
    <w:rsid w:val="00F24B3D"/>
    <w:rsid w:val="00F2504D"/>
    <w:rsid w:val="00F2637F"/>
    <w:rsid w:val="00F268F7"/>
    <w:rsid w:val="00F26A5F"/>
    <w:rsid w:val="00F30B83"/>
    <w:rsid w:val="00F30BDB"/>
    <w:rsid w:val="00F30CF8"/>
    <w:rsid w:val="00F30E78"/>
    <w:rsid w:val="00F31EDF"/>
    <w:rsid w:val="00F3228B"/>
    <w:rsid w:val="00F32CDE"/>
    <w:rsid w:val="00F32D4C"/>
    <w:rsid w:val="00F3327E"/>
    <w:rsid w:val="00F338C3"/>
    <w:rsid w:val="00F33A62"/>
    <w:rsid w:val="00F34B14"/>
    <w:rsid w:val="00F34F58"/>
    <w:rsid w:val="00F35DA7"/>
    <w:rsid w:val="00F36A6A"/>
    <w:rsid w:val="00F379E5"/>
    <w:rsid w:val="00F37A38"/>
    <w:rsid w:val="00F40101"/>
    <w:rsid w:val="00F404F7"/>
    <w:rsid w:val="00F40CCA"/>
    <w:rsid w:val="00F42D97"/>
    <w:rsid w:val="00F42FCF"/>
    <w:rsid w:val="00F436B2"/>
    <w:rsid w:val="00F43813"/>
    <w:rsid w:val="00F43FEE"/>
    <w:rsid w:val="00F4492F"/>
    <w:rsid w:val="00F4547B"/>
    <w:rsid w:val="00F45A72"/>
    <w:rsid w:val="00F46723"/>
    <w:rsid w:val="00F4706D"/>
    <w:rsid w:val="00F476E1"/>
    <w:rsid w:val="00F47D1D"/>
    <w:rsid w:val="00F47F29"/>
    <w:rsid w:val="00F50016"/>
    <w:rsid w:val="00F5118A"/>
    <w:rsid w:val="00F51A21"/>
    <w:rsid w:val="00F52614"/>
    <w:rsid w:val="00F5265B"/>
    <w:rsid w:val="00F5276E"/>
    <w:rsid w:val="00F52E9F"/>
    <w:rsid w:val="00F52F3C"/>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9D5"/>
    <w:rsid w:val="00F70799"/>
    <w:rsid w:val="00F70A8B"/>
    <w:rsid w:val="00F70B8D"/>
    <w:rsid w:val="00F71936"/>
    <w:rsid w:val="00F724FB"/>
    <w:rsid w:val="00F726B8"/>
    <w:rsid w:val="00F72A26"/>
    <w:rsid w:val="00F733C3"/>
    <w:rsid w:val="00F73E8D"/>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658C"/>
    <w:rsid w:val="00F96EEB"/>
    <w:rsid w:val="00F97A7F"/>
    <w:rsid w:val="00F97CD0"/>
    <w:rsid w:val="00FA0016"/>
    <w:rsid w:val="00FA0889"/>
    <w:rsid w:val="00FA16E7"/>
    <w:rsid w:val="00FA31C7"/>
    <w:rsid w:val="00FA472D"/>
    <w:rsid w:val="00FA681F"/>
    <w:rsid w:val="00FB0500"/>
    <w:rsid w:val="00FB0CBF"/>
    <w:rsid w:val="00FB18F6"/>
    <w:rsid w:val="00FB1958"/>
    <w:rsid w:val="00FB2A52"/>
    <w:rsid w:val="00FB3999"/>
    <w:rsid w:val="00FB3F92"/>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5F09"/>
    <w:rsid w:val="00FC6524"/>
    <w:rsid w:val="00FC6B58"/>
    <w:rsid w:val="00FC75AC"/>
    <w:rsid w:val="00FC7984"/>
    <w:rsid w:val="00FD01BF"/>
    <w:rsid w:val="00FD0525"/>
    <w:rsid w:val="00FD0AB7"/>
    <w:rsid w:val="00FD1EA6"/>
    <w:rsid w:val="00FD297D"/>
    <w:rsid w:val="00FD2D13"/>
    <w:rsid w:val="00FD374D"/>
    <w:rsid w:val="00FD5342"/>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72"/>
    <w:rsid w:val="00FF1C9B"/>
    <w:rsid w:val="00FF1D49"/>
    <w:rsid w:val="00FF203B"/>
    <w:rsid w:val="00FF2216"/>
    <w:rsid w:val="00FF2562"/>
    <w:rsid w:val="00FF3703"/>
    <w:rsid w:val="00FF3A41"/>
    <w:rsid w:val="00FF3C9C"/>
    <w:rsid w:val="00FF3E5B"/>
    <w:rsid w:val="00FF4538"/>
    <w:rsid w:val="00FF57E4"/>
    <w:rsid w:val="00FF78E5"/>
    <w:rsid w:val="012C5FAF"/>
    <w:rsid w:val="01AF3D99"/>
    <w:rsid w:val="02221B29"/>
    <w:rsid w:val="02511F9D"/>
    <w:rsid w:val="029D4ECB"/>
    <w:rsid w:val="02A9526F"/>
    <w:rsid w:val="02C951F9"/>
    <w:rsid w:val="02CE19DA"/>
    <w:rsid w:val="03127926"/>
    <w:rsid w:val="03591C55"/>
    <w:rsid w:val="03A314B8"/>
    <w:rsid w:val="03D82B98"/>
    <w:rsid w:val="03DB0072"/>
    <w:rsid w:val="03F83E8B"/>
    <w:rsid w:val="040A7686"/>
    <w:rsid w:val="04DB69A2"/>
    <w:rsid w:val="05182AFA"/>
    <w:rsid w:val="05C56868"/>
    <w:rsid w:val="060A3E55"/>
    <w:rsid w:val="06AC66F4"/>
    <w:rsid w:val="07A539BD"/>
    <w:rsid w:val="07B72767"/>
    <w:rsid w:val="08077E72"/>
    <w:rsid w:val="08882DD0"/>
    <w:rsid w:val="08A16533"/>
    <w:rsid w:val="08D85DF6"/>
    <w:rsid w:val="09CC2AAC"/>
    <w:rsid w:val="0A652D3E"/>
    <w:rsid w:val="0A730510"/>
    <w:rsid w:val="0AF94B2F"/>
    <w:rsid w:val="0B326F2A"/>
    <w:rsid w:val="0B66017E"/>
    <w:rsid w:val="0B75621D"/>
    <w:rsid w:val="0BED0EFB"/>
    <w:rsid w:val="0C1E2888"/>
    <w:rsid w:val="0C8723F5"/>
    <w:rsid w:val="0C92213C"/>
    <w:rsid w:val="0CB343F6"/>
    <w:rsid w:val="0CC2027E"/>
    <w:rsid w:val="0D003F3D"/>
    <w:rsid w:val="0D63531C"/>
    <w:rsid w:val="0D84032B"/>
    <w:rsid w:val="0EF4423E"/>
    <w:rsid w:val="0F1A028E"/>
    <w:rsid w:val="0F2A74C4"/>
    <w:rsid w:val="0F7B4E6A"/>
    <w:rsid w:val="0F8A6A96"/>
    <w:rsid w:val="0F8B76DD"/>
    <w:rsid w:val="0FC4763E"/>
    <w:rsid w:val="103B2931"/>
    <w:rsid w:val="10A27F31"/>
    <w:rsid w:val="10AC2B5B"/>
    <w:rsid w:val="11306AD5"/>
    <w:rsid w:val="11927058"/>
    <w:rsid w:val="11C041A5"/>
    <w:rsid w:val="11C708A3"/>
    <w:rsid w:val="11EA400A"/>
    <w:rsid w:val="120E171E"/>
    <w:rsid w:val="120F5D75"/>
    <w:rsid w:val="129652A4"/>
    <w:rsid w:val="12B62DBD"/>
    <w:rsid w:val="136E7FB7"/>
    <w:rsid w:val="13801C3B"/>
    <w:rsid w:val="13AF4F03"/>
    <w:rsid w:val="143C0174"/>
    <w:rsid w:val="14736E66"/>
    <w:rsid w:val="147F458F"/>
    <w:rsid w:val="14FB3FE4"/>
    <w:rsid w:val="1534169A"/>
    <w:rsid w:val="15517E86"/>
    <w:rsid w:val="15C03E03"/>
    <w:rsid w:val="162A25EB"/>
    <w:rsid w:val="165F088C"/>
    <w:rsid w:val="16735895"/>
    <w:rsid w:val="16CC0D53"/>
    <w:rsid w:val="16FD2A55"/>
    <w:rsid w:val="17067C1A"/>
    <w:rsid w:val="17366761"/>
    <w:rsid w:val="173C7D8C"/>
    <w:rsid w:val="177C01F0"/>
    <w:rsid w:val="179E3EFA"/>
    <w:rsid w:val="17CE6630"/>
    <w:rsid w:val="180A592B"/>
    <w:rsid w:val="1857752E"/>
    <w:rsid w:val="18D41847"/>
    <w:rsid w:val="1929207F"/>
    <w:rsid w:val="19807C73"/>
    <w:rsid w:val="19A27A66"/>
    <w:rsid w:val="1A240E45"/>
    <w:rsid w:val="1A8647D3"/>
    <w:rsid w:val="1AFF0AFE"/>
    <w:rsid w:val="1B093873"/>
    <w:rsid w:val="1B47100F"/>
    <w:rsid w:val="1B4F19F8"/>
    <w:rsid w:val="1B6D5E5F"/>
    <w:rsid w:val="1B8B1C65"/>
    <w:rsid w:val="1C2022D6"/>
    <w:rsid w:val="1D5A4243"/>
    <w:rsid w:val="1DD9661C"/>
    <w:rsid w:val="1DEB2570"/>
    <w:rsid w:val="1E066426"/>
    <w:rsid w:val="1E472722"/>
    <w:rsid w:val="1EC666D7"/>
    <w:rsid w:val="1ECC44FA"/>
    <w:rsid w:val="1F063325"/>
    <w:rsid w:val="1F3D64E2"/>
    <w:rsid w:val="1FB309B9"/>
    <w:rsid w:val="1FBC5DF5"/>
    <w:rsid w:val="1FC86C5A"/>
    <w:rsid w:val="1FF90588"/>
    <w:rsid w:val="20793A8A"/>
    <w:rsid w:val="207C0831"/>
    <w:rsid w:val="20C3623F"/>
    <w:rsid w:val="21781212"/>
    <w:rsid w:val="21A75BB7"/>
    <w:rsid w:val="21B83F86"/>
    <w:rsid w:val="21BD41DB"/>
    <w:rsid w:val="221178A8"/>
    <w:rsid w:val="221213CF"/>
    <w:rsid w:val="22327A92"/>
    <w:rsid w:val="227D4DF4"/>
    <w:rsid w:val="228C7672"/>
    <w:rsid w:val="231D53A2"/>
    <w:rsid w:val="236D5383"/>
    <w:rsid w:val="23B7504C"/>
    <w:rsid w:val="23BA5744"/>
    <w:rsid w:val="23EB61A9"/>
    <w:rsid w:val="24484D0F"/>
    <w:rsid w:val="24571307"/>
    <w:rsid w:val="24B149DB"/>
    <w:rsid w:val="24EA5A89"/>
    <w:rsid w:val="24FB1080"/>
    <w:rsid w:val="25110A2A"/>
    <w:rsid w:val="256C0944"/>
    <w:rsid w:val="25766D09"/>
    <w:rsid w:val="25DE70EB"/>
    <w:rsid w:val="2602467A"/>
    <w:rsid w:val="26125040"/>
    <w:rsid w:val="26446DE3"/>
    <w:rsid w:val="26877DFE"/>
    <w:rsid w:val="269669E7"/>
    <w:rsid w:val="26A270C1"/>
    <w:rsid w:val="26D7699F"/>
    <w:rsid w:val="270409FF"/>
    <w:rsid w:val="27514182"/>
    <w:rsid w:val="27586C8C"/>
    <w:rsid w:val="27A7749C"/>
    <w:rsid w:val="284B4155"/>
    <w:rsid w:val="29BF7B8B"/>
    <w:rsid w:val="29D75F7F"/>
    <w:rsid w:val="2A7932A2"/>
    <w:rsid w:val="2ABA6379"/>
    <w:rsid w:val="2AE273B5"/>
    <w:rsid w:val="2B185AC8"/>
    <w:rsid w:val="2B774624"/>
    <w:rsid w:val="2C326B2E"/>
    <w:rsid w:val="2C4C78E5"/>
    <w:rsid w:val="2C7A72BE"/>
    <w:rsid w:val="2C9A7D75"/>
    <w:rsid w:val="2CC17412"/>
    <w:rsid w:val="2D1D5A3E"/>
    <w:rsid w:val="2D7C1E99"/>
    <w:rsid w:val="2DE57862"/>
    <w:rsid w:val="2E953665"/>
    <w:rsid w:val="2E9976CE"/>
    <w:rsid w:val="2EDA456E"/>
    <w:rsid w:val="2EF01DEE"/>
    <w:rsid w:val="2F401D3C"/>
    <w:rsid w:val="2F5B24E1"/>
    <w:rsid w:val="2FA95C88"/>
    <w:rsid w:val="30182A89"/>
    <w:rsid w:val="302A3A0A"/>
    <w:rsid w:val="3041370F"/>
    <w:rsid w:val="30B87FED"/>
    <w:rsid w:val="312B50A3"/>
    <w:rsid w:val="31486EE9"/>
    <w:rsid w:val="315B522B"/>
    <w:rsid w:val="31894FD2"/>
    <w:rsid w:val="318F1FBE"/>
    <w:rsid w:val="32453A27"/>
    <w:rsid w:val="3263064A"/>
    <w:rsid w:val="32770F75"/>
    <w:rsid w:val="32A43132"/>
    <w:rsid w:val="32AC0C06"/>
    <w:rsid w:val="33201DA5"/>
    <w:rsid w:val="33344EF5"/>
    <w:rsid w:val="3383610E"/>
    <w:rsid w:val="340F5638"/>
    <w:rsid w:val="3537750C"/>
    <w:rsid w:val="3537798C"/>
    <w:rsid w:val="35C13FC9"/>
    <w:rsid w:val="35F66EA4"/>
    <w:rsid w:val="36310181"/>
    <w:rsid w:val="36372B05"/>
    <w:rsid w:val="364257B6"/>
    <w:rsid w:val="37290267"/>
    <w:rsid w:val="37EA5922"/>
    <w:rsid w:val="38276B93"/>
    <w:rsid w:val="382E58B8"/>
    <w:rsid w:val="384E5AB2"/>
    <w:rsid w:val="38AC3431"/>
    <w:rsid w:val="39087C97"/>
    <w:rsid w:val="392F2E16"/>
    <w:rsid w:val="39886A38"/>
    <w:rsid w:val="399A69DA"/>
    <w:rsid w:val="39E00529"/>
    <w:rsid w:val="3A0B64A7"/>
    <w:rsid w:val="3A574DDA"/>
    <w:rsid w:val="3A643DBF"/>
    <w:rsid w:val="3AD3075A"/>
    <w:rsid w:val="3AF74C02"/>
    <w:rsid w:val="3BF33702"/>
    <w:rsid w:val="3C0059A5"/>
    <w:rsid w:val="3C134E78"/>
    <w:rsid w:val="3C5C7C56"/>
    <w:rsid w:val="3D024FE4"/>
    <w:rsid w:val="3D3A25CA"/>
    <w:rsid w:val="3DCB38CE"/>
    <w:rsid w:val="3DE02603"/>
    <w:rsid w:val="3DE26608"/>
    <w:rsid w:val="3DF6345D"/>
    <w:rsid w:val="3E2B5515"/>
    <w:rsid w:val="3E445E69"/>
    <w:rsid w:val="3E4D4F28"/>
    <w:rsid w:val="3EA437F3"/>
    <w:rsid w:val="3ED92EC4"/>
    <w:rsid w:val="3EE13701"/>
    <w:rsid w:val="3EFC6DB2"/>
    <w:rsid w:val="3F1A4BB3"/>
    <w:rsid w:val="3F495970"/>
    <w:rsid w:val="3F797AD9"/>
    <w:rsid w:val="3FF65CE6"/>
    <w:rsid w:val="40192BA6"/>
    <w:rsid w:val="406E5F5B"/>
    <w:rsid w:val="41614CC1"/>
    <w:rsid w:val="41766EA9"/>
    <w:rsid w:val="423367A1"/>
    <w:rsid w:val="42550A18"/>
    <w:rsid w:val="429B0BD7"/>
    <w:rsid w:val="429D496A"/>
    <w:rsid w:val="42F473A1"/>
    <w:rsid w:val="431324CB"/>
    <w:rsid w:val="433C73FD"/>
    <w:rsid w:val="437217EA"/>
    <w:rsid w:val="43974077"/>
    <w:rsid w:val="43AB7156"/>
    <w:rsid w:val="441E62C0"/>
    <w:rsid w:val="45094B59"/>
    <w:rsid w:val="450A4D4D"/>
    <w:rsid w:val="452F6EE8"/>
    <w:rsid w:val="45325D14"/>
    <w:rsid w:val="453D13BE"/>
    <w:rsid w:val="45413006"/>
    <w:rsid w:val="455707A9"/>
    <w:rsid w:val="45622D3C"/>
    <w:rsid w:val="45751EAF"/>
    <w:rsid w:val="457B3D2C"/>
    <w:rsid w:val="45811C7C"/>
    <w:rsid w:val="45906116"/>
    <w:rsid w:val="45931B8C"/>
    <w:rsid w:val="459C087E"/>
    <w:rsid w:val="45EF2552"/>
    <w:rsid w:val="46640BA8"/>
    <w:rsid w:val="468B3EFB"/>
    <w:rsid w:val="46E1680A"/>
    <w:rsid w:val="470A6193"/>
    <w:rsid w:val="47385210"/>
    <w:rsid w:val="47395927"/>
    <w:rsid w:val="475510F8"/>
    <w:rsid w:val="47C07070"/>
    <w:rsid w:val="47D54D38"/>
    <w:rsid w:val="47DC4F5C"/>
    <w:rsid w:val="48B40671"/>
    <w:rsid w:val="49205F7F"/>
    <w:rsid w:val="499B5738"/>
    <w:rsid w:val="499F244D"/>
    <w:rsid w:val="49A9693B"/>
    <w:rsid w:val="4A63530A"/>
    <w:rsid w:val="4A973F3F"/>
    <w:rsid w:val="4ACB4D84"/>
    <w:rsid w:val="4AF96BC7"/>
    <w:rsid w:val="4B0D0CEC"/>
    <w:rsid w:val="4B1916B1"/>
    <w:rsid w:val="4B24669A"/>
    <w:rsid w:val="4B862A85"/>
    <w:rsid w:val="4B8C33A1"/>
    <w:rsid w:val="4C5F40FE"/>
    <w:rsid w:val="4CA878C4"/>
    <w:rsid w:val="4CEF36E2"/>
    <w:rsid w:val="4CEF4DC5"/>
    <w:rsid w:val="4D2D3ED6"/>
    <w:rsid w:val="4D73058E"/>
    <w:rsid w:val="4D7A7B6F"/>
    <w:rsid w:val="4E1A20D7"/>
    <w:rsid w:val="4E257655"/>
    <w:rsid w:val="4EB34830"/>
    <w:rsid w:val="4F372380"/>
    <w:rsid w:val="4F372FFB"/>
    <w:rsid w:val="4F474815"/>
    <w:rsid w:val="4F871DAE"/>
    <w:rsid w:val="50206D62"/>
    <w:rsid w:val="5025116D"/>
    <w:rsid w:val="505408CC"/>
    <w:rsid w:val="50550B27"/>
    <w:rsid w:val="50DE0F6D"/>
    <w:rsid w:val="51B84A51"/>
    <w:rsid w:val="52395ECD"/>
    <w:rsid w:val="52C10D75"/>
    <w:rsid w:val="52EC2C4F"/>
    <w:rsid w:val="53C27FF8"/>
    <w:rsid w:val="541746D3"/>
    <w:rsid w:val="548041E2"/>
    <w:rsid w:val="54806794"/>
    <w:rsid w:val="549E1A80"/>
    <w:rsid w:val="54C658F4"/>
    <w:rsid w:val="54C92704"/>
    <w:rsid w:val="550C4BD7"/>
    <w:rsid w:val="554C1D56"/>
    <w:rsid w:val="55572986"/>
    <w:rsid w:val="555D26AF"/>
    <w:rsid w:val="55656217"/>
    <w:rsid w:val="55806920"/>
    <w:rsid w:val="565340FA"/>
    <w:rsid w:val="56AD5F59"/>
    <w:rsid w:val="56C60774"/>
    <w:rsid w:val="56E3631B"/>
    <w:rsid w:val="57486711"/>
    <w:rsid w:val="57B12A52"/>
    <w:rsid w:val="580A39A0"/>
    <w:rsid w:val="58313FB6"/>
    <w:rsid w:val="5858427A"/>
    <w:rsid w:val="58D64A28"/>
    <w:rsid w:val="59425364"/>
    <w:rsid w:val="59444D7C"/>
    <w:rsid w:val="594F05A5"/>
    <w:rsid w:val="595128D6"/>
    <w:rsid w:val="5A2F2CC8"/>
    <w:rsid w:val="5A663955"/>
    <w:rsid w:val="5AA77AC9"/>
    <w:rsid w:val="5AE51395"/>
    <w:rsid w:val="5B0732A2"/>
    <w:rsid w:val="5B1A676E"/>
    <w:rsid w:val="5B596DE8"/>
    <w:rsid w:val="5B8836FB"/>
    <w:rsid w:val="5BE6357C"/>
    <w:rsid w:val="5C10702D"/>
    <w:rsid w:val="5C152601"/>
    <w:rsid w:val="5C4C2264"/>
    <w:rsid w:val="5C591F03"/>
    <w:rsid w:val="5C8A1B2F"/>
    <w:rsid w:val="5C924741"/>
    <w:rsid w:val="5D864083"/>
    <w:rsid w:val="5E2B162C"/>
    <w:rsid w:val="5E7F524D"/>
    <w:rsid w:val="5E8C073E"/>
    <w:rsid w:val="5EB14206"/>
    <w:rsid w:val="5F385194"/>
    <w:rsid w:val="5F3F0D2F"/>
    <w:rsid w:val="5F561B72"/>
    <w:rsid w:val="606007BB"/>
    <w:rsid w:val="60AC7F66"/>
    <w:rsid w:val="60DA3FB5"/>
    <w:rsid w:val="61BF10D9"/>
    <w:rsid w:val="625A5414"/>
    <w:rsid w:val="625C3C13"/>
    <w:rsid w:val="62AC22DC"/>
    <w:rsid w:val="62F86FD5"/>
    <w:rsid w:val="6303755C"/>
    <w:rsid w:val="6375365C"/>
    <w:rsid w:val="63A22BFD"/>
    <w:rsid w:val="64E45EF7"/>
    <w:rsid w:val="65137C9C"/>
    <w:rsid w:val="65234D8A"/>
    <w:rsid w:val="659B319B"/>
    <w:rsid w:val="65A253EE"/>
    <w:rsid w:val="65C45688"/>
    <w:rsid w:val="6691014E"/>
    <w:rsid w:val="66C87CCE"/>
    <w:rsid w:val="66D26A77"/>
    <w:rsid w:val="6708598A"/>
    <w:rsid w:val="670B76C5"/>
    <w:rsid w:val="671C666D"/>
    <w:rsid w:val="67384EA6"/>
    <w:rsid w:val="677435B2"/>
    <w:rsid w:val="67E548C1"/>
    <w:rsid w:val="67EF75F1"/>
    <w:rsid w:val="683B434D"/>
    <w:rsid w:val="684F4F11"/>
    <w:rsid w:val="687A7D07"/>
    <w:rsid w:val="69124F16"/>
    <w:rsid w:val="69481BB6"/>
    <w:rsid w:val="69737C6F"/>
    <w:rsid w:val="69CD5C14"/>
    <w:rsid w:val="69CF0D33"/>
    <w:rsid w:val="6AB966A8"/>
    <w:rsid w:val="6B0845B4"/>
    <w:rsid w:val="6B1317C0"/>
    <w:rsid w:val="6B20695E"/>
    <w:rsid w:val="6B937A67"/>
    <w:rsid w:val="6B9946B3"/>
    <w:rsid w:val="6BE518DA"/>
    <w:rsid w:val="6C276F3A"/>
    <w:rsid w:val="6C7007C7"/>
    <w:rsid w:val="6C8D2840"/>
    <w:rsid w:val="6CE472D5"/>
    <w:rsid w:val="6CEC39FF"/>
    <w:rsid w:val="6D14399E"/>
    <w:rsid w:val="6DE76850"/>
    <w:rsid w:val="6E2D2E36"/>
    <w:rsid w:val="6E7F017C"/>
    <w:rsid w:val="6EC56CC7"/>
    <w:rsid w:val="6FB20BD4"/>
    <w:rsid w:val="6FBA59BE"/>
    <w:rsid w:val="6FC71E08"/>
    <w:rsid w:val="70220040"/>
    <w:rsid w:val="70296B3E"/>
    <w:rsid w:val="70454174"/>
    <w:rsid w:val="70611204"/>
    <w:rsid w:val="70954546"/>
    <w:rsid w:val="709D579F"/>
    <w:rsid w:val="70BA6916"/>
    <w:rsid w:val="70E7097F"/>
    <w:rsid w:val="7165620F"/>
    <w:rsid w:val="717039F8"/>
    <w:rsid w:val="71E847F7"/>
    <w:rsid w:val="72E51112"/>
    <w:rsid w:val="734A1857"/>
    <w:rsid w:val="73C52D0D"/>
    <w:rsid w:val="7456013E"/>
    <w:rsid w:val="74843CE5"/>
    <w:rsid w:val="74A65081"/>
    <w:rsid w:val="74D13AD5"/>
    <w:rsid w:val="74EE65C9"/>
    <w:rsid w:val="74FA2C30"/>
    <w:rsid w:val="7517160E"/>
    <w:rsid w:val="754D5C4B"/>
    <w:rsid w:val="758C1F4C"/>
    <w:rsid w:val="759C224A"/>
    <w:rsid w:val="75B574B1"/>
    <w:rsid w:val="7613645E"/>
    <w:rsid w:val="765E373E"/>
    <w:rsid w:val="76C240A7"/>
    <w:rsid w:val="76DA416A"/>
    <w:rsid w:val="771B741D"/>
    <w:rsid w:val="77200E71"/>
    <w:rsid w:val="77252D09"/>
    <w:rsid w:val="773635C2"/>
    <w:rsid w:val="775246B7"/>
    <w:rsid w:val="77FA6220"/>
    <w:rsid w:val="781E69D1"/>
    <w:rsid w:val="78630FEE"/>
    <w:rsid w:val="7901747F"/>
    <w:rsid w:val="79107E1B"/>
    <w:rsid w:val="798D24A0"/>
    <w:rsid w:val="79C331B5"/>
    <w:rsid w:val="79FC42F4"/>
    <w:rsid w:val="7A194398"/>
    <w:rsid w:val="7A263B6B"/>
    <w:rsid w:val="7AF42D09"/>
    <w:rsid w:val="7AF46346"/>
    <w:rsid w:val="7B0F5EBF"/>
    <w:rsid w:val="7B130FB9"/>
    <w:rsid w:val="7B7862BD"/>
    <w:rsid w:val="7BBC41AB"/>
    <w:rsid w:val="7BD71E38"/>
    <w:rsid w:val="7BE51CB9"/>
    <w:rsid w:val="7BF64EDE"/>
    <w:rsid w:val="7C0F19A9"/>
    <w:rsid w:val="7C400C1E"/>
    <w:rsid w:val="7D092EA1"/>
    <w:rsid w:val="7D4B12F6"/>
    <w:rsid w:val="7DD11708"/>
    <w:rsid w:val="7DEE4A4F"/>
    <w:rsid w:val="7DF85511"/>
    <w:rsid w:val="7E3B0572"/>
    <w:rsid w:val="7E4C34C4"/>
    <w:rsid w:val="7EA1529F"/>
    <w:rsid w:val="7EAE6230"/>
    <w:rsid w:val="7EBD579E"/>
    <w:rsid w:val="7EC167BD"/>
    <w:rsid w:val="7F272D9E"/>
    <w:rsid w:val="7FA1239B"/>
    <w:rsid w:val="7FCB5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38"/>
    <w:qFormat/>
    <w:uiPriority w:val="99"/>
    <w:pPr>
      <w:keepNext/>
      <w:keepLines/>
      <w:spacing w:before="260" w:after="260" w:line="416" w:lineRule="auto"/>
      <w:outlineLvl w:val="2"/>
    </w:pPr>
    <w:rPr>
      <w:b/>
      <w:bCs/>
      <w:sz w:val="32"/>
      <w:szCs w:val="32"/>
    </w:rPr>
  </w:style>
  <w:style w:type="paragraph" w:styleId="8">
    <w:name w:val="heading 5"/>
    <w:basedOn w:val="1"/>
    <w:next w:val="9"/>
    <w:link w:val="39"/>
    <w:qFormat/>
    <w:uiPriority w:val="9"/>
    <w:pPr>
      <w:keepNext/>
      <w:keepLines/>
      <w:spacing w:before="280" w:after="290" w:line="376" w:lineRule="auto"/>
      <w:outlineLvl w:val="4"/>
    </w:pPr>
    <w:rPr>
      <w:b/>
      <w:bCs/>
      <w:sz w:val="28"/>
      <w:szCs w:val="28"/>
    </w:rPr>
  </w:style>
  <w:style w:type="paragraph" w:styleId="10">
    <w:name w:val="heading 8"/>
    <w:basedOn w:val="1"/>
    <w:next w:val="1"/>
    <w:link w:val="40"/>
    <w:qFormat/>
    <w:uiPriority w:val="9"/>
    <w:pPr>
      <w:keepNext/>
      <w:keepLines/>
      <w:spacing w:before="240" w:after="64" w:line="320" w:lineRule="auto"/>
      <w:outlineLvl w:val="7"/>
    </w:pPr>
    <w:rPr>
      <w:rFonts w:ascii="等线 Light" w:hAnsi="等线 Light" w:eastAsia="等线 Light"/>
      <w:sz w:val="24"/>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6"/>
    <w:unhideWhenUsed/>
    <w:qFormat/>
    <w:uiPriority w:val="0"/>
    <w:pPr>
      <w:spacing w:after="120"/>
    </w:pPr>
  </w:style>
  <w:style w:type="paragraph" w:styleId="3">
    <w:name w:val="Body Text First Indent 2"/>
    <w:basedOn w:val="4"/>
    <w:link w:val="49"/>
    <w:unhideWhenUsed/>
    <w:qFormat/>
    <w:uiPriority w:val="99"/>
    <w:pPr>
      <w:spacing w:after="120"/>
      <w:ind w:left="420" w:leftChars="200" w:firstLine="420" w:firstLineChars="200"/>
    </w:pPr>
    <w:rPr>
      <w:kern w:val="2"/>
      <w:sz w:val="21"/>
      <w:szCs w:val="24"/>
    </w:rPr>
  </w:style>
  <w:style w:type="paragraph" w:styleId="4">
    <w:name w:val="Body Text Indent"/>
    <w:basedOn w:val="1"/>
    <w:link w:val="43"/>
    <w:qFormat/>
    <w:uiPriority w:val="0"/>
    <w:pPr>
      <w:ind w:firstLine="830" w:firstLineChars="352"/>
    </w:pPr>
    <w:rPr>
      <w:rFonts w:ascii="仿宋_GB2312" w:eastAsia="仿宋_GB2312"/>
      <w:kern w:val="0"/>
      <w:sz w:val="32"/>
      <w:szCs w:val="20"/>
    </w:rPr>
  </w:style>
  <w:style w:type="paragraph" w:styleId="9">
    <w:name w:val="Normal Indent"/>
    <w:basedOn w:val="1"/>
    <w:next w:val="1"/>
    <w:qFormat/>
    <w:uiPriority w:val="0"/>
    <w:pPr>
      <w:ind w:firstLine="420"/>
    </w:pPr>
    <w:rPr>
      <w:szCs w:val="20"/>
    </w:r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caption"/>
    <w:basedOn w:val="1"/>
    <w:next w:val="1"/>
    <w:qFormat/>
    <w:uiPriority w:val="35"/>
    <w:pPr>
      <w:widowControl/>
      <w:spacing w:line="360" w:lineRule="auto"/>
      <w:jc w:val="center"/>
    </w:pPr>
    <w:rPr>
      <w:rFonts w:ascii="宋体" w:hAnsi="宋体" w:eastAsia="黑体" w:cs="宋体"/>
      <w:kern w:val="0"/>
      <w:sz w:val="24"/>
    </w:rPr>
  </w:style>
  <w:style w:type="paragraph" w:styleId="13">
    <w:name w:val="List Bullet"/>
    <w:basedOn w:val="1"/>
    <w:qFormat/>
    <w:uiPriority w:val="0"/>
    <w:pPr>
      <w:tabs>
        <w:tab w:val="left" w:pos="360"/>
      </w:tabs>
      <w:ind w:left="360" w:hanging="360" w:hangingChars="200"/>
    </w:pPr>
  </w:style>
  <w:style w:type="paragraph" w:styleId="14">
    <w:name w:val="annotation text"/>
    <w:basedOn w:val="1"/>
    <w:link w:val="41"/>
    <w:qFormat/>
    <w:uiPriority w:val="0"/>
    <w:pPr>
      <w:jc w:val="left"/>
    </w:pPr>
  </w:style>
  <w:style w:type="paragraph" w:styleId="15">
    <w:name w:val="Body Text 3"/>
    <w:basedOn w:val="1"/>
    <w:link w:val="42"/>
    <w:unhideWhenUsed/>
    <w:qFormat/>
    <w:uiPriority w:val="99"/>
    <w:pPr>
      <w:spacing w:after="120"/>
    </w:pPr>
    <w:rPr>
      <w:sz w:val="16"/>
      <w:szCs w:val="16"/>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semiHidden/>
    <w:unhideWhenUsed/>
    <w:qFormat/>
    <w:uiPriority w:val="39"/>
    <w:pPr>
      <w:ind w:left="840" w:leftChars="400"/>
    </w:pPr>
  </w:style>
  <w:style w:type="paragraph" w:styleId="18">
    <w:name w:val="Plain Text"/>
    <w:basedOn w:val="1"/>
    <w:link w:val="44"/>
    <w:qFormat/>
    <w:uiPriority w:val="0"/>
    <w:rPr>
      <w:rFonts w:ascii="宋体" w:hAnsi="Courier New"/>
      <w:kern w:val="0"/>
      <w:sz w:val="20"/>
      <w:szCs w:val="21"/>
    </w:rPr>
  </w:style>
  <w:style w:type="paragraph" w:styleId="19">
    <w:name w:val="Date"/>
    <w:basedOn w:val="1"/>
    <w:next w:val="1"/>
    <w:link w:val="45"/>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link w:val="46"/>
    <w:unhideWhenUsed/>
    <w:qFormat/>
    <w:uiPriority w:val="99"/>
    <w:pPr>
      <w:tabs>
        <w:tab w:val="center" w:pos="4153"/>
        <w:tab w:val="right" w:pos="8306"/>
      </w:tabs>
      <w:snapToGrid w:val="0"/>
      <w:jc w:val="left"/>
    </w:pPr>
    <w:rPr>
      <w:kern w:val="0"/>
      <w:sz w:val="18"/>
      <w:szCs w:val="18"/>
    </w:rPr>
  </w:style>
  <w:style w:type="paragraph" w:styleId="22">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toc 2"/>
    <w:basedOn w:val="1"/>
    <w:next w:val="1"/>
    <w:unhideWhenUsed/>
    <w:qFormat/>
    <w:uiPriority w:val="39"/>
    <w:pPr>
      <w:tabs>
        <w:tab w:val="right" w:leader="dot" w:pos="8296"/>
      </w:tabs>
      <w:ind w:left="420" w:leftChars="200"/>
    </w:pPr>
  </w:style>
  <w:style w:type="paragraph" w:styleId="25">
    <w:name w:val="Normal (Web)"/>
    <w:basedOn w:val="1"/>
    <w:unhideWhenUsed/>
    <w:qFormat/>
    <w:uiPriority w:val="99"/>
    <w:rPr>
      <w:rFonts w:ascii="Calibri" w:hAnsi="Calibri"/>
      <w:kern w:val="0"/>
      <w:sz w:val="24"/>
    </w:rPr>
  </w:style>
  <w:style w:type="paragraph" w:styleId="26">
    <w:name w:val="annotation subject"/>
    <w:basedOn w:val="14"/>
    <w:next w:val="14"/>
    <w:link w:val="48"/>
    <w:qFormat/>
    <w:uiPriority w:val="99"/>
    <w:rPr>
      <w:b/>
      <w:bCs/>
    </w:rPr>
  </w:style>
  <w:style w:type="paragraph" w:styleId="27">
    <w:name w:val="Body Text First Indent"/>
    <w:basedOn w:val="2"/>
    <w:qFormat/>
    <w:uiPriority w:val="0"/>
    <w:pPr>
      <w:ind w:firstLine="420" w:firstLineChars="100"/>
    </w:p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22"/>
    <w:rPr>
      <w:b/>
    </w:rPr>
  </w:style>
  <w:style w:type="character" w:styleId="32">
    <w:name w:val="endnote reference"/>
    <w:unhideWhenUsed/>
    <w:qFormat/>
    <w:uiPriority w:val="99"/>
    <w:rPr>
      <w:vertAlign w:val="superscript"/>
    </w:rPr>
  </w:style>
  <w:style w:type="character" w:styleId="33">
    <w:name w:val="Hyperlink"/>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标题 1 Char"/>
    <w:link w:val="5"/>
    <w:qFormat/>
    <w:uiPriority w:val="9"/>
    <w:rPr>
      <w:b/>
      <w:bCs/>
      <w:kern w:val="44"/>
      <w:sz w:val="44"/>
      <w:szCs w:val="44"/>
    </w:rPr>
  </w:style>
  <w:style w:type="character" w:customStyle="1" w:styleId="36">
    <w:name w:val="正文文本 Char1"/>
    <w:link w:val="2"/>
    <w:qFormat/>
    <w:uiPriority w:val="0"/>
    <w:rPr>
      <w:rFonts w:ascii="Times New Roman" w:hAnsi="Times New Roman"/>
      <w:kern w:val="2"/>
      <w:sz w:val="21"/>
      <w:szCs w:val="24"/>
    </w:rPr>
  </w:style>
  <w:style w:type="character" w:customStyle="1" w:styleId="37">
    <w:name w:val="标题 2 Char1"/>
    <w:link w:val="6"/>
    <w:qFormat/>
    <w:uiPriority w:val="9"/>
    <w:rPr>
      <w:rFonts w:ascii="Cambria" w:hAnsi="Cambria" w:eastAsia="宋体" w:cs="Times New Roman"/>
      <w:b/>
      <w:bCs/>
      <w:kern w:val="2"/>
      <w:sz w:val="32"/>
      <w:szCs w:val="32"/>
    </w:rPr>
  </w:style>
  <w:style w:type="character" w:customStyle="1" w:styleId="38">
    <w:name w:val="标题 3 Char"/>
    <w:link w:val="7"/>
    <w:qFormat/>
    <w:uiPriority w:val="99"/>
    <w:rPr>
      <w:b/>
      <w:bCs/>
      <w:kern w:val="2"/>
      <w:sz w:val="32"/>
      <w:szCs w:val="32"/>
    </w:rPr>
  </w:style>
  <w:style w:type="character" w:customStyle="1" w:styleId="39">
    <w:name w:val="标题 5 Char"/>
    <w:link w:val="8"/>
    <w:semiHidden/>
    <w:qFormat/>
    <w:uiPriority w:val="9"/>
    <w:rPr>
      <w:rFonts w:ascii="Times New Roman" w:hAnsi="Times New Roman"/>
      <w:b/>
      <w:bCs/>
      <w:kern w:val="2"/>
      <w:sz w:val="28"/>
      <w:szCs w:val="28"/>
    </w:rPr>
  </w:style>
  <w:style w:type="character" w:customStyle="1" w:styleId="40">
    <w:name w:val="标题 8 Char1"/>
    <w:link w:val="10"/>
    <w:semiHidden/>
    <w:qFormat/>
    <w:uiPriority w:val="9"/>
    <w:rPr>
      <w:rFonts w:ascii="等线 Light" w:hAnsi="等线 Light" w:eastAsia="等线 Light" w:cs="Times New Roman"/>
      <w:kern w:val="2"/>
      <w:sz w:val="24"/>
      <w:szCs w:val="24"/>
    </w:rPr>
  </w:style>
  <w:style w:type="character" w:customStyle="1" w:styleId="41">
    <w:name w:val="批注文字 Char1"/>
    <w:link w:val="14"/>
    <w:qFormat/>
    <w:uiPriority w:val="0"/>
    <w:rPr>
      <w:rFonts w:ascii="Times New Roman" w:hAnsi="Times New Roman"/>
      <w:kern w:val="2"/>
      <w:sz w:val="21"/>
      <w:szCs w:val="24"/>
    </w:rPr>
  </w:style>
  <w:style w:type="character" w:customStyle="1" w:styleId="42">
    <w:name w:val="正文文本 3 Char"/>
    <w:link w:val="15"/>
    <w:semiHidden/>
    <w:qFormat/>
    <w:uiPriority w:val="99"/>
    <w:rPr>
      <w:kern w:val="2"/>
      <w:sz w:val="16"/>
      <w:szCs w:val="16"/>
    </w:rPr>
  </w:style>
  <w:style w:type="character" w:customStyle="1" w:styleId="43">
    <w:name w:val="正文文本缩进 Char"/>
    <w:link w:val="4"/>
    <w:qFormat/>
    <w:uiPriority w:val="0"/>
    <w:rPr>
      <w:rFonts w:ascii="仿宋_GB2312" w:hAnsi="Times New Roman" w:eastAsia="仿宋_GB2312" w:cs="Times New Roman"/>
      <w:sz w:val="32"/>
      <w:szCs w:val="20"/>
    </w:rPr>
  </w:style>
  <w:style w:type="character" w:customStyle="1" w:styleId="44">
    <w:name w:val="纯文本 Char1"/>
    <w:link w:val="18"/>
    <w:qFormat/>
    <w:uiPriority w:val="0"/>
    <w:rPr>
      <w:rFonts w:ascii="宋体" w:hAnsi="Courier New" w:eastAsia="宋体" w:cs="Courier New"/>
      <w:szCs w:val="21"/>
    </w:rPr>
  </w:style>
  <w:style w:type="character" w:customStyle="1" w:styleId="45">
    <w:name w:val="日期 Char"/>
    <w:link w:val="19"/>
    <w:semiHidden/>
    <w:qFormat/>
    <w:uiPriority w:val="99"/>
    <w:rPr>
      <w:rFonts w:ascii="Times New Roman" w:hAnsi="Times New Roman"/>
      <w:kern w:val="2"/>
      <w:sz w:val="21"/>
      <w:szCs w:val="24"/>
    </w:rPr>
  </w:style>
  <w:style w:type="character" w:customStyle="1" w:styleId="46">
    <w:name w:val="页脚 Char"/>
    <w:link w:val="21"/>
    <w:qFormat/>
    <w:uiPriority w:val="99"/>
    <w:rPr>
      <w:sz w:val="18"/>
      <w:szCs w:val="18"/>
    </w:rPr>
  </w:style>
  <w:style w:type="character" w:customStyle="1" w:styleId="47">
    <w:name w:val="页眉 Char"/>
    <w:link w:val="22"/>
    <w:qFormat/>
    <w:uiPriority w:val="99"/>
    <w:rPr>
      <w:sz w:val="18"/>
      <w:szCs w:val="18"/>
    </w:rPr>
  </w:style>
  <w:style w:type="character" w:customStyle="1" w:styleId="48">
    <w:name w:val="批注主题 Char"/>
    <w:link w:val="26"/>
    <w:qFormat/>
    <w:uiPriority w:val="99"/>
    <w:rPr>
      <w:rFonts w:ascii="Times New Roman" w:hAnsi="Times New Roman"/>
      <w:b/>
      <w:bCs/>
      <w:kern w:val="2"/>
      <w:sz w:val="21"/>
      <w:szCs w:val="24"/>
    </w:rPr>
  </w:style>
  <w:style w:type="character" w:customStyle="1" w:styleId="49">
    <w:name w:val="正文首行缩进 2 Char"/>
    <w:link w:val="3"/>
    <w:qFormat/>
    <w:uiPriority w:val="99"/>
    <w:rPr>
      <w:rFonts w:ascii="仿宋_GB2312" w:hAnsi="Times New Roman" w:eastAsia="仿宋_GB2312" w:cs="Times New Roman"/>
      <w:kern w:val="2"/>
      <w:sz w:val="21"/>
      <w:szCs w:val="24"/>
    </w:rPr>
  </w:style>
  <w:style w:type="character" w:customStyle="1" w:styleId="50">
    <w:name w:val="apple-style-span"/>
    <w:qFormat/>
    <w:uiPriority w:val="0"/>
  </w:style>
  <w:style w:type="character" w:customStyle="1" w:styleId="51">
    <w:name w:val="font101"/>
    <w:qFormat/>
    <w:uiPriority w:val="0"/>
    <w:rPr>
      <w:rFonts w:hint="eastAsia" w:ascii="宋体" w:hAnsi="宋体" w:eastAsia="宋体"/>
      <w:color w:val="000000"/>
      <w:sz w:val="20"/>
      <w:szCs w:val="20"/>
      <w:u w:val="none"/>
      <w:vertAlign w:val="superscript"/>
    </w:rPr>
  </w:style>
  <w:style w:type="character" w:customStyle="1" w:styleId="52">
    <w:name w:val="标题 2 Char"/>
    <w:qFormat/>
    <w:uiPriority w:val="9"/>
    <w:rPr>
      <w:rFonts w:ascii="Cambria" w:hAnsi="Cambria" w:eastAsia="宋体" w:cs="Times New Roman"/>
      <w:b/>
      <w:bCs/>
      <w:kern w:val="2"/>
      <w:sz w:val="32"/>
      <w:szCs w:val="32"/>
    </w:rPr>
  </w:style>
  <w:style w:type="character" w:customStyle="1" w:styleId="53">
    <w:name w:val="纯文本 字符"/>
    <w:qFormat/>
    <w:uiPriority w:val="0"/>
    <w:rPr>
      <w:rFonts w:ascii="宋体" w:hAnsi="Courier New" w:eastAsia="宋体" w:cs="Courier New"/>
      <w:szCs w:val="21"/>
    </w:rPr>
  </w:style>
  <w:style w:type="character" w:customStyle="1" w:styleId="54">
    <w:name w:val="批注文字 字符1"/>
    <w:qFormat/>
    <w:uiPriority w:val="0"/>
    <w:rPr>
      <w:rFonts w:ascii="Times New Roman" w:hAnsi="Times New Roman"/>
      <w:kern w:val="2"/>
      <w:sz w:val="21"/>
      <w:szCs w:val="24"/>
    </w:rPr>
  </w:style>
  <w:style w:type="character" w:customStyle="1" w:styleId="55">
    <w:name w:val="批注文字 Char2"/>
    <w:qFormat/>
    <w:uiPriority w:val="0"/>
    <w:rPr>
      <w:rFonts w:ascii="Times New Roman" w:hAnsi="Times New Roman"/>
      <w:kern w:val="2"/>
      <w:sz w:val="21"/>
      <w:szCs w:val="24"/>
    </w:rPr>
  </w:style>
  <w:style w:type="character" w:customStyle="1" w:styleId="56">
    <w:name w:val="font132"/>
    <w:qFormat/>
    <w:uiPriority w:val="0"/>
    <w:rPr>
      <w:rFonts w:hint="eastAsia" w:ascii="宋体" w:hAnsi="宋体" w:eastAsia="宋体" w:cs="宋体"/>
      <w:color w:val="000000"/>
      <w:sz w:val="28"/>
      <w:szCs w:val="28"/>
      <w:u w:val="none"/>
    </w:rPr>
  </w:style>
  <w:style w:type="character" w:customStyle="1" w:styleId="57">
    <w:name w:val="font71"/>
    <w:qFormat/>
    <w:uiPriority w:val="0"/>
    <w:rPr>
      <w:rFonts w:hint="eastAsia" w:ascii="宋体" w:hAnsi="宋体" w:eastAsia="宋体"/>
      <w:color w:val="000000"/>
      <w:sz w:val="20"/>
      <w:szCs w:val="20"/>
      <w:u w:val="none"/>
    </w:rPr>
  </w:style>
  <w:style w:type="character" w:customStyle="1" w:styleId="58">
    <w:name w:val="纯文本 Char"/>
    <w:qFormat/>
    <w:uiPriority w:val="0"/>
    <w:rPr>
      <w:rFonts w:ascii="宋体" w:hAnsi="Courier New" w:eastAsia="宋体" w:cs="Courier New"/>
      <w:szCs w:val="21"/>
    </w:rPr>
  </w:style>
  <w:style w:type="character" w:customStyle="1" w:styleId="59">
    <w:name w:val="font01"/>
    <w:qFormat/>
    <w:uiPriority w:val="0"/>
    <w:rPr>
      <w:rFonts w:hint="eastAsia" w:ascii="宋体" w:hAnsi="宋体" w:eastAsia="宋体" w:cs="宋体"/>
      <w:color w:val="000000"/>
      <w:sz w:val="22"/>
      <w:szCs w:val="22"/>
      <w:u w:val="none"/>
    </w:rPr>
  </w:style>
  <w:style w:type="character" w:customStyle="1" w:styleId="60">
    <w:name w:val="标题 1 字符1"/>
    <w:qFormat/>
    <w:uiPriority w:val="0"/>
    <w:rPr>
      <w:b/>
      <w:bCs/>
      <w:kern w:val="44"/>
      <w:sz w:val="44"/>
      <w:szCs w:val="44"/>
    </w:rPr>
  </w:style>
  <w:style w:type="character" w:customStyle="1" w:styleId="61">
    <w:name w:val="正文文本 Char"/>
    <w:qFormat/>
    <w:uiPriority w:val="0"/>
    <w:rPr>
      <w:rFonts w:ascii="Times New Roman" w:hAnsi="Times New Roman"/>
      <w:kern w:val="2"/>
      <w:sz w:val="21"/>
      <w:szCs w:val="24"/>
    </w:rPr>
  </w:style>
  <w:style w:type="character" w:customStyle="1" w:styleId="62">
    <w:name w:val="正文文本 字符"/>
    <w:qFormat/>
    <w:uiPriority w:val="0"/>
    <w:rPr>
      <w:rFonts w:ascii="Times New Roman" w:hAnsi="Times New Roman"/>
      <w:kern w:val="2"/>
      <w:sz w:val="21"/>
      <w:szCs w:val="24"/>
    </w:rPr>
  </w:style>
  <w:style w:type="character" w:customStyle="1" w:styleId="63">
    <w:name w:val="正文2 Char Char"/>
    <w:link w:val="64"/>
    <w:qFormat/>
    <w:uiPriority w:val="0"/>
    <w:rPr>
      <w:kern w:val="2"/>
      <w:sz w:val="24"/>
    </w:rPr>
  </w:style>
  <w:style w:type="paragraph" w:customStyle="1" w:styleId="64">
    <w:name w:val="正文2"/>
    <w:basedOn w:val="1"/>
    <w:link w:val="63"/>
    <w:qFormat/>
    <w:uiPriority w:val="0"/>
    <w:pPr>
      <w:adjustRightInd w:val="0"/>
      <w:spacing w:before="156" w:line="360" w:lineRule="auto"/>
      <w:ind w:firstLine="510" w:firstLineChars="200"/>
    </w:pPr>
    <w:rPr>
      <w:sz w:val="24"/>
      <w:szCs w:val="20"/>
    </w:rPr>
  </w:style>
  <w:style w:type="character" w:customStyle="1" w:styleId="65">
    <w:name w:val="textcontents"/>
    <w:qFormat/>
    <w:uiPriority w:val="0"/>
  </w:style>
  <w:style w:type="character" w:customStyle="1" w:styleId="66">
    <w:name w:val="批注文字 字符"/>
    <w:qFormat/>
    <w:uiPriority w:val="0"/>
    <w:rPr>
      <w:rFonts w:ascii="Times New Roman" w:hAnsi="Times New Roman"/>
      <w:kern w:val="2"/>
      <w:sz w:val="21"/>
      <w:szCs w:val="24"/>
    </w:rPr>
  </w:style>
  <w:style w:type="character" w:customStyle="1" w:styleId="67">
    <w:name w:val="标题 8 Char"/>
    <w:qFormat/>
    <w:uiPriority w:val="0"/>
    <w:rPr>
      <w:rFonts w:ascii="Arial" w:hAnsi="Arial" w:eastAsia="黑体"/>
      <w:kern w:val="2"/>
      <w:sz w:val="24"/>
      <w:szCs w:val="24"/>
    </w:rPr>
  </w:style>
  <w:style w:type="character" w:customStyle="1" w:styleId="68">
    <w:name w:val="font131"/>
    <w:qFormat/>
    <w:uiPriority w:val="0"/>
    <w:rPr>
      <w:rFonts w:hint="eastAsia" w:ascii="宋体" w:hAnsi="宋体" w:eastAsia="宋体" w:cs="宋体"/>
      <w:color w:val="000000"/>
      <w:sz w:val="28"/>
      <w:szCs w:val="28"/>
      <w:u w:val="none"/>
    </w:rPr>
  </w:style>
  <w:style w:type="character" w:customStyle="1" w:styleId="69">
    <w:name w:val="批注文字 Char"/>
    <w:qFormat/>
    <w:uiPriority w:val="0"/>
    <w:rPr>
      <w:rFonts w:ascii="Times New Roman" w:hAnsi="Times New Roman"/>
      <w:kern w:val="2"/>
      <w:sz w:val="21"/>
      <w:szCs w:val="24"/>
    </w:rPr>
  </w:style>
  <w:style w:type="character" w:customStyle="1" w:styleId="70">
    <w:name w:val="纯文本 字符1"/>
    <w:qFormat/>
    <w:uiPriority w:val="0"/>
    <w:rPr>
      <w:rFonts w:ascii="宋体" w:hAnsi="Courier New"/>
    </w:rPr>
  </w:style>
  <w:style w:type="character" w:customStyle="1" w:styleId="7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2">
    <w:name w:val="纯文本 字符2"/>
    <w:qFormat/>
    <w:uiPriority w:val="0"/>
    <w:rPr>
      <w:rFonts w:ascii="宋体" w:hAnsi="Courier New" w:eastAsia="宋体" w:cs="Courier New"/>
      <w:szCs w:val="21"/>
    </w:rPr>
  </w:style>
  <w:style w:type="character" w:customStyle="1" w:styleId="73">
    <w:name w:val="font121"/>
    <w:qFormat/>
    <w:uiPriority w:val="0"/>
    <w:rPr>
      <w:rFonts w:hint="eastAsia" w:ascii="宋体" w:hAnsi="宋体" w:eastAsia="宋体" w:cs="宋体"/>
      <w:color w:val="000000"/>
      <w:sz w:val="24"/>
      <w:szCs w:val="24"/>
      <w:u w:val="none"/>
    </w:rPr>
  </w:style>
  <w:style w:type="character" w:customStyle="1" w:styleId="74">
    <w:name w:val="font31"/>
    <w:qFormat/>
    <w:uiPriority w:val="0"/>
    <w:rPr>
      <w:rFonts w:hint="eastAsia" w:ascii="宋体" w:hAnsi="宋体" w:eastAsia="宋体"/>
      <w:color w:val="000000"/>
      <w:sz w:val="20"/>
      <w:szCs w:val="20"/>
      <w:u w:val="none"/>
    </w:rPr>
  </w:style>
  <w:style w:type="character" w:customStyle="1" w:styleId="75">
    <w:name w:val="font21"/>
    <w:qFormat/>
    <w:uiPriority w:val="0"/>
    <w:rPr>
      <w:rFonts w:hint="eastAsia" w:ascii="宋体" w:hAnsi="宋体" w:eastAsia="宋体"/>
      <w:color w:val="000000"/>
      <w:sz w:val="24"/>
      <w:szCs w:val="24"/>
      <w:u w:val="none"/>
    </w:rPr>
  </w:style>
  <w:style w:type="character" w:customStyle="1" w:styleId="76">
    <w:name w:val="font51"/>
    <w:qFormat/>
    <w:uiPriority w:val="0"/>
    <w:rPr>
      <w:rFonts w:hint="eastAsia" w:ascii="宋体" w:hAnsi="宋体" w:eastAsia="宋体"/>
      <w:color w:val="000000"/>
      <w:sz w:val="24"/>
      <w:szCs w:val="24"/>
      <w:u w:val="none"/>
    </w:rPr>
  </w:style>
  <w:style w:type="character" w:customStyle="1" w:styleId="77">
    <w:name w:val="font61"/>
    <w:qFormat/>
    <w:uiPriority w:val="0"/>
    <w:rPr>
      <w:rFonts w:hint="eastAsia" w:ascii="宋体" w:hAnsi="宋体" w:eastAsia="宋体" w:cs="宋体"/>
      <w:b/>
      <w:bCs/>
      <w:color w:val="000000"/>
      <w:sz w:val="24"/>
      <w:szCs w:val="24"/>
      <w:u w:val="none"/>
    </w:rPr>
  </w:style>
  <w:style w:type="character" w:customStyle="1" w:styleId="78">
    <w:name w:val="font41"/>
    <w:qFormat/>
    <w:uiPriority w:val="0"/>
    <w:rPr>
      <w:rFonts w:ascii="宋体" w:hAnsi="宋体" w:eastAsia="宋体" w:cs="宋体"/>
      <w:b/>
      <w:bCs/>
      <w:color w:val="000000"/>
      <w:sz w:val="20"/>
      <w:szCs w:val="20"/>
      <w:u w:val="none"/>
    </w:rPr>
  </w:style>
  <w:style w:type="character" w:customStyle="1" w:styleId="79">
    <w:name w:val="样式 宋体 三号"/>
    <w:qFormat/>
    <w:uiPriority w:val="0"/>
    <w:rPr>
      <w:rFonts w:hint="eastAsia" w:ascii="宋体" w:hAnsi="宋体" w:eastAsia="宋体" w:cs="Times New Roman"/>
      <w:sz w:val="30"/>
    </w:rPr>
  </w:style>
  <w:style w:type="paragraph" w:customStyle="1" w:styleId="8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81">
    <w:name w:val="Table Paragraph"/>
    <w:basedOn w:val="1"/>
    <w:qFormat/>
    <w:uiPriority w:val="1"/>
    <w:pPr>
      <w:jc w:val="left"/>
    </w:pPr>
    <w:rPr>
      <w:rFonts w:ascii="Calibri" w:hAnsi="Calibri"/>
      <w:kern w:val="0"/>
      <w:sz w:val="22"/>
      <w:szCs w:val="22"/>
      <w:lang w:eastAsia="en-US"/>
    </w:rPr>
  </w:style>
  <w:style w:type="paragraph" w:styleId="82">
    <w:name w:val="List Paragraph"/>
    <w:basedOn w:val="1"/>
    <w:qFormat/>
    <w:uiPriority w:val="34"/>
    <w:pPr>
      <w:ind w:firstLine="420" w:firstLineChars="200"/>
    </w:p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paragraph" w:customStyle="1" w:styleId="84">
    <w:name w:val="表格文字115"/>
    <w:basedOn w:val="1"/>
    <w:qFormat/>
    <w:uiPriority w:val="0"/>
    <w:pPr>
      <w:jc w:val="left"/>
    </w:pPr>
    <w:rPr>
      <w:bCs/>
      <w:spacing w:val="10"/>
      <w:kern w:val="0"/>
      <w:sz w:val="24"/>
    </w:rPr>
  </w:style>
  <w:style w:type="paragraph" w:customStyle="1" w:styleId="85">
    <w:name w:val="p0"/>
    <w:basedOn w:val="1"/>
    <w:qFormat/>
    <w:uiPriority w:val="0"/>
    <w:pPr>
      <w:widowControl/>
    </w:pPr>
    <w:rPr>
      <w:kern w:val="0"/>
      <w:szCs w:val="21"/>
    </w:rPr>
  </w:style>
  <w:style w:type="paragraph" w:customStyle="1" w:styleId="86">
    <w:name w:val="表内文字"/>
    <w:basedOn w:val="1"/>
    <w:qFormat/>
    <w:uiPriority w:val="0"/>
    <w:pPr>
      <w:snapToGrid w:val="0"/>
      <w:spacing w:before="50" w:after="50"/>
      <w:jc w:val="center"/>
    </w:pPr>
    <w:rPr>
      <w:rFonts w:ascii="仿宋_GB2312" w:hAnsi="宋体" w:eastAsia="仿宋_GB2312"/>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17967</Words>
  <Characters>19197</Characters>
  <Lines>356</Lines>
  <Paragraphs>100</Paragraphs>
  <TotalTime>16</TotalTime>
  <ScaleCrop>false</ScaleCrop>
  <LinksUpToDate>false</LinksUpToDate>
  <CharactersWithSpaces>19595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2025-04-30T11:39:00Z</dcterms:created>
  <dc:creator>唐冰</dc:creator>
  <cp:lastModifiedBy>Q1373617151</cp:lastModifiedBy>
  <cp:lastPrinted>2023-04-14T08:25:00Z</cp:lastPrinted>
  <dcterms:modified xsi:type="dcterms:W3CDTF">2025-04-30T15:38:54Z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1E4C7C591FA942D9B094C5211DAEC63D</vt:lpwstr>
  </property>
  <property fmtid="{D5CDD505-2E9C-101B-9397-08002B2CF9AE}" pid="4" name="KSOTemplateDocerSaveRecord">
    <vt:lpwstr>eyJoZGlkIjoiNWQ1NTcxMGNkNzdkMWMwZDMwOTQ2NzJiODhkN2YwYjciLCJ1c2VySWQiOiIzMjg0MDk4In0=</vt:lpwstr>
  </property>
</Properties>
</file>