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945CC">
      <w:pPr>
        <w:spacing w:line="360" w:lineRule="auto"/>
        <w:jc w:val="center"/>
        <w:rPr>
          <w:rFonts w:ascii="方正小标宋简体" w:hAnsi="宋体" w:eastAsia="方正小标宋简体"/>
          <w:color w:val="auto"/>
          <w:sz w:val="52"/>
          <w:szCs w:val="52"/>
          <w:highlight w:val="none"/>
        </w:rPr>
      </w:pPr>
    </w:p>
    <w:p w14:paraId="0C21C574">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2D91AC15">
      <w:pPr>
        <w:spacing w:line="360" w:lineRule="auto"/>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 </w:t>
      </w:r>
    </w:p>
    <w:p w14:paraId="05DE8BD2">
      <w:pPr>
        <w:spacing w:line="360" w:lineRule="auto"/>
        <w:jc w:val="center"/>
        <w:rPr>
          <w:rFonts w:ascii="方正小标宋简体" w:hAnsi="方正小标宋简体" w:eastAsia="方正小标宋简体" w:cs="方正小标宋简体"/>
          <w:b/>
          <w:color w:val="auto"/>
          <w:sz w:val="44"/>
          <w:szCs w:val="44"/>
          <w:highlight w:val="none"/>
        </w:rPr>
      </w:pPr>
    </w:p>
    <w:p w14:paraId="6FFA97D5">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39140C46">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2C3016F8">
      <w:pPr>
        <w:snapToGrid w:val="0"/>
        <w:spacing w:line="360" w:lineRule="auto"/>
        <w:rPr>
          <w:rFonts w:ascii="仿宋_GB2312" w:hAnsi="宋体" w:eastAsia="仿宋_GB2312"/>
          <w:color w:val="auto"/>
          <w:sz w:val="30"/>
          <w:szCs w:val="72"/>
          <w:highlight w:val="none"/>
        </w:rPr>
      </w:pPr>
    </w:p>
    <w:p w14:paraId="7E74C498">
      <w:pPr>
        <w:pStyle w:val="18"/>
        <w:snapToGrid w:val="0"/>
        <w:spacing w:line="360" w:lineRule="auto"/>
        <w:ind w:left="708" w:leftChars="337" w:firstLine="852" w:firstLineChars="283"/>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Cs/>
          <w:color w:val="auto"/>
          <w:sz w:val="30"/>
          <w:szCs w:val="30"/>
          <w:highlight w:val="none"/>
        </w:rPr>
        <w:t>：</w:t>
      </w:r>
      <w:r>
        <w:rPr>
          <w:rFonts w:hint="eastAsia" w:ascii="仿宋_GB2312" w:hAnsi="宋体" w:eastAsia="仿宋_GB2312"/>
          <w:b/>
          <w:bCs/>
          <w:color w:val="auto"/>
          <w:sz w:val="30"/>
          <w:szCs w:val="30"/>
          <w:highlight w:val="none"/>
        </w:rPr>
        <w:t>广西涠洲岛珊瑚礁国家级海洋公园2025年度珊瑚礁生态现状监测、边界浮标维护及保护宣传项目</w:t>
      </w:r>
    </w:p>
    <w:p w14:paraId="7720A705">
      <w:pPr>
        <w:snapToGrid w:val="0"/>
        <w:spacing w:line="360" w:lineRule="auto"/>
        <w:ind w:firstLine="1482" w:firstLineChars="518"/>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Cs/>
          <w:color w:val="auto"/>
          <w:w w:val="95"/>
          <w:sz w:val="30"/>
          <w:szCs w:val="30"/>
          <w:highlight w:val="none"/>
        </w:rPr>
        <w:t>：</w:t>
      </w:r>
      <w:r>
        <w:rPr>
          <w:rFonts w:hint="eastAsia" w:ascii="仿宋_GB2312" w:hAnsi="宋体" w:eastAsia="仿宋_GB2312"/>
          <w:b/>
          <w:bCs/>
          <w:color w:val="auto"/>
          <w:w w:val="95"/>
          <w:kern w:val="0"/>
          <w:sz w:val="30"/>
          <w:szCs w:val="30"/>
          <w:highlight w:val="none"/>
        </w:rPr>
        <w:t>BHZC2025-C3-990057-YZLZ</w:t>
      </w:r>
    </w:p>
    <w:p w14:paraId="76A42755">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广西涠洲岛珊瑚礁国家级海洋公园管理站</w:t>
      </w:r>
    </w:p>
    <w:p w14:paraId="719048C5">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云之龙</w:t>
      </w:r>
      <w:r>
        <w:rPr>
          <w:rFonts w:ascii="仿宋_GB2312" w:hAnsi="宋体" w:eastAsia="仿宋_GB2312"/>
          <w:b/>
          <w:bCs/>
          <w:color w:val="auto"/>
          <w:w w:val="95"/>
          <w:sz w:val="30"/>
          <w:szCs w:val="30"/>
          <w:highlight w:val="none"/>
        </w:rPr>
        <w:t>咨询集团有限公司</w:t>
      </w:r>
    </w:p>
    <w:p w14:paraId="65588D42">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4545CB68">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780174A2">
      <w:pPr>
        <w:pStyle w:val="18"/>
        <w:snapToGrid w:val="0"/>
        <w:spacing w:line="360" w:lineRule="auto"/>
        <w:ind w:left="420" w:firstLine="841" w:firstLineChars="294"/>
        <w:rPr>
          <w:rFonts w:hint="eastAsia" w:hAnsi="宋体" w:eastAsia="仿宋_GB2312" w:cs="宋体"/>
          <w:b/>
          <w:bCs/>
          <w:color w:val="auto"/>
          <w:sz w:val="32"/>
          <w:szCs w:val="32"/>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2025年4月28日</w:t>
      </w:r>
    </w:p>
    <w:p w14:paraId="037BC21E">
      <w:pPr>
        <w:spacing w:line="360" w:lineRule="auto"/>
        <w:jc w:val="center"/>
        <w:rPr>
          <w:rFonts w:ascii="宋体" w:hAnsi="宋体" w:cs="宋体"/>
          <w:b/>
          <w:bCs/>
          <w:color w:val="auto"/>
          <w:kern w:val="0"/>
          <w:sz w:val="32"/>
          <w:szCs w:val="32"/>
          <w:highlight w:val="none"/>
        </w:rPr>
      </w:pPr>
    </w:p>
    <w:p w14:paraId="73EE5EA7">
      <w:pPr>
        <w:spacing w:line="360" w:lineRule="auto"/>
        <w:jc w:val="center"/>
        <w:rPr>
          <w:rFonts w:ascii="宋体" w:hAnsi="宋体" w:cs="宋体"/>
          <w:b/>
          <w:bCs/>
          <w:color w:val="auto"/>
          <w:kern w:val="0"/>
          <w:sz w:val="32"/>
          <w:szCs w:val="32"/>
          <w:highlight w:val="none"/>
        </w:rPr>
      </w:pPr>
    </w:p>
    <w:p w14:paraId="494A9D2F">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264C7A52">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AEAE40C">
      <w:pPr>
        <w:spacing w:line="400" w:lineRule="exact"/>
        <w:jc w:val="center"/>
        <w:rPr>
          <w:rFonts w:ascii="宋体" w:hAnsi="宋体"/>
          <w:b/>
          <w:color w:val="auto"/>
          <w:sz w:val="44"/>
          <w:szCs w:val="44"/>
          <w:highlight w:val="none"/>
        </w:rPr>
      </w:pPr>
    </w:p>
    <w:p w14:paraId="7AD78431">
      <w:pPr>
        <w:pStyle w:val="23"/>
        <w:tabs>
          <w:tab w:val="right" w:leader="dot" w:pos="8879"/>
        </w:tabs>
        <w:rPr>
          <w:rFonts w:ascii="宋体" w:hAnsi="宋体" w:cs="宋体"/>
          <w:b/>
          <w:bCs/>
          <w:color w:val="auto"/>
          <w:sz w:val="24"/>
          <w:szCs w:val="32"/>
          <w:highlight w:val="none"/>
        </w:rPr>
      </w:pPr>
      <w:r>
        <w:rPr>
          <w:rFonts w:ascii="宋体" w:hAnsi="宋体"/>
          <w:b/>
          <w:bCs/>
          <w:color w:val="auto"/>
          <w:sz w:val="24"/>
          <w:highlight w:val="none"/>
        </w:rPr>
        <w:fldChar w:fldCharType="begin"/>
      </w:r>
      <w:r>
        <w:rPr>
          <w:rFonts w:ascii="宋体" w:hAnsi="宋体"/>
          <w:b/>
          <w:bCs/>
          <w:color w:val="auto"/>
          <w:sz w:val="24"/>
          <w:highlight w:val="none"/>
        </w:rPr>
        <w:instrText xml:space="preserve"> </w:instrText>
      </w:r>
      <w:r>
        <w:rPr>
          <w:rFonts w:hint="eastAsia" w:ascii="宋体" w:hAnsi="宋体"/>
          <w:b/>
          <w:bCs/>
          <w:color w:val="auto"/>
          <w:sz w:val="24"/>
          <w:highlight w:val="none"/>
        </w:rPr>
        <w:instrText xml:space="preserve">TOC \o "1-3" \h \z \u</w:instrText>
      </w:r>
      <w:r>
        <w:rPr>
          <w:rFonts w:ascii="宋体" w:hAnsi="宋体"/>
          <w:b/>
          <w:bCs/>
          <w:color w:val="auto"/>
          <w:sz w:val="24"/>
          <w:highlight w:val="none"/>
        </w:rPr>
        <w:instrText xml:space="preserve"> </w:instrText>
      </w:r>
      <w:r>
        <w:rPr>
          <w:rFonts w:ascii="宋体" w:hAnsi="宋体"/>
          <w:b/>
          <w:bCs/>
          <w:color w:val="auto"/>
          <w:sz w:val="24"/>
          <w:highlight w:val="none"/>
        </w:rPr>
        <w:fldChar w:fldCharType="separate"/>
      </w:r>
      <w:r>
        <w:rPr>
          <w:color w:val="auto"/>
          <w:highlight w:val="none"/>
        </w:rPr>
        <w:fldChar w:fldCharType="begin"/>
      </w:r>
      <w:r>
        <w:rPr>
          <w:color w:val="auto"/>
          <w:highlight w:val="none"/>
        </w:rPr>
        <w:instrText xml:space="preserve"> HYPERLINK \l "_Toc21591" </w:instrText>
      </w:r>
      <w:r>
        <w:rPr>
          <w:color w:val="auto"/>
          <w:highlight w:val="none"/>
        </w:rPr>
        <w:fldChar w:fldCharType="separate"/>
      </w:r>
      <w:r>
        <w:rPr>
          <w:rFonts w:hint="eastAsia" w:ascii="宋体" w:hAnsi="宋体" w:cs="宋体"/>
          <w:b/>
          <w:bCs/>
          <w:color w:val="auto"/>
          <w:sz w:val="24"/>
          <w:szCs w:val="32"/>
          <w:highlight w:val="none"/>
        </w:rPr>
        <w:t>第一章 竞争性磋商公告</w:t>
      </w:r>
      <w:bookmarkStart w:id="201" w:name="_GoBack"/>
      <w:bookmarkEnd w:id="201"/>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_Toc21591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5C674CF0">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"_Toc29576" </w:instrText>
      </w:r>
      <w:r>
        <w:rPr>
          <w:color w:val="auto"/>
          <w:highlight w:val="none"/>
        </w:rPr>
        <w:fldChar w:fldCharType="separate"/>
      </w:r>
      <w:r>
        <w:rPr>
          <w:rFonts w:hint="eastAsia" w:ascii="宋体" w:hAnsi="宋体" w:cs="宋体"/>
          <w:b/>
          <w:bCs/>
          <w:color w:val="auto"/>
          <w:sz w:val="24"/>
          <w:szCs w:val="32"/>
          <w:highlight w:val="none"/>
        </w:rPr>
        <w:t>第二章 供应商须知</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_Toc29576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5</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5F13BF66">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宋体" w:hAnsi="宋体" w:cs="宋体"/>
          <w:b/>
          <w:bCs/>
          <w:color w:val="auto"/>
          <w:sz w:val="24"/>
          <w:szCs w:val="32"/>
          <w:highlight w:val="none"/>
        </w:rPr>
        <w:t>第三章 采购需求</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_Toc20857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26</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35E66F8A">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"_Toc4095" </w:instrText>
      </w:r>
      <w:r>
        <w:rPr>
          <w:color w:val="auto"/>
          <w:highlight w:val="none"/>
        </w:rPr>
        <w:fldChar w:fldCharType="separate"/>
      </w:r>
      <w:r>
        <w:rPr>
          <w:rFonts w:hint="eastAsia" w:ascii="宋体" w:hAnsi="宋体" w:cs="宋体"/>
          <w:b/>
          <w:bCs/>
          <w:color w:val="auto"/>
          <w:sz w:val="24"/>
          <w:szCs w:val="32"/>
          <w:highlight w:val="none"/>
        </w:rPr>
        <w:t>第四章 评审程序、评审方法和评审标准</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_Toc4095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0F43B7BD">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"_Toc3198" </w:instrText>
      </w:r>
      <w:r>
        <w:rPr>
          <w:color w:val="auto"/>
          <w:highlight w:val="none"/>
        </w:rPr>
        <w:fldChar w:fldCharType="separate"/>
      </w:r>
      <w:r>
        <w:rPr>
          <w:rFonts w:hint="eastAsia" w:ascii="宋体" w:hAnsi="宋体" w:cs="宋体"/>
          <w:b/>
          <w:bCs/>
          <w:color w:val="auto"/>
          <w:sz w:val="24"/>
          <w:szCs w:val="32"/>
          <w:highlight w:val="none"/>
        </w:rPr>
        <w:t>第五章 响应文件格式</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_Toc3198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40</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3BD01BBF">
      <w:pPr>
        <w:pStyle w:val="23"/>
        <w:tabs>
          <w:tab w:val="right" w:leader="dot" w:pos="8879"/>
        </w:tabs>
        <w:rPr>
          <w:b/>
          <w:bCs/>
          <w:color w:val="auto"/>
          <w:highlight w:val="none"/>
        </w:rPr>
      </w:pPr>
      <w:r>
        <w:rPr>
          <w:color w:val="auto"/>
          <w:highlight w:val="none"/>
        </w:rPr>
        <w:fldChar w:fldCharType="begin"/>
      </w:r>
      <w:r>
        <w:rPr>
          <w:color w:val="auto"/>
          <w:highlight w:val="none"/>
        </w:rPr>
        <w:instrText xml:space="preserve"> HYPERLINK \l "_Toc10542" </w:instrText>
      </w:r>
      <w:r>
        <w:rPr>
          <w:color w:val="auto"/>
          <w:highlight w:val="none"/>
        </w:rPr>
        <w:fldChar w:fldCharType="separate"/>
      </w:r>
      <w:r>
        <w:rPr>
          <w:rFonts w:hint="eastAsia" w:ascii="宋体" w:hAnsi="宋体" w:cs="宋体"/>
          <w:b/>
          <w:bCs/>
          <w:color w:val="auto"/>
          <w:sz w:val="24"/>
          <w:szCs w:val="32"/>
          <w:highlight w:val="none"/>
        </w:rPr>
        <w:t>第六章 合同文本</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_Toc10542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68</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77B05700">
      <w:pPr>
        <w:pStyle w:val="24"/>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bCs/>
          <w:color w:val="auto"/>
          <w:highlight w:val="none"/>
        </w:rPr>
        <w:fldChar w:fldCharType="end"/>
      </w:r>
    </w:p>
    <w:p w14:paraId="2B086392">
      <w:pPr>
        <w:spacing w:line="400" w:lineRule="exact"/>
        <w:jc w:val="left"/>
        <w:rPr>
          <w:rFonts w:ascii="宋体" w:hAnsi="宋体"/>
          <w:b/>
          <w:color w:val="auto"/>
          <w:sz w:val="32"/>
          <w:szCs w:val="32"/>
          <w:highlight w:val="none"/>
        </w:rPr>
      </w:pPr>
    </w:p>
    <w:p w14:paraId="6DF58640">
      <w:pPr>
        <w:spacing w:line="400" w:lineRule="exact"/>
        <w:jc w:val="center"/>
        <w:rPr>
          <w:rFonts w:ascii="宋体" w:hAnsi="宋体"/>
          <w:b/>
          <w:color w:val="auto"/>
          <w:sz w:val="32"/>
          <w:szCs w:val="32"/>
          <w:highlight w:val="none"/>
        </w:rPr>
      </w:pPr>
    </w:p>
    <w:p w14:paraId="673F6775">
      <w:pPr>
        <w:spacing w:line="400" w:lineRule="exact"/>
        <w:jc w:val="center"/>
        <w:rPr>
          <w:rFonts w:ascii="宋体" w:hAnsi="宋体"/>
          <w:b/>
          <w:color w:val="auto"/>
          <w:sz w:val="32"/>
          <w:szCs w:val="32"/>
          <w:highlight w:val="none"/>
        </w:rPr>
      </w:pPr>
    </w:p>
    <w:p w14:paraId="6A3B0EFE">
      <w:pPr>
        <w:spacing w:line="400" w:lineRule="exact"/>
        <w:jc w:val="center"/>
        <w:rPr>
          <w:rFonts w:ascii="宋体" w:hAnsi="宋体"/>
          <w:b/>
          <w:color w:val="auto"/>
          <w:sz w:val="32"/>
          <w:szCs w:val="32"/>
          <w:highlight w:val="none"/>
        </w:rPr>
      </w:pPr>
    </w:p>
    <w:p w14:paraId="50B9FDF7">
      <w:pPr>
        <w:spacing w:line="400" w:lineRule="exact"/>
        <w:jc w:val="center"/>
        <w:rPr>
          <w:rFonts w:ascii="宋体" w:hAnsi="宋体"/>
          <w:b/>
          <w:color w:val="auto"/>
          <w:sz w:val="32"/>
          <w:szCs w:val="32"/>
          <w:highlight w:val="none"/>
        </w:rPr>
      </w:pPr>
    </w:p>
    <w:p w14:paraId="4D54629A">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23D51F53">
      <w:pPr>
        <w:pStyle w:val="5"/>
        <w:jc w:val="center"/>
        <w:rPr>
          <w:color w:val="auto"/>
          <w:highlight w:val="none"/>
        </w:rPr>
      </w:pPr>
      <w:bookmarkStart w:id="0" w:name="_Toc21591"/>
      <w:r>
        <w:rPr>
          <w:rFonts w:hint="eastAsia"/>
          <w:color w:val="auto"/>
          <w:highlight w:val="none"/>
        </w:rPr>
        <w:t>第一章 竞争性磋商公告</w:t>
      </w:r>
      <w:bookmarkEnd w:id="0"/>
    </w:p>
    <w:p w14:paraId="03DBAEA5">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4E319FFC">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5C2D24D7">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广西涠洲岛珊瑚礁国家级海洋公园2025年度珊瑚礁生态现状监测、边界浮标维护及保护宣传项目</w:t>
      </w:r>
      <w:r>
        <w:rPr>
          <w:rFonts w:hint="eastAsia" w:ascii="宋体" w:hAnsi="宋体"/>
          <w:color w:val="auto"/>
          <w:szCs w:val="21"/>
          <w:highlight w:val="none"/>
        </w:rPr>
        <w:t>采购项目的潜在供应商应在广西政府采购云平台（https：//www.gcy.zfcg.gxzf.gov.cn/）获取（下载）竞争磋商文件，并于</w:t>
      </w:r>
      <w:r>
        <w:rPr>
          <w:rFonts w:hint="eastAsia" w:ascii="宋体" w:hAnsi="宋体"/>
          <w:color w:val="auto"/>
          <w:szCs w:val="21"/>
          <w:highlight w:val="none"/>
          <w:u w:val="single"/>
          <w:lang w:eastAsia="zh-CN"/>
        </w:rPr>
        <w:t>2025年5月12日</w:t>
      </w:r>
      <w:r>
        <w:rPr>
          <w:rFonts w:hint="eastAsia" w:ascii="宋体" w:hAnsi="宋体"/>
          <w:color w:val="auto"/>
          <w:szCs w:val="21"/>
          <w:highlight w:val="none"/>
          <w:u w:val="single"/>
        </w:rPr>
        <w:t>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198490E">
      <w:pPr>
        <w:spacing w:line="360" w:lineRule="exact"/>
        <w:ind w:firstLine="354" w:firstLineChars="147"/>
        <w:rPr>
          <w:rFonts w:ascii="黑体" w:hAnsi="黑体" w:eastAsia="黑体"/>
          <w:b/>
          <w:color w:val="auto"/>
          <w:sz w:val="24"/>
          <w:highlight w:val="none"/>
        </w:rPr>
      </w:pPr>
      <w:bookmarkStart w:id="2" w:name="_Toc35393629"/>
      <w:bookmarkStart w:id="3" w:name="_Toc28359089"/>
      <w:bookmarkStart w:id="4" w:name="_Toc28359012"/>
      <w:bookmarkStart w:id="5" w:name="_Toc71365905"/>
      <w:bookmarkStart w:id="6" w:name="_Toc35393798"/>
      <w:bookmarkStart w:id="7" w:name="_Toc4422987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41CD3C5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项目编号：BHZC2025-C3-990057-YZLZ</w:t>
      </w:r>
    </w:p>
    <w:p w14:paraId="74FB02F1">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项目名称：广西涠洲岛珊瑚礁国家级海洋公园2025年度珊瑚礁生态现状监测、边界浮标维护及保护宣传项目</w:t>
      </w:r>
    </w:p>
    <w:p w14:paraId="6021A7B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6202E4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预算金额：500000.00元</w:t>
      </w:r>
    </w:p>
    <w:p w14:paraId="49A18E4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ascii="宋体" w:hAnsi="宋体"/>
          <w:color w:val="auto"/>
          <w:szCs w:val="21"/>
          <w:highlight w:val="none"/>
        </w:rPr>
        <w:t>/</w:t>
      </w:r>
    </w:p>
    <w:p w14:paraId="5B7776B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采购需求：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60"/>
        <w:gridCol w:w="1295"/>
        <w:gridCol w:w="4625"/>
      </w:tblGrid>
      <w:tr w14:paraId="452A1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7F019075">
            <w:pPr>
              <w:spacing w:line="360" w:lineRule="exact"/>
              <w:jc w:val="left"/>
              <w:rPr>
                <w:rFonts w:ascii="宋体" w:hAnsi="宋体"/>
                <w:color w:val="auto"/>
                <w:szCs w:val="21"/>
                <w:highlight w:val="none"/>
              </w:rPr>
            </w:pPr>
            <w:r>
              <w:rPr>
                <w:rFonts w:hint="eastAsia" w:ascii="宋体" w:hAnsi="宋体"/>
                <w:color w:val="auto"/>
                <w:szCs w:val="21"/>
                <w:highlight w:val="none"/>
              </w:rPr>
              <w:t>预算金额：人民币500000.00元</w:t>
            </w:r>
          </w:p>
        </w:tc>
      </w:tr>
      <w:tr w14:paraId="06E1C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C601B0">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7FB9F61">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295" w:type="dxa"/>
            <w:tcBorders>
              <w:top w:val="single" w:color="auto" w:sz="4" w:space="0"/>
              <w:left w:val="single" w:color="auto" w:sz="4" w:space="0"/>
              <w:bottom w:val="single" w:color="auto" w:sz="4" w:space="0"/>
              <w:right w:val="single" w:color="auto" w:sz="4" w:space="0"/>
            </w:tcBorders>
            <w:vAlign w:val="center"/>
          </w:tcPr>
          <w:p w14:paraId="57F992C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4625" w:type="dxa"/>
            <w:tcBorders>
              <w:top w:val="single" w:color="auto" w:sz="4" w:space="0"/>
              <w:left w:val="single" w:color="auto" w:sz="4" w:space="0"/>
              <w:bottom w:val="single" w:color="auto" w:sz="4" w:space="0"/>
              <w:right w:val="single" w:color="auto" w:sz="4" w:space="0"/>
            </w:tcBorders>
            <w:vAlign w:val="center"/>
          </w:tcPr>
          <w:p w14:paraId="5878A40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56968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409CA2C">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4972284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广西涠洲岛珊瑚礁国家级海洋公园2025年度珊瑚礁生态现状监测、边界浮标维护及保护宣传项目</w:t>
            </w:r>
          </w:p>
        </w:tc>
        <w:tc>
          <w:tcPr>
            <w:tcW w:w="1295" w:type="dxa"/>
            <w:tcBorders>
              <w:top w:val="single" w:color="auto" w:sz="4" w:space="0"/>
              <w:left w:val="single" w:color="auto" w:sz="4" w:space="0"/>
              <w:bottom w:val="single" w:color="auto" w:sz="4" w:space="0"/>
              <w:right w:val="single" w:color="auto" w:sz="4" w:space="0"/>
            </w:tcBorders>
            <w:vAlign w:val="center"/>
          </w:tcPr>
          <w:p w14:paraId="729B85E2">
            <w:pPr>
              <w:snapToGrid w:val="0"/>
              <w:spacing w:line="36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w:t>
            </w:r>
          </w:p>
        </w:tc>
        <w:tc>
          <w:tcPr>
            <w:tcW w:w="4625" w:type="dxa"/>
            <w:tcBorders>
              <w:top w:val="single" w:color="auto" w:sz="4" w:space="0"/>
              <w:left w:val="single" w:color="auto" w:sz="4" w:space="0"/>
              <w:bottom w:val="single" w:color="auto" w:sz="4" w:space="0"/>
              <w:right w:val="single" w:color="auto" w:sz="4" w:space="0"/>
            </w:tcBorders>
            <w:vAlign w:val="center"/>
          </w:tcPr>
          <w:p w14:paraId="277BD3B7">
            <w:pPr>
              <w:snapToGrid w:val="0"/>
              <w:spacing w:line="360" w:lineRule="exact"/>
              <w:rPr>
                <w:rFonts w:ascii="宋体" w:hAnsi="宋体"/>
                <w:color w:val="auto"/>
                <w:szCs w:val="21"/>
                <w:highlight w:val="none"/>
              </w:rPr>
            </w:pPr>
            <w:r>
              <w:rPr>
                <w:rFonts w:hint="eastAsia" w:ascii="宋体" w:hAnsi="宋体" w:cs="宋体"/>
                <w:color w:val="auto"/>
                <w:szCs w:val="21"/>
                <w:highlight w:val="none"/>
              </w:rPr>
              <w:t>广西涠洲岛珊瑚礁国家级海洋公园2025年度珊瑚礁生态现状监测、边界浮标维护及保护宣传项目</w:t>
            </w:r>
            <w:r>
              <w:rPr>
                <w:rFonts w:hint="eastAsia" w:ascii="宋体" w:hAnsi="宋体"/>
                <w:color w:val="auto"/>
                <w:szCs w:val="21"/>
                <w:highlight w:val="none"/>
              </w:rPr>
              <w:t>，包含但不限于2025年度珊瑚礁生态现状监测、边界浮标维护及保护宣传项目，具体内容</w:t>
            </w:r>
            <w:r>
              <w:rPr>
                <w:rFonts w:ascii="宋体" w:hAnsi="宋体"/>
                <w:color w:val="auto"/>
                <w:szCs w:val="21"/>
                <w:highlight w:val="none"/>
              </w:rPr>
              <w:t>详见竞争性磋商文件</w:t>
            </w:r>
            <w:r>
              <w:rPr>
                <w:rFonts w:hint="eastAsia" w:ascii="宋体" w:hAnsi="宋体"/>
                <w:color w:val="auto"/>
                <w:szCs w:val="21"/>
                <w:highlight w:val="none"/>
              </w:rPr>
              <w:t>。</w:t>
            </w:r>
          </w:p>
        </w:tc>
      </w:tr>
    </w:tbl>
    <w:p w14:paraId="1B7F1F2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rPr>
        <w:t>供应商应在合同签署后7日内组建项目组并开始进行项目评估和现场调研工作。项目建设期为7个月。</w:t>
      </w:r>
    </w:p>
    <w:p w14:paraId="5A756B7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rPr>
        <w:t>否</w:t>
      </w:r>
      <w:r>
        <w:rPr>
          <w:rFonts w:hint="eastAsia" w:ascii="宋体" w:hAnsi="宋体"/>
          <w:color w:val="auto"/>
          <w:szCs w:val="21"/>
          <w:highlight w:val="none"/>
        </w:rPr>
        <w:t>接受联合体。</w:t>
      </w:r>
    </w:p>
    <w:p w14:paraId="611CEE0C">
      <w:pPr>
        <w:spacing w:line="360" w:lineRule="exact"/>
        <w:ind w:firstLine="354" w:firstLineChars="147"/>
        <w:rPr>
          <w:rFonts w:ascii="黑体" w:hAnsi="黑体" w:eastAsia="黑体"/>
          <w:b/>
          <w:color w:val="auto"/>
          <w:sz w:val="24"/>
          <w:highlight w:val="none"/>
        </w:rPr>
      </w:pPr>
      <w:bookmarkStart w:id="8" w:name="_Toc28359090"/>
      <w:bookmarkStart w:id="9" w:name="_Toc35393799"/>
      <w:bookmarkStart w:id="10" w:name="_Toc28359013"/>
      <w:bookmarkStart w:id="11" w:name="_Toc44229879"/>
      <w:bookmarkStart w:id="12" w:name="_Toc35393630"/>
      <w:bookmarkStart w:id="13" w:name="_Toc71365906"/>
      <w:r>
        <w:rPr>
          <w:rFonts w:hint="eastAsia" w:ascii="黑体" w:hAnsi="黑体" w:eastAsia="黑体"/>
          <w:b/>
          <w:color w:val="auto"/>
          <w:sz w:val="24"/>
          <w:highlight w:val="none"/>
        </w:rPr>
        <w:t>二、申请人的资格条件</w:t>
      </w:r>
      <w:bookmarkEnd w:id="8"/>
      <w:bookmarkEnd w:id="9"/>
      <w:bookmarkEnd w:id="10"/>
      <w:bookmarkEnd w:id="11"/>
      <w:bookmarkEnd w:id="12"/>
      <w:bookmarkEnd w:id="13"/>
      <w:r>
        <w:rPr>
          <w:rFonts w:hint="eastAsia" w:ascii="黑体" w:hAnsi="黑体" w:eastAsia="黑体"/>
          <w:color w:val="auto"/>
          <w:sz w:val="24"/>
          <w:highlight w:val="none"/>
        </w:rPr>
        <w:t>：</w:t>
      </w:r>
    </w:p>
    <w:p w14:paraId="0BBB0B42">
      <w:pPr>
        <w:spacing w:line="360" w:lineRule="exact"/>
        <w:ind w:firstLine="420" w:firstLineChars="200"/>
        <w:rPr>
          <w:rFonts w:ascii="宋体" w:hAnsi="宋体"/>
          <w:color w:val="auto"/>
          <w:szCs w:val="21"/>
          <w:highlight w:val="none"/>
        </w:rPr>
      </w:pPr>
      <w:bookmarkStart w:id="14" w:name="_Toc28359014"/>
      <w:bookmarkStart w:id="15" w:name="_Toc44229880"/>
      <w:bookmarkStart w:id="16" w:name="_Toc35393800"/>
      <w:bookmarkStart w:id="17" w:name="_Toc28359091"/>
      <w:bookmarkStart w:id="18" w:name="_Toc35393631"/>
      <w:r>
        <w:rPr>
          <w:rFonts w:hint="eastAsia" w:ascii="宋体" w:hAnsi="宋体"/>
          <w:color w:val="auto"/>
          <w:szCs w:val="21"/>
          <w:highlight w:val="none"/>
        </w:rPr>
        <w:t>1.满足《中华人民共和国政府采购法》第二十二条规定；</w:t>
      </w:r>
    </w:p>
    <w:p w14:paraId="2F42B6B1">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w:t>
      </w:r>
      <w:r>
        <w:rPr>
          <w:rFonts w:hint="eastAsia" w:ascii="宋体" w:hAnsi="宋体"/>
          <w:iCs/>
          <w:color w:val="auto"/>
          <w:szCs w:val="21"/>
          <w:highlight w:val="none"/>
          <w:u w:val="single"/>
        </w:rPr>
        <w:t>专门面向小微企业采购的项目,供应商应为小微企业、监狱企业、残疾人福利性单位</w:t>
      </w:r>
      <w:r>
        <w:rPr>
          <w:rFonts w:hint="eastAsia" w:ascii="宋体" w:hAnsi="宋体"/>
          <w:color w:val="auto"/>
          <w:szCs w:val="21"/>
          <w:highlight w:val="none"/>
          <w:u w:val="single"/>
        </w:rPr>
        <w:t>；</w:t>
      </w:r>
    </w:p>
    <w:p w14:paraId="1AE7D74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无。</w:t>
      </w:r>
    </w:p>
    <w:p w14:paraId="733DF52A">
      <w:pPr>
        <w:spacing w:line="360" w:lineRule="exact"/>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6FAB8666">
      <w:pPr>
        <w:spacing w:line="360" w:lineRule="exact"/>
        <w:ind w:firstLine="420" w:firstLineChars="200"/>
        <w:rPr>
          <w:rFonts w:ascii="宋体" w:hAnsi="宋体" w:cs="宋体"/>
          <w:bCs/>
          <w:color w:val="auto"/>
          <w:kern w:val="0"/>
          <w:szCs w:val="21"/>
          <w:highlight w:val="none"/>
        </w:rPr>
      </w:pPr>
      <w:bookmarkStart w:id="20" w:name="_Toc35393801"/>
      <w:bookmarkStart w:id="21" w:name="_Toc28359015"/>
      <w:bookmarkStart w:id="22" w:name="_Toc44229881"/>
      <w:bookmarkStart w:id="23" w:name="_Toc35393632"/>
      <w:bookmarkStart w:id="24" w:name="_Toc28359092"/>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eastAsia="zh-CN"/>
        </w:rPr>
        <w:t>2025年4月28日</w:t>
      </w:r>
      <w:r>
        <w:rPr>
          <w:rFonts w:hint="eastAsia" w:ascii="宋体" w:hAnsi="宋体" w:cs="宋体"/>
          <w:bCs/>
          <w:color w:val="auto"/>
          <w:kern w:val="0"/>
          <w:szCs w:val="21"/>
          <w:highlight w:val="none"/>
          <w:u w:val="singl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rPr>
        <w:t>5月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2AE8413">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66B4F3D">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154CC16A">
      <w:pPr>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56F65ADC">
      <w:pPr>
        <w:spacing w:line="360" w:lineRule="exact"/>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36E1CD8A">
      <w:pPr>
        <w:spacing w:line="360" w:lineRule="exact"/>
        <w:ind w:firstLine="420" w:firstLineChars="200"/>
        <w:rPr>
          <w:rFonts w:ascii="宋体" w:hAnsi="宋体" w:cs="宋体"/>
          <w:color w:val="auto"/>
          <w:szCs w:val="21"/>
          <w:highlight w:val="none"/>
          <w:u w:val="single"/>
        </w:rPr>
      </w:pPr>
      <w:bookmarkStart w:id="26" w:name="_Toc35393802"/>
      <w:bookmarkStart w:id="27" w:name="_Toc35393633"/>
      <w:bookmarkStart w:id="28" w:name="_Toc28359093"/>
      <w:bookmarkStart w:id="29" w:name="_Toc28359016"/>
      <w:bookmarkStart w:id="30" w:name="_Toc44229882"/>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2025年5月12日</w:t>
      </w:r>
      <w:r>
        <w:rPr>
          <w:rFonts w:hint="eastAsia" w:ascii="宋体" w:hAnsi="宋体"/>
          <w:bCs/>
          <w:color w:val="auto"/>
          <w:szCs w:val="21"/>
          <w:highlight w:val="none"/>
          <w:u w:val="single"/>
        </w:rPr>
        <w:t>9时00分</w:t>
      </w:r>
      <w:r>
        <w:rPr>
          <w:rFonts w:hint="eastAsia" w:ascii="宋体" w:hAnsi="宋体"/>
          <w:bCs/>
          <w:color w:val="auto"/>
          <w:szCs w:val="21"/>
          <w:highlight w:val="none"/>
        </w:rPr>
        <w:t>（北京时间）</w:t>
      </w:r>
    </w:p>
    <w:p w14:paraId="102E67C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29C98190">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7409938F">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lang w:eastAsia="zh-CN"/>
        </w:rPr>
        <w:t>2025年5月12日</w:t>
      </w:r>
      <w:r>
        <w:rPr>
          <w:rFonts w:hint="eastAsia" w:ascii="宋体" w:hAnsi="宋体"/>
          <w:color w:val="auto"/>
          <w:szCs w:val="21"/>
          <w:highlight w:val="none"/>
          <w:u w:val="single"/>
        </w:rPr>
        <w:t>9时00分</w:t>
      </w:r>
      <w:r>
        <w:rPr>
          <w:rFonts w:hint="eastAsia" w:ascii="宋体" w:hAnsi="宋体"/>
          <w:bCs/>
          <w:color w:val="auto"/>
          <w:szCs w:val="21"/>
          <w:highlight w:val="none"/>
        </w:rPr>
        <w:t>（北京时间）</w:t>
      </w:r>
    </w:p>
    <w:p w14:paraId="6A4023C2">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D7196FB">
      <w:pPr>
        <w:spacing w:line="360" w:lineRule="exact"/>
        <w:ind w:firstLine="354" w:firstLineChars="147"/>
        <w:rPr>
          <w:rFonts w:ascii="黑体" w:hAnsi="黑体" w:eastAsia="黑体"/>
          <w:b/>
          <w:color w:val="auto"/>
          <w:sz w:val="24"/>
          <w:highlight w:val="none"/>
        </w:rPr>
      </w:pPr>
      <w:bookmarkStart w:id="32" w:name="_Toc28359017"/>
      <w:bookmarkStart w:id="33" w:name="_Toc44229883"/>
      <w:bookmarkStart w:id="34" w:name="_Toc35393634"/>
      <w:bookmarkStart w:id="35" w:name="_Toc35393803"/>
      <w:bookmarkStart w:id="36" w:name="_Toc71365910"/>
      <w:bookmarkStart w:id="37" w:name="_Toc28359094"/>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3C1B043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DE2093A">
      <w:pPr>
        <w:spacing w:line="360" w:lineRule="exact"/>
        <w:ind w:firstLine="354" w:firstLineChars="147"/>
        <w:rPr>
          <w:rFonts w:ascii="黑体" w:hAnsi="黑体" w:eastAsia="黑体"/>
          <w:b/>
          <w:color w:val="auto"/>
          <w:sz w:val="24"/>
          <w:highlight w:val="none"/>
        </w:rPr>
      </w:pPr>
      <w:bookmarkStart w:id="38" w:name="_Toc35393804"/>
      <w:bookmarkStart w:id="39" w:name="_Toc35393635"/>
      <w:bookmarkStart w:id="40" w:name="_Toc71365911"/>
      <w:bookmarkStart w:id="41" w:name="_Toc44229884"/>
      <w:r>
        <w:rPr>
          <w:rFonts w:hint="eastAsia" w:ascii="黑体" w:hAnsi="黑体" w:eastAsia="黑体"/>
          <w:b/>
          <w:color w:val="auto"/>
          <w:sz w:val="24"/>
          <w:highlight w:val="none"/>
        </w:rPr>
        <w:t>七、其他补充事宜</w:t>
      </w:r>
      <w:bookmarkEnd w:id="38"/>
      <w:bookmarkEnd w:id="39"/>
      <w:bookmarkEnd w:id="40"/>
      <w:bookmarkEnd w:id="41"/>
    </w:p>
    <w:p w14:paraId="181B5357">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36F45365">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2199E3A4">
      <w:pPr>
        <w:spacing w:line="360" w:lineRule="exact"/>
        <w:ind w:firstLine="424" w:firstLineChars="202"/>
        <w:rPr>
          <w:rFonts w:ascii="宋体" w:hAnsi="宋体" w:cs="宋体"/>
          <w:color w:val="auto"/>
          <w:kern w:val="0"/>
          <w:szCs w:val="21"/>
          <w:highlight w:val="none"/>
        </w:rPr>
      </w:pPr>
      <w:bookmarkStart w:id="42" w:name="_Hlk37429674"/>
      <w:bookmarkStart w:id="43" w:name="_Toc44229885"/>
      <w:bookmarkStart w:id="44" w:name="_Toc35393636"/>
      <w:bookmarkStart w:id="45" w:name="_Toc28359095"/>
      <w:bookmarkStart w:id="46" w:name="_Toc35393805"/>
      <w:bookmarkStart w:id="47"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360B9A86">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35F99B3D">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3646BDCF">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3C73E937">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43D30427">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42"/>
    <w:p w14:paraId="7B66D1C7">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04AB4935">
      <w:pPr>
        <w:widowControl/>
        <w:wordWrap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6C4A0D0E">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40C09559">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71B11F2">
      <w:pPr>
        <w:widowControl/>
        <w:spacing w:line="36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F849E32">
      <w:pPr>
        <w:spacing w:line="36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6F0F702A">
      <w:pPr>
        <w:adjustRightInd w:val="0"/>
        <w:snapToGrid w:val="0"/>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4.</w:t>
      </w:r>
      <w:r>
        <w:rPr>
          <w:rFonts w:hint="eastAsia" w:ascii="宋体" w:hAnsi="宋体" w:cs="宋体"/>
          <w:bCs/>
          <w:color w:val="auto"/>
          <w:kern w:val="0"/>
          <w:szCs w:val="21"/>
          <w:highlight w:val="none"/>
        </w:rPr>
        <w:t>磋商保证金：</w:t>
      </w:r>
      <w:r>
        <w:rPr>
          <w:rFonts w:hint="eastAsia" w:ascii="宋体" w:hAnsi="宋体" w:cs="宋体"/>
          <w:bCs/>
          <w:color w:val="auto"/>
          <w:kern w:val="0"/>
          <w:szCs w:val="21"/>
          <w:highlight w:val="none"/>
          <w:u w:val="single"/>
        </w:rPr>
        <w:t>人</w:t>
      </w:r>
      <w:r>
        <w:rPr>
          <w:rFonts w:hint="eastAsia" w:ascii="宋体" w:hAnsi="宋体" w:cs="宋体"/>
          <w:bCs/>
          <w:color w:val="auto"/>
          <w:kern w:val="0"/>
          <w:szCs w:val="21"/>
          <w:highlight w:val="none"/>
          <w:u w:val="single"/>
        </w:rPr>
        <w:t>民币肆仟元整（¥4000.00）。</w:t>
      </w:r>
    </w:p>
    <w:p w14:paraId="0803D882">
      <w:pPr>
        <w:spacing w:line="360" w:lineRule="exact"/>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磋商保证金的形式：银行转账、支票、汇票、本票或者银行、保险机构出具的保函</w:t>
      </w:r>
      <w:r>
        <w:rPr>
          <w:rFonts w:hint="eastAsia" w:ascii="宋体" w:hAnsi="宋体" w:cs="宋体"/>
          <w:color w:val="auto"/>
          <w:kern w:val="0"/>
          <w:szCs w:val="21"/>
          <w:highlight w:val="none"/>
        </w:rPr>
        <w:t>（包含电子保函）</w:t>
      </w:r>
      <w:r>
        <w:rPr>
          <w:rFonts w:hint="eastAsia" w:ascii="宋体" w:hAnsi="宋体" w:cs="宋体"/>
          <w:bCs/>
          <w:color w:val="auto"/>
          <w:kern w:val="0"/>
          <w:szCs w:val="21"/>
          <w:highlight w:val="none"/>
        </w:rPr>
        <w:t>，禁止采用现钞方式。采用银行转账方式的，在响应文件提交截止时间前交到云之龙咨询集团有限公司指定账户并且到账</w:t>
      </w:r>
      <w:r>
        <w:rPr>
          <w:rFonts w:hint="eastAsia" w:ascii="宋体" w:hAnsi="宋体" w:cs="宋体"/>
          <w:bCs/>
          <w:color w:val="auto"/>
          <w:kern w:val="0"/>
          <w:szCs w:val="21"/>
          <w:highlight w:val="none"/>
          <w:u w:val="single"/>
        </w:rPr>
        <w:t>（账户名称：云之龙咨询集团有限公司北海分公司，开户银行：中信银行南宁东葛支行，</w:t>
      </w:r>
      <w:r>
        <w:rPr>
          <w:rFonts w:hint="eastAsia" w:ascii="宋体" w:hAnsi="宋体" w:cs="宋体"/>
          <w:color w:val="auto"/>
          <w:kern w:val="0"/>
          <w:szCs w:val="21"/>
          <w:highlight w:val="none"/>
          <w:u w:val="single"/>
        </w:rPr>
        <w:t>银行账号：8113001013400074639</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rPr>
        <w:t>；采用支票、汇票、本票或者保函等方式的，在响应文件提交截止时间前，供应商应当递交单独密封的支票、汇票、本票或者保函原件</w:t>
      </w:r>
      <w:r>
        <w:rPr>
          <w:rFonts w:hint="eastAsia" w:ascii="宋体" w:hAnsi="宋体" w:cs="宋体"/>
          <w:b/>
          <w:color w:val="auto"/>
          <w:kern w:val="0"/>
          <w:szCs w:val="21"/>
          <w:highlight w:val="none"/>
        </w:rPr>
        <w:t>。否则视为无效磋商保证金。</w:t>
      </w:r>
    </w:p>
    <w:p w14:paraId="5DE2CC10">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5.本项目采用远程异地评标。</w:t>
      </w:r>
    </w:p>
    <w:p w14:paraId="24D3EBCA">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572B1610">
      <w:pPr>
        <w:spacing w:line="360" w:lineRule="exact"/>
        <w:ind w:firstLine="420" w:firstLineChars="200"/>
        <w:rPr>
          <w:rFonts w:ascii="宋体" w:hAnsi="宋体" w:cs="宋体"/>
          <w:color w:val="auto"/>
          <w:kern w:val="0"/>
          <w:szCs w:val="21"/>
          <w:highlight w:val="none"/>
        </w:rPr>
      </w:pPr>
      <w:bookmarkStart w:id="48" w:name="_Toc35393806"/>
      <w:bookmarkStart w:id="49" w:name="_Toc28359019"/>
      <w:bookmarkStart w:id="50" w:name="_Toc35393637"/>
      <w:bookmarkStart w:id="51" w:name="_Toc28359096"/>
      <w:r>
        <w:rPr>
          <w:rFonts w:hint="eastAsia" w:ascii="宋体" w:hAnsi="宋体" w:cs="宋体"/>
          <w:color w:val="auto"/>
          <w:kern w:val="0"/>
          <w:szCs w:val="21"/>
          <w:highlight w:val="none"/>
        </w:rPr>
        <w:t>1.采购人信息</w:t>
      </w:r>
      <w:bookmarkEnd w:id="48"/>
      <w:bookmarkEnd w:id="49"/>
      <w:bookmarkEnd w:id="50"/>
      <w:bookmarkEnd w:id="51"/>
    </w:p>
    <w:p w14:paraId="13C65376">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广西涠洲岛珊瑚礁国家级海洋公园管理站</w:t>
      </w:r>
    </w:p>
    <w:p w14:paraId="2C40FD90">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北海市海城区长青东路52号  </w:t>
      </w:r>
    </w:p>
    <w:p w14:paraId="367C2F92">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刘晓薇 0779-2034066</w:t>
      </w:r>
    </w:p>
    <w:p w14:paraId="0C84C865">
      <w:pPr>
        <w:spacing w:line="360" w:lineRule="exact"/>
        <w:ind w:firstLine="420" w:firstLineChars="200"/>
        <w:rPr>
          <w:rFonts w:ascii="宋体" w:hAnsi="宋体" w:cs="宋体"/>
          <w:color w:val="auto"/>
          <w:kern w:val="0"/>
          <w:szCs w:val="21"/>
          <w:highlight w:val="none"/>
        </w:rPr>
      </w:pPr>
      <w:bookmarkStart w:id="52" w:name="_Toc28359097"/>
      <w:bookmarkStart w:id="53" w:name="_Toc35393807"/>
      <w:bookmarkStart w:id="54" w:name="_Toc28359020"/>
      <w:bookmarkStart w:id="55" w:name="_Toc35393638"/>
      <w:r>
        <w:rPr>
          <w:rFonts w:hint="eastAsia" w:ascii="宋体" w:hAnsi="宋体" w:cs="宋体"/>
          <w:color w:val="auto"/>
          <w:kern w:val="0"/>
          <w:szCs w:val="21"/>
          <w:highlight w:val="none"/>
        </w:rPr>
        <w:t>2.采购代理机构信息</w:t>
      </w:r>
      <w:bookmarkEnd w:id="52"/>
      <w:bookmarkEnd w:id="53"/>
      <w:bookmarkEnd w:id="54"/>
      <w:bookmarkEnd w:id="55"/>
    </w:p>
    <w:p w14:paraId="0576725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344EA64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广西北海市北部湾中路60号779财富中心15楼1505号</w:t>
      </w:r>
    </w:p>
    <w:p w14:paraId="4BDEEA12">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0779-3227361/3227538</w:t>
      </w:r>
    </w:p>
    <w:p w14:paraId="72E844C5">
      <w:pPr>
        <w:spacing w:line="360" w:lineRule="exact"/>
        <w:ind w:firstLine="420" w:firstLineChars="200"/>
        <w:rPr>
          <w:rFonts w:ascii="宋体" w:hAnsi="宋体" w:cs="宋体"/>
          <w:color w:val="auto"/>
          <w:kern w:val="0"/>
          <w:szCs w:val="21"/>
          <w:highlight w:val="none"/>
        </w:rPr>
      </w:pPr>
      <w:bookmarkStart w:id="56" w:name="_Toc35393639"/>
      <w:bookmarkStart w:id="57" w:name="_Toc35393808"/>
      <w:bookmarkStart w:id="58" w:name="_Toc28359021"/>
      <w:bookmarkStart w:id="59" w:name="_Toc2835909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6"/>
      <w:bookmarkEnd w:id="57"/>
      <w:bookmarkEnd w:id="58"/>
      <w:bookmarkEnd w:id="59"/>
    </w:p>
    <w:p w14:paraId="7EF08C42">
      <w:pPr>
        <w:pStyle w:val="18"/>
        <w:spacing w:line="36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翁娜娜</w:t>
      </w:r>
    </w:p>
    <w:p w14:paraId="16DF51B8">
      <w:pPr>
        <w:spacing w:line="360" w:lineRule="exact"/>
        <w:ind w:firstLine="420" w:firstLineChars="200"/>
        <w:rPr>
          <w:color w:val="auto"/>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0779-3227361/3227538</w:t>
      </w:r>
      <w:bookmarkEnd w:id="1"/>
    </w:p>
    <w:p w14:paraId="03CA91C5">
      <w:pPr>
        <w:pStyle w:val="5"/>
        <w:jc w:val="center"/>
        <w:rPr>
          <w:color w:val="auto"/>
          <w:highlight w:val="none"/>
        </w:rPr>
      </w:pPr>
      <w:r>
        <w:rPr>
          <w:rFonts w:hint="eastAsia"/>
          <w:color w:val="auto"/>
          <w:highlight w:val="none"/>
        </w:rPr>
        <w:br w:type="page"/>
      </w:r>
      <w:bookmarkStart w:id="60" w:name="_Toc29576"/>
      <w:r>
        <w:rPr>
          <w:rFonts w:hint="eastAsia"/>
          <w:color w:val="auto"/>
          <w:highlight w:val="none"/>
        </w:rPr>
        <w:t>第二章 供应商须知</w:t>
      </w:r>
      <w:bookmarkEnd w:id="60"/>
    </w:p>
    <w:p w14:paraId="7D1AB89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0DB48C59">
      <w:pPr>
        <w:spacing w:line="400" w:lineRule="exact"/>
        <w:jc w:val="center"/>
        <w:rPr>
          <w:rFonts w:ascii="宋体" w:hAnsi="宋体"/>
          <w:b/>
          <w:color w:val="auto"/>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0032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tcPr>
          <w:p w14:paraId="2ACF7651">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332623EF">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1191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44790E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2D14A22">
            <w:pPr>
              <w:wordWrap w:val="0"/>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2254248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9D60E3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ECDD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838DC5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3.供应商的资格要求（供应商须在响应文件中提供《北海市政府采购供应商信用承诺函》对以下内容进行承诺，格式附后）：</w:t>
            </w:r>
          </w:p>
          <w:p w14:paraId="2EB9EAF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供应商</w:t>
            </w:r>
            <w:r>
              <w:rPr>
                <w:rFonts w:hint="eastAsia" w:ascii="宋体" w:hAnsi="宋体" w:cs="宋体"/>
                <w:color w:val="auto"/>
                <w:szCs w:val="21"/>
                <w:highlight w:val="none"/>
              </w:rPr>
              <w:t>具备有效的</w:t>
            </w:r>
            <w:r>
              <w:rPr>
                <w:rFonts w:ascii="宋体" w:hAnsi="宋体" w:cs="宋体"/>
                <w:color w:val="auto"/>
                <w:szCs w:val="21"/>
                <w:highlight w:val="none"/>
              </w:rPr>
              <w:t>营业执照或者事业单位法人证书或者执业许可证或者登记证书等</w:t>
            </w:r>
            <w:r>
              <w:rPr>
                <w:rFonts w:hint="eastAsia" w:ascii="宋体" w:hAnsi="宋体" w:cs="宋体"/>
                <w:color w:val="auto"/>
                <w:szCs w:val="21"/>
                <w:highlight w:val="none"/>
              </w:rPr>
              <w:t>；</w:t>
            </w:r>
          </w:p>
          <w:p w14:paraId="07CE5F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供应商20</w:t>
            </w:r>
            <w:r>
              <w:rPr>
                <w:rFonts w:hint="eastAsia" w:ascii="宋体" w:hAnsi="宋体" w:cs="宋体"/>
                <w:color w:val="auto"/>
                <w:szCs w:val="21"/>
                <w:highlight w:val="none"/>
              </w:rPr>
              <w:t>24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连续三个月的</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，或</w:t>
            </w:r>
            <w:r>
              <w:rPr>
                <w:rFonts w:ascii="宋体" w:hAnsi="宋体" w:cs="宋体"/>
                <w:color w:val="auto"/>
                <w:szCs w:val="21"/>
                <w:highlight w:val="none"/>
              </w:rPr>
              <w:t>依法免税的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从成立之日起到响应文件提交截止时间止不足要求月数的，从成立之日起</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w:t>
            </w:r>
          </w:p>
          <w:p w14:paraId="539AB0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供应商202</w:t>
            </w:r>
            <w:r>
              <w:rPr>
                <w:rFonts w:hint="eastAsia"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r>
              <w:rPr>
                <w:rFonts w:hint="eastAsia" w:ascii="宋体" w:hAnsi="宋体" w:cs="宋体"/>
                <w:color w:val="auto"/>
                <w:szCs w:val="21"/>
                <w:highlight w:val="none"/>
              </w:rPr>
              <w:t>，或</w:t>
            </w:r>
            <w:r>
              <w:rPr>
                <w:rFonts w:ascii="宋体" w:hAnsi="宋体" w:cs="宋体"/>
                <w:color w:val="auto"/>
                <w:szCs w:val="21"/>
                <w:highlight w:val="none"/>
              </w:rPr>
              <w:t>依法不需要缴纳社会保障资金的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w:t>
            </w:r>
            <w:r>
              <w:rPr>
                <w:rFonts w:hint="eastAsia" w:ascii="宋体" w:hAnsi="宋体" w:cs="宋体"/>
                <w:color w:val="auto"/>
                <w:szCs w:val="21"/>
                <w:highlight w:val="none"/>
              </w:rPr>
              <w:t>，</w:t>
            </w:r>
            <w:r>
              <w:rPr>
                <w:rFonts w:ascii="宋体" w:hAnsi="宋体" w:cs="宋体"/>
                <w:color w:val="auto"/>
                <w:szCs w:val="21"/>
                <w:highlight w:val="none"/>
              </w:rPr>
              <w:t>从成立之日起</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p>
          <w:p w14:paraId="0BEE97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（4）供应商财务状况报告（2024年年度财务报表或经审计的财务报告；供应商属于成立时间在规定年度之后的法人或其他组织，需具备成立之日起至响应文件提交截止时间前的月报表）。</w:t>
            </w:r>
          </w:p>
        </w:tc>
      </w:tr>
      <w:tr w14:paraId="60034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31A599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1F8047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1148B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D255BE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4BD8D0BD">
            <w:pPr>
              <w:wordWrap w:val="0"/>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571F316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7E05B9C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2CEE61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2AEDF9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0A8B6E0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42E30A5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1D2E331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4A801DF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6E44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B17E99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D44AE24">
            <w:pPr>
              <w:pStyle w:val="14"/>
              <w:wordWrap w:val="0"/>
              <w:spacing w:line="360" w:lineRule="auto"/>
              <w:rPr>
                <w:rFonts w:ascii="宋体" w:hAnsi="宋体"/>
                <w:color w:val="auto"/>
                <w:szCs w:val="21"/>
                <w:highlight w:val="none"/>
              </w:rPr>
            </w:pPr>
            <w:r>
              <w:rPr>
                <w:rFonts w:hint="eastAsia" w:ascii="宋体" w:hAnsi="宋体"/>
                <w:color w:val="auto"/>
                <w:szCs w:val="21"/>
                <w:highlight w:val="none"/>
              </w:rPr>
              <w:t>☑不允许分包</w:t>
            </w:r>
          </w:p>
          <w:p w14:paraId="2A0AAEDA">
            <w:pPr>
              <w:pStyle w:val="14"/>
              <w:wordWrap w:val="0"/>
              <w:spacing w:line="360" w:lineRule="auto"/>
              <w:rPr>
                <w:rFonts w:ascii="宋体" w:hAnsi="宋体"/>
                <w:color w:val="auto"/>
                <w:szCs w:val="21"/>
                <w:highlight w:val="none"/>
              </w:rPr>
            </w:pPr>
            <w:r>
              <w:rPr>
                <w:rFonts w:hint="eastAsia" w:ascii="宋体" w:hAnsi="宋体"/>
                <w:color w:val="auto"/>
                <w:szCs w:val="21"/>
                <w:highlight w:val="none"/>
              </w:rPr>
              <w:t>□允许分包</w:t>
            </w:r>
          </w:p>
          <w:p w14:paraId="7B025371">
            <w:pPr>
              <w:pStyle w:val="14"/>
              <w:wordWrap w:val="0"/>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2F1F2AF4">
            <w:pPr>
              <w:pStyle w:val="14"/>
              <w:wordWrap w:val="0"/>
              <w:spacing w:line="360" w:lineRule="auto"/>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27A37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0D24F9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A821C6E">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1CB0AAF">
            <w:pPr>
              <w:pStyle w:val="14"/>
              <w:wordWrap w:val="0"/>
              <w:spacing w:line="360" w:lineRule="auto"/>
              <w:rPr>
                <w:rFonts w:ascii="宋体" w:hAnsi="宋体"/>
                <w:color w:val="auto"/>
                <w:szCs w:val="21"/>
                <w:highlight w:val="none"/>
              </w:rPr>
            </w:pPr>
            <w:r>
              <w:rPr>
                <w:rFonts w:hint="eastAsia" w:ascii="宋体" w:hAnsi="宋体" w:cs="宋体"/>
                <w:color w:val="auto"/>
                <w:szCs w:val="21"/>
                <w:highlight w:val="none"/>
              </w:rPr>
              <w:t>1.供应商应当在响应文件中以书面形式作出信用承诺（承诺函格式见附件）；</w:t>
            </w:r>
            <w:r>
              <w:rPr>
                <w:rFonts w:hint="eastAsia" w:ascii="宋体" w:hAnsi="宋体" w:cs="宋体"/>
                <w:b/>
                <w:bCs/>
                <w:color w:val="auto"/>
                <w:szCs w:val="21"/>
                <w:highlight w:val="none"/>
              </w:rPr>
              <w:t>（必须提供，否则响应文件按无效响应处理）</w:t>
            </w:r>
          </w:p>
          <w:p w14:paraId="70DB066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D80A0C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CA79A81">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26C1FE6">
            <w:pPr>
              <w:wordWrap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5.供应商在广西政府采购云平台下载采购文件</w:t>
            </w:r>
            <w:r>
              <w:rPr>
                <w:rFonts w:ascii="宋体" w:hAnsi="宋体" w:cs="宋体"/>
                <w:color w:val="auto"/>
                <w:szCs w:val="21"/>
                <w:highlight w:val="none"/>
              </w:rPr>
              <w:t>的</w:t>
            </w:r>
            <w:r>
              <w:rPr>
                <w:rFonts w:hint="eastAsia" w:ascii="宋体" w:hAnsi="宋体" w:cs="宋体"/>
                <w:color w:val="auto"/>
                <w:szCs w:val="21"/>
                <w:highlight w:val="none"/>
              </w:rPr>
              <w:t>证明文件；</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1A34052B">
            <w:pPr>
              <w:wordWrap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06147C3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01BBADCC">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p>
          <w:p w14:paraId="02EB426E">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ascii="宋体" w:hAnsi="宋体"/>
                <w:b/>
                <w:color w:val="auto"/>
                <w:szCs w:val="21"/>
                <w:highlight w:val="none"/>
              </w:rPr>
              <w:t>电子签章</w:t>
            </w:r>
            <w:r>
              <w:rPr>
                <w:rFonts w:hint="eastAsia" w:ascii="宋体" w:hAnsi="宋体" w:cs="宋体"/>
                <w:b/>
                <w:color w:val="auto"/>
                <w:szCs w:val="21"/>
                <w:highlight w:val="none"/>
              </w:rPr>
              <w:t>，否则响应文件按无效处理。</w:t>
            </w:r>
          </w:p>
          <w:p w14:paraId="02C0C2DF">
            <w:pPr>
              <w:pStyle w:val="14"/>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b/>
                <w:bCs/>
                <w:color w:val="auto"/>
                <w:szCs w:val="21"/>
                <w:highlight w:val="none"/>
              </w:rPr>
              <w:t>分公司参加竞标的，应当取得总公司授权，并在响应文件中提供相关证明材料，否则响应文件按无效响应处理。</w:t>
            </w:r>
          </w:p>
        </w:tc>
      </w:tr>
      <w:tr w14:paraId="544B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8DA349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790823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2450EB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8A99E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4896C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2E9056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3DBF11D7">
            <w:pPr>
              <w:wordWrap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4BA236C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5EBCEB7">
            <w:pPr>
              <w:wordWrap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8232F9">
            <w:pPr>
              <w:wordWrap w:val="0"/>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454D04A">
            <w:pPr>
              <w:wordWrap w:val="0"/>
              <w:spacing w:line="360" w:lineRule="auto"/>
              <w:rPr>
                <w:rFonts w:ascii="宋体" w:hAns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5DDD0B6">
            <w:pPr>
              <w:wordWrap w:val="0"/>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6A01EB">
            <w:pPr>
              <w:wordWrap w:val="0"/>
              <w:spacing w:line="360" w:lineRule="auto"/>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EA5D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7.项目实施方案（格式自拟）；（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BDDD7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C329D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9.服务质量控制措施（格式自拟）；（如有，请提供）</w:t>
            </w:r>
          </w:p>
          <w:p w14:paraId="1E7099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rPr>
              <w:t>人员配置方案（格式自拟）；（如有，请提供）</w:t>
            </w:r>
          </w:p>
          <w:p w14:paraId="3AD0BD3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11.对应采购需求的技术要求、商务要求提供的其他文件资料（格式自拟）；</w:t>
            </w:r>
          </w:p>
          <w:p w14:paraId="5AEAEA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12.供应商认为需要提供的其他有关资料。</w:t>
            </w:r>
          </w:p>
          <w:p w14:paraId="22365BF2">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r>
              <w:rPr>
                <w:rFonts w:hint="eastAsia" w:ascii="宋体" w:hAnsi="宋体" w:cs="宋体"/>
                <w:b/>
                <w:color w:val="auto"/>
                <w:szCs w:val="21"/>
                <w:highlight w:val="none"/>
              </w:rPr>
              <w:t>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2F82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CEF0CD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52AA5031">
            <w:pPr>
              <w:wordWrap w:val="0"/>
              <w:spacing w:line="360" w:lineRule="auto"/>
              <w:contextualSpacing/>
              <w:jc w:val="left"/>
              <w:rPr>
                <w:rFonts w:ascii="宋体" w:hAnsi="宋体"/>
                <w:b/>
                <w:color w:val="auto"/>
                <w:szCs w:val="21"/>
                <w:highlight w:val="none"/>
              </w:rPr>
            </w:pPr>
            <w:r>
              <w:rPr>
                <w:rFonts w:hint="eastAsia" w:ascii="宋体" w:hAnsi="宋体"/>
                <w:bCs/>
                <w:color w:val="auto"/>
                <w:szCs w:val="21"/>
                <w:highlight w:val="none"/>
              </w:rPr>
              <w:t>竞标报价必须含以下部分，包括</w:t>
            </w:r>
            <w:r>
              <w:rPr>
                <w:rFonts w:hint="eastAsia" w:ascii="宋体" w:hAnsi="宋体"/>
                <w:bCs/>
                <w:color w:val="auto"/>
                <w:szCs w:val="21"/>
                <w:highlight w:val="none"/>
              </w:rPr>
              <w:t>项目实施所需的人工费、服务费、设备设施购置成本及费用、交通费、采样费、材料费、监测费、误工费食宿费、通讯费、税费、保险、验收、后续技术支持及合同所示的所有责任义务和各种风险等合同履约过程可预见或不可预见的一切成本、费用。供应商在固定总价中必须考虑各种风险费用。在合同履行过程中，采购人不予支付合同以外的其他费用。</w:t>
            </w:r>
          </w:p>
        </w:tc>
      </w:tr>
      <w:tr w14:paraId="3036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423EC9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4F0E27CF">
            <w:pPr>
              <w:pStyle w:val="11"/>
              <w:widowControl w:val="0"/>
              <w:tabs>
                <w:tab w:val="clear" w:pos="454"/>
              </w:tabs>
              <w:wordWrap w:val="0"/>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0826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7001A6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171B8931">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3F38EAA9">
            <w:pPr>
              <w:wordWrap w:val="0"/>
              <w:snapToGrid w:val="0"/>
              <w:spacing w:line="360" w:lineRule="auto"/>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本项目收取磋商保证金，具体规定如下：</w:t>
            </w:r>
          </w:p>
          <w:p w14:paraId="4147E961">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w:t>
            </w:r>
            <w:r>
              <w:rPr>
                <w:rFonts w:hint="eastAsia" w:ascii="宋体" w:hAnsi="宋体" w:cs="宋体"/>
                <w:color w:val="auto"/>
                <w:kern w:val="0"/>
                <w:szCs w:val="21"/>
                <w:highlight w:val="none"/>
              </w:rPr>
              <w:t>币</w:t>
            </w:r>
            <w:r>
              <w:rPr>
                <w:rFonts w:hint="eastAsia" w:ascii="宋体" w:hAnsi="宋体" w:cs="宋体"/>
                <w:bCs/>
                <w:color w:val="auto"/>
                <w:kern w:val="0"/>
                <w:szCs w:val="21"/>
                <w:highlight w:val="none"/>
                <w:u w:val="single"/>
              </w:rPr>
              <w:t>肆仟元整（¥4000.00）</w:t>
            </w:r>
            <w:r>
              <w:rPr>
                <w:rFonts w:hint="eastAsia" w:ascii="宋体" w:hAnsi="宋体" w:cs="宋体"/>
                <w:color w:val="auto"/>
                <w:kern w:val="0"/>
                <w:szCs w:val="21"/>
                <w:highlight w:val="none"/>
              </w:rPr>
              <w:t>。</w:t>
            </w:r>
          </w:p>
          <w:p w14:paraId="1BA42F89">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磋商保证金的交纳方式：银行转账、支票、汇票、本票或者银行、保险机构出具的保函（包含电子保函），禁止采用现钞方式。采用银行转账方式的，在响应文件提交截止时间前交至</w:t>
            </w:r>
            <w:r>
              <w:rPr>
                <w:rFonts w:hint="eastAsia" w:ascii="宋体" w:hAnsi="宋体" w:cs="宋体"/>
                <w:color w:val="auto"/>
                <w:kern w:val="0"/>
                <w:szCs w:val="21"/>
                <w:highlight w:val="none"/>
                <w:u w:val="single"/>
              </w:rPr>
              <w:t>云之龙咨询集团有限公司指定账户并且到账（账户名称：云之龙咨询集团有限公司北海分公司，开户银行：中信银行南宁东葛支行，银行账号：8113001013400074639</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w:t>
            </w:r>
            <w:r>
              <w:rPr>
                <w:rFonts w:hint="eastAsia" w:ascii="宋体" w:hAnsi="宋体" w:cs="宋体"/>
                <w:b/>
                <w:bCs/>
                <w:color w:val="auto"/>
                <w:kern w:val="0"/>
                <w:szCs w:val="21"/>
                <w:highlight w:val="none"/>
              </w:rPr>
              <w:t>否则视为无效磋商保证金。</w:t>
            </w:r>
          </w:p>
          <w:p w14:paraId="4B05EE3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7A871FE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40DB540">
            <w:pPr>
              <w:wordWrap w:val="0"/>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本项目拒收到付邮件，通过邮寄方式送达的，请合理安排邮寄时间，因邮寄原因未能在规定时间内送达的后果由供应商自行承担，逾期送达按无效响应处理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6553C8C0">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51F01302">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5E4E2AD2">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10AE10B1">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265AF4EA">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1CF8B31A">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56BBF5CD">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346ED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2FE3DA9">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62BD9381">
            <w:pPr>
              <w:wordWrap w:val="0"/>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522221D4">
            <w:pPr>
              <w:wordWrap w:val="0"/>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本项目接受电子备份响应文件。</w:t>
            </w:r>
          </w:p>
          <w:p w14:paraId="49080BD5">
            <w:pPr>
              <w:wordWrap w:val="0"/>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备份响应文件</w:t>
            </w:r>
            <w:r>
              <w:rPr>
                <w:rFonts w:hint="eastAsia"/>
                <w:color w:val="auto"/>
                <w:highlight w:val="none"/>
              </w:rPr>
              <w:t>提交方式：供应商可以在响应截止时间前采用以下</w:t>
            </w:r>
            <w:r>
              <w:rPr>
                <w:color w:val="auto"/>
                <w:highlight w:val="none"/>
                <w:u w:val="single"/>
              </w:rPr>
              <w:t xml:space="preserve"> </w:t>
            </w:r>
            <w:r>
              <w:rPr>
                <w:rFonts w:hint="eastAsia"/>
                <w:color w:val="auto"/>
                <w:highlight w:val="none"/>
                <w:u w:val="single"/>
              </w:rPr>
              <w:t>（1）或（3）</w:t>
            </w:r>
            <w:r>
              <w:rPr>
                <w:color w:val="auto"/>
                <w:highlight w:val="none"/>
                <w:u w:val="single"/>
              </w:rPr>
              <w:t xml:space="preserve">  </w:t>
            </w:r>
            <w:r>
              <w:rPr>
                <w:rFonts w:hint="eastAsia"/>
                <w:color w:val="auto"/>
                <w:highlight w:val="none"/>
              </w:rPr>
              <w:t>种方式向采购代理机构提交电子备份响应文件：</w:t>
            </w:r>
          </w:p>
          <w:p w14:paraId="5D05F1DE">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；提交截止时间</w:t>
            </w:r>
            <w:r>
              <w:rPr>
                <w:rFonts w:hint="eastAsia"/>
                <w:color w:val="auto"/>
                <w:highlight w:val="none"/>
                <w:u w:val="single"/>
              </w:rPr>
              <w:t>：响应文件提交截止时间前；</w:t>
            </w:r>
            <w:r>
              <w:rPr>
                <w:rFonts w:hint="eastAsia"/>
                <w:color w:val="auto"/>
                <w:highlight w:val="none"/>
              </w:rPr>
              <w:t>外包装上注明供应商名称、项目名称及项目编号（外包装不作密封要求）。</w:t>
            </w:r>
          </w:p>
          <w:p w14:paraId="427B112E">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）电子邮件方式，接收电子备份响应文件的电子邮箱为：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rPr>
              <w:t>。</w:t>
            </w:r>
          </w:p>
          <w:p w14:paraId="26BCBFFB">
            <w:pPr>
              <w:pStyle w:val="14"/>
              <w:wordWrap w:val="0"/>
              <w:spacing w:line="360" w:lineRule="auto"/>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，截止接收时间：</w:t>
            </w:r>
            <w:r>
              <w:rPr>
                <w:rFonts w:hint="eastAsia"/>
                <w:color w:val="auto"/>
                <w:highlight w:val="none"/>
                <w:u w:val="single"/>
              </w:rPr>
              <w:t>响应文件提交截止时间前</w:t>
            </w:r>
            <w:r>
              <w:rPr>
                <w:rFonts w:hint="eastAsia"/>
                <w:color w:val="auto"/>
                <w:highlight w:val="none"/>
              </w:rPr>
              <w:t>，收件人：</w:t>
            </w:r>
            <w:r>
              <w:rPr>
                <w:rFonts w:hint="eastAsia"/>
                <w:color w:val="auto"/>
                <w:highlight w:val="none"/>
                <w:u w:val="single"/>
              </w:rPr>
              <w:t>翁娜娜</w:t>
            </w:r>
            <w:r>
              <w:rPr>
                <w:rFonts w:hint="eastAsia"/>
                <w:color w:val="auto"/>
                <w:highlight w:val="none"/>
              </w:rPr>
              <w:t>，联系方式：</w:t>
            </w:r>
            <w:r>
              <w:rPr>
                <w:rFonts w:ascii="宋体" w:hAnsi="宋体" w:cs="宋体"/>
                <w:color w:val="auto"/>
                <w:szCs w:val="21"/>
                <w:highlight w:val="none"/>
                <w:u w:val="single"/>
              </w:rPr>
              <w:t>0779-3227361</w:t>
            </w:r>
            <w:r>
              <w:rPr>
                <w:rFonts w:hint="eastAsia"/>
                <w:color w:val="auto"/>
                <w:highlight w:val="none"/>
              </w:rPr>
              <w:t>；外包装上注明供应商名称、项目名称及项目编号（外包装不作密封要求）。</w:t>
            </w:r>
          </w:p>
          <w:p w14:paraId="40EBFB25">
            <w:pPr>
              <w:wordWrap w:val="0"/>
              <w:autoSpaceDE w:val="0"/>
              <w:autoSpaceDN w:val="0"/>
              <w:snapToGrid w:val="0"/>
              <w:spacing w:line="360" w:lineRule="auto"/>
              <w:textAlignment w:val="bottom"/>
              <w:rPr>
                <w:rFonts w:ascii="宋体" w:hAnsi="宋体" w:cs="宋体"/>
                <w:color w:val="auto"/>
                <w:szCs w:val="21"/>
                <w:highlight w:val="none"/>
              </w:rPr>
            </w:pPr>
            <w:r>
              <w:rPr>
                <w:rFonts w:hint="eastAsia"/>
                <w:color w:val="auto"/>
                <w:highlight w:val="none"/>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color w:val="auto"/>
                <w:highlight w:val="none"/>
              </w:rPr>
              <w:t>供应商的响应文件作无效处理</w:t>
            </w:r>
            <w:r>
              <w:rPr>
                <w:rFonts w:hint="eastAsia"/>
                <w:color w:val="auto"/>
                <w:highlight w:val="none"/>
              </w:rPr>
              <w:t>。</w:t>
            </w:r>
          </w:p>
        </w:tc>
      </w:tr>
      <w:tr w14:paraId="3279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290C9D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6514456C">
            <w:pPr>
              <w:wordWrap w:val="0"/>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172254E2">
            <w:pPr>
              <w:wordWrap w:val="0"/>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5D2C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5F0193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340F00A6">
            <w:pPr>
              <w:wordWrap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50D9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40AA3B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5AB5D69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7657DDC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ascii="宋体" w:hAnsi="宋体"/>
                <w:color w:val="auto"/>
                <w:szCs w:val="21"/>
                <w:highlight w:val="none"/>
                <w:u w:val="single"/>
              </w:rPr>
              <w:t>30</w:t>
            </w:r>
            <w:r>
              <w:rPr>
                <w:rFonts w:hint="eastAsia" w:ascii="宋体" w:hAnsi="宋体"/>
                <w:color w:val="auto"/>
                <w:szCs w:val="21"/>
                <w:highlight w:val="none"/>
              </w:rPr>
              <w:t>分钟。</w:t>
            </w:r>
          </w:p>
        </w:tc>
      </w:tr>
      <w:tr w14:paraId="2EFE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8DC86F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7AE4ECB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03ECC18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754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5367DE7">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04CCE4A5">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r>
              <w:rPr>
                <w:rFonts w:hint="eastAsia" w:ascii="宋体" w:hAnsi="宋体" w:cs="宋体"/>
                <w:color w:val="auto"/>
                <w:szCs w:val="21"/>
                <w:highlight w:val="none"/>
              </w:rPr>
              <w:t>。</w:t>
            </w:r>
          </w:p>
        </w:tc>
      </w:tr>
      <w:tr w14:paraId="3714F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FD2390D">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5E35C575">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008806E">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E8CD739">
            <w:pPr>
              <w:wordWrap w:val="0"/>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0601F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1C071B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6B4D34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5BEBB54">
            <w:pPr>
              <w:pStyle w:val="18"/>
              <w:wordWrap w:val="0"/>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云之龙咨询集团有限公司北海分公司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0779-3227361/3227538</w:t>
            </w:r>
            <w:r>
              <w:rPr>
                <w:rFonts w:hint="eastAsia" w:hAnsi="宋体" w:cs="宋体"/>
                <w:color w:val="auto"/>
                <w:kern w:val="2"/>
                <w:sz w:val="21"/>
                <w:highlight w:val="none"/>
              </w:rPr>
              <w:t>，通讯地址：</w:t>
            </w:r>
            <w:r>
              <w:rPr>
                <w:rFonts w:hint="eastAsia" w:hAnsi="宋体" w:cs="宋体"/>
                <w:color w:val="auto"/>
                <w:kern w:val="2"/>
                <w:sz w:val="21"/>
                <w:highlight w:val="none"/>
                <w:u w:val="single"/>
              </w:rPr>
              <w:t>广西北海市北部湾中路60号779财富中心15楼1505号</w:t>
            </w:r>
          </w:p>
          <w:p w14:paraId="27AC6054">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业务时间：上午8时00分到12时00分，下午</w:t>
            </w:r>
            <w:r>
              <w:rPr>
                <w:rFonts w:ascii="宋体" w:hAnsi="宋体" w:cs="宋体"/>
                <w:color w:val="auto"/>
                <w:szCs w:val="21"/>
                <w:highlight w:val="none"/>
              </w:rPr>
              <w:t>3</w:t>
            </w:r>
            <w:r>
              <w:rPr>
                <w:rFonts w:hint="eastAsia" w:ascii="宋体" w:hAnsi="宋体" w:cs="宋体"/>
                <w:color w:val="auto"/>
                <w:szCs w:val="21"/>
                <w:highlight w:val="none"/>
              </w:rPr>
              <w:t>时00分到</w:t>
            </w:r>
            <w:r>
              <w:rPr>
                <w:rFonts w:ascii="宋体" w:hAnsi="宋体" w:cs="宋体"/>
                <w:color w:val="auto"/>
                <w:szCs w:val="21"/>
                <w:highlight w:val="none"/>
              </w:rPr>
              <w:t>6</w:t>
            </w:r>
            <w:r>
              <w:rPr>
                <w:rFonts w:hint="eastAsia" w:ascii="宋体" w:hAnsi="宋体" w:cs="宋体"/>
                <w:color w:val="auto"/>
                <w:szCs w:val="21"/>
                <w:highlight w:val="none"/>
              </w:rPr>
              <w:t>时00分</w:t>
            </w:r>
          </w:p>
        </w:tc>
      </w:tr>
      <w:tr w14:paraId="385A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AB421F0">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4601A2FE">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53B07342">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领取成交通知书后三个工作日内，一次性向采购代理机构支付。</w:t>
            </w:r>
          </w:p>
          <w:p w14:paraId="315E1629">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3180DB5">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47718B79">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w:t>
            </w:r>
            <w:r>
              <w:rPr>
                <w:rFonts w:hint="eastAsia" w:hAnsi="宋体"/>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宋体"/>
                <w:color w:val="auto"/>
                <w:highlight w:val="none"/>
              </w:rPr>
              <w:t>☑</w:t>
            </w:r>
            <w:r>
              <w:rPr>
                <w:rFonts w:hint="eastAsia" w:hAnsi="宋体" w:cs="宋体"/>
                <w:color w:val="auto"/>
                <w:sz w:val="21"/>
                <w:highlight w:val="none"/>
              </w:rPr>
              <w:t>服务类/□工程类）采用差额定率累进法计算出收费基准价格，采购代理收费以（</w:t>
            </w:r>
            <w:r>
              <w:rPr>
                <w:rFonts w:hint="eastAsia" w:hAnsi="宋体"/>
                <w:color w:val="auto"/>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）收取。最低收费伍仟元，不足伍仟元按伍仟元收取。</w:t>
            </w:r>
          </w:p>
          <w:p w14:paraId="2FC4AC61">
            <w:pPr>
              <w:pStyle w:val="18"/>
              <w:wordWrap w:val="0"/>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35FC8C5C">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3.采购代理费收取银行账户</w:t>
            </w:r>
          </w:p>
          <w:p w14:paraId="54DDC657">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账户名称：云之龙咨询集团有限公司北海分公司</w:t>
            </w:r>
          </w:p>
          <w:p w14:paraId="39934EF6">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账号：8113001013600157976</w:t>
            </w:r>
          </w:p>
          <w:p w14:paraId="2A6FA8EA">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开户行：中信银行南宁东葛支行</w:t>
            </w:r>
          </w:p>
        </w:tc>
      </w:tr>
      <w:tr w14:paraId="23DCB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EAB15F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DB63845">
            <w:pPr>
              <w:pStyle w:val="18"/>
              <w:wordWrap w:val="0"/>
              <w:snapToGrid w:val="0"/>
              <w:spacing w:line="360" w:lineRule="auto"/>
              <w:rPr>
                <w:rFonts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45D2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319050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0AC92643">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13DB60F">
            <w:pPr>
              <w:pStyle w:val="18"/>
              <w:wordWrap w:val="0"/>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99A96C5">
            <w:pPr>
              <w:pStyle w:val="18"/>
              <w:wordWrap w:val="0"/>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4E17DEAD">
            <w:pPr>
              <w:pStyle w:val="18"/>
              <w:wordWrap w:val="0"/>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63C84126">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26F6D687">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BC6F7AE">
      <w:pPr>
        <w:spacing w:line="400" w:lineRule="exact"/>
        <w:jc w:val="center"/>
        <w:rPr>
          <w:rFonts w:ascii="宋体" w:hAnsi="宋体"/>
          <w:b/>
          <w:color w:val="auto"/>
          <w:sz w:val="32"/>
          <w:szCs w:val="32"/>
          <w:highlight w:val="none"/>
        </w:rPr>
      </w:pPr>
    </w:p>
    <w:p w14:paraId="6BBD7294">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267FE316">
      <w:pPr>
        <w:spacing w:line="400" w:lineRule="exact"/>
        <w:rPr>
          <w:rFonts w:ascii="宋体" w:hAnsi="宋体"/>
          <w:color w:val="auto"/>
          <w:szCs w:val="21"/>
          <w:highlight w:val="none"/>
        </w:rPr>
      </w:pPr>
    </w:p>
    <w:p w14:paraId="24B49E3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AEEB5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24C2D8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D77FB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2B567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9EEAF2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287CA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13DFB5A">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D195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0812386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FDC2C1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D1CC8A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422533D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A2AA2F4">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123062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1E3A62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EB47D1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F9AD7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4B35F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6FA678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BFF31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2FBA5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80715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0B79CD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1" w:name="_Hlk66782192"/>
      <w:r>
        <w:rPr>
          <w:rFonts w:hint="eastAsia" w:ascii="宋体" w:hAnsi="宋体"/>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61"/>
    </w:p>
    <w:p w14:paraId="1FC984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CA06CD4">
      <w:pPr>
        <w:pStyle w:val="8"/>
        <w:keepNext w:val="0"/>
        <w:keepLines w:val="0"/>
        <w:spacing w:before="0" w:after="0" w:line="360" w:lineRule="auto"/>
        <w:ind w:firstLine="420" w:firstLineChars="200"/>
        <w:rPr>
          <w:rFonts w:ascii="宋体" w:hAnsi="宋体"/>
          <w:b w:val="0"/>
          <w:color w:val="auto"/>
          <w:sz w:val="21"/>
          <w:szCs w:val="21"/>
          <w:highlight w:val="none"/>
        </w:rPr>
      </w:pPr>
      <w:bookmarkStart w:id="62" w:name="_Toc254970673"/>
      <w:bookmarkStart w:id="63" w:name="_Toc254970532"/>
      <w:r>
        <w:rPr>
          <w:rFonts w:hint="eastAsia" w:ascii="宋体" w:hAnsi="宋体"/>
          <w:b w:val="0"/>
          <w:color w:val="auto"/>
          <w:sz w:val="21"/>
          <w:szCs w:val="21"/>
          <w:highlight w:val="none"/>
        </w:rPr>
        <w:t>6.1本项目不允许转包。</w:t>
      </w:r>
    </w:p>
    <w:p w14:paraId="60325BAE">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2BC7D09">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44BC02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2"/>
      <w:bookmarkEnd w:id="63"/>
    </w:p>
    <w:p w14:paraId="3BB8B722">
      <w:pPr>
        <w:spacing w:line="360" w:lineRule="auto"/>
        <w:ind w:firstLine="420" w:firstLineChars="200"/>
        <w:rPr>
          <w:rFonts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t>7.</w:t>
      </w:r>
      <w:r>
        <w:rPr>
          <w:rFonts w:ascii="宋体" w:hAnsi="宋体" w:cs="宋体"/>
          <w:color w:val="auto"/>
          <w:szCs w:val="21"/>
          <w:highlight w:val="none"/>
        </w:rPr>
        <w:t>1</w:t>
      </w:r>
      <w:bookmarkStart w:id="6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5"/>
    <w:p w14:paraId="4B8623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E5B55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C3EF1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5AB45D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4B5AE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F1551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D603B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FC7C2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54B0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90A7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7DE7FD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0FF4C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65C9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4BED8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1E17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003835D">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45A8E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B8D9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E6A28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0F9C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493CC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F470A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3F71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AD07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F31FFDE">
      <w:pPr>
        <w:spacing w:line="360" w:lineRule="auto"/>
        <w:ind w:firstLine="420" w:firstLineChars="200"/>
        <w:rPr>
          <w:rFonts w:ascii="宋体" w:hAnsi="宋体" w:cs="宋体"/>
          <w:color w:val="auto"/>
          <w:szCs w:val="21"/>
          <w:highlight w:val="none"/>
        </w:rPr>
      </w:pPr>
    </w:p>
    <w:p w14:paraId="4ECF4427">
      <w:pPr>
        <w:spacing w:line="360" w:lineRule="auto"/>
        <w:ind w:left="1" w:firstLine="417" w:firstLineChars="199"/>
        <w:jc w:val="center"/>
        <w:rPr>
          <w:rFonts w:ascii="宋体" w:hAnsi="宋体"/>
          <w:color w:val="auto"/>
          <w:highlight w:val="none"/>
        </w:rPr>
      </w:pPr>
      <w:bookmarkStart w:id="66" w:name="_Toc254970675"/>
      <w:bookmarkStart w:id="67" w:name="_Toc254970534"/>
    </w:p>
    <w:p w14:paraId="7F74951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6"/>
      <w:bookmarkEnd w:id="67"/>
    </w:p>
    <w:p w14:paraId="4027D03D">
      <w:pPr>
        <w:spacing w:line="360" w:lineRule="auto"/>
        <w:rPr>
          <w:rFonts w:ascii="宋体" w:hAnsi="宋体"/>
          <w:color w:val="auto"/>
          <w:szCs w:val="21"/>
          <w:highlight w:val="none"/>
        </w:rPr>
      </w:pPr>
    </w:p>
    <w:p w14:paraId="2D562A5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5BF6C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88238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618987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19F742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4CD05C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AC876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75ED18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5575B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1990D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345A3FD">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098B18C8">
      <w:pPr>
        <w:spacing w:line="360" w:lineRule="auto"/>
        <w:rPr>
          <w:rFonts w:ascii="宋体" w:hAnsi="宋体"/>
          <w:color w:val="auto"/>
          <w:szCs w:val="21"/>
          <w:highlight w:val="none"/>
        </w:rPr>
      </w:pPr>
    </w:p>
    <w:p w14:paraId="6F9B6E7A">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3A8BFF22">
      <w:pPr>
        <w:spacing w:line="360" w:lineRule="auto"/>
        <w:rPr>
          <w:rFonts w:ascii="宋体" w:hAnsi="宋体"/>
          <w:color w:val="auto"/>
          <w:szCs w:val="21"/>
          <w:highlight w:val="none"/>
        </w:rPr>
      </w:pPr>
    </w:p>
    <w:p w14:paraId="4923DD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158D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供应商必须按照磋商文件的要求编制响应文件，并对其提交的响应文件的真实性、合法性承担法律责任。响应文件必须对磋商文件提出的要求和条件作出明确响应。</w:t>
      </w:r>
    </w:p>
    <w:p w14:paraId="2D694A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A3536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095E86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7A48F5B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1784D6A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CBFD6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3F9E7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42275D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1364AF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供应商没有按照磋商文件要求提供全部资料，或者供应商没有对磋商文件在各方面作出实质性响应可能导致其响应无效，是供应商应当考虑的风险。</w:t>
      </w:r>
    </w:p>
    <w:p w14:paraId="0C1110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8500E0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050FA9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6A4BC3A">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677E517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7698EA4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6C72F118">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1AE996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B3DB2C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15.3.</w:t>
      </w:r>
      <w:r>
        <w:rPr>
          <w:rFonts w:ascii="宋体" w:hAnsi="宋体" w:cs="宋体"/>
          <w:b/>
          <w:bCs/>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竞标报价（包含首次报价、最后报价）超过所竞标分标规定的采购预算金额的，其响应文件将按无效处理。</w:t>
      </w:r>
      <w:bookmarkStart w:id="68" w:name="_Hlk42592874"/>
    </w:p>
    <w:bookmarkEnd w:id="68"/>
    <w:p w14:paraId="26437AD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9140C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1EB7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14:paraId="65435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48B0EC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09E6F3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524A54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29AF7CCA">
      <w:pPr>
        <w:spacing w:line="360" w:lineRule="auto"/>
        <w:ind w:firstLine="420" w:firstLineChars="200"/>
        <w:rPr>
          <w:rFonts w:ascii="宋体" w:hAnsi="宋体" w:cs="宋体"/>
          <w:color w:val="auto"/>
          <w:szCs w:val="21"/>
          <w:highlight w:val="none"/>
        </w:rPr>
      </w:pPr>
      <w:bookmarkStart w:id="6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69"/>
      <w:r>
        <w:rPr>
          <w:rFonts w:hint="eastAsia" w:ascii="宋体" w:hAnsi="宋体" w:cs="宋体"/>
          <w:color w:val="auto"/>
          <w:szCs w:val="21"/>
          <w:highlight w:val="none"/>
        </w:rPr>
        <w:t xml:space="preserve"> </w:t>
      </w:r>
    </w:p>
    <w:p w14:paraId="5396AA3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41C119A8">
      <w:pPr>
        <w:spacing w:line="360" w:lineRule="auto"/>
        <w:ind w:left="420" w:leftChars="200"/>
        <w:rPr>
          <w:rFonts w:ascii="宋体" w:hAnsi="宋体" w:cs="宋体"/>
          <w:b/>
          <w:bCs/>
          <w:color w:val="auto"/>
          <w:szCs w:val="21"/>
          <w:highlight w:val="none"/>
        </w:rPr>
      </w:pPr>
      <w:r>
        <w:rPr>
          <w:rFonts w:hint="eastAsia" w:ascii="宋体" w:hAnsi="宋体" w:cs="宋体"/>
          <w:b/>
          <w:bCs/>
          <w:color w:val="auto"/>
          <w:szCs w:val="21"/>
          <w:highlight w:val="none"/>
        </w:rPr>
        <w:t xml:space="preserve">17.4供应商有下列情形之一的，磋商保证金将不予退还： </w:t>
      </w:r>
    </w:p>
    <w:p w14:paraId="20BCDD3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1135E35">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42606B2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7E946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526CC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22CF12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F811C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E6F0C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47CFF9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D59186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18.3响应文件须由供应商在规定位置签字、盖章（具体以供应商须知前附表或响应文件格式规定为准），否则按无效响应处理。</w:t>
      </w:r>
    </w:p>
    <w:p w14:paraId="632F9B3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18FB6D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F15475D">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2FEC5B3">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323255C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23B948C">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C2310E3">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color w:val="auto"/>
          <w:szCs w:val="21"/>
          <w:highlight w:val="none"/>
        </w:rPr>
        <w:t>广西政府采购云平台</w:t>
      </w:r>
      <w:r>
        <w:rPr>
          <w:rFonts w:hint="eastAsia" w:ascii="宋体" w:hAnsi="宋体"/>
          <w:b/>
          <w:color w:val="auto"/>
          <w:szCs w:val="21"/>
          <w:highlight w:val="none"/>
        </w:rPr>
        <w:t>将拒收。</w:t>
      </w:r>
    </w:p>
    <w:p w14:paraId="4549CE6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2626E78">
      <w:pPr>
        <w:snapToGrid w:val="0"/>
        <w:spacing w:line="360" w:lineRule="auto"/>
        <w:ind w:firstLine="420"/>
        <w:jc w:val="left"/>
        <w:rPr>
          <w:rFonts w:ascii="宋体" w:hAnsi="宋体"/>
          <w:color w:val="auto"/>
          <w:szCs w:val="21"/>
          <w:highlight w:val="none"/>
        </w:rPr>
      </w:pPr>
      <w:bookmarkStart w:id="70" w:name="_Toc254970543"/>
      <w:bookmarkStart w:id="7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0"/>
    <w:bookmarkEnd w:id="71"/>
    <w:p w14:paraId="5F825575">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C80038D">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03116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F2832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3B7201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2"/>
    <w:p w14:paraId="10596400">
      <w:pPr>
        <w:spacing w:line="360" w:lineRule="auto"/>
        <w:rPr>
          <w:rFonts w:ascii="宋体" w:hAnsi="宋体"/>
          <w:color w:val="auto"/>
          <w:szCs w:val="21"/>
          <w:highlight w:val="none"/>
        </w:rPr>
      </w:pPr>
    </w:p>
    <w:p w14:paraId="0F5C03FF">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1E86D4D">
      <w:pPr>
        <w:spacing w:line="360" w:lineRule="auto"/>
        <w:ind w:left="420" w:firstLine="420"/>
        <w:rPr>
          <w:rFonts w:ascii="宋体" w:hAnsi="宋体"/>
          <w:color w:val="auto"/>
          <w:szCs w:val="21"/>
          <w:highlight w:val="none"/>
        </w:rPr>
      </w:pPr>
    </w:p>
    <w:p w14:paraId="493256D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1260A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评审专家共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02DE3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D9F4133">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基于广西政府采购云平台抽（选）取评审专家。</w:t>
      </w:r>
    </w:p>
    <w:p w14:paraId="34601A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w:t>
      </w:r>
      <w:r>
        <w:rPr>
          <w:rFonts w:hint="eastAsia" w:hAnsi="宋体"/>
          <w:bCs/>
          <w:color w:val="auto"/>
          <w:szCs w:val="21"/>
          <w:highlight w:val="none"/>
        </w:rPr>
        <w:t>前期咨询论证的专家，不得参加该采购项目的评审活动。</w:t>
      </w:r>
    </w:p>
    <w:p w14:paraId="2198146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3B7A45A">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BAA4B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42989D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0BCF0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0864C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B197E8A">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7E3F9BF2">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7EC93C99">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6544A88F">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E052CF8">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152A71A4">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76398C12">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28B38D0F">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377CF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A034B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532B6D">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32DD396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5CB6D4A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3750FF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D3835D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6C4540B5">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29AC6A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C002FE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375C230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289B1C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860D40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71B083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243847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C41351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3CD136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459CA2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B97F7B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8B4902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784F7E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3FAAD5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13B0A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657EDF4A">
      <w:pPr>
        <w:pStyle w:val="9"/>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B521F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1CE3B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697AA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DC4C5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3B539C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1F4B5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29D78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F28F1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85B4D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352F4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04E34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EA0DA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36A0E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2AC21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295AC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6E638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4C4CA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1D4A15E">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38778A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74DE8542">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05CB1AE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CD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818247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3E54099F">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4ACAAA77">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8F780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C45B8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5C8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3DE9B4">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800935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2140F3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052BBA3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E53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D0D0D00">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41B5D4E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610F65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E4305E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1B6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58DF3D">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46D7AB3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4B201CA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07D1E8F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0D82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08EBBB1">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4889B9C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5C0481E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668DEF3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B6C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28FEDD">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FC4820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E768C5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72770C3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3A1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96F718F">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7004690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0146D8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438127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C8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35F5AC">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70947F1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241D99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27C81E9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91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D0EB78">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53D3F5E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54E4A9B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52016E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1E8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7064100">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1CC1C37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513DE98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09FD47E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B58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BC6F70">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78B7C7F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62FC54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445955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9C118FA">
      <w:pPr>
        <w:spacing w:line="360" w:lineRule="auto"/>
        <w:ind w:firstLine="420" w:firstLineChars="200"/>
        <w:rPr>
          <w:rFonts w:ascii="宋体" w:hAnsi="宋体" w:cs="宋体"/>
          <w:color w:val="auto"/>
          <w:highlight w:val="none"/>
        </w:rPr>
      </w:pPr>
      <w:r>
        <w:rPr>
          <w:rFonts w:ascii="宋体" w:hAnsi="宋体" w:cs="宋体"/>
          <w:color w:val="auto"/>
          <w:highlight w:val="none"/>
        </w:rPr>
        <w:t>注</w:t>
      </w:r>
      <w:r>
        <w:rPr>
          <w:rFonts w:hint="eastAsia" w:ascii="宋体" w:hAnsi="宋体" w:cs="宋体"/>
          <w:color w:val="auto"/>
          <w:highlight w:val="none"/>
        </w:rPr>
        <w:t>：</w:t>
      </w:r>
    </w:p>
    <w:p w14:paraId="4F99F4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7F9665C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44D7F29B">
      <w:pPr>
        <w:spacing w:line="360" w:lineRule="auto"/>
        <w:ind w:firstLine="420" w:firstLineChars="200"/>
        <w:rPr>
          <w:rFonts w:ascii="宋体" w:hAnsi="宋体" w:cs="宋体"/>
          <w:color w:val="auto"/>
          <w:highlight w:val="none"/>
        </w:rPr>
      </w:pPr>
      <w:r>
        <w:rPr>
          <w:rFonts w:ascii="宋体" w:hAnsi="宋体" w:cs="宋体"/>
          <w:color w:val="auto"/>
          <w:highlight w:val="none"/>
        </w:rPr>
        <w:t>例如</w:t>
      </w:r>
      <w:r>
        <w:rPr>
          <w:rFonts w:hint="eastAsia" w:ascii="宋体" w:hAnsi="宋体" w:cs="宋体"/>
          <w:color w:val="auto"/>
          <w:highlight w:val="none"/>
        </w:rPr>
        <w:t>：</w:t>
      </w:r>
      <w:r>
        <w:rPr>
          <w:rFonts w:ascii="宋体" w:hAnsi="宋体" w:cs="宋体"/>
          <w:color w:val="auto"/>
          <w:highlight w:val="none"/>
        </w:rPr>
        <w:t>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r>
        <w:rPr>
          <w:rFonts w:hint="eastAsia" w:ascii="宋体" w:hAnsi="宋体" w:cs="宋体"/>
          <w:color w:val="auto"/>
          <w:highlight w:val="none"/>
        </w:rPr>
        <w:t>：</w:t>
      </w:r>
    </w:p>
    <w:p w14:paraId="5A387387">
      <w:pPr>
        <w:spacing w:line="360" w:lineRule="auto"/>
        <w:ind w:firstLine="420" w:firstLineChars="200"/>
        <w:rPr>
          <w:rFonts w:ascii="宋体" w:hAnsi="宋体" w:cs="宋体"/>
          <w:color w:val="auto"/>
          <w:highlight w:val="none"/>
        </w:rPr>
      </w:pPr>
      <w:r>
        <w:rPr>
          <w:rFonts w:ascii="宋体" w:hAnsi="宋体" w:cs="宋体"/>
          <w:color w:val="auto"/>
          <w:highlight w:val="none"/>
        </w:rPr>
        <w:t>100 万元×l.5 %＝1.5 万元</w:t>
      </w:r>
    </w:p>
    <w:p w14:paraId="2D33E519">
      <w:pPr>
        <w:spacing w:line="360" w:lineRule="auto"/>
        <w:ind w:firstLine="420" w:firstLineChars="200"/>
        <w:rPr>
          <w:rFonts w:ascii="宋体" w:hAnsi="宋体" w:cs="宋体"/>
          <w:color w:val="auto"/>
          <w:highlight w:val="none"/>
        </w:rPr>
      </w:pPr>
      <w:r>
        <w:rPr>
          <w:rFonts w:ascii="宋体" w:hAnsi="宋体" w:cs="宋体"/>
          <w:color w:val="auto"/>
          <w:highlight w:val="none"/>
        </w:rPr>
        <w:t>（150－100 ）万元 ×0.8%＝0.4万元</w:t>
      </w:r>
    </w:p>
    <w:p w14:paraId="59162B99">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highlight w:val="none"/>
        </w:rPr>
        <w:t>合计收费＝1.5＋0.4＝1.9 万元</w:t>
      </w:r>
    </w:p>
    <w:p w14:paraId="78344B2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44B859EA">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609BA117">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4D0211BE">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9A049E0">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DA15D32">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181CB8D4">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25C3ED2">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2561D51">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0DF96D2E">
      <w:pPr>
        <w:pStyle w:val="18"/>
        <w:snapToGrid w:val="0"/>
        <w:rPr>
          <w:rFonts w:ascii="黑体" w:hAnsi="黑体" w:eastAsia="黑体" w:cs="黑体"/>
          <w:bCs/>
          <w:color w:val="auto"/>
          <w:sz w:val="32"/>
          <w:szCs w:val="32"/>
          <w:highlight w:val="none"/>
        </w:rPr>
      </w:pPr>
      <w:r>
        <w:rPr>
          <w:rFonts w:hAnsi="宋体" w:cs="宋体"/>
          <w:color w:val="auto"/>
          <w:kern w:val="2"/>
          <w:sz w:val="21"/>
          <w:highlight w:val="none"/>
        </w:rPr>
        <w:br w:type="page"/>
      </w:r>
      <w:r>
        <w:rPr>
          <w:rFonts w:hint="eastAsia" w:ascii="黑体" w:hAnsi="黑体" w:eastAsia="黑体" w:cs="黑体"/>
          <w:bCs/>
          <w:color w:val="auto"/>
          <w:sz w:val="32"/>
          <w:szCs w:val="32"/>
          <w:highlight w:val="none"/>
        </w:rPr>
        <w:t>附件1：</w:t>
      </w:r>
    </w:p>
    <w:p w14:paraId="69101245">
      <w:pPr>
        <w:pStyle w:val="18"/>
        <w:snapToGrid w:val="0"/>
        <w:rPr>
          <w:rFonts w:hAnsi="宋体"/>
          <w:color w:val="auto"/>
          <w:highlight w:val="none"/>
        </w:rPr>
      </w:pPr>
      <w:r>
        <w:rPr>
          <w:rFonts w:hint="eastAsia" w:hAnsi="宋体"/>
          <w:color w:val="auto"/>
          <w:highlight w:val="none"/>
        </w:rPr>
        <w:t xml:space="preserve"> </w:t>
      </w:r>
    </w:p>
    <w:p w14:paraId="1503EE7E">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36FD5CB2">
      <w:pPr>
        <w:widowControl/>
        <w:shd w:val="clear" w:color="auto" w:fill="FFFFFF"/>
        <w:spacing w:line="480" w:lineRule="atLeast"/>
        <w:jc w:val="center"/>
        <w:rPr>
          <w:rFonts w:ascii="仿宋" w:hAnsi="仿宋" w:eastAsia="仿宋" w:cs="宋体"/>
          <w:color w:val="auto"/>
          <w:kern w:val="0"/>
          <w:sz w:val="32"/>
          <w:szCs w:val="32"/>
          <w:highlight w:val="none"/>
        </w:rPr>
      </w:pPr>
    </w:p>
    <w:p w14:paraId="1E7DCF03">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A64859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39A7DE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r>
              <w:rPr>
                <w:rFonts w:hint="eastAsia" w:ascii="Verdana" w:hAnsi="Verdana" w:cs="宋体"/>
                <w:color w:val="auto"/>
                <w:kern w:val="0"/>
                <w:szCs w:val="21"/>
                <w:highlight w:val="none"/>
              </w:rPr>
              <w:t>：</w:t>
            </w:r>
          </w:p>
        </w:tc>
        <w:tc>
          <w:tcPr>
            <w:tcW w:w="5193" w:type="dxa"/>
            <w:gridSpan w:val="6"/>
            <w:tcBorders>
              <w:top w:val="single" w:color="auto" w:sz="8" w:space="0"/>
              <w:left w:val="nil"/>
              <w:bottom w:val="single" w:color="auto" w:sz="8" w:space="0"/>
              <w:right w:val="single" w:color="auto" w:sz="8" w:space="0"/>
            </w:tcBorders>
            <w:vAlign w:val="center"/>
          </w:tcPr>
          <w:p w14:paraId="0A19BAEA">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自行验收 </w:t>
            </w:r>
            <w:r>
              <w:rPr>
                <w:rFonts w:hint="eastAsia" w:ascii="Verdana" w:hAnsi="Verdana" w:cs="宋体"/>
                <w:color w:val="auto"/>
                <w:kern w:val="0"/>
                <w:szCs w:val="21"/>
                <w:highlight w:val="none"/>
              </w:rPr>
              <w:t>（</w:t>
            </w:r>
            <w:r>
              <w:rPr>
                <w:rFonts w:ascii="Verdana" w:hAnsi="Verdana" w:cs="宋体"/>
                <w:color w:val="auto"/>
                <w:kern w:val="0"/>
                <w:szCs w:val="21"/>
                <w:highlight w:val="none"/>
              </w:rPr>
              <w:t>委托验收</w:t>
            </w:r>
          </w:p>
        </w:tc>
      </w:tr>
      <w:tr w14:paraId="1CB0C81D">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D02577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E6CFE6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0201667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059094AD">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37E3FB2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499566D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74BCA6C">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254FB1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EB12E6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7843B5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A87D49">
            <w:pPr>
              <w:widowControl/>
              <w:spacing w:before="100" w:beforeAutospacing="1" w:after="100" w:afterAutospacing="1" w:line="240" w:lineRule="atLeast"/>
              <w:jc w:val="center"/>
              <w:rPr>
                <w:rFonts w:ascii="Verdana" w:hAnsi="Verdana" w:cs="宋体"/>
                <w:color w:val="auto"/>
                <w:kern w:val="0"/>
                <w:szCs w:val="21"/>
                <w:highlight w:val="none"/>
              </w:rPr>
            </w:pPr>
          </w:p>
        </w:tc>
      </w:tr>
      <w:tr w14:paraId="160ABD3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22DF652">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AC22119">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C2884FB">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4FE147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DF6F76F">
            <w:pPr>
              <w:widowControl/>
              <w:spacing w:before="100" w:beforeAutospacing="1" w:after="100" w:afterAutospacing="1" w:line="240" w:lineRule="atLeast"/>
              <w:jc w:val="center"/>
              <w:rPr>
                <w:rFonts w:ascii="Verdana" w:hAnsi="Verdana" w:cs="宋体"/>
                <w:color w:val="auto"/>
                <w:kern w:val="0"/>
                <w:szCs w:val="21"/>
                <w:highlight w:val="none"/>
              </w:rPr>
            </w:pPr>
          </w:p>
        </w:tc>
      </w:tr>
      <w:tr w14:paraId="448EF76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E65D50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748B4C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B0D2CE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49B0F6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218828F">
            <w:pPr>
              <w:widowControl/>
              <w:spacing w:before="100" w:beforeAutospacing="1" w:after="100" w:afterAutospacing="1" w:line="240" w:lineRule="atLeast"/>
              <w:jc w:val="center"/>
              <w:rPr>
                <w:rFonts w:ascii="Verdana" w:hAnsi="Verdana" w:cs="宋体"/>
                <w:color w:val="auto"/>
                <w:kern w:val="0"/>
                <w:szCs w:val="21"/>
                <w:highlight w:val="none"/>
              </w:rPr>
            </w:pPr>
          </w:p>
        </w:tc>
      </w:tr>
      <w:tr w14:paraId="399098A9">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A67262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7AF1C53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7E26E70">
            <w:pPr>
              <w:widowControl/>
              <w:spacing w:before="100" w:beforeAutospacing="1" w:after="100" w:afterAutospacing="1" w:line="240" w:lineRule="atLeast"/>
              <w:jc w:val="center"/>
              <w:rPr>
                <w:rFonts w:ascii="Verdana" w:hAnsi="Verdana" w:cs="宋体"/>
                <w:color w:val="auto"/>
                <w:kern w:val="0"/>
                <w:szCs w:val="21"/>
                <w:highlight w:val="none"/>
              </w:rPr>
            </w:pPr>
          </w:p>
        </w:tc>
      </w:tr>
      <w:tr w14:paraId="68A45CB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935C84B">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合计大写金额</w:t>
            </w: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41EC284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6CFB52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3FE3C118">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12DDB00">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B83D2D6">
            <w:pPr>
              <w:widowControl/>
              <w:spacing w:before="100" w:beforeAutospacing="1" w:after="100" w:afterAutospacing="1" w:line="240" w:lineRule="atLeast"/>
              <w:jc w:val="center"/>
              <w:rPr>
                <w:rFonts w:ascii="Verdana" w:hAnsi="Verdana" w:cs="宋体"/>
                <w:color w:val="auto"/>
                <w:kern w:val="0"/>
                <w:szCs w:val="21"/>
                <w:highlight w:val="none"/>
              </w:rPr>
            </w:pPr>
          </w:p>
        </w:tc>
      </w:tr>
      <w:tr w14:paraId="1B521AA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1C29D7">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BE9536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Fonts w:hint="eastAsia" w:ascii="Verdana" w:hAnsi="Verdana" w:cs="宋体"/>
                <w:color w:val="auto"/>
                <w:kern w:val="0"/>
                <w:szCs w:val="21"/>
                <w:highlight w:val="none"/>
              </w:rPr>
              <w:t>）</w:t>
            </w:r>
          </w:p>
        </w:tc>
      </w:tr>
      <w:tr w14:paraId="610ABF66">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8ECD3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5776778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r>
              <w:rPr>
                <w:rFonts w:hint="eastAsia" w:ascii="Verdana" w:hAnsi="Verdana" w:cs="宋体"/>
                <w:color w:val="auto"/>
                <w:kern w:val="0"/>
                <w:szCs w:val="21"/>
                <w:highlight w:val="none"/>
              </w:rPr>
              <w:t>：</w:t>
            </w:r>
          </w:p>
        </w:tc>
      </w:tr>
      <w:tr w14:paraId="34DEC57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20AD98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A4A963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r>
              <w:rPr>
                <w:rFonts w:hint="eastAsia" w:ascii="Verdana" w:hAnsi="Verdana" w:cs="宋体"/>
                <w:color w:val="auto"/>
                <w:kern w:val="0"/>
                <w:szCs w:val="21"/>
                <w:highlight w:val="none"/>
              </w:rPr>
              <w:t>：</w:t>
            </w:r>
          </w:p>
          <w:p w14:paraId="4C4FCBF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r>
              <w:rPr>
                <w:rFonts w:hint="eastAsia" w:ascii="Verdana" w:hAnsi="Verdana" w:cs="宋体"/>
                <w:color w:val="auto"/>
                <w:kern w:val="0"/>
                <w:szCs w:val="21"/>
                <w:highlight w:val="none"/>
              </w:rPr>
              <w:t>：</w:t>
            </w:r>
          </w:p>
        </w:tc>
      </w:tr>
      <w:tr w14:paraId="6FA794C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3CAC6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r>
              <w:rPr>
                <w:rFonts w:hint="eastAsia" w:ascii="Verdana" w:hAnsi="Verdana" w:cs="宋体"/>
                <w:color w:val="auto"/>
                <w:kern w:val="0"/>
                <w:szCs w:val="21"/>
                <w:highlight w:val="none"/>
              </w:rPr>
              <w:t>：</w:t>
            </w:r>
          </w:p>
        </w:tc>
      </w:tr>
      <w:tr w14:paraId="43C21C1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BDB03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r>
              <w:rPr>
                <w:rFonts w:hint="eastAsia" w:ascii="Verdana" w:hAnsi="Verdana" w:cs="宋体"/>
                <w:color w:val="auto"/>
                <w:kern w:val="0"/>
                <w:szCs w:val="21"/>
                <w:highlight w:val="none"/>
              </w:rPr>
              <w:t>：</w:t>
            </w:r>
          </w:p>
          <w:p w14:paraId="7D226C03">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r>
              <w:rPr>
                <w:rFonts w:hint="eastAsia" w:ascii="Verdana" w:hAnsi="Verdana" w:cs="宋体"/>
                <w:color w:val="auto"/>
                <w:kern w:val="0"/>
                <w:szCs w:val="21"/>
                <w:highlight w:val="none"/>
              </w:rPr>
              <w:t>：</w:t>
            </w:r>
          </w:p>
        </w:tc>
      </w:tr>
      <w:tr w14:paraId="22D8133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D3F2C7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成交供应商负责人签字或盖章</w:t>
            </w:r>
            <w:r>
              <w:rPr>
                <w:rFonts w:hint="eastAsia" w:ascii="Verdana" w:hAnsi="Verdana" w:cs="宋体"/>
                <w:color w:val="auto"/>
                <w:kern w:val="0"/>
                <w:szCs w:val="21"/>
                <w:highlight w:val="none"/>
              </w:rPr>
              <w:t>：</w:t>
            </w:r>
          </w:p>
          <w:p w14:paraId="6326CBA6">
            <w:pPr>
              <w:widowControl/>
              <w:spacing w:before="100" w:beforeAutospacing="1" w:after="100" w:afterAutospacing="1" w:line="320" w:lineRule="atLeast"/>
              <w:jc w:val="left"/>
              <w:rPr>
                <w:rFonts w:ascii="Verdana" w:hAnsi="Verdana" w:cs="宋体"/>
                <w:color w:val="auto"/>
                <w:kern w:val="0"/>
                <w:szCs w:val="21"/>
                <w:highlight w:val="none"/>
              </w:rPr>
            </w:pPr>
          </w:p>
          <w:p w14:paraId="6D133508">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48EBB2F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r>
              <w:rPr>
                <w:rFonts w:hint="eastAsia" w:ascii="Verdana" w:hAnsi="Verdana" w:cs="宋体"/>
                <w:color w:val="auto"/>
                <w:kern w:val="0"/>
                <w:szCs w:val="21"/>
                <w:highlight w:val="none"/>
              </w:rPr>
              <w:t>：</w:t>
            </w:r>
          </w:p>
          <w:p w14:paraId="584063C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698156B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264AE93D">
      <w:pPr>
        <w:pStyle w:val="18"/>
        <w:spacing w:line="360" w:lineRule="auto"/>
        <w:textAlignment w:val="center"/>
        <w:rPr>
          <w:rFonts w:hAnsi="宋体"/>
          <w:b/>
          <w:color w:val="auto"/>
          <w:sz w:val="32"/>
          <w:szCs w:val="32"/>
          <w:highlight w:val="none"/>
        </w:rPr>
      </w:pPr>
      <w:r>
        <w:rPr>
          <w:color w:val="auto"/>
          <w:highlight w:val="none"/>
        </w:rPr>
        <w:br w:type="page"/>
      </w:r>
    </w:p>
    <w:p w14:paraId="65436368">
      <w:pPr>
        <w:pStyle w:val="5"/>
        <w:jc w:val="center"/>
        <w:rPr>
          <w:color w:val="auto"/>
          <w:highlight w:val="none"/>
        </w:rPr>
      </w:pPr>
      <w:bookmarkStart w:id="74" w:name="_Toc20857"/>
      <w:r>
        <w:rPr>
          <w:rFonts w:hint="eastAsia"/>
          <w:color w:val="auto"/>
          <w:highlight w:val="none"/>
        </w:rPr>
        <w:t>第三章 采购需求</w:t>
      </w:r>
      <w:bookmarkEnd w:id="74"/>
    </w:p>
    <w:p w14:paraId="3A00063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6D2AAAF1">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F2B926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48855D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（2）根据《财政部司法部关于政府采购支持监狱企业发展有关问题的通知》（财库〔2014〕68号）的规定，如供应商为监狱企业，视同小型、微型企业。</w:t>
      </w:r>
    </w:p>
    <w:p w14:paraId="78091BA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（3）根据《关于促进残疾人就业政府采购政策的通知》（财库〔2017〕141号）的规定，如供应商为残疾人福利性单位，视同小型、微型企业。</w:t>
      </w:r>
    </w:p>
    <w:p w14:paraId="77B16BD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5B1CA76F">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，对磋商文件提出的要求和条件作出明确响应</w:t>
      </w:r>
      <w:r>
        <w:rPr>
          <w:rFonts w:hint="eastAsia" w:ascii="宋体" w:hAnsi="宋体"/>
          <w:b/>
          <w:bCs/>
          <w:color w:val="auto"/>
          <w:szCs w:val="21"/>
          <w:highlight w:val="none"/>
        </w:rPr>
        <w:t>，否则将作无效响应处理。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6237B5DA">
      <w:pPr>
        <w:spacing w:line="360" w:lineRule="auto"/>
        <w:ind w:firstLine="424" w:firstLineChars="202"/>
        <w:jc w:val="left"/>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13AAD76F">
      <w:pPr>
        <w:spacing w:line="360" w:lineRule="auto"/>
        <w:ind w:firstLine="310" w:firstLineChars="147"/>
        <w:rPr>
          <w:rFonts w:ascii="宋体" w:hAnsi="宋体"/>
          <w:b/>
          <w:color w:val="auto"/>
          <w:sz w:val="24"/>
          <w:szCs w:val="21"/>
          <w:highlight w:val="none"/>
        </w:rPr>
      </w:pPr>
      <w:r>
        <w:rPr>
          <w:rFonts w:ascii="宋体" w:hAnsi="宋体"/>
          <w:b/>
          <w:color w:val="auto"/>
          <w:highlight w:val="none"/>
        </w:rPr>
        <w:t>5</w:t>
      </w:r>
      <w:r>
        <w:rPr>
          <w:rFonts w:hint="eastAsia" w:ascii="宋体" w:hAnsi="宋体"/>
          <w:b/>
          <w:color w:val="auto"/>
          <w:highlight w:val="none"/>
        </w:rPr>
        <w:t>.本项目</w:t>
      </w:r>
      <w:r>
        <w:rPr>
          <w:rFonts w:ascii="宋体" w:hAnsi="宋体"/>
          <w:b/>
          <w:color w:val="auto"/>
          <w:highlight w:val="none"/>
        </w:rPr>
        <w:t>所属行业</w:t>
      </w:r>
      <w:r>
        <w:rPr>
          <w:rFonts w:hint="eastAsia" w:ascii="宋体" w:hAnsi="宋体"/>
          <w:b/>
          <w:bCs/>
          <w:color w:val="auto"/>
          <w:highlight w:val="none"/>
        </w:rPr>
        <w:t>：其他未列明行业。</w:t>
      </w:r>
      <w:r>
        <w:rPr>
          <w:rFonts w:hint="eastAsia" w:ascii="宋体" w:hAnsi="宋体"/>
          <w:color w:val="auto"/>
          <w:highlight w:val="none"/>
        </w:rPr>
        <w:t>从业人员300人以下的为中小微型企业。其中，从业人员100人及以上的为中型企业；从业人员10人及以上的为小型企业；从业人员10人以下的为微型企业。</w:t>
      </w:r>
    </w:p>
    <w:tbl>
      <w:tblPr>
        <w:tblStyle w:val="2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033"/>
        <w:gridCol w:w="139"/>
        <w:gridCol w:w="660"/>
        <w:gridCol w:w="690"/>
        <w:gridCol w:w="5641"/>
      </w:tblGrid>
      <w:tr w14:paraId="120EA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284A3202">
            <w:pPr>
              <w:tabs>
                <w:tab w:val="left" w:pos="180"/>
                <w:tab w:val="left" w:pos="1620"/>
              </w:tabs>
              <w:wordWrap w:val="0"/>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18986594">
            <w:pPr>
              <w:tabs>
                <w:tab w:val="left" w:pos="180"/>
                <w:tab w:val="left" w:pos="1620"/>
              </w:tabs>
              <w:wordWrap w:val="0"/>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服务名称</w:t>
            </w:r>
          </w:p>
        </w:tc>
        <w:tc>
          <w:tcPr>
            <w:tcW w:w="660" w:type="dxa"/>
            <w:tcBorders>
              <w:top w:val="single" w:color="auto" w:sz="4" w:space="0"/>
              <w:left w:val="single" w:color="auto" w:sz="4" w:space="0"/>
              <w:bottom w:val="single" w:color="auto" w:sz="4" w:space="0"/>
              <w:right w:val="single" w:color="auto" w:sz="4" w:space="0"/>
            </w:tcBorders>
            <w:vAlign w:val="center"/>
          </w:tcPr>
          <w:p w14:paraId="7BAEDB52">
            <w:pPr>
              <w:tabs>
                <w:tab w:val="left" w:pos="180"/>
                <w:tab w:val="left" w:pos="1620"/>
              </w:tabs>
              <w:wordWrap w:val="0"/>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2F765C9D">
            <w:pPr>
              <w:tabs>
                <w:tab w:val="left" w:pos="180"/>
                <w:tab w:val="left" w:pos="1620"/>
              </w:tabs>
              <w:wordWrap w:val="0"/>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单位</w:t>
            </w:r>
          </w:p>
        </w:tc>
        <w:tc>
          <w:tcPr>
            <w:tcW w:w="5641" w:type="dxa"/>
            <w:tcBorders>
              <w:top w:val="single" w:color="auto" w:sz="4" w:space="0"/>
              <w:left w:val="single" w:color="auto" w:sz="4" w:space="0"/>
              <w:bottom w:val="single" w:color="auto" w:sz="4" w:space="0"/>
              <w:right w:val="single" w:color="auto" w:sz="4" w:space="0"/>
            </w:tcBorders>
            <w:vAlign w:val="center"/>
          </w:tcPr>
          <w:p w14:paraId="20B0842C">
            <w:pPr>
              <w:tabs>
                <w:tab w:val="left" w:pos="180"/>
                <w:tab w:val="left" w:pos="1620"/>
              </w:tabs>
              <w:wordWrap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3BEEF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BD818B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69D32CAE">
            <w:pPr>
              <w:tabs>
                <w:tab w:val="left" w:pos="180"/>
                <w:tab w:val="left" w:pos="1620"/>
              </w:tabs>
              <w:wordWrap w:val="0"/>
              <w:spacing w:line="360" w:lineRule="exact"/>
              <w:jc w:val="center"/>
              <w:rPr>
                <w:rFonts w:ascii="宋体" w:hAnsi="宋体" w:cs="宋体"/>
                <w:b/>
                <w:bCs/>
                <w:color w:val="auto"/>
                <w:szCs w:val="21"/>
                <w:highlight w:val="none"/>
              </w:rPr>
            </w:pPr>
            <w:r>
              <w:rPr>
                <w:rFonts w:hint="eastAsia" w:ascii="宋体" w:hAnsi="宋体" w:cs="宋体"/>
                <w:color w:val="auto"/>
                <w:szCs w:val="21"/>
                <w:highlight w:val="none"/>
              </w:rPr>
              <w:t>广西涠洲岛珊瑚礁国家级海洋公园2025年度珊瑚礁生态现状监测、边界浮标维护及保护宣传项目</w:t>
            </w:r>
          </w:p>
        </w:tc>
        <w:tc>
          <w:tcPr>
            <w:tcW w:w="660" w:type="dxa"/>
            <w:tcBorders>
              <w:top w:val="single" w:color="auto" w:sz="4" w:space="0"/>
              <w:left w:val="single" w:color="auto" w:sz="4" w:space="0"/>
              <w:bottom w:val="single" w:color="auto" w:sz="4" w:space="0"/>
              <w:right w:val="single" w:color="auto" w:sz="4" w:space="0"/>
            </w:tcBorders>
            <w:vAlign w:val="center"/>
          </w:tcPr>
          <w:p w14:paraId="20C13415">
            <w:pPr>
              <w:pStyle w:val="2"/>
              <w:wordWrap w:val="0"/>
              <w:spacing w:after="0"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7E08E9F8">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5641" w:type="dxa"/>
            <w:tcBorders>
              <w:top w:val="single" w:color="auto" w:sz="4" w:space="0"/>
              <w:left w:val="single" w:color="auto" w:sz="4" w:space="0"/>
              <w:bottom w:val="single" w:color="auto" w:sz="4" w:space="0"/>
              <w:right w:val="single" w:color="auto" w:sz="4" w:space="0"/>
            </w:tcBorders>
            <w:vAlign w:val="center"/>
          </w:tcPr>
          <w:p w14:paraId="77F087E5">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1.本项目拟采购1名供应商严格按照《珊瑚礁生态监测技术规程》（HY/T 082-2005）等技术规范要求对广西涠洲岛珊瑚礁国家级海洋公园进行监测工作、完成边界浮标维护工作及保护宣传工作。</w:t>
            </w:r>
          </w:p>
          <w:p w14:paraId="6F75AE9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2.项目内容：</w:t>
            </w:r>
          </w:p>
          <w:p w14:paraId="223A128F">
            <w:pPr>
              <w:pStyle w:val="6"/>
              <w:wordWrap w:val="0"/>
              <w:spacing w:before="0" w:after="0" w:line="360" w:lineRule="exact"/>
              <w:rPr>
                <w:rFonts w:ascii="宋体" w:hAnsi="宋体" w:cs="宋体"/>
                <w:color w:val="auto"/>
                <w:sz w:val="21"/>
                <w:szCs w:val="21"/>
                <w:highlight w:val="none"/>
              </w:rPr>
            </w:pPr>
            <w:bookmarkStart w:id="75" w:name="_Toc194939607"/>
            <w:bookmarkStart w:id="76" w:name="_Toc13448"/>
            <w:r>
              <w:rPr>
                <w:rFonts w:hint="eastAsia" w:ascii="宋体" w:hAnsi="宋体" w:cs="宋体"/>
                <w:color w:val="auto"/>
                <w:sz w:val="21"/>
                <w:szCs w:val="21"/>
                <w:highlight w:val="none"/>
              </w:rPr>
              <w:t>（1）2025年度珊瑚礁生态现状监测</w:t>
            </w:r>
            <w:bookmarkEnd w:id="75"/>
            <w:bookmarkEnd w:id="76"/>
          </w:p>
          <w:p w14:paraId="3D228E5D">
            <w:pPr>
              <w:widowControl/>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在海洋公园范围内布设3条水下调查断面，同时布设9个水质站位。监测要素包括造礁石珊瑚、生物群落、环境要素和威胁因素，具体监测要素详见表1。</w:t>
            </w:r>
          </w:p>
          <w:p w14:paraId="0EF18B91">
            <w:pPr>
              <w:pStyle w:val="12"/>
              <w:wordWrap w:val="0"/>
              <w:spacing w:line="360" w:lineRule="exact"/>
              <w:rPr>
                <w:rFonts w:eastAsia="宋体"/>
                <w:color w:val="auto"/>
                <w:sz w:val="21"/>
                <w:szCs w:val="21"/>
                <w:highlight w:val="none"/>
              </w:rPr>
            </w:pPr>
            <w:r>
              <w:rPr>
                <w:rFonts w:hint="eastAsia" w:eastAsia="宋体"/>
                <w:color w:val="auto"/>
                <w:sz w:val="21"/>
                <w:szCs w:val="21"/>
                <w:highlight w:val="none"/>
              </w:rPr>
              <w:t>表1涠洲岛珊瑚礁监测调查要素表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510"/>
              <w:gridCol w:w="1144"/>
            </w:tblGrid>
            <w:tr w14:paraId="60A9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2" w:type="pct"/>
                  <w:vAlign w:val="center"/>
                </w:tcPr>
                <w:p w14:paraId="6D531E6D">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监测内容</w:t>
                  </w:r>
                </w:p>
              </w:tc>
              <w:tc>
                <w:tcPr>
                  <w:tcW w:w="3240" w:type="pct"/>
                  <w:vAlign w:val="center"/>
                </w:tcPr>
                <w:p w14:paraId="38ABDFCB">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监测要素</w:t>
                  </w:r>
                </w:p>
              </w:tc>
              <w:tc>
                <w:tcPr>
                  <w:tcW w:w="1056" w:type="pct"/>
                  <w:vAlign w:val="center"/>
                </w:tcPr>
                <w:p w14:paraId="639CBC8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监测方式</w:t>
                  </w:r>
                </w:p>
              </w:tc>
            </w:tr>
            <w:tr w14:paraId="51EF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Align w:val="center"/>
                </w:tcPr>
                <w:p w14:paraId="5845636E">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造礁石珊瑚</w:t>
                  </w:r>
                </w:p>
              </w:tc>
              <w:tc>
                <w:tcPr>
                  <w:tcW w:w="3240" w:type="pct"/>
                  <w:vAlign w:val="center"/>
                </w:tcPr>
                <w:p w14:paraId="1D8DAC4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造礁石珊瑚：种类、活珊瑚覆盖率、珊瑚死亡率、硬珊瑚补充量、珊瑚白化与病害状况。</w:t>
                  </w:r>
                </w:p>
              </w:tc>
              <w:tc>
                <w:tcPr>
                  <w:tcW w:w="1056" w:type="pct"/>
                  <w:vAlign w:val="center"/>
                </w:tcPr>
                <w:p w14:paraId="5E554E7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现场水下监测</w:t>
                  </w:r>
                </w:p>
              </w:tc>
            </w:tr>
            <w:tr w14:paraId="52AE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restart"/>
                  <w:vAlign w:val="center"/>
                </w:tcPr>
                <w:p w14:paraId="2E159B96">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生物群落</w:t>
                  </w:r>
                </w:p>
              </w:tc>
              <w:tc>
                <w:tcPr>
                  <w:tcW w:w="3240" w:type="pct"/>
                  <w:vAlign w:val="center"/>
                </w:tcPr>
                <w:p w14:paraId="730C576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鱼类：种类、密度与体长范围等。</w:t>
                  </w:r>
                </w:p>
              </w:tc>
              <w:tc>
                <w:tcPr>
                  <w:tcW w:w="1056" w:type="pct"/>
                  <w:vAlign w:val="center"/>
                </w:tcPr>
                <w:p w14:paraId="58F38CE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现场水下监测</w:t>
                  </w:r>
                </w:p>
              </w:tc>
            </w:tr>
            <w:tr w14:paraId="79D3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7500EDA3">
                  <w:pPr>
                    <w:wordWrap w:val="0"/>
                    <w:spacing w:line="360" w:lineRule="exact"/>
                    <w:jc w:val="center"/>
                    <w:rPr>
                      <w:rFonts w:ascii="宋体" w:hAnsi="宋体" w:cs="宋体"/>
                      <w:color w:val="auto"/>
                      <w:szCs w:val="21"/>
                      <w:highlight w:val="none"/>
                    </w:rPr>
                  </w:pPr>
                </w:p>
              </w:tc>
              <w:tc>
                <w:tcPr>
                  <w:tcW w:w="3240" w:type="pct"/>
                  <w:vAlign w:val="center"/>
                </w:tcPr>
                <w:p w14:paraId="7AB5096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大型底栖无脊椎动物：种类、密度。</w:t>
                  </w:r>
                </w:p>
              </w:tc>
              <w:tc>
                <w:tcPr>
                  <w:tcW w:w="1056" w:type="pct"/>
                  <w:vAlign w:val="center"/>
                </w:tcPr>
                <w:p w14:paraId="72A9CF66">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现场水下监测</w:t>
                  </w:r>
                </w:p>
              </w:tc>
            </w:tr>
            <w:tr w14:paraId="5FCD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581A1362">
                  <w:pPr>
                    <w:wordWrap w:val="0"/>
                    <w:spacing w:line="360" w:lineRule="exact"/>
                    <w:jc w:val="center"/>
                    <w:rPr>
                      <w:rFonts w:ascii="宋体" w:hAnsi="宋体" w:cs="宋体"/>
                      <w:color w:val="auto"/>
                      <w:szCs w:val="21"/>
                      <w:highlight w:val="none"/>
                    </w:rPr>
                  </w:pPr>
                </w:p>
              </w:tc>
              <w:tc>
                <w:tcPr>
                  <w:tcW w:w="3240" w:type="pct"/>
                  <w:vAlign w:val="center"/>
                </w:tcPr>
                <w:p w14:paraId="4D246AA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大型底栖藻类：种类、覆盖率、株高。</w:t>
                  </w:r>
                </w:p>
              </w:tc>
              <w:tc>
                <w:tcPr>
                  <w:tcW w:w="1056" w:type="pct"/>
                  <w:vAlign w:val="center"/>
                </w:tcPr>
                <w:p w14:paraId="04983811">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现场水下监测</w:t>
                  </w:r>
                </w:p>
              </w:tc>
            </w:tr>
            <w:tr w14:paraId="32B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restart"/>
                  <w:vAlign w:val="center"/>
                </w:tcPr>
                <w:p w14:paraId="0A59F42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环境要素</w:t>
                  </w:r>
                </w:p>
              </w:tc>
              <w:tc>
                <w:tcPr>
                  <w:tcW w:w="3240" w:type="pct"/>
                  <w:vAlign w:val="center"/>
                </w:tcPr>
                <w:p w14:paraId="6184C69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海水：盐度、pH、溶解氧、硝酸盐、亚硝酸盐、氨氮、活性磷酸盐、叶绿素a、悬浮物、油类。</w:t>
                  </w:r>
                </w:p>
              </w:tc>
              <w:tc>
                <w:tcPr>
                  <w:tcW w:w="1056" w:type="pct"/>
                  <w:vAlign w:val="center"/>
                </w:tcPr>
                <w:p w14:paraId="7C2F5F1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现场船舶监测</w:t>
                  </w:r>
                </w:p>
              </w:tc>
            </w:tr>
            <w:tr w14:paraId="3CF4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2DF019B1">
                  <w:pPr>
                    <w:wordWrap w:val="0"/>
                    <w:spacing w:line="360" w:lineRule="exact"/>
                    <w:jc w:val="center"/>
                    <w:rPr>
                      <w:rFonts w:ascii="宋体" w:hAnsi="宋体" w:cs="宋体"/>
                      <w:color w:val="auto"/>
                      <w:szCs w:val="21"/>
                      <w:highlight w:val="none"/>
                    </w:rPr>
                  </w:pPr>
                </w:p>
              </w:tc>
              <w:tc>
                <w:tcPr>
                  <w:tcW w:w="3240" w:type="pct"/>
                  <w:vAlign w:val="center"/>
                </w:tcPr>
                <w:p w14:paraId="0014E5D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水文气象：水温、透明度、水深、海况、简易天气状况。</w:t>
                  </w:r>
                </w:p>
              </w:tc>
              <w:tc>
                <w:tcPr>
                  <w:tcW w:w="1056" w:type="pct"/>
                  <w:vAlign w:val="center"/>
                </w:tcPr>
                <w:p w14:paraId="15029A13">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现场船舶监测</w:t>
                  </w:r>
                </w:p>
              </w:tc>
            </w:tr>
            <w:tr w14:paraId="5853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45F3FF9D">
                  <w:pPr>
                    <w:wordWrap w:val="0"/>
                    <w:spacing w:line="360" w:lineRule="exact"/>
                    <w:jc w:val="center"/>
                    <w:rPr>
                      <w:rFonts w:ascii="宋体" w:hAnsi="宋体" w:cs="宋体"/>
                      <w:color w:val="auto"/>
                      <w:szCs w:val="21"/>
                      <w:highlight w:val="none"/>
                    </w:rPr>
                  </w:pPr>
                </w:p>
              </w:tc>
              <w:tc>
                <w:tcPr>
                  <w:tcW w:w="3240" w:type="pct"/>
                  <w:vAlign w:val="center"/>
                </w:tcPr>
                <w:p w14:paraId="1AA1EB97">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基质：礁石、砾石、砂、泥覆盖率。</w:t>
                  </w:r>
                </w:p>
              </w:tc>
              <w:tc>
                <w:tcPr>
                  <w:tcW w:w="1056" w:type="pct"/>
                  <w:vAlign w:val="center"/>
                </w:tcPr>
                <w:p w14:paraId="1C2BE782">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现场水下监测</w:t>
                  </w:r>
                </w:p>
              </w:tc>
            </w:tr>
            <w:tr w14:paraId="48E1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restart"/>
                  <w:vAlign w:val="center"/>
                </w:tcPr>
                <w:p w14:paraId="3AE7BA8D">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威胁因素</w:t>
                  </w:r>
                </w:p>
              </w:tc>
              <w:tc>
                <w:tcPr>
                  <w:tcW w:w="3240" w:type="pct"/>
                  <w:vAlign w:val="center"/>
                </w:tcPr>
                <w:p w14:paraId="61837AC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海岸带工程：近五年完成和正施工的海岸带工程项目情况，工程项目包括但不限于围填海、岸堤、码头、桥梁、栈桥等，重点调查项目名称、业主单位、位置、用途、环境保护措施和生态补偿措施等。</w:t>
                  </w:r>
                </w:p>
              </w:tc>
              <w:tc>
                <w:tcPr>
                  <w:tcW w:w="1056" w:type="pct"/>
                  <w:vAlign w:val="center"/>
                </w:tcPr>
                <w:p w14:paraId="65BA97E7">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39C292D0">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社会调查</w:t>
                  </w:r>
                </w:p>
                <w:p w14:paraId="7823481E">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797C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5F2902D7">
                  <w:pPr>
                    <w:wordWrap w:val="0"/>
                    <w:spacing w:line="360" w:lineRule="exact"/>
                    <w:jc w:val="center"/>
                    <w:rPr>
                      <w:rFonts w:ascii="宋体" w:hAnsi="宋体" w:cs="宋体"/>
                      <w:color w:val="auto"/>
                      <w:szCs w:val="21"/>
                      <w:highlight w:val="none"/>
                    </w:rPr>
                  </w:pPr>
                </w:p>
              </w:tc>
              <w:tc>
                <w:tcPr>
                  <w:tcW w:w="3240" w:type="pct"/>
                  <w:vAlign w:val="center"/>
                </w:tcPr>
                <w:p w14:paraId="65B1597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疏浚、采石、采沙:调查区域近五年内海底疏浚、采石、采沙等活动情况，重点调查施工单位、范围、采挖量及用途等。</w:t>
                  </w:r>
                </w:p>
              </w:tc>
              <w:tc>
                <w:tcPr>
                  <w:tcW w:w="1056" w:type="pct"/>
                  <w:vAlign w:val="center"/>
                </w:tcPr>
                <w:p w14:paraId="3056F16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04C36F3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社会调查</w:t>
                  </w:r>
                </w:p>
                <w:p w14:paraId="71B3F3A3">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5C1D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3D042155">
                  <w:pPr>
                    <w:wordWrap w:val="0"/>
                    <w:spacing w:line="360" w:lineRule="exact"/>
                    <w:jc w:val="center"/>
                    <w:rPr>
                      <w:rFonts w:ascii="宋体" w:hAnsi="宋体" w:cs="宋体"/>
                      <w:color w:val="auto"/>
                      <w:szCs w:val="21"/>
                      <w:highlight w:val="none"/>
                    </w:rPr>
                  </w:pPr>
                </w:p>
              </w:tc>
              <w:tc>
                <w:tcPr>
                  <w:tcW w:w="3240" w:type="pct"/>
                  <w:vAlign w:val="center"/>
                </w:tcPr>
                <w:p w14:paraId="38B990D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旅游开发：调查区域近五年内与珊瑚礁相关的旅游开发活动情况，重点调查旅游项目名称、活动范围、客流量等。</w:t>
                  </w:r>
                </w:p>
              </w:tc>
              <w:tc>
                <w:tcPr>
                  <w:tcW w:w="1056" w:type="pct"/>
                  <w:vAlign w:val="center"/>
                </w:tcPr>
                <w:p w14:paraId="2FEAC40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14EA7CF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社会调查</w:t>
                  </w:r>
                </w:p>
                <w:p w14:paraId="5C42086E">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27EB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2A5A7FE2">
                  <w:pPr>
                    <w:wordWrap w:val="0"/>
                    <w:spacing w:line="360" w:lineRule="exact"/>
                    <w:jc w:val="center"/>
                    <w:rPr>
                      <w:rFonts w:ascii="宋体" w:hAnsi="宋体" w:cs="宋体"/>
                      <w:color w:val="auto"/>
                      <w:szCs w:val="21"/>
                      <w:highlight w:val="none"/>
                    </w:rPr>
                  </w:pPr>
                </w:p>
              </w:tc>
              <w:tc>
                <w:tcPr>
                  <w:tcW w:w="3240" w:type="pct"/>
                  <w:vAlign w:val="center"/>
                </w:tcPr>
                <w:p w14:paraId="6F3E62E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排污及温排水：调查区域近五年内排污及温排水情况，重点记录排污企业、排放口位置、处理情况、超标污染物等。</w:t>
                  </w:r>
                </w:p>
              </w:tc>
              <w:tc>
                <w:tcPr>
                  <w:tcW w:w="1056" w:type="pct"/>
                  <w:vAlign w:val="center"/>
                </w:tcPr>
                <w:p w14:paraId="6ECD61D7">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1D4FDE36">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社会调查</w:t>
                  </w:r>
                </w:p>
                <w:p w14:paraId="4F7ED0EE">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1F4D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070B084F">
                  <w:pPr>
                    <w:wordWrap w:val="0"/>
                    <w:spacing w:line="360" w:lineRule="exact"/>
                    <w:jc w:val="center"/>
                    <w:rPr>
                      <w:rFonts w:ascii="宋体" w:hAnsi="宋体" w:cs="宋体"/>
                      <w:color w:val="auto"/>
                      <w:szCs w:val="21"/>
                      <w:highlight w:val="none"/>
                    </w:rPr>
                  </w:pPr>
                </w:p>
              </w:tc>
              <w:tc>
                <w:tcPr>
                  <w:tcW w:w="3240" w:type="pct"/>
                  <w:vAlign w:val="center"/>
                </w:tcPr>
                <w:p w14:paraId="4DCC92B5">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渔业捕捞:调查区域近五年内渔业捕捞情况，重点调查渔船数量、吨位、捕捞方式、捕捞强度、捕捞种类、捕捞量等。</w:t>
                  </w:r>
                </w:p>
              </w:tc>
              <w:tc>
                <w:tcPr>
                  <w:tcW w:w="1056" w:type="pct"/>
                  <w:vAlign w:val="center"/>
                </w:tcPr>
                <w:p w14:paraId="25C743C0">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549D3DD7">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1111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0FE478BE">
                  <w:pPr>
                    <w:wordWrap w:val="0"/>
                    <w:spacing w:line="360" w:lineRule="exact"/>
                    <w:jc w:val="center"/>
                    <w:rPr>
                      <w:rFonts w:ascii="宋体" w:hAnsi="宋体" w:cs="宋体"/>
                      <w:color w:val="auto"/>
                      <w:szCs w:val="21"/>
                      <w:highlight w:val="none"/>
                    </w:rPr>
                  </w:pPr>
                </w:p>
              </w:tc>
              <w:tc>
                <w:tcPr>
                  <w:tcW w:w="3240" w:type="pct"/>
                  <w:vAlign w:val="center"/>
                </w:tcPr>
                <w:p w14:paraId="2A7FDB9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水产养殖：调查区域近五年内水产养殖情况，重点调查养殖区域位置、面积、养殖方式、养殖品种、养殖量等信息。</w:t>
                  </w:r>
                </w:p>
              </w:tc>
              <w:tc>
                <w:tcPr>
                  <w:tcW w:w="1056" w:type="pct"/>
                  <w:vAlign w:val="center"/>
                </w:tcPr>
                <w:p w14:paraId="7829EF3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2B15C412">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1789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7EA5A605">
                  <w:pPr>
                    <w:wordWrap w:val="0"/>
                    <w:spacing w:line="360" w:lineRule="exact"/>
                    <w:jc w:val="center"/>
                    <w:rPr>
                      <w:rFonts w:ascii="宋体" w:hAnsi="宋体" w:cs="宋体"/>
                      <w:color w:val="auto"/>
                      <w:szCs w:val="21"/>
                      <w:highlight w:val="none"/>
                    </w:rPr>
                  </w:pPr>
                </w:p>
              </w:tc>
              <w:tc>
                <w:tcPr>
                  <w:tcW w:w="3240" w:type="pct"/>
                  <w:vAlign w:val="center"/>
                </w:tcPr>
                <w:p w14:paraId="7DED95C2">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水面和海底人工设施：调查区域近五年内发现的水面和海底人工设施情况，重点调查设施名称、位置、用途、环境影响等。</w:t>
                  </w:r>
                </w:p>
              </w:tc>
              <w:tc>
                <w:tcPr>
                  <w:tcW w:w="1056" w:type="pct"/>
                  <w:vAlign w:val="center"/>
                </w:tcPr>
                <w:p w14:paraId="7CDBBDED">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29DC61F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5B2A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3A365595">
                  <w:pPr>
                    <w:wordWrap w:val="0"/>
                    <w:spacing w:line="360" w:lineRule="exact"/>
                    <w:jc w:val="center"/>
                    <w:rPr>
                      <w:rFonts w:ascii="宋体" w:hAnsi="宋体" w:cs="宋体"/>
                      <w:color w:val="auto"/>
                      <w:szCs w:val="21"/>
                      <w:highlight w:val="none"/>
                    </w:rPr>
                  </w:pPr>
                </w:p>
              </w:tc>
              <w:tc>
                <w:tcPr>
                  <w:tcW w:w="3240" w:type="pct"/>
                  <w:vAlign w:val="center"/>
                </w:tcPr>
                <w:p w14:paraId="528BADA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突发事故：调查区域近五年内发生的突发事故情况，突发事故包括但不限于沉船、搁浅、危化品泄漏、溢油等，重点调查事故类型、发生地点、应急处理、环境影响等。</w:t>
                  </w:r>
                </w:p>
              </w:tc>
              <w:tc>
                <w:tcPr>
                  <w:tcW w:w="1056" w:type="pct"/>
                  <w:vAlign w:val="center"/>
                </w:tcPr>
                <w:p w14:paraId="0D3B21A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资料搜集</w:t>
                  </w:r>
                </w:p>
                <w:p w14:paraId="50DF175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2EE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73284A37">
                  <w:pPr>
                    <w:wordWrap w:val="0"/>
                    <w:spacing w:line="360" w:lineRule="exact"/>
                    <w:jc w:val="center"/>
                    <w:rPr>
                      <w:rFonts w:ascii="宋体" w:hAnsi="宋体" w:cs="宋体"/>
                      <w:color w:val="auto"/>
                      <w:szCs w:val="21"/>
                      <w:highlight w:val="none"/>
                    </w:rPr>
                  </w:pPr>
                </w:p>
              </w:tc>
              <w:tc>
                <w:tcPr>
                  <w:tcW w:w="3240" w:type="pct"/>
                  <w:vAlign w:val="center"/>
                </w:tcPr>
                <w:p w14:paraId="2CA47099">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海洋垃圾：调查区域水面、海底海洋垃圾种类、数量及分布等。</w:t>
                  </w:r>
                </w:p>
              </w:tc>
              <w:tc>
                <w:tcPr>
                  <w:tcW w:w="1056" w:type="pct"/>
                  <w:vAlign w:val="center"/>
                </w:tcPr>
                <w:p w14:paraId="3F0F784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tc>
            </w:tr>
            <w:tr w14:paraId="68B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6EF78B2A">
                  <w:pPr>
                    <w:wordWrap w:val="0"/>
                    <w:spacing w:line="360" w:lineRule="exact"/>
                    <w:jc w:val="center"/>
                    <w:rPr>
                      <w:rFonts w:ascii="宋体" w:hAnsi="宋体" w:cs="宋体"/>
                      <w:color w:val="auto"/>
                      <w:szCs w:val="21"/>
                      <w:highlight w:val="none"/>
                    </w:rPr>
                  </w:pPr>
                </w:p>
              </w:tc>
              <w:tc>
                <w:tcPr>
                  <w:tcW w:w="3240" w:type="pct"/>
                  <w:vAlign w:val="center"/>
                </w:tcPr>
                <w:p w14:paraId="1D516F0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海洋生态灾害：调查区域近五年内发生的长棘海星、珊瑚白化、赤潮、核果螺等海洋生态灾害情况。</w:t>
                  </w:r>
                </w:p>
              </w:tc>
              <w:tc>
                <w:tcPr>
                  <w:tcW w:w="1056" w:type="pct"/>
                  <w:vAlign w:val="center"/>
                </w:tcPr>
                <w:p w14:paraId="6CE0A1C8">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现场监测</w:t>
                  </w:r>
                </w:p>
                <w:p w14:paraId="688ADE6A">
                  <w:pPr>
                    <w:pStyle w:val="9"/>
                    <w:wordWrap w:val="0"/>
                    <w:spacing w:line="360" w:lineRule="exact"/>
                    <w:ind w:firstLine="0"/>
                    <w:jc w:val="center"/>
                    <w:rPr>
                      <w:rFonts w:ascii="宋体" w:hAnsi="宋体" w:cs="宋体"/>
                      <w:color w:val="auto"/>
                      <w:szCs w:val="21"/>
                      <w:highlight w:val="none"/>
                    </w:rPr>
                  </w:pPr>
                  <w:r>
                    <w:rPr>
                      <w:rFonts w:hint="eastAsia" w:ascii="宋体" w:hAnsi="宋体" w:cs="宋体"/>
                      <w:color w:val="auto"/>
                      <w:szCs w:val="21"/>
                      <w:highlight w:val="none"/>
                    </w:rPr>
                    <w:t>资料收集</w:t>
                  </w:r>
                </w:p>
              </w:tc>
            </w:tr>
            <w:tr w14:paraId="7998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523F7AD7">
                  <w:pPr>
                    <w:wordWrap w:val="0"/>
                    <w:spacing w:line="360" w:lineRule="exact"/>
                    <w:jc w:val="center"/>
                    <w:rPr>
                      <w:rFonts w:ascii="宋体" w:hAnsi="宋体" w:cs="宋体"/>
                      <w:color w:val="auto"/>
                      <w:szCs w:val="21"/>
                      <w:highlight w:val="none"/>
                    </w:rPr>
                  </w:pPr>
                </w:p>
              </w:tc>
              <w:tc>
                <w:tcPr>
                  <w:tcW w:w="3240" w:type="pct"/>
                  <w:vAlign w:val="center"/>
                </w:tcPr>
                <w:p w14:paraId="2F3CAA3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台风：近五年内影响调查区域的台风资料等。</w:t>
                  </w:r>
                </w:p>
              </w:tc>
              <w:tc>
                <w:tcPr>
                  <w:tcW w:w="1056" w:type="pct"/>
                  <w:vAlign w:val="center"/>
                </w:tcPr>
                <w:p w14:paraId="7793EF4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资料收集</w:t>
                  </w:r>
                </w:p>
              </w:tc>
            </w:tr>
            <w:tr w14:paraId="46A7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pct"/>
                  <w:vMerge w:val="continue"/>
                  <w:vAlign w:val="center"/>
                </w:tcPr>
                <w:p w14:paraId="46A7C630">
                  <w:pPr>
                    <w:wordWrap w:val="0"/>
                    <w:spacing w:line="360" w:lineRule="exact"/>
                    <w:jc w:val="center"/>
                    <w:rPr>
                      <w:rFonts w:ascii="宋体" w:hAnsi="宋体" w:cs="宋体"/>
                      <w:color w:val="auto"/>
                      <w:szCs w:val="21"/>
                      <w:highlight w:val="none"/>
                    </w:rPr>
                  </w:pPr>
                </w:p>
              </w:tc>
              <w:tc>
                <w:tcPr>
                  <w:tcW w:w="3240" w:type="pct"/>
                  <w:vAlign w:val="center"/>
                </w:tcPr>
                <w:p w14:paraId="2B5140B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极端高温或极端低温：近五年影响调查区域的极端高温或极端低温资料等（极端天气是指在一定地区和时间内，出现的显著高于或低于当地历史同期平均水平的异常天气）。</w:t>
                  </w:r>
                </w:p>
              </w:tc>
              <w:tc>
                <w:tcPr>
                  <w:tcW w:w="1056" w:type="pct"/>
                  <w:vAlign w:val="center"/>
                </w:tcPr>
                <w:p w14:paraId="33B63401">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资料收集</w:t>
                  </w:r>
                </w:p>
              </w:tc>
            </w:tr>
          </w:tbl>
          <w:p w14:paraId="5DDEAF1E">
            <w:pPr>
              <w:pStyle w:val="7"/>
              <w:wordWrap w:val="0"/>
              <w:spacing w:before="0" w:after="0" w:line="360" w:lineRule="exact"/>
              <w:rPr>
                <w:rFonts w:ascii="宋体" w:hAnsi="宋体" w:cs="宋体"/>
                <w:color w:val="auto"/>
                <w:sz w:val="21"/>
                <w:szCs w:val="21"/>
                <w:highlight w:val="none"/>
              </w:rPr>
            </w:pPr>
            <w:bookmarkStart w:id="77" w:name="_Toc18025"/>
            <w:bookmarkStart w:id="78" w:name="_Toc194939604"/>
            <w:bookmarkStart w:id="79" w:name="_Hlk192753964"/>
            <w:r>
              <w:rPr>
                <w:rFonts w:hint="eastAsia" w:ascii="宋体" w:hAnsi="宋体" w:cs="宋体"/>
                <w:color w:val="auto"/>
                <w:sz w:val="21"/>
                <w:szCs w:val="21"/>
                <w:highlight w:val="none"/>
              </w:rPr>
              <w:t>（2）边界浮标维护</w:t>
            </w:r>
            <w:bookmarkEnd w:id="77"/>
            <w:bookmarkEnd w:id="78"/>
          </w:p>
          <w:bookmarkEnd w:id="79"/>
          <w:p w14:paraId="7B9455AD">
            <w:pPr>
              <w:wordWrap w:val="0"/>
              <w:spacing w:line="360" w:lineRule="exact"/>
              <w:rPr>
                <w:rFonts w:ascii="宋体" w:hAnsi="宋体" w:cs="宋体"/>
                <w:color w:val="auto"/>
                <w:szCs w:val="21"/>
                <w:highlight w:val="none"/>
              </w:rPr>
            </w:pPr>
            <w:bookmarkStart w:id="80" w:name="_Toc402708644"/>
            <w:bookmarkEnd w:id="80"/>
            <w:bookmarkStart w:id="81" w:name="_Toc402274978"/>
            <w:bookmarkEnd w:id="81"/>
            <w:bookmarkStart w:id="82" w:name="_Toc402286284"/>
            <w:bookmarkEnd w:id="82"/>
            <w:bookmarkStart w:id="83" w:name="_Toc402260817"/>
            <w:bookmarkEnd w:id="83"/>
            <w:bookmarkStart w:id="84" w:name="_Toc402286019"/>
            <w:bookmarkEnd w:id="84"/>
            <w:bookmarkStart w:id="85" w:name="_Toc402778813"/>
            <w:bookmarkEnd w:id="85"/>
            <w:bookmarkStart w:id="86" w:name="_Toc404545502"/>
            <w:bookmarkEnd w:id="86"/>
            <w:bookmarkStart w:id="87" w:name="_Toc402624519"/>
            <w:bookmarkEnd w:id="87"/>
            <w:bookmarkStart w:id="88" w:name="_Toc402286358"/>
            <w:bookmarkEnd w:id="88"/>
            <w:bookmarkStart w:id="89" w:name="_Toc402701967"/>
            <w:bookmarkEnd w:id="89"/>
            <w:r>
              <w:rPr>
                <w:rFonts w:hint="eastAsia" w:ascii="宋体" w:hAnsi="宋体" w:cs="宋体"/>
                <w:color w:val="auto"/>
                <w:szCs w:val="21"/>
                <w:highlight w:val="none"/>
              </w:rPr>
              <w:t>①浮标现状。海洋公园2024年12月投放6套海洋公园边界浮标。浮标标体直径1.8米，材质为钢质，总高5米，增量1500kg，壁厚6mm；顶标标志为“X”形；浮标整套由界标、锚系、遥控遥测航标灯及沉石组成；坐标分别为：G1</w:t>
            </w:r>
            <w:bookmarkStart w:id="90" w:name="OLE_LINK1"/>
            <w:r>
              <w:rPr>
                <w:rFonts w:hint="eastAsia" w:ascii="宋体" w:hAnsi="宋体" w:cs="宋体"/>
                <w:color w:val="auto"/>
                <w:szCs w:val="21"/>
                <w:highlight w:val="none"/>
              </w:rPr>
              <w:t>浮标</w:t>
            </w:r>
            <w:bookmarkStart w:id="91" w:name="OLE_LINK3"/>
            <w:r>
              <w:rPr>
                <w:rFonts w:hint="eastAsia" w:ascii="宋体" w:hAnsi="宋体" w:cs="宋体"/>
                <w:color w:val="auto"/>
                <w:szCs w:val="21"/>
                <w:highlight w:val="none"/>
              </w:rPr>
              <w:t>109</w:t>
            </w:r>
            <w:bookmarkStart w:id="92" w:name="OLE_LINK2"/>
            <w:r>
              <w:rPr>
                <w:rFonts w:hint="eastAsia" w:ascii="宋体" w:hAnsi="宋体" w:cs="宋体"/>
                <w:color w:val="auto"/>
                <w:szCs w:val="21"/>
                <w:highlight w:val="none"/>
              </w:rPr>
              <w:t>°6′5.19"</w:t>
            </w:r>
            <w:bookmarkEnd w:id="92"/>
            <w:r>
              <w:rPr>
                <w:rFonts w:hint="eastAsia" w:ascii="宋体" w:hAnsi="宋体" w:cs="宋体"/>
                <w:color w:val="auto"/>
                <w:szCs w:val="21"/>
                <w:highlight w:val="none"/>
              </w:rPr>
              <w:t>E</w:t>
            </w:r>
            <w:bookmarkEnd w:id="90"/>
            <w:r>
              <w:rPr>
                <w:rFonts w:hint="eastAsia" w:ascii="宋体" w:hAnsi="宋体" w:cs="宋体"/>
                <w:color w:val="auto"/>
                <w:szCs w:val="21"/>
                <w:highlight w:val="none"/>
              </w:rPr>
              <w:t>，21°0′3.94"N</w:t>
            </w:r>
            <w:bookmarkEnd w:id="91"/>
            <w:r>
              <w:rPr>
                <w:rFonts w:hint="eastAsia" w:ascii="宋体" w:hAnsi="宋体" w:cs="宋体"/>
                <w:color w:val="auto"/>
                <w:szCs w:val="21"/>
                <w:highlight w:val="none"/>
              </w:rPr>
              <w:t>；</w:t>
            </w:r>
            <w:bookmarkStart w:id="93" w:name="OLE_LINK4"/>
            <w:r>
              <w:rPr>
                <w:rFonts w:hint="eastAsia" w:ascii="宋体" w:hAnsi="宋体" w:cs="宋体"/>
                <w:color w:val="auto"/>
                <w:szCs w:val="21"/>
                <w:highlight w:val="none"/>
              </w:rPr>
              <w:t>G9浮标109°4′56.81"E，21°1′52.37"N</w:t>
            </w:r>
            <w:bookmarkEnd w:id="93"/>
            <w:r>
              <w:rPr>
                <w:rFonts w:hint="eastAsia" w:ascii="宋体" w:hAnsi="宋体" w:cs="宋体"/>
                <w:color w:val="auto"/>
                <w:szCs w:val="21"/>
                <w:highlight w:val="none"/>
              </w:rPr>
              <w:t>；G11浮标109°7′6.98"E，21°5′20.17"N；G13浮标109°4′14.59"E，21°4′19.68"N；G14浮标109°8′40.52"E，21°2′35.65"N；G16浮标109°8′0.12"E，21°1′12.69"N），经采购单位巡护人员于2025年4月现场查看海上标体，6套边界浮标目前标体完整、航标灯运行正常、底座存在生锈及微生物等附着情况。</w:t>
            </w:r>
          </w:p>
          <w:p w14:paraId="1D85976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②实施目的。项目实施期间开展不少于15次的边界浮标海上现场巡查；对6套浮标标体进行打捞、除锈、清理和重新标识等维护工作。</w:t>
            </w:r>
          </w:p>
          <w:p w14:paraId="31D2E0A8">
            <w:pPr>
              <w:pStyle w:val="7"/>
              <w:wordWrap w:val="0"/>
              <w:spacing w:before="0" w:after="0" w:line="360" w:lineRule="exact"/>
              <w:rPr>
                <w:rFonts w:ascii="宋体" w:hAnsi="宋体" w:cs="宋体"/>
                <w:color w:val="auto"/>
                <w:sz w:val="21"/>
                <w:szCs w:val="21"/>
                <w:highlight w:val="none"/>
              </w:rPr>
            </w:pPr>
            <w:bookmarkStart w:id="94" w:name="_Toc194939605"/>
            <w:bookmarkStart w:id="95" w:name="_Toc2700"/>
            <w:r>
              <w:rPr>
                <w:rFonts w:hint="eastAsia" w:ascii="宋体" w:hAnsi="宋体" w:cs="宋体"/>
                <w:color w:val="auto"/>
                <w:sz w:val="21"/>
                <w:szCs w:val="21"/>
                <w:highlight w:val="none"/>
              </w:rPr>
              <w:t>（3）保护宣传</w:t>
            </w:r>
            <w:bookmarkEnd w:id="94"/>
            <w:bookmarkEnd w:id="95"/>
          </w:p>
          <w:p w14:paraId="1E793E8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通过开展全国珊瑚保护日等重要主题活动日、进校园科普宣传教育等保护宣传活动，对涠洲岛当地居民、外来游客、商家、学生等进行宣传，普及海洋环境保护以及珊瑚礁保护的相关知识，提高公众对珊瑚礁的保护意识。</w:t>
            </w:r>
          </w:p>
          <w:p w14:paraId="5C8F26F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3.考核指标</w:t>
            </w:r>
          </w:p>
          <w:tbl>
            <w:tblPr>
              <w:tblStyle w:val="28"/>
              <w:tblW w:w="5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32"/>
              <w:gridCol w:w="2734"/>
              <w:gridCol w:w="977"/>
            </w:tblGrid>
            <w:tr w14:paraId="149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Align w:val="center"/>
                </w:tcPr>
                <w:p w14:paraId="744D218D">
                  <w:pPr>
                    <w:pStyle w:val="2"/>
                    <w:wordWrap w:val="0"/>
                    <w:snapToGrid w:val="0"/>
                    <w:spacing w:after="0" w:line="360" w:lineRule="exact"/>
                    <w:jc w:val="center"/>
                    <w:rPr>
                      <w:rFonts w:ascii="宋体" w:hAnsi="宋体" w:cs="宋体"/>
                      <w:color w:val="auto"/>
                      <w:szCs w:val="21"/>
                      <w:highlight w:val="none"/>
                    </w:rPr>
                  </w:pPr>
                  <w:r>
                    <w:rPr>
                      <w:rFonts w:hint="eastAsia" w:ascii="宋体" w:hAnsi="宋体" w:cs="宋体"/>
                      <w:color w:val="auto"/>
                      <w:szCs w:val="21"/>
                      <w:highlight w:val="none"/>
                    </w:rPr>
                    <w:t>一级指标</w:t>
                  </w:r>
                </w:p>
              </w:tc>
              <w:tc>
                <w:tcPr>
                  <w:tcW w:w="1132" w:type="dxa"/>
                  <w:vAlign w:val="center"/>
                </w:tcPr>
                <w:p w14:paraId="2606F53C">
                  <w:pPr>
                    <w:pStyle w:val="2"/>
                    <w:wordWrap w:val="0"/>
                    <w:snapToGrid w:val="0"/>
                    <w:spacing w:after="0" w:line="360" w:lineRule="exact"/>
                    <w:jc w:val="center"/>
                    <w:rPr>
                      <w:rFonts w:ascii="宋体" w:hAnsi="宋体" w:cs="宋体"/>
                      <w:color w:val="auto"/>
                      <w:szCs w:val="21"/>
                      <w:highlight w:val="none"/>
                    </w:rPr>
                  </w:pPr>
                  <w:r>
                    <w:rPr>
                      <w:rFonts w:hint="eastAsia" w:ascii="宋体" w:hAnsi="宋体" w:cs="宋体"/>
                      <w:color w:val="auto"/>
                      <w:szCs w:val="21"/>
                      <w:highlight w:val="none"/>
                    </w:rPr>
                    <w:t>二级指标</w:t>
                  </w:r>
                </w:p>
              </w:tc>
              <w:tc>
                <w:tcPr>
                  <w:tcW w:w="2734" w:type="dxa"/>
                  <w:vAlign w:val="center"/>
                </w:tcPr>
                <w:p w14:paraId="0FFB2CE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三级指标</w:t>
                  </w:r>
                </w:p>
              </w:tc>
              <w:tc>
                <w:tcPr>
                  <w:tcW w:w="977" w:type="dxa"/>
                  <w:vAlign w:val="center"/>
                </w:tcPr>
                <w:p w14:paraId="4DDC12F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最低指标值</w:t>
                  </w:r>
                </w:p>
              </w:tc>
            </w:tr>
            <w:tr w14:paraId="0D4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restart"/>
                  <w:vAlign w:val="center"/>
                </w:tcPr>
                <w:p w14:paraId="6BC1BC30">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产出</w:t>
                  </w:r>
                </w:p>
                <w:p w14:paraId="532241B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指标</w:t>
                  </w:r>
                </w:p>
                <w:p w14:paraId="0DC4D5CE">
                  <w:pPr>
                    <w:pStyle w:val="2"/>
                    <w:wordWrap w:val="0"/>
                    <w:snapToGrid w:val="0"/>
                    <w:spacing w:after="0" w:line="360" w:lineRule="exact"/>
                    <w:jc w:val="center"/>
                    <w:rPr>
                      <w:rFonts w:ascii="宋体" w:hAnsi="宋体" w:cs="宋体"/>
                      <w:color w:val="auto"/>
                      <w:szCs w:val="21"/>
                      <w:highlight w:val="none"/>
                    </w:rPr>
                  </w:pPr>
                </w:p>
              </w:tc>
              <w:tc>
                <w:tcPr>
                  <w:tcW w:w="1132" w:type="dxa"/>
                  <w:vMerge w:val="restart"/>
                  <w:vAlign w:val="center"/>
                </w:tcPr>
                <w:p w14:paraId="54E85B1C">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数量指标</w:t>
                  </w:r>
                </w:p>
                <w:p w14:paraId="3992F237">
                  <w:pPr>
                    <w:pStyle w:val="2"/>
                    <w:wordWrap w:val="0"/>
                    <w:snapToGrid w:val="0"/>
                    <w:spacing w:after="0" w:line="360" w:lineRule="exact"/>
                    <w:jc w:val="center"/>
                    <w:rPr>
                      <w:rFonts w:ascii="宋体" w:hAnsi="宋体" w:cs="宋体"/>
                      <w:color w:val="auto"/>
                      <w:szCs w:val="21"/>
                      <w:highlight w:val="none"/>
                    </w:rPr>
                  </w:pPr>
                </w:p>
              </w:tc>
              <w:tc>
                <w:tcPr>
                  <w:tcW w:w="2734" w:type="dxa"/>
                  <w:vAlign w:val="center"/>
                </w:tcPr>
                <w:p w14:paraId="47DF6852">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监测调查（次）</w:t>
                  </w:r>
                </w:p>
              </w:tc>
              <w:tc>
                <w:tcPr>
                  <w:tcW w:w="977" w:type="dxa"/>
                  <w:vAlign w:val="center"/>
                </w:tcPr>
                <w:p w14:paraId="59737F7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5188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0847B311">
                  <w:pPr>
                    <w:pStyle w:val="2"/>
                    <w:wordWrap w:val="0"/>
                    <w:snapToGrid w:val="0"/>
                    <w:spacing w:after="0" w:line="360" w:lineRule="exact"/>
                    <w:jc w:val="center"/>
                    <w:rPr>
                      <w:rFonts w:ascii="宋体" w:hAnsi="宋体" w:cs="宋体"/>
                      <w:color w:val="auto"/>
                      <w:szCs w:val="21"/>
                      <w:highlight w:val="none"/>
                    </w:rPr>
                  </w:pPr>
                </w:p>
              </w:tc>
              <w:tc>
                <w:tcPr>
                  <w:tcW w:w="1132" w:type="dxa"/>
                  <w:vMerge w:val="continue"/>
                  <w:vAlign w:val="center"/>
                </w:tcPr>
                <w:p w14:paraId="24B48675">
                  <w:pPr>
                    <w:pStyle w:val="2"/>
                    <w:wordWrap w:val="0"/>
                    <w:snapToGrid w:val="0"/>
                    <w:spacing w:after="0" w:line="360" w:lineRule="exact"/>
                    <w:jc w:val="center"/>
                    <w:rPr>
                      <w:rFonts w:ascii="宋体" w:hAnsi="宋体" w:cs="宋体"/>
                      <w:color w:val="auto"/>
                      <w:szCs w:val="21"/>
                      <w:highlight w:val="none"/>
                    </w:rPr>
                  </w:pPr>
                </w:p>
              </w:tc>
              <w:tc>
                <w:tcPr>
                  <w:tcW w:w="2734" w:type="dxa"/>
                  <w:vAlign w:val="center"/>
                </w:tcPr>
                <w:p w14:paraId="157E5EC4">
                  <w:pPr>
                    <w:wordWrap w:val="0"/>
                    <w:spacing w:line="360" w:lineRule="exact"/>
                    <w:jc w:val="center"/>
                    <w:rPr>
                      <w:rFonts w:ascii="宋体" w:hAnsi="宋体" w:cs="宋体"/>
                      <w:color w:val="auto"/>
                      <w:szCs w:val="21"/>
                      <w:highlight w:val="none"/>
                    </w:rPr>
                  </w:pPr>
                  <w:bookmarkStart w:id="96" w:name="OLE_LINK9"/>
                  <w:r>
                    <w:rPr>
                      <w:rFonts w:hint="eastAsia" w:ascii="宋体" w:hAnsi="宋体" w:cs="宋体"/>
                      <w:color w:val="auto"/>
                      <w:szCs w:val="21"/>
                      <w:highlight w:val="none"/>
                    </w:rPr>
                    <w:t>浮标巡查（次）</w:t>
                  </w:r>
                  <w:bookmarkEnd w:id="96"/>
                </w:p>
              </w:tc>
              <w:tc>
                <w:tcPr>
                  <w:tcW w:w="977" w:type="dxa"/>
                  <w:vAlign w:val="center"/>
                </w:tcPr>
                <w:p w14:paraId="003B81F0">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r>
            <w:tr w14:paraId="7412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04775A07">
                  <w:pPr>
                    <w:pStyle w:val="2"/>
                    <w:wordWrap w:val="0"/>
                    <w:snapToGrid w:val="0"/>
                    <w:spacing w:after="0" w:line="360" w:lineRule="exact"/>
                    <w:jc w:val="center"/>
                    <w:rPr>
                      <w:rFonts w:ascii="宋体" w:hAnsi="宋体" w:cs="宋体"/>
                      <w:color w:val="auto"/>
                      <w:szCs w:val="21"/>
                      <w:highlight w:val="none"/>
                    </w:rPr>
                  </w:pPr>
                </w:p>
              </w:tc>
              <w:tc>
                <w:tcPr>
                  <w:tcW w:w="1132" w:type="dxa"/>
                  <w:vMerge w:val="continue"/>
                  <w:vAlign w:val="center"/>
                </w:tcPr>
                <w:p w14:paraId="5FB2B6A5">
                  <w:pPr>
                    <w:pStyle w:val="2"/>
                    <w:wordWrap w:val="0"/>
                    <w:snapToGrid w:val="0"/>
                    <w:spacing w:after="0" w:line="360" w:lineRule="exact"/>
                    <w:jc w:val="center"/>
                    <w:rPr>
                      <w:rFonts w:ascii="宋体" w:hAnsi="宋体" w:cs="宋体"/>
                      <w:color w:val="auto"/>
                      <w:szCs w:val="21"/>
                      <w:highlight w:val="none"/>
                    </w:rPr>
                  </w:pPr>
                </w:p>
              </w:tc>
              <w:tc>
                <w:tcPr>
                  <w:tcW w:w="2734" w:type="dxa"/>
                  <w:vAlign w:val="center"/>
                </w:tcPr>
                <w:p w14:paraId="155CF85D">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浮标维护（次）</w:t>
                  </w:r>
                </w:p>
              </w:tc>
              <w:tc>
                <w:tcPr>
                  <w:tcW w:w="977" w:type="dxa"/>
                  <w:vAlign w:val="center"/>
                </w:tcPr>
                <w:p w14:paraId="58373A82">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0AF4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4B618B69">
                  <w:pPr>
                    <w:pStyle w:val="2"/>
                    <w:wordWrap w:val="0"/>
                    <w:snapToGrid w:val="0"/>
                    <w:spacing w:after="0" w:line="360" w:lineRule="exact"/>
                    <w:jc w:val="center"/>
                    <w:rPr>
                      <w:rFonts w:ascii="宋体" w:hAnsi="宋体" w:cs="宋体"/>
                      <w:color w:val="auto"/>
                      <w:szCs w:val="21"/>
                      <w:highlight w:val="none"/>
                    </w:rPr>
                  </w:pPr>
                </w:p>
              </w:tc>
              <w:tc>
                <w:tcPr>
                  <w:tcW w:w="1132" w:type="dxa"/>
                  <w:vMerge w:val="continue"/>
                  <w:vAlign w:val="center"/>
                </w:tcPr>
                <w:p w14:paraId="55FDCDE8">
                  <w:pPr>
                    <w:pStyle w:val="2"/>
                    <w:wordWrap w:val="0"/>
                    <w:snapToGrid w:val="0"/>
                    <w:spacing w:after="0" w:line="360" w:lineRule="exact"/>
                    <w:jc w:val="center"/>
                    <w:rPr>
                      <w:rFonts w:ascii="宋体" w:hAnsi="宋体" w:cs="宋体"/>
                      <w:color w:val="auto"/>
                      <w:szCs w:val="21"/>
                      <w:highlight w:val="none"/>
                    </w:rPr>
                  </w:pPr>
                </w:p>
              </w:tc>
              <w:tc>
                <w:tcPr>
                  <w:tcW w:w="2734" w:type="dxa"/>
                  <w:vAlign w:val="center"/>
                </w:tcPr>
                <w:p w14:paraId="7972F94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全国珊瑚日主题活动(次）</w:t>
                  </w:r>
                </w:p>
              </w:tc>
              <w:tc>
                <w:tcPr>
                  <w:tcW w:w="977" w:type="dxa"/>
                  <w:vAlign w:val="center"/>
                </w:tcPr>
                <w:p w14:paraId="3B8A11A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2483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148E2B24">
                  <w:pPr>
                    <w:pStyle w:val="2"/>
                    <w:wordWrap w:val="0"/>
                    <w:snapToGrid w:val="0"/>
                    <w:spacing w:after="0" w:line="360" w:lineRule="exact"/>
                    <w:jc w:val="center"/>
                    <w:rPr>
                      <w:rFonts w:ascii="宋体" w:hAnsi="宋体" w:cs="宋体"/>
                      <w:color w:val="auto"/>
                      <w:szCs w:val="21"/>
                      <w:highlight w:val="none"/>
                    </w:rPr>
                  </w:pPr>
                </w:p>
              </w:tc>
              <w:tc>
                <w:tcPr>
                  <w:tcW w:w="1132" w:type="dxa"/>
                  <w:vMerge w:val="continue"/>
                  <w:vAlign w:val="center"/>
                </w:tcPr>
                <w:p w14:paraId="67E6F7CD">
                  <w:pPr>
                    <w:pStyle w:val="2"/>
                    <w:wordWrap w:val="0"/>
                    <w:snapToGrid w:val="0"/>
                    <w:spacing w:after="0" w:line="360" w:lineRule="exact"/>
                    <w:jc w:val="center"/>
                    <w:rPr>
                      <w:rFonts w:ascii="宋体" w:hAnsi="宋体" w:cs="宋体"/>
                      <w:color w:val="auto"/>
                      <w:szCs w:val="21"/>
                      <w:highlight w:val="none"/>
                    </w:rPr>
                  </w:pPr>
                </w:p>
              </w:tc>
              <w:tc>
                <w:tcPr>
                  <w:tcW w:w="2734" w:type="dxa"/>
                  <w:vAlign w:val="center"/>
                </w:tcPr>
                <w:p w14:paraId="530DD006">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珊瑚科普进校园活动（次）</w:t>
                  </w:r>
                </w:p>
              </w:tc>
              <w:tc>
                <w:tcPr>
                  <w:tcW w:w="977" w:type="dxa"/>
                  <w:vAlign w:val="center"/>
                </w:tcPr>
                <w:p w14:paraId="554A6401">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3B60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52BBB412">
                  <w:pPr>
                    <w:pStyle w:val="2"/>
                    <w:wordWrap w:val="0"/>
                    <w:snapToGrid w:val="0"/>
                    <w:spacing w:after="0" w:line="360" w:lineRule="exact"/>
                    <w:jc w:val="center"/>
                    <w:rPr>
                      <w:rFonts w:ascii="宋体" w:hAnsi="宋体" w:cs="宋体"/>
                      <w:color w:val="auto"/>
                      <w:szCs w:val="21"/>
                      <w:highlight w:val="none"/>
                    </w:rPr>
                  </w:pPr>
                </w:p>
              </w:tc>
              <w:tc>
                <w:tcPr>
                  <w:tcW w:w="1132" w:type="dxa"/>
                  <w:vAlign w:val="center"/>
                </w:tcPr>
                <w:p w14:paraId="5F7608B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质量指标</w:t>
                  </w:r>
                </w:p>
              </w:tc>
              <w:tc>
                <w:tcPr>
                  <w:tcW w:w="2734" w:type="dxa"/>
                  <w:vAlign w:val="center"/>
                </w:tcPr>
                <w:p w14:paraId="7FEA9E5B">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项目验收通过率</w:t>
                  </w:r>
                </w:p>
              </w:tc>
              <w:tc>
                <w:tcPr>
                  <w:tcW w:w="977" w:type="dxa"/>
                  <w:vAlign w:val="center"/>
                </w:tcPr>
                <w:p w14:paraId="538C85E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r>
            <w:tr w14:paraId="09A0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vAlign w:val="center"/>
                </w:tcPr>
                <w:p w14:paraId="650FB822">
                  <w:pPr>
                    <w:pStyle w:val="2"/>
                    <w:wordWrap w:val="0"/>
                    <w:snapToGrid w:val="0"/>
                    <w:spacing w:after="0" w:line="360" w:lineRule="exact"/>
                    <w:jc w:val="center"/>
                    <w:rPr>
                      <w:rFonts w:ascii="宋体" w:hAnsi="宋体" w:cs="宋体"/>
                      <w:color w:val="auto"/>
                      <w:szCs w:val="21"/>
                      <w:highlight w:val="none"/>
                    </w:rPr>
                  </w:pPr>
                </w:p>
              </w:tc>
              <w:tc>
                <w:tcPr>
                  <w:tcW w:w="1132" w:type="dxa"/>
                  <w:vAlign w:val="center"/>
                </w:tcPr>
                <w:p w14:paraId="69D914E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时效指标</w:t>
                  </w:r>
                </w:p>
              </w:tc>
              <w:tc>
                <w:tcPr>
                  <w:tcW w:w="2734" w:type="dxa"/>
                  <w:vAlign w:val="center"/>
                </w:tcPr>
                <w:p w14:paraId="43BF3C93">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项目实施完成率</w:t>
                  </w:r>
                </w:p>
              </w:tc>
              <w:tc>
                <w:tcPr>
                  <w:tcW w:w="977" w:type="dxa"/>
                  <w:vAlign w:val="center"/>
                </w:tcPr>
                <w:p w14:paraId="52E63A0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r>
          </w:tbl>
          <w:p w14:paraId="1DCA4D9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4.成果要求：</w:t>
            </w:r>
          </w:p>
          <w:p w14:paraId="04041C5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①向采购人提交符合国家及广西壮族自治区相关监测要求的珊瑚礁生态现状监测报告及监测相关数据、视频及图像。监测报告纸质文件一式6套；报告电子版及监测相关数据、视频及图像均需拷贝硬盘给采购人。</w:t>
            </w:r>
          </w:p>
          <w:p w14:paraId="3325CEBB">
            <w:pPr>
              <w:pStyle w:val="2"/>
              <w:wordWrap w:val="0"/>
              <w:spacing w:after="0" w:line="360" w:lineRule="exact"/>
              <w:rPr>
                <w:rFonts w:ascii="宋体" w:hAnsi="宋体" w:cs="宋体"/>
                <w:color w:val="auto"/>
                <w:szCs w:val="21"/>
                <w:highlight w:val="none"/>
              </w:rPr>
            </w:pPr>
            <w:r>
              <w:rPr>
                <w:rFonts w:hint="eastAsia" w:ascii="宋体" w:hAnsi="宋体" w:cs="宋体"/>
                <w:color w:val="auto"/>
                <w:szCs w:val="21"/>
                <w:highlight w:val="none"/>
              </w:rPr>
              <w:t>②完成15次的边界浮标海上现场巡查及6套浮标的标体维护，并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维护完工报告。</w:t>
            </w:r>
          </w:p>
          <w:p w14:paraId="35200803">
            <w:pPr>
              <w:pStyle w:val="2"/>
              <w:wordWrap w:val="0"/>
              <w:spacing w:after="0" w:line="360" w:lineRule="exact"/>
              <w:rPr>
                <w:rFonts w:ascii="宋体" w:hAnsi="宋体" w:cs="宋体"/>
                <w:color w:val="auto"/>
                <w:szCs w:val="21"/>
                <w:highlight w:val="none"/>
              </w:rPr>
            </w:pPr>
            <w:r>
              <w:rPr>
                <w:rFonts w:hint="eastAsia" w:ascii="宋体" w:hAnsi="宋体" w:cs="宋体"/>
                <w:color w:val="auto"/>
                <w:szCs w:val="21"/>
                <w:highlight w:val="none"/>
              </w:rPr>
              <w:t>③完成开展全国珊瑚日主题活动至少1次及珊瑚科普进校园活动至少1次。</w:t>
            </w:r>
          </w:p>
          <w:p w14:paraId="42AB95E3">
            <w:pPr>
              <w:pStyle w:val="2"/>
              <w:wordWrap w:val="0"/>
              <w:spacing w:after="0" w:line="360" w:lineRule="exact"/>
              <w:rPr>
                <w:rFonts w:ascii="宋体" w:hAnsi="宋体" w:cs="宋体"/>
                <w:color w:val="auto"/>
                <w:szCs w:val="21"/>
                <w:highlight w:val="none"/>
              </w:rPr>
            </w:pPr>
            <w:r>
              <w:rPr>
                <w:rFonts w:hint="eastAsia" w:ascii="宋体" w:hAnsi="宋体" w:cs="宋体"/>
                <w:color w:val="auto"/>
                <w:szCs w:val="21"/>
                <w:highlight w:val="none"/>
              </w:rPr>
              <w:t>④完成项目总体验收工作。</w:t>
            </w:r>
          </w:p>
        </w:tc>
      </w:tr>
      <w:tr w14:paraId="0D008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73DE8A08">
            <w:pPr>
              <w:wordWrap w:val="0"/>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商务要求</w:t>
            </w:r>
          </w:p>
        </w:tc>
      </w:tr>
      <w:tr w14:paraId="1195A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07D8387F">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（一）商务条款</w:t>
            </w:r>
          </w:p>
        </w:tc>
      </w:tr>
      <w:tr w14:paraId="34456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0557423">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合同履行期限和地点</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8548321">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1.合同履行期限：</w:t>
            </w:r>
            <w:r>
              <w:rPr>
                <w:rFonts w:hint="eastAsia" w:ascii="宋体" w:hAnsi="宋体" w:cs="宋体"/>
                <w:color w:val="auto"/>
                <w:szCs w:val="21"/>
                <w:highlight w:val="none"/>
              </w:rPr>
              <w:t>供应商应在合同签署后7日内组建项目组并开始进行项目评估和现场调研工作。项目建设为7个月。</w:t>
            </w:r>
          </w:p>
          <w:p w14:paraId="34C41F37">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rPr>
              <w:t>2.服务地点：</w:t>
            </w:r>
            <w:r>
              <w:rPr>
                <w:rFonts w:hint="eastAsia" w:ascii="宋体" w:hAnsi="宋体" w:cs="宋体"/>
                <w:color w:val="auto"/>
                <w:szCs w:val="21"/>
                <w:highlight w:val="none"/>
              </w:rPr>
              <w:t>广西北海市涠洲岛旅游区，具体位置由采购人指定地点。</w:t>
            </w:r>
          </w:p>
        </w:tc>
      </w:tr>
      <w:tr w14:paraId="0D5FD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9C096BA">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DD0D547">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rPr>
              <w:t>自成交通知书发出之日起25日内</w:t>
            </w:r>
          </w:p>
        </w:tc>
      </w:tr>
      <w:tr w14:paraId="50A3A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533EDBE">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报价要求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D046636">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rPr>
              <w:t>1.采购预算：人民币500000.00元，</w:t>
            </w:r>
            <w:r>
              <w:rPr>
                <w:rFonts w:hint="eastAsia" w:ascii="宋体" w:hAnsi="宋体" w:cs="宋体"/>
                <w:b/>
                <w:color w:val="auto"/>
                <w:szCs w:val="21"/>
                <w:highlight w:val="none"/>
              </w:rPr>
              <w:t>供应商磋商报价超过采购预算的，按无效磋商处理。</w:t>
            </w:r>
          </w:p>
          <w:p w14:paraId="5EDC05A2">
            <w:pPr>
              <w:wordWrap w:val="0"/>
              <w:spacing w:line="360" w:lineRule="exact"/>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竞标报价必须包括项目实施所需的人工费、服务费、设备设施购置成本及费用、交通费、采样费、材料费、监测费、误工费食宿费、通讯费、税费、保险、验收、后续技术支持及合同所示的所有责任义务和各种风险等合同履约过程可预见或不可预见的一切成本、费用。供应商在固定总价中必须考虑各种风险费用。在合同履行过程中，采购人不予支付合同以外的其他费用。</w:t>
            </w:r>
          </w:p>
        </w:tc>
      </w:tr>
      <w:tr w14:paraId="14558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2266E63C">
            <w:pPr>
              <w:wordWrap w:val="0"/>
              <w:spacing w:line="360" w:lineRule="exact"/>
              <w:jc w:val="left"/>
              <w:rPr>
                <w:rFonts w:ascii="宋体" w:hAnsi="宋体" w:cs="宋体"/>
                <w:b/>
                <w:color w:val="auto"/>
                <w:szCs w:val="21"/>
                <w:highlight w:val="none"/>
              </w:rPr>
            </w:pPr>
            <w:bookmarkStart w:id="97" w:name="OLE_LINK6" w:colFirst="1" w:colLast="1"/>
            <w:r>
              <w:rPr>
                <w:rFonts w:hint="eastAsia" w:ascii="宋体" w:hAnsi="宋体" w:cs="宋体"/>
                <w:color w:val="auto"/>
                <w:szCs w:val="21"/>
                <w:highlight w:val="none"/>
              </w:rPr>
              <w:t>付款方式</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86BC1B0">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签订合同之日后，</w:t>
            </w:r>
            <w:r>
              <w:rPr>
                <w:rFonts w:hint="eastAsia" w:ascii="宋体" w:hAnsi="宋体" w:cs="宋体"/>
                <w:color w:val="auto"/>
                <w:szCs w:val="21"/>
                <w:highlight w:val="none"/>
              </w:rPr>
              <w:t>采购人收到成交供应商提供的符合采购人要求的支付申请10个工作日内</w:t>
            </w:r>
            <w:r>
              <w:rPr>
                <w:rFonts w:hint="eastAsia" w:ascii="宋体" w:hAnsi="宋体" w:cs="宋体"/>
                <w:color w:val="auto"/>
                <w:szCs w:val="21"/>
                <w:highlight w:val="none"/>
              </w:rPr>
              <w:t>向财政申请拨款，财政拨款后5个工作日内</w:t>
            </w:r>
            <w:r>
              <w:rPr>
                <w:rFonts w:hint="eastAsia" w:ascii="宋体" w:hAnsi="宋体" w:cs="宋体"/>
                <w:color w:val="auto"/>
                <w:szCs w:val="21"/>
                <w:highlight w:val="none"/>
              </w:rPr>
              <w:t>向成交供应商支付合同价款的50%作为预付款。</w:t>
            </w:r>
          </w:p>
          <w:p w14:paraId="3408524C">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成交供应商</w:t>
            </w:r>
            <w:r>
              <w:rPr>
                <w:rFonts w:hint="eastAsia" w:ascii="宋体" w:hAnsi="宋体" w:cs="宋体"/>
                <w:bCs/>
                <w:color w:val="auto"/>
                <w:szCs w:val="21"/>
                <w:highlight w:val="none"/>
              </w:rPr>
              <w:t>按合同要求</w:t>
            </w:r>
            <w:r>
              <w:rPr>
                <w:rFonts w:hint="eastAsia" w:ascii="宋体" w:hAnsi="宋体" w:cs="宋体"/>
                <w:color w:val="auto"/>
                <w:szCs w:val="21"/>
                <w:highlight w:val="none"/>
              </w:rPr>
              <w:t>开展监测、维护及宣传工作，并向采购人提供合同规定的监测报告、现场监测数据、图片及影像资料、维护完工报告、宣传工作图片等，</w:t>
            </w:r>
            <w:r>
              <w:rPr>
                <w:rFonts w:hint="eastAsia" w:ascii="宋体" w:hAnsi="宋体" w:cs="宋体"/>
                <w:bCs/>
                <w:color w:val="auto"/>
                <w:szCs w:val="21"/>
                <w:highlight w:val="none"/>
              </w:rPr>
              <w:t>成交供应商按要求提供支付申请，</w:t>
            </w:r>
            <w:r>
              <w:rPr>
                <w:rFonts w:hint="eastAsia" w:ascii="宋体" w:hAnsi="宋体" w:cs="宋体"/>
                <w:color w:val="auto"/>
                <w:szCs w:val="21"/>
                <w:highlight w:val="none"/>
                <w:lang w:eastAsia="zh-CN"/>
              </w:rPr>
              <w:t>采购人对以上材料进行审核并在审核通过后的</w:t>
            </w:r>
            <w:r>
              <w:rPr>
                <w:rFonts w:hint="eastAsia" w:ascii="宋体" w:hAnsi="宋体" w:cs="宋体"/>
                <w:color w:val="auto"/>
                <w:szCs w:val="21"/>
                <w:highlight w:val="none"/>
              </w:rPr>
              <w:t>10个工作日内</w:t>
            </w:r>
            <w:r>
              <w:rPr>
                <w:rFonts w:hint="eastAsia" w:ascii="宋体" w:hAnsi="宋体" w:cs="宋体"/>
                <w:color w:val="auto"/>
                <w:szCs w:val="21"/>
                <w:highlight w:val="none"/>
              </w:rPr>
              <w:t>向财政申请拨款，财政拨款后5个工作日内</w:t>
            </w:r>
            <w:r>
              <w:rPr>
                <w:rFonts w:hint="eastAsia" w:ascii="宋体" w:hAnsi="宋体" w:cs="宋体"/>
                <w:color w:val="auto"/>
                <w:szCs w:val="21"/>
                <w:highlight w:val="none"/>
              </w:rPr>
              <w:t>向成交供应商支付合同总金额的30%。</w:t>
            </w:r>
          </w:p>
          <w:p w14:paraId="107CB460">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成交供应商协助采购人完成项目总体验收，验收通过后采购人收到成交供应商提供的符合采购人要求的支付申请10个工作日内向财政申请拨款，财政拨款后5个工作日内向成交供应商支付合同总金额的20%。</w:t>
            </w:r>
          </w:p>
        </w:tc>
      </w:tr>
      <w:bookmarkEnd w:id="97"/>
      <w:tr w14:paraId="26697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36991205">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项目实施要求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014481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1.供应商应根据国家标准、相关规范、本项目采购需求和项目实施方案提供服务。如有变化，以实施过程中采购人提出的要求为准。</w:t>
            </w:r>
          </w:p>
          <w:p w14:paraId="0ADE95B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2.供应商应在合同签署后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天内组建项目组并开始进行项目评估和现场调研工作，供应商在签订合同后10日内向采购人提供项目实施方案，方案经专家审查会通过后才可实施，由此产生的评审费由供应商负责。</w:t>
            </w:r>
          </w:p>
          <w:p w14:paraId="7D5C4C0F">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3.项目验收之日前，未经采购人许可，供应商不得随意更换项目组主要成员。</w:t>
            </w:r>
          </w:p>
          <w:p w14:paraId="5E9742B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4.供应商开展监测、维护及宣传任务前必须通知采购人派人全程参加。供应商在项目实施过程中应遵循采购单位提出的标准流程，并在各个阶段形成成果文档交付采购人。</w:t>
            </w:r>
          </w:p>
          <w:p w14:paraId="21BBA3A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5.项目实施过程中涉及的文档（清单、验收单据、必要时进行的会议纪要、涉及专家论证的资料）必须进行规范管理，做到实施细节记录在册，采购人需要查询时能清晰明确反应项目进度及资金收支情况。</w:t>
            </w:r>
          </w:p>
          <w:p w14:paraId="00D4FFB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6.供应商须承诺在采购需求和政策法规范围内，随着采购人合理需求的变动随时作出响应。</w:t>
            </w:r>
          </w:p>
          <w:p w14:paraId="1F15E62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.供应商应指定1名项目负责人，相关专业技术人员不少于3名。</w:t>
            </w:r>
          </w:p>
          <w:p w14:paraId="5D7931C5">
            <w:pPr>
              <w:pStyle w:val="2"/>
              <w:wordWrap w:val="0"/>
              <w:spacing w:after="0" w:line="360" w:lineRule="exact"/>
              <w:rPr>
                <w:rFonts w:ascii="宋体" w:hAnsi="宋体" w:cs="宋体"/>
                <w:color w:val="auto"/>
                <w:szCs w:val="21"/>
                <w:highlight w:val="none"/>
              </w:rPr>
            </w:pPr>
            <w:r>
              <w:rPr>
                <w:rFonts w:hint="eastAsia" w:ascii="宋体" w:hAnsi="宋体" w:cs="宋体"/>
                <w:color w:val="auto"/>
                <w:szCs w:val="21"/>
                <w:highlight w:val="none"/>
              </w:rPr>
              <w:t>8.供应商在在项目实施中获取的数据、视频、照片及成果报告等未经采购人书面同意，不得向任何第三方披露或使用。</w:t>
            </w:r>
          </w:p>
        </w:tc>
      </w:tr>
      <w:tr w14:paraId="14031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C8B678B">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服务要求</w:t>
            </w:r>
          </w:p>
        </w:tc>
        <w:tc>
          <w:tcPr>
            <w:tcW w:w="7130" w:type="dxa"/>
            <w:gridSpan w:val="4"/>
            <w:tcBorders>
              <w:top w:val="single" w:color="auto" w:sz="4" w:space="0"/>
              <w:left w:val="single" w:color="auto" w:sz="4" w:space="0"/>
              <w:bottom w:val="single" w:color="auto" w:sz="4" w:space="0"/>
              <w:right w:val="single" w:color="auto" w:sz="4" w:space="0"/>
            </w:tcBorders>
          </w:tcPr>
          <w:p w14:paraId="326279C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提供详尽的服务计划，服务期限内接到采购人通知后</w:t>
            </w:r>
            <w:r>
              <w:rPr>
                <w:rFonts w:hint="eastAsia" w:ascii="宋体" w:hAnsi="宋体" w:cs="宋体"/>
                <w:color w:val="auto"/>
                <w:szCs w:val="21"/>
                <w:highlight w:val="none"/>
              </w:rPr>
              <w:t>2小时内</w:t>
            </w:r>
            <w:r>
              <w:rPr>
                <w:rFonts w:hint="eastAsia" w:ascii="宋体" w:hAnsi="宋体" w:cs="宋体"/>
                <w:color w:val="auto"/>
                <w:szCs w:val="21"/>
                <w:highlight w:val="none"/>
              </w:rPr>
              <w:t>做出响应，并在接到采购人通知后</w:t>
            </w:r>
            <w:r>
              <w:rPr>
                <w:rFonts w:hint="eastAsia" w:ascii="宋体" w:hAnsi="宋体" w:cs="宋体"/>
                <w:color w:val="auto"/>
                <w:szCs w:val="21"/>
                <w:highlight w:val="none"/>
              </w:rPr>
              <w:t>24小时内到达现场</w:t>
            </w:r>
            <w:r>
              <w:rPr>
                <w:rFonts w:hint="eastAsia" w:ascii="宋体" w:hAnsi="宋体" w:cs="宋体"/>
                <w:color w:val="auto"/>
                <w:szCs w:val="21"/>
                <w:highlight w:val="none"/>
              </w:rPr>
              <w:t>，</w:t>
            </w:r>
            <w:r>
              <w:rPr>
                <w:rFonts w:hint="eastAsia" w:ascii="宋体" w:hAnsi="宋体" w:cs="宋体"/>
                <w:color w:val="auto"/>
                <w:szCs w:val="21"/>
                <w:highlight w:val="none"/>
              </w:rPr>
              <w:t>48小时内排查问题并</w:t>
            </w:r>
            <w:r>
              <w:rPr>
                <w:rFonts w:hint="eastAsia" w:ascii="宋体" w:hAnsi="宋体" w:cs="宋体"/>
                <w:color w:val="auto"/>
                <w:szCs w:val="21"/>
                <w:highlight w:val="none"/>
              </w:rPr>
              <w:t>给予解决方案。其余按供应商承诺。</w:t>
            </w:r>
          </w:p>
        </w:tc>
      </w:tr>
      <w:tr w14:paraId="5B562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38284C5">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执行标准、规范</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36C7F0A">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采购标的需执行的国家标准、行业标准、地方标准或者其他标准、规范。</w:t>
            </w:r>
          </w:p>
        </w:tc>
      </w:tr>
      <w:tr w14:paraId="3AA84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5130830">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保险</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8C4F72D">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rPr>
              <w:t>满足项目实施要求。</w:t>
            </w:r>
          </w:p>
        </w:tc>
      </w:tr>
      <w:tr w14:paraId="2FD4F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36329E2">
            <w:pPr>
              <w:wordWrap w:val="0"/>
              <w:spacing w:line="36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3BF2E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79B364F">
            <w:pPr>
              <w:wordWrap w:val="0"/>
              <w:spacing w:line="360" w:lineRule="exact"/>
              <w:rPr>
                <w:rFonts w:ascii="宋体" w:hAnsi="宋体" w:cs="宋体"/>
                <w:b/>
                <w:color w:val="auto"/>
                <w:szCs w:val="21"/>
                <w:highlight w:val="none"/>
              </w:rPr>
            </w:pPr>
            <w:r>
              <w:rPr>
                <w:rFonts w:hint="eastAsia" w:ascii="宋体" w:hAnsi="宋体" w:cs="宋体"/>
                <w:b/>
                <w:color w:val="auto"/>
                <w:szCs w:val="21"/>
                <w:highlight w:val="none"/>
              </w:rPr>
              <w:t>1.供应商的履约能力要求</w:t>
            </w:r>
          </w:p>
        </w:tc>
      </w:tr>
      <w:tr w14:paraId="5A976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5BEEC53">
            <w:pPr>
              <w:wordWrap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业绩要求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782444F">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w:t>
            </w:r>
            <w:r>
              <w:rPr>
                <w:rFonts w:hint="eastAsia" w:ascii="宋体" w:hAnsi="宋体" w:cs="宋体"/>
                <w:color w:val="auto"/>
                <w:szCs w:val="21"/>
                <w:highlight w:val="none"/>
                <w:u w:val="single"/>
              </w:rPr>
              <w:t>1</w:t>
            </w:r>
            <w:r>
              <w:rPr>
                <w:rFonts w:hint="eastAsia" w:ascii="宋体" w:hAnsi="宋体" w:cs="宋体"/>
                <w:color w:val="auto"/>
                <w:szCs w:val="21"/>
                <w:highlight w:val="none"/>
              </w:rPr>
              <w:t>日以来至响应文件递交截止日期止，供应商提供同类项目业绩，符合第四章“评审标准”的可予以加分。</w:t>
            </w:r>
          </w:p>
        </w:tc>
      </w:tr>
      <w:tr w14:paraId="6979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97E9AD2">
            <w:pPr>
              <w:wordWrap w:val="0"/>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履约能力要求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6EB5E14F">
            <w:pPr>
              <w:wordWrap w:val="0"/>
              <w:spacing w:line="360" w:lineRule="exact"/>
              <w:rPr>
                <w:rFonts w:ascii="宋体" w:hAnsi="宋体" w:cs="宋体"/>
                <w:b/>
                <w:color w:val="auto"/>
                <w:szCs w:val="21"/>
                <w:highlight w:val="none"/>
              </w:rPr>
            </w:pPr>
            <w:r>
              <w:rPr>
                <w:rFonts w:hint="eastAsia" w:ascii="宋体" w:hAnsi="宋体" w:cs="宋体"/>
                <w:color w:val="auto"/>
                <w:szCs w:val="21"/>
                <w:highlight w:val="none"/>
              </w:rPr>
              <w:t>符合第四章“评审标准”的可予以加分。</w:t>
            </w:r>
          </w:p>
        </w:tc>
      </w:tr>
      <w:tr w14:paraId="7F818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6651C80">
            <w:pPr>
              <w:tabs>
                <w:tab w:val="left" w:pos="180"/>
                <w:tab w:val="left" w:pos="1620"/>
              </w:tabs>
              <w:wordWrap w:val="0"/>
              <w:spacing w:line="360" w:lineRule="exac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2.验收要求</w:t>
            </w:r>
          </w:p>
        </w:tc>
      </w:tr>
      <w:tr w14:paraId="0B14C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37C9ED7">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1.验收过程中所产生的一切费用均由成交供应商承担。报价时应考虑相关费用。</w:t>
            </w:r>
          </w:p>
          <w:p w14:paraId="2D3D6B44">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成交供应商在服务验收时由采购单位对照本项目采购文件的功能目标及服务要求全面，对所有要求出具的证明文件的原件进行核查，如不符合本项目采购文件的技术需求及要求以及提供虚核对检验假结论或承诺的，按相关规定做违约处理，成交供应商承担所有责任和费用，采购人保留进一步追究责任的权利。</w:t>
            </w:r>
          </w:p>
          <w:p w14:paraId="0A0E356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3.“技术要求”另有要求的按其要求。</w:t>
            </w:r>
          </w:p>
        </w:tc>
      </w:tr>
      <w:tr w14:paraId="1F575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5EB7EB2">
            <w:pPr>
              <w:wordWrap w:val="0"/>
              <w:spacing w:line="360" w:lineRule="exact"/>
              <w:rPr>
                <w:rFonts w:ascii="宋体" w:hAnsi="宋体" w:cs="宋体"/>
                <w:color w:val="auto"/>
                <w:szCs w:val="21"/>
                <w:highlight w:val="none"/>
              </w:rPr>
            </w:pPr>
            <w:r>
              <w:rPr>
                <w:rFonts w:hint="eastAsia" w:ascii="宋体" w:hAnsi="宋体" w:cs="宋体"/>
                <w:b/>
                <w:color w:val="auto"/>
                <w:szCs w:val="21"/>
                <w:highlight w:val="none"/>
              </w:rPr>
              <w:t>（三）其他要求</w:t>
            </w:r>
          </w:p>
        </w:tc>
      </w:tr>
      <w:tr w14:paraId="60E6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2D428F1">
            <w:pPr>
              <w:tabs>
                <w:tab w:val="left" w:pos="180"/>
                <w:tab w:val="left" w:pos="1620"/>
              </w:tabs>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1.供应商根据自身情况及第四章“评分内容”自行</w:t>
            </w:r>
            <w:r>
              <w:rPr>
                <w:rFonts w:hint="eastAsia" w:ascii="宋体" w:hAnsi="宋体" w:cs="宋体"/>
                <w:color w:val="auto"/>
                <w:szCs w:val="21"/>
                <w:highlight w:val="none"/>
              </w:rPr>
              <w:t>编制项目实施方案、</w:t>
            </w:r>
            <w:r>
              <w:rPr>
                <w:rFonts w:hint="eastAsia" w:ascii="宋体" w:hAnsi="宋体" w:cs="宋体"/>
                <w:bCs/>
                <w:color w:val="auto"/>
                <w:szCs w:val="21"/>
                <w:highlight w:val="none"/>
              </w:rPr>
              <w:t>服务质量控制措施（如有）</w:t>
            </w:r>
            <w:r>
              <w:rPr>
                <w:rStyle w:val="34"/>
                <w:rFonts w:hint="eastAsia" w:ascii="宋体" w:hAnsi="宋体" w:cs="宋体"/>
                <w:color w:val="auto"/>
                <w:highlight w:val="none"/>
              </w:rPr>
              <w:t>、</w:t>
            </w:r>
            <w:r>
              <w:rPr>
                <w:rFonts w:hint="eastAsia" w:ascii="宋体" w:hAnsi="宋体" w:cs="宋体"/>
                <w:color w:val="auto"/>
                <w:szCs w:val="21"/>
                <w:highlight w:val="none"/>
              </w:rPr>
              <w:t>服务承诺、人员配置方案</w:t>
            </w:r>
            <w:r>
              <w:rPr>
                <w:rFonts w:hint="eastAsia" w:ascii="宋体" w:hAnsi="宋体" w:cs="宋体"/>
                <w:color w:val="auto"/>
                <w:szCs w:val="21"/>
                <w:highlight w:val="none"/>
              </w:rPr>
              <w:t>，及根据第四章“评分内容”提供相关人员、</w:t>
            </w:r>
            <w:r>
              <w:rPr>
                <w:rFonts w:hint="eastAsia" w:ascii="宋体" w:hAnsi="宋体" w:cs="宋体"/>
                <w:bCs/>
                <w:color w:val="auto"/>
                <w:szCs w:val="21"/>
                <w:highlight w:val="none"/>
              </w:rPr>
              <w:t>业绩及企业综合实力等相关证明材料，否则不予加分</w:t>
            </w:r>
            <w:r>
              <w:rPr>
                <w:rFonts w:hint="eastAsia" w:ascii="宋体" w:hAnsi="宋体" w:cs="宋体"/>
                <w:color w:val="auto"/>
                <w:szCs w:val="21"/>
                <w:highlight w:val="none"/>
              </w:rPr>
              <w:t>。</w:t>
            </w:r>
          </w:p>
          <w:p w14:paraId="4025648D">
            <w:pPr>
              <w:tabs>
                <w:tab w:val="left" w:pos="180"/>
                <w:tab w:val="left" w:pos="1620"/>
              </w:tabs>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▲2.供应商须确保响应文件中的人员信息真实、有效。成交供应商不得将项目非法分包或转包给任何单位和个人，否则采购人有权依法即刻终止合同，并要求成交供应商赔偿相应损失。</w:t>
            </w:r>
          </w:p>
          <w:p w14:paraId="38C562F4">
            <w:pPr>
              <w:tabs>
                <w:tab w:val="left" w:pos="180"/>
                <w:tab w:val="left" w:pos="1620"/>
              </w:tabs>
              <w:wordWrap w:val="0"/>
              <w:spacing w:line="360" w:lineRule="exact"/>
              <w:rPr>
                <w:rFonts w:ascii="宋体" w:hAnsi="宋体" w:cs="宋体"/>
                <w:bCs/>
                <w:color w:val="auto"/>
                <w:szCs w:val="21"/>
                <w:highlight w:val="none"/>
              </w:rPr>
            </w:pPr>
            <w:r>
              <w:rPr>
                <w:rFonts w:hint="eastAsia" w:ascii="宋体" w:hAnsi="宋体" w:cs="宋体"/>
                <w:color w:val="auto"/>
                <w:szCs w:val="21"/>
                <w:highlight w:val="none"/>
              </w:rPr>
              <w:t>▲3.未经采购人允许，不得使用或者以其它方式给任何第三方提供本项目的相关信息或数据。</w:t>
            </w:r>
          </w:p>
        </w:tc>
      </w:tr>
    </w:tbl>
    <w:p w14:paraId="6A5500D6">
      <w:pPr>
        <w:pStyle w:val="5"/>
        <w:jc w:val="center"/>
        <w:rPr>
          <w:color w:val="auto"/>
          <w:highlight w:val="none"/>
        </w:rPr>
      </w:pPr>
      <w:r>
        <w:rPr>
          <w:rFonts w:hint="eastAsia" w:ascii="黑体" w:hAnsi="黑体" w:eastAsia="黑体" w:cs="黑体"/>
          <w:color w:val="auto"/>
          <w:sz w:val="32"/>
          <w:szCs w:val="32"/>
          <w:highlight w:val="none"/>
        </w:rPr>
        <w:br w:type="page"/>
      </w:r>
      <w:bookmarkStart w:id="98" w:name="_Toc4095"/>
      <w:r>
        <w:rPr>
          <w:rFonts w:hint="eastAsia"/>
          <w:color w:val="auto"/>
          <w:highlight w:val="none"/>
        </w:rPr>
        <w:t>第四章  评审程序、评审方法和评审标准</w:t>
      </w:r>
      <w:bookmarkEnd w:id="98"/>
    </w:p>
    <w:p w14:paraId="4EA5224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7702817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7603755">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048325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27E342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14:paraId="4FBCBF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1E00F3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6431D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1EA559B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1FA87A2F">
      <w:pPr>
        <w:spacing w:line="360" w:lineRule="auto"/>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.3供应商有下列情形之一的，资格审查不通过，其响应文件按无效响应处理：</w:t>
      </w:r>
    </w:p>
    <w:p w14:paraId="10E8B8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7424B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35A8EB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1BAB2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34A6E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4F5FA7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CBC37D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066A5BA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2.1由磋商小组对通过资格审查的合格供应商的响应文件的竞标报价、商务、技术等实质性要求进行符合性审查，以确定其是否满足磋商文件的实质性要求。</w:t>
      </w:r>
    </w:p>
    <w:p w14:paraId="359C78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568AE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62DDB30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8E912B8">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2.4首次响应文件报价出现前后不一致的，按照下列规定修正： </w:t>
      </w:r>
    </w:p>
    <w:p w14:paraId="5BBE57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（1）响应文件中报价表内容与响应文件中相应内容不一致的，以报价表为准；</w:t>
      </w:r>
    </w:p>
    <w:p w14:paraId="35603C8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18B472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（3）单价金额小数点或者百分比有明显错位的，以报价表的总价为准，并修改单价；</w:t>
      </w:r>
    </w:p>
    <w:p w14:paraId="2A25956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2ACE1FA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同时出现两种以上不一致的，按照以上（1）-（4）规定的顺序逐条进行修正。修正后的报价经供应商确认后产生约束力，供应商不确认的，其响应文件按无效响应处理。</w:t>
      </w:r>
    </w:p>
    <w:p w14:paraId="2E9DE0F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2.5商务技术报价评审</w:t>
      </w:r>
    </w:p>
    <w:p w14:paraId="1C99A947">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在评审时，如发现下列情形之一的，将被视为响应文件无效处理：</w:t>
      </w:r>
    </w:p>
    <w:p w14:paraId="6D831F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（1）商务技术评审</w:t>
      </w:r>
    </w:p>
    <w:p w14:paraId="2668060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1）响应文件未按磋商文件要求签署、盖章；</w:t>
      </w:r>
    </w:p>
    <w:p w14:paraId="63F89D4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2）委托代理人未能出具有效身份证或者出具的身份证与授权委托书中的信息不符的； </w:t>
      </w:r>
    </w:p>
    <w:p w14:paraId="3A3F82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3）提交的磋商保证金无效的或者未按照磋商文件的规定提交磋商保证金；</w:t>
      </w:r>
    </w:p>
    <w:p w14:paraId="392499A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425813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5）商务、技术要求允许负偏离的条款数超过“供应商须知前附表”规定项数的；</w:t>
      </w:r>
    </w:p>
    <w:p w14:paraId="6095EFC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6）未对竞标有效期作出响应或者响应文件承诺的竞标有效期不满足磋商文件要求；</w:t>
      </w:r>
    </w:p>
    <w:p w14:paraId="245634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7）响应文件的实质性内容未使用中文表述、使用计量单位不符合磋商文件要求；</w:t>
      </w:r>
    </w:p>
    <w:p w14:paraId="74397EC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8）响应文件中的文件资料因填写不齐全或者内容虚假或者出现其他情形而导致被磋商小组认定无效；</w:t>
      </w:r>
    </w:p>
    <w:p w14:paraId="2060AE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9）响应文件含有采购人不能接受的附加条件；</w:t>
      </w:r>
    </w:p>
    <w:p w14:paraId="52C84C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10）属于“供应商须知正文”第7.5条情形；</w:t>
      </w:r>
    </w:p>
    <w:p w14:paraId="292859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11）虚假竞标，或者出现其他情形而导致被磋商小组认定无效；</w:t>
      </w:r>
    </w:p>
    <w:p w14:paraId="2DD7322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12）磋商文件未载明允许提供备选（替代）竞标方案或明确不允许提供备选（替代）竞标方案时，供应商提供了备选（替代）竞标方案的；</w:t>
      </w:r>
    </w:p>
    <w:p w14:paraId="7D48E9D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13）响应文件标注的项目名称或者项目编号与磋商文件标注的项目名称或者项目编号不一致的；</w:t>
      </w:r>
    </w:p>
    <w:p w14:paraId="181398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14）竞争性磋商文件明确不允许分包，响应文件拟分包的；</w:t>
      </w:r>
    </w:p>
    <w:p w14:paraId="64B93E4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15）未响应磋商文件实质性要求；</w:t>
      </w:r>
    </w:p>
    <w:p w14:paraId="04E672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16）法律、法规和磋商文件规定的其他无效情形。</w:t>
      </w:r>
    </w:p>
    <w:p w14:paraId="3515A6B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（2）报价评审</w:t>
      </w:r>
    </w:p>
    <w:p w14:paraId="1FE7F28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响应文件未提供“供应商须知前附表” 报价文件中规定的“竞标报价表”；</w:t>
      </w:r>
    </w:p>
    <w:p w14:paraId="6198A9B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2）未采用人民币报价或者未按照磋商文件标明的币种报价；</w:t>
      </w:r>
    </w:p>
    <w:p w14:paraId="725A567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0216B9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4）竞标报价（包含首次报价、最后报价）超过所竞标分标规定的采购预算金额的；</w:t>
      </w:r>
    </w:p>
    <w:p w14:paraId="3A7BCE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5）修正后的报价，供应商不确认的；或者经供应商确认修正后的竞标报价（包含首次报价、最后报价）超过所竞标分标规定的采购预算金额的；</w:t>
      </w:r>
    </w:p>
    <w:p w14:paraId="1C00A6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6）响应文件响应的标的数量及单位与竞争性磋商采购文件要求实质性不一致的。</w:t>
      </w:r>
    </w:p>
    <w:p w14:paraId="2DB87BC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C145D5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2.7通过符合性审查的合格供应商不足3家的，不得进入磋商环节，采购人或者采购代理机构应当重新开展采购活动。</w:t>
      </w:r>
    </w:p>
    <w:p w14:paraId="48CCDDE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EE4C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1954E7A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8C8EDE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543F3D2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532EA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59221687">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C1E46C3">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4AF72E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A2DEF0D">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1F920E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2BDAB6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94D2EC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077410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B907F0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0010B2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3BDFB9D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46628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1D61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E43BB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（2）经供应商确认修正后的竞标报价（包含首次报价、最后报价）超过所竞标分标规定的采购预算金额的；</w:t>
      </w:r>
    </w:p>
    <w:p w14:paraId="2BB206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3A85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502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001CD3F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5BEE2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3C21C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6D8CD6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9642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51352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9878F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评审价为供应商的最后报价（如有修正，以确认修正后的最后报价为准）。</w:t>
      </w:r>
    </w:p>
    <w:p w14:paraId="66196015">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A137628">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FCE30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F23036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77"/>
        <w:gridCol w:w="6155"/>
        <w:gridCol w:w="851"/>
      </w:tblGrid>
      <w:tr w14:paraId="339A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01A8FEB9">
            <w:pPr>
              <w:widowControl/>
              <w:wordWrap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7" w:type="dxa"/>
            <w:vAlign w:val="center"/>
          </w:tcPr>
          <w:p w14:paraId="46F36482">
            <w:pPr>
              <w:widowControl/>
              <w:wordWrap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55" w:type="dxa"/>
            <w:vAlign w:val="center"/>
          </w:tcPr>
          <w:p w14:paraId="2C86DEED">
            <w:pPr>
              <w:widowControl/>
              <w:wordWrap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14:paraId="0B221648">
            <w:pPr>
              <w:widowControl/>
              <w:wordWrap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665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7EF17038">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7" w:type="dxa"/>
            <w:vAlign w:val="center"/>
          </w:tcPr>
          <w:p w14:paraId="49A55F47">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155" w:type="dxa"/>
          </w:tcPr>
          <w:p w14:paraId="6DEEBF13">
            <w:pPr>
              <w:wordWrap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（1）本项目为专门面向小微企业，磋商报价不再进行政府采购政策性扣除。</w:t>
            </w:r>
          </w:p>
          <w:p w14:paraId="0CBB042A">
            <w:pPr>
              <w:wordWrap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（3）以进入比较与评审环节的最低的最后报价为基准价，基准价得分为10分。</w:t>
            </w:r>
          </w:p>
          <w:p w14:paraId="7D7DAE55">
            <w:pPr>
              <w:wordWrap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（4）价格分计算公式：</w:t>
            </w:r>
          </w:p>
          <w:p w14:paraId="33DA28D8">
            <w:pPr>
              <w:wordWrap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报价得分=（基准价/最后报价）×10分</w:t>
            </w:r>
          </w:p>
        </w:tc>
        <w:tc>
          <w:tcPr>
            <w:tcW w:w="851" w:type="dxa"/>
            <w:vAlign w:val="center"/>
          </w:tcPr>
          <w:p w14:paraId="2D5C6670">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78C4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8F9825D">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77" w:type="dxa"/>
            <w:vAlign w:val="center"/>
          </w:tcPr>
          <w:p w14:paraId="1D8B73C9">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7006" w:type="dxa"/>
            <w:gridSpan w:val="2"/>
          </w:tcPr>
          <w:p w14:paraId="6EF2D57D">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1736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20C87B4">
            <w:pPr>
              <w:wordWrap w:val="0"/>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77" w:type="dxa"/>
            <w:vAlign w:val="center"/>
          </w:tcPr>
          <w:p w14:paraId="7A66FC5C">
            <w:pPr>
              <w:wordWrap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项目实施方案分</w:t>
            </w:r>
          </w:p>
        </w:tc>
        <w:tc>
          <w:tcPr>
            <w:tcW w:w="6155" w:type="dxa"/>
            <w:vAlign w:val="center"/>
          </w:tcPr>
          <w:p w14:paraId="3E816623">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由磋商小组根据供应商提供的项目实施方案进行独立评审，</w:t>
            </w:r>
            <w:r>
              <w:rPr>
                <w:rFonts w:hint="eastAsia" w:hAnsi="宋体" w:cs="宋体"/>
                <w:b/>
                <w:bCs/>
                <w:color w:val="auto"/>
                <w:sz w:val="21"/>
                <w:highlight w:val="none"/>
              </w:rPr>
              <w:t>提供的方案内容未达到一档要求的不得分：</w:t>
            </w:r>
          </w:p>
          <w:p w14:paraId="1D92B42B">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一档（5分）：项目实施方案(含项目的目的及工作内容理解准确、深刻，对项目实施过程的工作重点、难点是否认识准确，并提出系统性、操作性的实施计划等)不够完整，不能结合项目特点，可操作性不够强的；</w:t>
            </w:r>
          </w:p>
          <w:p w14:paraId="52246186">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二档（</w:t>
            </w:r>
            <w:r>
              <w:rPr>
                <w:rFonts w:ascii="宋体" w:hAnsi="宋体" w:cs="宋体"/>
                <w:color w:val="auto"/>
                <w:szCs w:val="21"/>
                <w:highlight w:val="none"/>
              </w:rPr>
              <w:t>15</w:t>
            </w:r>
            <w:r>
              <w:rPr>
                <w:rFonts w:hint="eastAsia" w:ascii="宋体" w:hAnsi="宋体" w:cs="宋体"/>
                <w:color w:val="auto"/>
                <w:szCs w:val="21"/>
                <w:highlight w:val="none"/>
              </w:rPr>
              <w:t>分）：项目实施方案（含项目的目的及工作内容理解准确、深刻，对项目实施过程的工作重点、难点是否认识准确，并提出系统性、操作性的实施计划等）基本完整，基本能结合项目特点，有一定的可操作性的；</w:t>
            </w:r>
          </w:p>
          <w:p w14:paraId="5E473B85">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三档（2</w:t>
            </w:r>
            <w:r>
              <w:rPr>
                <w:rFonts w:ascii="宋体" w:hAnsi="宋体" w:cs="宋体"/>
                <w:color w:val="auto"/>
                <w:szCs w:val="21"/>
                <w:highlight w:val="none"/>
              </w:rPr>
              <w:t>0</w:t>
            </w:r>
            <w:r>
              <w:rPr>
                <w:rFonts w:hint="eastAsia" w:ascii="宋体" w:hAnsi="宋体" w:cs="宋体"/>
                <w:color w:val="auto"/>
                <w:szCs w:val="21"/>
                <w:highlight w:val="none"/>
              </w:rPr>
              <w:t>分）：在满足二档的基础上，项目实施方案对本项目的环境现状有深入</w:t>
            </w:r>
            <w:r>
              <w:rPr>
                <w:rFonts w:hint="eastAsia" w:ascii="宋体" w:hAnsi="宋体" w:cs="宋体"/>
                <w:color w:val="auto"/>
                <w:szCs w:val="21"/>
                <w:highlight w:val="none"/>
              </w:rPr>
              <w:t>的了解及详细的图文分析</w:t>
            </w:r>
            <w:r>
              <w:rPr>
                <w:rFonts w:hint="eastAsia" w:ascii="宋体" w:hAnsi="宋体" w:cs="宋体"/>
                <w:color w:val="auto"/>
                <w:szCs w:val="21"/>
                <w:highlight w:val="none"/>
              </w:rPr>
              <w:t>，并提出系统性、操作性的实施计划、技术服务等，方案内容完整、详细，切合实际，具有很强的可操作性的。</w:t>
            </w:r>
          </w:p>
        </w:tc>
        <w:tc>
          <w:tcPr>
            <w:tcW w:w="851" w:type="dxa"/>
            <w:vAlign w:val="center"/>
          </w:tcPr>
          <w:p w14:paraId="11F2299A">
            <w:pPr>
              <w:wordWrap w:val="0"/>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kern w:val="0"/>
                <w:szCs w:val="21"/>
                <w:highlight w:val="none"/>
              </w:rPr>
              <w:t>分</w:t>
            </w:r>
          </w:p>
        </w:tc>
      </w:tr>
      <w:tr w14:paraId="70DD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764CB80">
            <w:pPr>
              <w:wordWrap w:val="0"/>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77" w:type="dxa"/>
            <w:vAlign w:val="center"/>
          </w:tcPr>
          <w:p w14:paraId="4AB06659">
            <w:pPr>
              <w:wordWrap w:val="0"/>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服务质量控制措施分</w:t>
            </w:r>
          </w:p>
        </w:tc>
        <w:tc>
          <w:tcPr>
            <w:tcW w:w="6155" w:type="dxa"/>
          </w:tcPr>
          <w:p w14:paraId="38083A2C">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由磋商小组根据供应商提供的服务质量控制措施进行独立评审，</w:t>
            </w:r>
            <w:r>
              <w:rPr>
                <w:rFonts w:hint="eastAsia" w:hAnsi="宋体" w:cs="宋体"/>
                <w:b/>
                <w:bCs/>
                <w:color w:val="auto"/>
                <w:sz w:val="21"/>
                <w:highlight w:val="none"/>
              </w:rPr>
              <w:t>未提供服务质量控制措施或提供的方案内容未达到一档要求的不得分：</w:t>
            </w:r>
          </w:p>
          <w:p w14:paraId="69D01409">
            <w:pPr>
              <w:wordWrap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一档（5分）：服务质量控制措施方案内容无明显错误，内容不完善，缺乏针对性；</w:t>
            </w:r>
          </w:p>
          <w:p w14:paraId="184AC6E5">
            <w:pPr>
              <w:wordWrap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二档（10分）：服务质量控制措施方案详细，内容包含监测质量保障计划、边界浮标维护保障计划，安全管理计划等，内容基本符合项目要求；</w:t>
            </w:r>
          </w:p>
          <w:p w14:paraId="14C0874E">
            <w:pPr>
              <w:wordWrap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三档（15分）：在满足二档的基础上，还提供了相关技术岗位职责和监测方法，内容完整，科学性、合理性较好，内容满足项目需求。</w:t>
            </w:r>
          </w:p>
          <w:p w14:paraId="774A943F">
            <w:pPr>
              <w:wordWrap w:val="0"/>
              <w:spacing w:line="400" w:lineRule="exact"/>
              <w:rPr>
                <w:rFonts w:ascii="宋体" w:hAnsi="宋体" w:cs="宋体"/>
                <w:color w:val="auto"/>
                <w:szCs w:val="21"/>
                <w:highlight w:val="none"/>
              </w:rPr>
            </w:pPr>
            <w:r>
              <w:rPr>
                <w:rFonts w:hint="eastAsia" w:ascii="宋体" w:hAnsi="宋体" w:cs="宋体"/>
                <w:bCs/>
                <w:color w:val="auto"/>
                <w:szCs w:val="21"/>
                <w:highlight w:val="none"/>
              </w:rPr>
              <w:t>四档（2</w:t>
            </w:r>
            <w:r>
              <w:rPr>
                <w:rFonts w:ascii="宋体" w:hAnsi="宋体" w:cs="宋体"/>
                <w:bCs/>
                <w:color w:val="auto"/>
                <w:szCs w:val="21"/>
                <w:highlight w:val="none"/>
              </w:rPr>
              <w:t>0</w:t>
            </w:r>
            <w:r>
              <w:rPr>
                <w:rFonts w:hint="eastAsia" w:ascii="宋体" w:hAnsi="宋体" w:cs="宋体"/>
                <w:bCs/>
                <w:color w:val="auto"/>
                <w:szCs w:val="21"/>
                <w:highlight w:val="none"/>
              </w:rPr>
              <w:t>分）：在满足三档的基础上，服务质量控制措施提供了验收方案和项目实施技术人员的培训机制，内容详细完整且严谨，服务的质量控制措施科学合理，且可行性高，针对本项目提出有利于项目进行的可行性建议或措施。</w:t>
            </w:r>
          </w:p>
        </w:tc>
        <w:tc>
          <w:tcPr>
            <w:tcW w:w="851" w:type="dxa"/>
            <w:vAlign w:val="center"/>
          </w:tcPr>
          <w:p w14:paraId="7545BD6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14:paraId="305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2445133">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77" w:type="dxa"/>
            <w:vAlign w:val="center"/>
          </w:tcPr>
          <w:p w14:paraId="527F8099">
            <w:pPr>
              <w:widowControl/>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商务分</w:t>
            </w:r>
          </w:p>
        </w:tc>
        <w:tc>
          <w:tcPr>
            <w:tcW w:w="7006" w:type="dxa"/>
            <w:gridSpan w:val="2"/>
            <w:vAlign w:val="center"/>
          </w:tcPr>
          <w:p w14:paraId="4C6109B3">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58A9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7048E8AB">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77" w:type="dxa"/>
            <w:vAlign w:val="center"/>
          </w:tcPr>
          <w:p w14:paraId="4BA4D6B0">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服务承诺分</w:t>
            </w:r>
          </w:p>
        </w:tc>
        <w:tc>
          <w:tcPr>
            <w:tcW w:w="6155" w:type="dxa"/>
          </w:tcPr>
          <w:p w14:paraId="641822AF">
            <w:pPr>
              <w:pStyle w:val="18"/>
              <w:wordWrap w:val="0"/>
              <w:spacing w:line="400" w:lineRule="exact"/>
              <w:rPr>
                <w:rFonts w:hAnsi="宋体" w:cs="宋体"/>
                <w:b/>
                <w:bCs/>
                <w:color w:val="auto"/>
                <w:sz w:val="21"/>
                <w:highlight w:val="none"/>
              </w:rPr>
            </w:pPr>
            <w:r>
              <w:rPr>
                <w:rFonts w:hint="eastAsia" w:hAnsi="宋体" w:cs="宋体"/>
                <w:color w:val="auto"/>
                <w:kern w:val="2"/>
                <w:sz w:val="21"/>
                <w:highlight w:val="none"/>
              </w:rPr>
              <w:t>由磋商小组根据供应商提供的服务承诺进行独立评审，</w:t>
            </w:r>
            <w:r>
              <w:rPr>
                <w:rFonts w:hint="eastAsia" w:hAnsi="宋体" w:cs="宋体"/>
                <w:b/>
                <w:bCs/>
                <w:color w:val="auto"/>
                <w:sz w:val="21"/>
                <w:highlight w:val="none"/>
              </w:rPr>
              <w:t>提供的方案内容未达到一档要求的不得分：</w:t>
            </w:r>
          </w:p>
          <w:p w14:paraId="5ACD3974">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一档（6</w:t>
            </w:r>
            <w:r>
              <w:rPr>
                <w:rFonts w:hint="eastAsia" w:hAnsi="宋体" w:cs="宋体"/>
                <w:color w:val="auto"/>
                <w:kern w:val="2"/>
                <w:sz w:val="21"/>
                <w:highlight w:val="none"/>
              </w:rPr>
              <w:t>分</w:t>
            </w:r>
            <w:r>
              <w:rPr>
                <w:rFonts w:hint="eastAsia" w:hAnsi="宋体" w:cs="宋体"/>
                <w:color w:val="auto"/>
                <w:kern w:val="2"/>
                <w:sz w:val="21"/>
                <w:highlight w:val="none"/>
              </w:rPr>
              <w:t>）：提供有服务承诺，有承诺在服务期限内接到采购人通知后2小时内做出响应，24小时内到达服务现场</w:t>
            </w:r>
            <w:r>
              <w:rPr>
                <w:rFonts w:hint="eastAsia" w:hAnsi="宋体" w:cs="宋体"/>
                <w:color w:val="auto"/>
                <w:sz w:val="21"/>
                <w:highlight w:val="none"/>
              </w:rPr>
              <w:t>，</w:t>
            </w:r>
            <w:r>
              <w:rPr>
                <w:rFonts w:hint="eastAsia" w:hAnsi="宋体" w:cs="宋体"/>
                <w:color w:val="auto"/>
                <w:sz w:val="21"/>
                <w:highlight w:val="none"/>
              </w:rPr>
              <w:t>48小时内排查问题并</w:t>
            </w:r>
            <w:r>
              <w:rPr>
                <w:rFonts w:hint="eastAsia" w:hAnsi="宋体" w:cs="宋体"/>
                <w:color w:val="auto"/>
                <w:sz w:val="21"/>
                <w:highlight w:val="none"/>
              </w:rPr>
              <w:t>给予解决方案</w:t>
            </w:r>
            <w:r>
              <w:rPr>
                <w:rFonts w:hint="eastAsia" w:hAnsi="宋体" w:cs="宋体"/>
                <w:color w:val="auto"/>
                <w:kern w:val="2"/>
                <w:sz w:val="21"/>
                <w:highlight w:val="none"/>
              </w:rPr>
              <w:t>，没有明显的技术错误，承诺基本可行。</w:t>
            </w:r>
          </w:p>
          <w:p w14:paraId="36A0CFE9">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二档</w:t>
            </w:r>
            <w:r>
              <w:rPr>
                <w:rFonts w:hint="eastAsia" w:hAnsi="宋体" w:cs="宋体"/>
                <w:color w:val="auto"/>
                <w:kern w:val="2"/>
                <w:sz w:val="21"/>
                <w:highlight w:val="none"/>
              </w:rPr>
              <w:t>（</w:t>
            </w:r>
            <w:r>
              <w:rPr>
                <w:rFonts w:hint="eastAsia" w:hAnsi="宋体" w:cs="宋体"/>
                <w:color w:val="auto"/>
                <w:kern w:val="2"/>
                <w:sz w:val="21"/>
                <w:highlight w:val="none"/>
              </w:rPr>
              <w:t>9</w:t>
            </w:r>
            <w:r>
              <w:rPr>
                <w:rFonts w:hint="eastAsia" w:hAnsi="宋体" w:cs="宋体"/>
                <w:color w:val="auto"/>
                <w:kern w:val="2"/>
                <w:sz w:val="21"/>
                <w:highlight w:val="none"/>
              </w:rPr>
              <w:t>分）</w:t>
            </w:r>
            <w:r>
              <w:rPr>
                <w:rFonts w:hint="eastAsia" w:hAnsi="宋体" w:cs="宋体"/>
                <w:color w:val="auto"/>
                <w:kern w:val="2"/>
                <w:sz w:val="21"/>
                <w:highlight w:val="none"/>
              </w:rPr>
              <w:t>：提供的服务承诺基本合理，能够承诺在服务期限内接到采购人通知后1小时内做出响应，24小时内到达服务现场</w:t>
            </w:r>
            <w:r>
              <w:rPr>
                <w:rFonts w:hint="eastAsia" w:hAnsi="宋体" w:cs="宋体"/>
                <w:color w:val="auto"/>
                <w:sz w:val="21"/>
                <w:highlight w:val="none"/>
              </w:rPr>
              <w:t>，</w:t>
            </w:r>
            <w:r>
              <w:rPr>
                <w:rFonts w:hint="eastAsia" w:hAnsi="宋体" w:cs="宋体"/>
                <w:color w:val="auto"/>
                <w:sz w:val="21"/>
                <w:highlight w:val="none"/>
              </w:rPr>
              <w:t>48小时内排查问题并</w:t>
            </w:r>
            <w:r>
              <w:rPr>
                <w:rFonts w:hint="eastAsia" w:hAnsi="宋体" w:cs="宋体"/>
                <w:color w:val="auto"/>
                <w:sz w:val="21"/>
                <w:highlight w:val="none"/>
              </w:rPr>
              <w:t>给予解决方案</w:t>
            </w:r>
            <w:r>
              <w:rPr>
                <w:rFonts w:hint="eastAsia" w:hAnsi="宋体" w:cs="宋体"/>
                <w:color w:val="auto"/>
                <w:kern w:val="2"/>
                <w:sz w:val="21"/>
                <w:highlight w:val="none"/>
              </w:rPr>
              <w:t>，承诺内容可行的。</w:t>
            </w:r>
          </w:p>
          <w:p w14:paraId="0C02F06F">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三档</w:t>
            </w:r>
            <w:r>
              <w:rPr>
                <w:rFonts w:hint="eastAsia" w:hAnsi="宋体" w:cs="宋体"/>
                <w:color w:val="auto"/>
                <w:kern w:val="2"/>
                <w:sz w:val="21"/>
                <w:highlight w:val="none"/>
              </w:rPr>
              <w:t>（</w:t>
            </w:r>
            <w:r>
              <w:rPr>
                <w:rFonts w:hint="eastAsia" w:hAnsi="宋体" w:cs="宋体"/>
                <w:color w:val="auto"/>
                <w:kern w:val="2"/>
                <w:sz w:val="21"/>
                <w:highlight w:val="none"/>
              </w:rPr>
              <w:t>12</w:t>
            </w:r>
            <w:r>
              <w:rPr>
                <w:rFonts w:hint="eastAsia" w:hAnsi="宋体" w:cs="宋体"/>
                <w:color w:val="auto"/>
                <w:kern w:val="2"/>
                <w:sz w:val="21"/>
                <w:highlight w:val="none"/>
              </w:rPr>
              <w:t>分</w:t>
            </w:r>
            <w:r>
              <w:rPr>
                <w:rFonts w:hint="eastAsia" w:hAnsi="宋体" w:cs="宋体"/>
                <w:color w:val="auto"/>
                <w:kern w:val="2"/>
                <w:sz w:val="21"/>
                <w:highlight w:val="none"/>
              </w:rPr>
              <w:t>）：提供的服务承诺内容合理，能够承诺在服务期限内接到采购人通知后1小时内做出响应，12小时内到达服务现场</w:t>
            </w:r>
            <w:r>
              <w:rPr>
                <w:rFonts w:hint="eastAsia" w:hAnsi="宋体" w:cs="宋体"/>
                <w:color w:val="auto"/>
                <w:sz w:val="21"/>
                <w:highlight w:val="none"/>
              </w:rPr>
              <w:t>，</w:t>
            </w:r>
            <w:r>
              <w:rPr>
                <w:rFonts w:hint="eastAsia" w:hAnsi="宋体" w:cs="宋体"/>
                <w:color w:val="auto"/>
                <w:sz w:val="21"/>
                <w:highlight w:val="none"/>
              </w:rPr>
              <w:t>36小时内排查问题并</w:t>
            </w:r>
            <w:r>
              <w:rPr>
                <w:rFonts w:hint="eastAsia" w:hAnsi="宋体" w:cs="宋体"/>
                <w:color w:val="auto"/>
                <w:sz w:val="21"/>
                <w:highlight w:val="none"/>
              </w:rPr>
              <w:t>给予解决方案</w:t>
            </w:r>
            <w:r>
              <w:rPr>
                <w:rFonts w:hint="eastAsia" w:hAnsi="宋体" w:cs="宋体"/>
                <w:color w:val="auto"/>
                <w:kern w:val="2"/>
                <w:sz w:val="21"/>
                <w:highlight w:val="none"/>
              </w:rPr>
              <w:t>，承诺内容可行的，提供有应急方案。</w:t>
            </w:r>
          </w:p>
          <w:p w14:paraId="685983C1">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四档（15</w:t>
            </w:r>
            <w:r>
              <w:rPr>
                <w:rFonts w:hint="eastAsia" w:hAnsi="宋体" w:cs="宋体"/>
                <w:color w:val="auto"/>
                <w:kern w:val="2"/>
                <w:sz w:val="21"/>
                <w:highlight w:val="none"/>
              </w:rPr>
              <w:t>分）</w:t>
            </w:r>
            <w:r>
              <w:rPr>
                <w:rFonts w:hint="eastAsia" w:hAnsi="宋体" w:cs="宋体"/>
                <w:color w:val="auto"/>
                <w:kern w:val="2"/>
                <w:sz w:val="21"/>
                <w:highlight w:val="none"/>
              </w:rPr>
              <w:t>：服务承诺描述详细且合理，承诺在服务期限内接到采购人通知后30分钟内响应，12小时内到达服务现场，</w:t>
            </w:r>
            <w:r>
              <w:rPr>
                <w:rFonts w:hint="eastAsia" w:hAnsi="宋体" w:cs="宋体"/>
                <w:color w:val="auto"/>
                <w:sz w:val="21"/>
                <w:highlight w:val="none"/>
              </w:rPr>
              <w:t>24小时内排查问题并</w:t>
            </w:r>
            <w:r>
              <w:rPr>
                <w:rFonts w:hint="eastAsia" w:hAnsi="宋体" w:cs="宋体"/>
                <w:color w:val="auto"/>
                <w:sz w:val="21"/>
                <w:highlight w:val="none"/>
              </w:rPr>
              <w:t>给予解决方案</w:t>
            </w:r>
            <w:r>
              <w:rPr>
                <w:rFonts w:hint="eastAsia" w:hAnsi="宋体" w:cs="宋体"/>
                <w:color w:val="auto"/>
                <w:kern w:val="2"/>
                <w:sz w:val="21"/>
                <w:highlight w:val="none"/>
              </w:rPr>
              <w:t>；提供有应急预案和相应的应急措施，内容详细，针对性强，切实可行。</w:t>
            </w:r>
          </w:p>
        </w:tc>
        <w:tc>
          <w:tcPr>
            <w:tcW w:w="851" w:type="dxa"/>
            <w:vAlign w:val="center"/>
          </w:tcPr>
          <w:p w14:paraId="7657F571">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r>
              <w:rPr>
                <w:rFonts w:hint="eastAsia" w:ascii="宋体" w:hAnsi="宋体" w:cs="宋体"/>
                <w:color w:val="auto"/>
                <w:kern w:val="0"/>
                <w:szCs w:val="21"/>
                <w:highlight w:val="none"/>
              </w:rPr>
              <w:t>分</w:t>
            </w:r>
          </w:p>
        </w:tc>
      </w:tr>
      <w:tr w14:paraId="4F28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D9EA679">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77" w:type="dxa"/>
            <w:vAlign w:val="center"/>
          </w:tcPr>
          <w:p w14:paraId="2447FD31">
            <w:pPr>
              <w:widowControl/>
              <w:wordWrap w:val="0"/>
              <w:spacing w:line="400" w:lineRule="exact"/>
              <w:jc w:val="center"/>
              <w:rPr>
                <w:rFonts w:ascii="宋体" w:hAnsi="宋体" w:cs="宋体"/>
                <w:color w:val="auto"/>
                <w:szCs w:val="21"/>
                <w:highlight w:val="none"/>
              </w:rPr>
            </w:pPr>
            <w:r>
              <w:rPr>
                <w:rFonts w:hint="eastAsia" w:ascii="宋体" w:hAnsi="宋体" w:cs="宋体"/>
                <w:bCs/>
                <w:color w:val="auto"/>
                <w:kern w:val="0"/>
                <w:szCs w:val="21"/>
                <w:highlight w:val="none"/>
              </w:rPr>
              <w:t>人员配置方案分</w:t>
            </w:r>
          </w:p>
        </w:tc>
        <w:tc>
          <w:tcPr>
            <w:tcW w:w="6155" w:type="dxa"/>
            <w:vAlign w:val="center"/>
          </w:tcPr>
          <w:p w14:paraId="141A36D8">
            <w:pPr>
              <w:pStyle w:val="18"/>
              <w:wordWrap w:val="0"/>
              <w:spacing w:line="400" w:lineRule="exact"/>
              <w:rPr>
                <w:rFonts w:hAnsi="宋体" w:cs="宋体"/>
                <w:b/>
                <w:bCs/>
                <w:color w:val="auto"/>
                <w:sz w:val="21"/>
                <w:highlight w:val="none"/>
              </w:rPr>
            </w:pPr>
            <w:r>
              <w:rPr>
                <w:rFonts w:hint="eastAsia" w:hAnsi="宋体" w:cs="宋体"/>
                <w:color w:val="auto"/>
                <w:kern w:val="2"/>
                <w:sz w:val="21"/>
                <w:highlight w:val="none"/>
              </w:rPr>
              <w:t>由磋商小组根据供应商提供的人员配置方案进行独立评审，</w:t>
            </w:r>
            <w:r>
              <w:rPr>
                <w:rFonts w:hint="eastAsia" w:hAnsi="宋体" w:cs="宋体"/>
                <w:b/>
                <w:bCs/>
                <w:color w:val="auto"/>
                <w:kern w:val="2"/>
                <w:sz w:val="21"/>
                <w:highlight w:val="none"/>
              </w:rPr>
              <w:t>未提供人员配置方案或</w:t>
            </w:r>
            <w:r>
              <w:rPr>
                <w:rFonts w:hint="eastAsia" w:hAnsi="宋体" w:cs="宋体"/>
                <w:b/>
                <w:bCs/>
                <w:color w:val="auto"/>
                <w:sz w:val="21"/>
                <w:highlight w:val="none"/>
              </w:rPr>
              <w:t>提供的方案内容未达到一档要求的不得分：</w:t>
            </w:r>
          </w:p>
          <w:p w14:paraId="28C19733">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一档（5分）：供应商提供了人员配置方案，人员数量满足服务要求，对岗位、分工、进度计划、绩效考核的描述不够完整；</w:t>
            </w:r>
          </w:p>
          <w:p w14:paraId="47CC36D6">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二档（10分）：供应商提供了可行的人员配置方案，人员数量满足服务要求，对岗位、分工、进度计划、绩效考核的描述基本完整；</w:t>
            </w:r>
          </w:p>
          <w:p w14:paraId="74CFBD71">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三档（15分）：供应商提供了完善的人员配置方案，人员配备数量满足项目要求，拟投入的项目人员中有潜水经验的（响应文件中提供相关潜水证书等证明材料，并经磋商小组认可的），人员岗位分工、工作内容清晰明确，有人员工作计划合理和绩效考核。</w:t>
            </w:r>
          </w:p>
          <w:p w14:paraId="4294A5E4">
            <w:pPr>
              <w:pStyle w:val="18"/>
              <w:wordWrap w:val="0"/>
              <w:spacing w:line="400" w:lineRule="exact"/>
              <w:rPr>
                <w:rFonts w:hAnsi="宋体" w:cs="宋体"/>
                <w:color w:val="auto"/>
                <w:kern w:val="2"/>
                <w:sz w:val="21"/>
                <w:highlight w:val="none"/>
              </w:rPr>
            </w:pPr>
            <w:r>
              <w:rPr>
                <w:rFonts w:hint="eastAsia" w:hAnsi="宋体" w:cs="宋体"/>
                <w:color w:val="auto"/>
                <w:kern w:val="2"/>
                <w:sz w:val="21"/>
                <w:highlight w:val="none"/>
              </w:rPr>
              <w:t>四档（20分）：供应商提供了完善的人员配置方案，人员配备数量优于项目要求，拟投入的项目人员中有丰富的潜水经验的（响应文件中提供相关潜水证书等证明材料，并经磋商小组认可的），人员岗位、分工、工作内容清晰，对人员有明确的绩效考核和</w:t>
            </w:r>
            <w:r>
              <w:rPr>
                <w:rFonts w:hint="eastAsia" w:hAnsi="宋体" w:cs="宋体"/>
                <w:color w:val="auto"/>
                <w:kern w:val="2"/>
                <w:sz w:val="21"/>
                <w:highlight w:val="none"/>
                <w:lang w:eastAsia="zh-CN"/>
              </w:rPr>
              <w:t>奖惩</w:t>
            </w:r>
            <w:r>
              <w:rPr>
                <w:rFonts w:hint="eastAsia" w:hAnsi="宋体" w:cs="宋体"/>
                <w:color w:val="auto"/>
                <w:kern w:val="2"/>
                <w:sz w:val="21"/>
                <w:highlight w:val="none"/>
              </w:rPr>
              <w:t>制度，人员工作计划安排合理。</w:t>
            </w:r>
          </w:p>
        </w:tc>
        <w:tc>
          <w:tcPr>
            <w:tcW w:w="851" w:type="dxa"/>
            <w:vAlign w:val="center"/>
          </w:tcPr>
          <w:p w14:paraId="35D5227D">
            <w:pPr>
              <w:widowControl/>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r>
              <w:rPr>
                <w:rFonts w:hint="eastAsia" w:ascii="宋体" w:hAnsi="宋体" w:cs="宋体"/>
                <w:color w:val="auto"/>
                <w:kern w:val="0"/>
                <w:szCs w:val="21"/>
                <w:highlight w:val="none"/>
              </w:rPr>
              <w:t>分</w:t>
            </w:r>
          </w:p>
        </w:tc>
      </w:tr>
      <w:tr w14:paraId="6C18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A3C1BDD">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p>
        </w:tc>
        <w:tc>
          <w:tcPr>
            <w:tcW w:w="1377" w:type="dxa"/>
            <w:vAlign w:val="center"/>
          </w:tcPr>
          <w:p w14:paraId="4DB6C4D4">
            <w:pPr>
              <w:widowControl/>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项目业绩分</w:t>
            </w:r>
          </w:p>
        </w:tc>
        <w:tc>
          <w:tcPr>
            <w:tcW w:w="6155" w:type="dxa"/>
          </w:tcPr>
          <w:p w14:paraId="70230EA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2022年1月1日以来至响应文件提交截止日期止，供应商同类项目的业绩，每提供一份证明材料</w:t>
            </w:r>
            <w:r>
              <w:rPr>
                <w:rFonts w:hint="eastAsia" w:ascii="宋体" w:hAnsi="宋体" w:cs="宋体"/>
                <w:color w:val="auto"/>
                <w:szCs w:val="21"/>
                <w:highlight w:val="none"/>
              </w:rPr>
              <w:t>得</w:t>
            </w:r>
            <w:r>
              <w:rPr>
                <w:rFonts w:ascii="宋体" w:hAnsi="宋体" w:cs="宋体"/>
                <w:color w:val="auto"/>
                <w:szCs w:val="21"/>
                <w:highlight w:val="none"/>
              </w:rPr>
              <w:t>3</w:t>
            </w:r>
            <w:r>
              <w:rPr>
                <w:rFonts w:hint="eastAsia" w:ascii="宋体" w:hAnsi="宋体" w:cs="宋体"/>
                <w:color w:val="auto"/>
                <w:szCs w:val="21"/>
                <w:highlight w:val="none"/>
              </w:rPr>
              <w:t>分，满分</w:t>
            </w:r>
            <w:r>
              <w:rPr>
                <w:rFonts w:ascii="宋体" w:hAnsi="宋体" w:cs="宋体"/>
                <w:color w:val="auto"/>
                <w:szCs w:val="21"/>
                <w:highlight w:val="none"/>
              </w:rPr>
              <w:t>15</w:t>
            </w:r>
            <w:r>
              <w:rPr>
                <w:rFonts w:hint="eastAsia" w:ascii="宋体" w:hAnsi="宋体" w:cs="宋体"/>
                <w:color w:val="auto"/>
                <w:szCs w:val="21"/>
                <w:highlight w:val="none"/>
              </w:rPr>
              <w:t>分</w:t>
            </w:r>
            <w:r>
              <w:rPr>
                <w:rFonts w:hint="eastAsia" w:ascii="宋体" w:hAnsi="宋体" w:cs="宋体"/>
                <w:color w:val="auto"/>
                <w:szCs w:val="21"/>
                <w:highlight w:val="none"/>
              </w:rPr>
              <w:t>。（响应文件中提供合同复印件并加盖供应商电子公章，否则不得分）</w:t>
            </w:r>
          </w:p>
        </w:tc>
        <w:tc>
          <w:tcPr>
            <w:tcW w:w="851" w:type="dxa"/>
            <w:vAlign w:val="center"/>
          </w:tcPr>
          <w:p w14:paraId="03ED4FFC">
            <w:pPr>
              <w:widowControl/>
              <w:wordWrap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15</w:t>
            </w:r>
            <w:r>
              <w:rPr>
                <w:rFonts w:hint="eastAsia" w:ascii="宋体" w:hAnsi="宋体" w:cs="宋体"/>
                <w:color w:val="auto"/>
                <w:kern w:val="0"/>
                <w:szCs w:val="21"/>
                <w:highlight w:val="none"/>
              </w:rPr>
              <w:t>分</w:t>
            </w:r>
          </w:p>
        </w:tc>
      </w:tr>
      <w:tr w14:paraId="0D7A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90" w:type="dxa"/>
            <w:gridSpan w:val="4"/>
            <w:vAlign w:val="center"/>
          </w:tcPr>
          <w:p w14:paraId="18044AEC">
            <w:pPr>
              <w:widowControl/>
              <w:wordWrap w:val="0"/>
              <w:spacing w:line="40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总得分为以上各项评审因素得分合计</w:t>
            </w:r>
          </w:p>
        </w:tc>
      </w:tr>
    </w:tbl>
    <w:p w14:paraId="1562E95C">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40484F77">
      <w:pPr>
        <w:spacing w:line="400" w:lineRule="exact"/>
        <w:ind w:firstLine="420" w:firstLineChars="200"/>
        <w:rPr>
          <w:rFonts w:ascii="宋体" w:hAnsi="宋体" w:cs="宋体"/>
          <w:color w:val="auto"/>
          <w:highlight w:val="none"/>
        </w:rPr>
      </w:pPr>
    </w:p>
    <w:p w14:paraId="67928A92">
      <w:pPr>
        <w:spacing w:line="400" w:lineRule="exact"/>
        <w:ind w:firstLine="420" w:firstLineChars="200"/>
        <w:rPr>
          <w:rFonts w:ascii="宋体" w:hAnsi="宋体" w:cs="宋体"/>
          <w:color w:val="auto"/>
          <w:highlight w:val="none"/>
        </w:rPr>
      </w:pPr>
    </w:p>
    <w:p w14:paraId="4BF62DBE">
      <w:pPr>
        <w:pStyle w:val="5"/>
        <w:jc w:val="center"/>
        <w:rPr>
          <w:color w:val="auto"/>
          <w:highlight w:val="none"/>
        </w:rPr>
      </w:pPr>
      <w:r>
        <w:rPr>
          <w:color w:val="auto"/>
          <w:highlight w:val="none"/>
        </w:rPr>
        <w:br w:type="page"/>
      </w:r>
    </w:p>
    <w:p w14:paraId="7D1B5C28">
      <w:pPr>
        <w:rPr>
          <w:color w:val="auto"/>
          <w:highlight w:val="none"/>
        </w:rPr>
      </w:pPr>
    </w:p>
    <w:p w14:paraId="7D9F62FE">
      <w:pPr>
        <w:rPr>
          <w:color w:val="auto"/>
          <w:highlight w:val="none"/>
        </w:rPr>
      </w:pPr>
    </w:p>
    <w:p w14:paraId="7F5F20FF">
      <w:pPr>
        <w:rPr>
          <w:color w:val="auto"/>
          <w:highlight w:val="none"/>
        </w:rPr>
      </w:pPr>
    </w:p>
    <w:p w14:paraId="2ECE0DAD">
      <w:pPr>
        <w:rPr>
          <w:color w:val="auto"/>
          <w:highlight w:val="none"/>
        </w:rPr>
      </w:pPr>
    </w:p>
    <w:p w14:paraId="0A5E7D81">
      <w:pPr>
        <w:rPr>
          <w:color w:val="auto"/>
          <w:highlight w:val="none"/>
        </w:rPr>
      </w:pPr>
    </w:p>
    <w:p w14:paraId="2137DEFE">
      <w:pPr>
        <w:rPr>
          <w:color w:val="auto"/>
          <w:highlight w:val="none"/>
        </w:rPr>
      </w:pPr>
    </w:p>
    <w:p w14:paraId="4D166305">
      <w:pPr>
        <w:rPr>
          <w:color w:val="auto"/>
          <w:highlight w:val="none"/>
        </w:rPr>
      </w:pPr>
    </w:p>
    <w:p w14:paraId="034D1648">
      <w:pPr>
        <w:rPr>
          <w:color w:val="auto"/>
          <w:highlight w:val="none"/>
        </w:rPr>
      </w:pPr>
    </w:p>
    <w:p w14:paraId="0D9147E4">
      <w:pPr>
        <w:rPr>
          <w:color w:val="auto"/>
          <w:highlight w:val="none"/>
        </w:rPr>
      </w:pPr>
    </w:p>
    <w:p w14:paraId="25F2235C">
      <w:pPr>
        <w:rPr>
          <w:color w:val="auto"/>
          <w:highlight w:val="none"/>
        </w:rPr>
      </w:pPr>
    </w:p>
    <w:p w14:paraId="3279DDC7">
      <w:pPr>
        <w:rPr>
          <w:color w:val="auto"/>
          <w:highlight w:val="none"/>
        </w:rPr>
      </w:pPr>
    </w:p>
    <w:p w14:paraId="5AAB7A88">
      <w:pPr>
        <w:rPr>
          <w:color w:val="auto"/>
          <w:highlight w:val="none"/>
        </w:rPr>
      </w:pPr>
    </w:p>
    <w:p w14:paraId="7CB4CE28">
      <w:pPr>
        <w:rPr>
          <w:color w:val="auto"/>
          <w:highlight w:val="none"/>
        </w:rPr>
      </w:pPr>
    </w:p>
    <w:p w14:paraId="32835B80">
      <w:pPr>
        <w:pStyle w:val="5"/>
        <w:jc w:val="center"/>
        <w:rPr>
          <w:color w:val="auto"/>
          <w:highlight w:val="none"/>
        </w:rPr>
      </w:pPr>
      <w:bookmarkStart w:id="99" w:name="_Toc3198"/>
      <w:r>
        <w:rPr>
          <w:rFonts w:hint="eastAsia"/>
          <w:color w:val="auto"/>
          <w:highlight w:val="none"/>
        </w:rPr>
        <w:t>第五章 响应文件格式</w:t>
      </w:r>
      <w:bookmarkEnd w:id="99"/>
    </w:p>
    <w:p w14:paraId="57F09A12">
      <w:pPr>
        <w:spacing w:line="240" w:lineRule="atLeast"/>
        <w:rPr>
          <w:rFonts w:ascii="宋体" w:hAnsi="宋体"/>
          <w:b/>
          <w:color w:val="auto"/>
          <w:sz w:val="32"/>
          <w:szCs w:val="32"/>
          <w:highlight w:val="none"/>
        </w:rPr>
      </w:pPr>
    </w:p>
    <w:p w14:paraId="3AB2EFE8">
      <w:pPr>
        <w:spacing w:line="240" w:lineRule="atLeast"/>
        <w:rPr>
          <w:rFonts w:ascii="宋体" w:hAnsi="宋体"/>
          <w:b/>
          <w:color w:val="auto"/>
          <w:sz w:val="32"/>
          <w:szCs w:val="32"/>
          <w:highlight w:val="none"/>
        </w:rPr>
      </w:pPr>
    </w:p>
    <w:p w14:paraId="629F4A1D">
      <w:pPr>
        <w:spacing w:line="240" w:lineRule="atLeast"/>
        <w:rPr>
          <w:rFonts w:ascii="宋体" w:hAnsi="宋体"/>
          <w:b/>
          <w:color w:val="auto"/>
          <w:sz w:val="32"/>
          <w:szCs w:val="32"/>
          <w:highlight w:val="none"/>
        </w:rPr>
      </w:pPr>
    </w:p>
    <w:p w14:paraId="46FB8452">
      <w:pPr>
        <w:spacing w:line="240" w:lineRule="atLeast"/>
        <w:rPr>
          <w:rFonts w:ascii="宋体" w:hAnsi="宋体"/>
          <w:b/>
          <w:color w:val="auto"/>
          <w:sz w:val="32"/>
          <w:szCs w:val="32"/>
          <w:highlight w:val="none"/>
        </w:rPr>
      </w:pPr>
    </w:p>
    <w:p w14:paraId="45133DE8">
      <w:pPr>
        <w:spacing w:line="240" w:lineRule="atLeast"/>
        <w:rPr>
          <w:rFonts w:ascii="宋体" w:hAnsi="宋体"/>
          <w:b/>
          <w:color w:val="auto"/>
          <w:sz w:val="32"/>
          <w:szCs w:val="32"/>
          <w:highlight w:val="none"/>
        </w:rPr>
      </w:pPr>
    </w:p>
    <w:p w14:paraId="56BE3A69">
      <w:pPr>
        <w:spacing w:line="240" w:lineRule="atLeast"/>
        <w:rPr>
          <w:rFonts w:ascii="宋体" w:hAnsi="宋体"/>
          <w:b/>
          <w:color w:val="auto"/>
          <w:sz w:val="32"/>
          <w:szCs w:val="32"/>
          <w:highlight w:val="none"/>
        </w:rPr>
      </w:pPr>
    </w:p>
    <w:p w14:paraId="44EEEFC5">
      <w:pPr>
        <w:spacing w:line="240" w:lineRule="atLeast"/>
        <w:rPr>
          <w:rFonts w:ascii="宋体" w:hAnsi="宋体"/>
          <w:b/>
          <w:color w:val="auto"/>
          <w:sz w:val="32"/>
          <w:szCs w:val="32"/>
          <w:highlight w:val="none"/>
        </w:rPr>
      </w:pPr>
    </w:p>
    <w:p w14:paraId="070820C9">
      <w:pPr>
        <w:spacing w:line="240" w:lineRule="atLeast"/>
        <w:rPr>
          <w:rFonts w:ascii="宋体" w:hAnsi="宋体"/>
          <w:b/>
          <w:color w:val="auto"/>
          <w:sz w:val="32"/>
          <w:szCs w:val="32"/>
          <w:highlight w:val="none"/>
        </w:rPr>
      </w:pPr>
    </w:p>
    <w:p w14:paraId="596D7E22">
      <w:pPr>
        <w:spacing w:line="240" w:lineRule="atLeast"/>
        <w:rPr>
          <w:rFonts w:ascii="宋体" w:hAnsi="宋体"/>
          <w:b/>
          <w:color w:val="auto"/>
          <w:sz w:val="32"/>
          <w:szCs w:val="32"/>
          <w:highlight w:val="none"/>
        </w:rPr>
      </w:pPr>
    </w:p>
    <w:p w14:paraId="5E08E843">
      <w:pPr>
        <w:spacing w:line="240" w:lineRule="atLeast"/>
        <w:rPr>
          <w:rFonts w:ascii="宋体" w:hAnsi="宋体"/>
          <w:b/>
          <w:color w:val="auto"/>
          <w:sz w:val="32"/>
          <w:szCs w:val="32"/>
          <w:highlight w:val="none"/>
        </w:rPr>
      </w:pPr>
    </w:p>
    <w:p w14:paraId="53DECF31">
      <w:pPr>
        <w:spacing w:line="240" w:lineRule="atLeast"/>
        <w:rPr>
          <w:rFonts w:ascii="宋体" w:hAnsi="宋体"/>
          <w:b/>
          <w:color w:val="auto"/>
          <w:sz w:val="32"/>
          <w:szCs w:val="32"/>
          <w:highlight w:val="none"/>
        </w:rPr>
      </w:pPr>
    </w:p>
    <w:p w14:paraId="4B10CF51">
      <w:pPr>
        <w:snapToGrid w:val="0"/>
        <w:spacing w:before="50" w:after="50"/>
        <w:outlineLvl w:val="1"/>
        <w:rPr>
          <w:rFonts w:ascii="宋体" w:hAnsi="宋体"/>
          <w:b/>
          <w:bCs/>
          <w:color w:val="auto"/>
          <w:sz w:val="24"/>
          <w:highlight w:val="none"/>
        </w:rPr>
      </w:pPr>
    </w:p>
    <w:p w14:paraId="5CD4AC12">
      <w:pPr>
        <w:snapToGrid w:val="0"/>
        <w:spacing w:beforeLines="50" w:after="50"/>
        <w:jc w:val="center"/>
        <w:rPr>
          <w:rFonts w:ascii="仿宋_GB2312" w:hAnsi="仿宋_GB2312" w:eastAsia="仿宋_GB2312" w:cs="仿宋_GB2312"/>
          <w:bCs/>
          <w:color w:val="auto"/>
          <w:sz w:val="32"/>
          <w:szCs w:val="32"/>
          <w:highlight w:val="none"/>
        </w:rPr>
      </w:pPr>
    </w:p>
    <w:p w14:paraId="680B0592">
      <w:pPr>
        <w:rPr>
          <w:b/>
          <w:color w:val="auto"/>
          <w:sz w:val="32"/>
          <w:szCs w:val="32"/>
          <w:highlight w:val="none"/>
        </w:rPr>
      </w:pPr>
      <w:bookmarkStart w:id="100" w:name="_Toc35611516"/>
      <w:bookmarkStart w:id="101" w:name="_Toc31728084"/>
      <w:bookmarkStart w:id="102" w:name="_Toc71366186"/>
      <w:bookmarkStart w:id="103" w:name="_Toc44229899"/>
      <w:bookmarkStart w:id="104" w:name="_Toc31723070"/>
      <w:bookmarkStart w:id="105" w:name="_Toc35611438"/>
      <w:r>
        <w:rPr>
          <w:rFonts w:hint="eastAsia"/>
          <w:b/>
          <w:color w:val="auto"/>
          <w:sz w:val="32"/>
          <w:szCs w:val="32"/>
          <w:highlight w:val="none"/>
        </w:rPr>
        <w:t>一、资格证明文件格式</w:t>
      </w:r>
      <w:bookmarkEnd w:id="100"/>
      <w:bookmarkEnd w:id="101"/>
      <w:bookmarkEnd w:id="102"/>
      <w:bookmarkEnd w:id="103"/>
      <w:bookmarkEnd w:id="104"/>
      <w:bookmarkEnd w:id="105"/>
    </w:p>
    <w:p w14:paraId="0BCB588A">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color w:val="auto"/>
          <w:sz w:val="32"/>
          <w:szCs w:val="32"/>
          <w:highlight w:val="none"/>
        </w:rPr>
        <w:t>：</w:t>
      </w:r>
      <w:r>
        <w:rPr>
          <w:rFonts w:hint="eastAsia" w:ascii="宋体" w:hAnsi="宋体"/>
          <w:b/>
          <w:color w:val="auto"/>
          <w:sz w:val="24"/>
          <w:highlight w:val="none"/>
        </w:rPr>
        <w:t xml:space="preserve"> </w:t>
      </w:r>
    </w:p>
    <w:p w14:paraId="0F4EE193">
      <w:pPr>
        <w:snapToGrid w:val="0"/>
        <w:spacing w:beforeLines="50" w:after="50"/>
        <w:jc w:val="center"/>
        <w:rPr>
          <w:rFonts w:ascii="宋体" w:hAnsi="宋体"/>
          <w:color w:val="auto"/>
          <w:sz w:val="44"/>
          <w:szCs w:val="44"/>
          <w:highlight w:val="none"/>
        </w:rPr>
      </w:pPr>
    </w:p>
    <w:p w14:paraId="2A6F0B23">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AF053EC">
      <w:pPr>
        <w:snapToGrid w:val="0"/>
        <w:spacing w:beforeLines="50" w:after="50"/>
        <w:rPr>
          <w:rFonts w:ascii="宋体" w:hAnsi="宋体"/>
          <w:color w:val="auto"/>
          <w:sz w:val="24"/>
          <w:szCs w:val="20"/>
          <w:highlight w:val="none"/>
        </w:rPr>
      </w:pPr>
    </w:p>
    <w:p w14:paraId="5E3E390D">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4BF6E34">
      <w:pPr>
        <w:snapToGrid w:val="0"/>
        <w:spacing w:beforeLines="50" w:after="50"/>
        <w:rPr>
          <w:rFonts w:ascii="宋体" w:hAnsi="宋体"/>
          <w:bCs/>
          <w:color w:val="auto"/>
          <w:sz w:val="24"/>
          <w:szCs w:val="20"/>
          <w:highlight w:val="none"/>
        </w:rPr>
      </w:pPr>
    </w:p>
    <w:p w14:paraId="375E0244">
      <w:pPr>
        <w:snapToGrid w:val="0"/>
        <w:spacing w:beforeLines="50" w:after="50"/>
        <w:rPr>
          <w:rFonts w:ascii="宋体" w:hAnsi="宋体"/>
          <w:bCs/>
          <w:color w:val="auto"/>
          <w:sz w:val="24"/>
          <w:szCs w:val="20"/>
          <w:highlight w:val="none"/>
        </w:rPr>
      </w:pPr>
    </w:p>
    <w:p w14:paraId="1A1DD210">
      <w:pPr>
        <w:snapToGrid w:val="0"/>
        <w:spacing w:beforeLines="50" w:after="50"/>
        <w:rPr>
          <w:rFonts w:ascii="宋体" w:hAnsi="宋体"/>
          <w:bCs/>
          <w:color w:val="auto"/>
          <w:sz w:val="24"/>
          <w:szCs w:val="20"/>
          <w:highlight w:val="none"/>
        </w:rPr>
      </w:pPr>
    </w:p>
    <w:p w14:paraId="78534083">
      <w:pPr>
        <w:snapToGrid w:val="0"/>
        <w:spacing w:beforeLines="50" w:after="50"/>
        <w:rPr>
          <w:rFonts w:ascii="宋体" w:hAnsi="宋体"/>
          <w:bCs/>
          <w:color w:val="auto"/>
          <w:sz w:val="24"/>
          <w:szCs w:val="20"/>
          <w:highlight w:val="none"/>
        </w:rPr>
      </w:pPr>
    </w:p>
    <w:p w14:paraId="55C1030A">
      <w:pPr>
        <w:snapToGrid w:val="0"/>
        <w:spacing w:beforeLines="50" w:after="50"/>
        <w:rPr>
          <w:rFonts w:ascii="宋体" w:hAnsi="宋体"/>
          <w:bCs/>
          <w:color w:val="auto"/>
          <w:sz w:val="24"/>
          <w:szCs w:val="20"/>
          <w:highlight w:val="none"/>
        </w:rPr>
      </w:pPr>
    </w:p>
    <w:p w14:paraId="38B467E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B7B5280">
      <w:pPr>
        <w:snapToGrid w:val="0"/>
        <w:spacing w:beforeLines="50" w:after="50"/>
        <w:ind w:firstLine="720" w:firstLineChars="225"/>
        <w:rPr>
          <w:rFonts w:ascii="宋体" w:hAnsi="宋体" w:cs="仿宋_GB2312"/>
          <w:bCs/>
          <w:color w:val="auto"/>
          <w:sz w:val="32"/>
          <w:szCs w:val="32"/>
          <w:highlight w:val="none"/>
        </w:rPr>
      </w:pPr>
    </w:p>
    <w:p w14:paraId="3EFFC9D6">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5BD4E8F">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A40F35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0DEE324">
      <w:pPr>
        <w:snapToGrid w:val="0"/>
        <w:spacing w:beforeLines="50" w:after="50"/>
        <w:ind w:firstLine="720" w:firstLineChars="225"/>
        <w:rPr>
          <w:rFonts w:ascii="宋体" w:hAnsi="宋体" w:cs="仿宋_GB2312"/>
          <w:bCs/>
          <w:color w:val="auto"/>
          <w:sz w:val="32"/>
          <w:szCs w:val="32"/>
          <w:highlight w:val="none"/>
        </w:rPr>
      </w:pPr>
    </w:p>
    <w:p w14:paraId="5975F946">
      <w:pPr>
        <w:pStyle w:val="9"/>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09E9A26">
      <w:pPr>
        <w:snapToGrid w:val="0"/>
        <w:spacing w:beforeLines="50" w:after="50"/>
        <w:ind w:firstLine="640" w:firstLineChars="200"/>
        <w:rPr>
          <w:rFonts w:ascii="宋体" w:hAnsi="宋体" w:cs="仿宋_GB2312"/>
          <w:bCs/>
          <w:color w:val="auto"/>
          <w:sz w:val="32"/>
          <w:szCs w:val="32"/>
          <w:highlight w:val="none"/>
        </w:rPr>
      </w:pPr>
    </w:p>
    <w:p w14:paraId="01D520FE">
      <w:pPr>
        <w:pStyle w:val="9"/>
        <w:snapToGrid w:val="0"/>
        <w:spacing w:before="50" w:after="50"/>
        <w:ind w:firstLine="720" w:firstLineChars="225"/>
        <w:rPr>
          <w:rFonts w:ascii="宋体" w:hAnsi="宋体" w:cs="仿宋_GB2312"/>
          <w:bCs/>
          <w:color w:val="auto"/>
          <w:sz w:val="32"/>
          <w:szCs w:val="32"/>
          <w:highlight w:val="none"/>
        </w:rPr>
      </w:pPr>
    </w:p>
    <w:p w14:paraId="1FC3705D">
      <w:pPr>
        <w:pStyle w:val="9"/>
        <w:snapToGrid w:val="0"/>
        <w:spacing w:before="50" w:after="50"/>
        <w:ind w:firstLine="720" w:firstLineChars="225"/>
        <w:rPr>
          <w:rFonts w:ascii="宋体" w:hAnsi="宋体" w:cs="仿宋_GB2312"/>
          <w:bCs/>
          <w:color w:val="auto"/>
          <w:sz w:val="32"/>
          <w:szCs w:val="32"/>
          <w:highlight w:val="none"/>
        </w:rPr>
      </w:pPr>
    </w:p>
    <w:p w14:paraId="28B8139E">
      <w:pPr>
        <w:pStyle w:val="9"/>
        <w:snapToGrid w:val="0"/>
        <w:spacing w:before="50" w:after="50"/>
        <w:ind w:firstLine="1280" w:firstLineChars="400"/>
        <w:rPr>
          <w:rFonts w:ascii="宋体" w:hAnsi="宋体" w:cs="仿宋_GB2312"/>
          <w:bCs/>
          <w:color w:val="auto"/>
          <w:sz w:val="32"/>
          <w:szCs w:val="32"/>
          <w:highlight w:val="none"/>
        </w:rPr>
      </w:pPr>
    </w:p>
    <w:p w14:paraId="58162B2A">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CABED94">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0116645">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87A67F0">
      <w:pPr>
        <w:snapToGrid w:val="0"/>
        <w:spacing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567FA79">
      <w:pPr>
        <w:spacing w:line="300" w:lineRule="auto"/>
        <w:rPr>
          <w:rFonts w:ascii="宋体" w:hAnsi="宋体"/>
          <w:color w:val="auto"/>
          <w:szCs w:val="21"/>
          <w:highlight w:val="none"/>
        </w:rPr>
      </w:pPr>
    </w:p>
    <w:p w14:paraId="3C6C64A9">
      <w:pPr>
        <w:spacing w:line="380" w:lineRule="exact"/>
        <w:ind w:left="360"/>
        <w:rPr>
          <w:rFonts w:ascii="宋体" w:hAnsi="宋体"/>
          <w:color w:val="auto"/>
          <w:szCs w:val="21"/>
          <w:highlight w:val="none"/>
        </w:rPr>
      </w:pPr>
    </w:p>
    <w:p w14:paraId="281BC262">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1C9034BA">
      <w:pPr>
        <w:spacing w:line="380" w:lineRule="exact"/>
        <w:ind w:left="360"/>
        <w:rPr>
          <w:rFonts w:ascii="宋体" w:hAnsi="宋体"/>
          <w:b/>
          <w:bCs/>
          <w:color w:val="auto"/>
          <w:sz w:val="24"/>
          <w:highlight w:val="none"/>
        </w:rPr>
      </w:pPr>
      <w:r>
        <w:rPr>
          <w:rFonts w:hint="eastAsia" w:ascii="宋体" w:hAnsi="宋体"/>
          <w:color w:val="auto"/>
          <w:szCs w:val="21"/>
          <w:highlight w:val="none"/>
        </w:rPr>
        <w:t xml:space="preserve"> 3.</w:t>
      </w:r>
      <w:r>
        <w:rPr>
          <w:rFonts w:hint="eastAsia" w:ascii="宋体" w:hAnsi="宋体"/>
          <w:b/>
          <w:bCs/>
          <w:color w:val="auto"/>
          <w:sz w:val="24"/>
          <w:highlight w:val="none"/>
        </w:rPr>
        <w:t>北海市政府采购供应商信用承诺函（格式）</w:t>
      </w:r>
    </w:p>
    <w:p w14:paraId="74787C68">
      <w:pPr>
        <w:spacing w:line="380" w:lineRule="exact"/>
        <w:ind w:left="142"/>
        <w:rPr>
          <w:rFonts w:ascii="宋体" w:hAnsi="宋体"/>
          <w:b/>
          <w:bCs/>
          <w:color w:val="auto"/>
          <w:sz w:val="24"/>
          <w:highlight w:val="none"/>
        </w:rPr>
      </w:pPr>
    </w:p>
    <w:p w14:paraId="34C7AA69">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30989590">
      <w:pPr>
        <w:spacing w:line="380" w:lineRule="exact"/>
        <w:jc w:val="center"/>
        <w:rPr>
          <w:b/>
          <w:bCs/>
          <w:color w:val="auto"/>
          <w:kern w:val="0"/>
          <w:sz w:val="32"/>
          <w:szCs w:val="32"/>
          <w:highlight w:val="none"/>
        </w:rPr>
      </w:pPr>
    </w:p>
    <w:p w14:paraId="197E1B8E">
      <w:pPr>
        <w:wordWrap w:val="0"/>
        <w:spacing w:line="360" w:lineRule="auto"/>
        <w:rPr>
          <w:color w:val="auto"/>
          <w:kern w:val="0"/>
          <w:sz w:val="24"/>
          <w:highlight w:val="none"/>
        </w:rPr>
      </w:pPr>
      <w:r>
        <w:rPr>
          <w:rFonts w:hint="eastAsia"/>
          <w:color w:val="auto"/>
          <w:kern w:val="0"/>
          <w:sz w:val="24"/>
          <w:highlight w:val="none"/>
        </w:rPr>
        <w:t>致（采购人或采购代理机构）：</w:t>
      </w:r>
    </w:p>
    <w:p w14:paraId="483BC1F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10ECF869">
      <w:pPr>
        <w:pStyle w:val="27"/>
        <w:ind w:firstLine="210"/>
        <w:rPr>
          <w:color w:val="auto"/>
          <w:highlight w:val="none"/>
        </w:rPr>
      </w:pPr>
    </w:p>
    <w:p w14:paraId="38020AE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3EE28C4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2C0790C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E9312A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2B8DF56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61F77B6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558D1BA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42AC130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52B64C9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29D41942">
      <w:pPr>
        <w:snapToGrid w:val="0"/>
        <w:spacing w:line="360" w:lineRule="auto"/>
        <w:jc w:val="left"/>
        <w:rPr>
          <w:rFonts w:ascii="宋体" w:hAnsi="宋体"/>
          <w:color w:val="auto"/>
          <w:sz w:val="24"/>
          <w:highlight w:val="none"/>
        </w:rPr>
      </w:pPr>
    </w:p>
    <w:p w14:paraId="413E46EA">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277CB6AC">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2F736161">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 年 月 日</w:t>
      </w:r>
    </w:p>
    <w:p w14:paraId="778FF57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注：1.供应商须在响应文件中按此模板提供承诺函，未提供视为未实质性响应招标（采购）文件要求，按无效磋商处理。</w:t>
      </w:r>
    </w:p>
    <w:p w14:paraId="5987F066">
      <w:pPr>
        <w:spacing w:line="320" w:lineRule="exact"/>
        <w:jc w:val="left"/>
        <w:rPr>
          <w:rFonts w:ascii="宋体" w:hAnsi="宋体"/>
          <w:color w:val="auto"/>
          <w:szCs w:val="21"/>
          <w:highlight w:val="none"/>
        </w:rPr>
      </w:pPr>
      <w:r>
        <w:rPr>
          <w:rFonts w:hint="eastAsia" w:ascii="宋体" w:hAnsi="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7AF490F2">
      <w:pPr>
        <w:spacing w:line="300" w:lineRule="auto"/>
        <w:rPr>
          <w:rFonts w:ascii="宋体" w:hAnsi="宋体"/>
          <w:color w:val="auto"/>
          <w:szCs w:val="21"/>
          <w:highlight w:val="none"/>
        </w:rPr>
      </w:pPr>
    </w:p>
    <w:p w14:paraId="1431D34F">
      <w:pPr>
        <w:spacing w:line="300" w:lineRule="auto"/>
        <w:rPr>
          <w:rFonts w:ascii="宋体" w:hAnsi="宋体"/>
          <w:color w:val="auto"/>
          <w:szCs w:val="21"/>
          <w:highlight w:val="none"/>
        </w:rPr>
      </w:pPr>
    </w:p>
    <w:p w14:paraId="4C979911">
      <w:pPr>
        <w:spacing w:line="300" w:lineRule="auto"/>
        <w:rPr>
          <w:rFonts w:ascii="宋体" w:hAnsi="宋体"/>
          <w:color w:val="auto"/>
          <w:szCs w:val="21"/>
          <w:highlight w:val="none"/>
        </w:rPr>
      </w:pPr>
    </w:p>
    <w:p w14:paraId="104467AF">
      <w:pPr>
        <w:spacing w:line="300" w:lineRule="auto"/>
        <w:rPr>
          <w:rFonts w:ascii="宋体" w:hAnsi="宋体"/>
          <w:color w:val="auto"/>
          <w:szCs w:val="21"/>
          <w:highlight w:val="none"/>
        </w:rPr>
      </w:pPr>
    </w:p>
    <w:p w14:paraId="193493AE">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Cs w:val="21"/>
          <w:highlight w:val="none"/>
        </w:rPr>
        <w:t>4</w:t>
      </w:r>
      <w:r>
        <w:rPr>
          <w:rFonts w:hint="eastAsia" w:ascii="宋体" w:hAnsi="宋体"/>
          <w:b/>
          <w:color w:val="auto"/>
          <w:sz w:val="24"/>
          <w:highlight w:val="none"/>
        </w:rPr>
        <w:t>.</w:t>
      </w:r>
      <w:r>
        <w:rPr>
          <w:rFonts w:hint="eastAsia" w:ascii="宋体" w:hAnsi="宋体"/>
          <w:b/>
          <w:color w:val="auto"/>
          <w:sz w:val="28"/>
          <w:szCs w:val="28"/>
          <w:highlight w:val="none"/>
        </w:rPr>
        <w:t>供应商直接控股股东信息表</w:t>
      </w:r>
    </w:p>
    <w:p w14:paraId="505699A3">
      <w:pPr>
        <w:snapToGrid w:val="0"/>
        <w:spacing w:before="50" w:afterLines="50"/>
        <w:jc w:val="center"/>
        <w:rPr>
          <w:rFonts w:ascii="宋体" w:hAnsi="宋体"/>
          <w:b/>
          <w:color w:val="auto"/>
          <w:sz w:val="28"/>
          <w:szCs w:val="28"/>
          <w:highlight w:val="none"/>
        </w:rPr>
      </w:pPr>
    </w:p>
    <w:p w14:paraId="2F84405F">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7438D98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ABEA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EAE2E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9C5C5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B2E19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057C1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5C7613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66F91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B48AA8">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A5DF04">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5CE5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E900F">
            <w:pPr>
              <w:spacing w:line="360" w:lineRule="auto"/>
              <w:jc w:val="center"/>
              <w:rPr>
                <w:rFonts w:ascii="宋体" w:hAnsi="宋体" w:cs="宋体"/>
                <w:color w:val="auto"/>
                <w:kern w:val="0"/>
                <w:sz w:val="24"/>
                <w:highlight w:val="none"/>
              </w:rPr>
            </w:pPr>
          </w:p>
        </w:tc>
      </w:tr>
      <w:tr w14:paraId="45FE577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789AC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E8896">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D0389">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9EF0D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63448E">
            <w:pPr>
              <w:spacing w:line="360" w:lineRule="auto"/>
              <w:jc w:val="center"/>
              <w:rPr>
                <w:rFonts w:ascii="宋体" w:hAnsi="宋体" w:cs="宋体"/>
                <w:color w:val="auto"/>
                <w:kern w:val="0"/>
                <w:sz w:val="24"/>
                <w:highlight w:val="none"/>
              </w:rPr>
            </w:pPr>
          </w:p>
        </w:tc>
      </w:tr>
      <w:tr w14:paraId="45C3FB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A3B1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6E3F0">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37DCFC">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F6A53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4671DC">
            <w:pPr>
              <w:spacing w:line="360" w:lineRule="auto"/>
              <w:jc w:val="center"/>
              <w:rPr>
                <w:rFonts w:ascii="宋体" w:hAnsi="宋体" w:cs="宋体"/>
                <w:color w:val="auto"/>
                <w:kern w:val="0"/>
                <w:sz w:val="24"/>
                <w:highlight w:val="none"/>
              </w:rPr>
            </w:pPr>
          </w:p>
        </w:tc>
      </w:tr>
      <w:tr w14:paraId="5CA2B96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8182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B29078">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A41E33">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81A2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19EBFF">
            <w:pPr>
              <w:spacing w:line="360" w:lineRule="auto"/>
              <w:jc w:val="center"/>
              <w:rPr>
                <w:rFonts w:ascii="宋体" w:hAnsi="宋体" w:cs="宋体"/>
                <w:color w:val="auto"/>
                <w:kern w:val="0"/>
                <w:sz w:val="24"/>
                <w:highlight w:val="none"/>
              </w:rPr>
            </w:pPr>
          </w:p>
        </w:tc>
      </w:tr>
    </w:tbl>
    <w:p w14:paraId="6DDE257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29E333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8B4490">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87335C8">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28324B2E">
      <w:pPr>
        <w:snapToGrid w:val="0"/>
        <w:spacing w:line="360" w:lineRule="auto"/>
        <w:jc w:val="left"/>
        <w:rPr>
          <w:rFonts w:ascii="宋体" w:hAnsi="宋体"/>
          <w:color w:val="auto"/>
          <w:sz w:val="24"/>
          <w:highlight w:val="none"/>
        </w:rPr>
      </w:pPr>
    </w:p>
    <w:p w14:paraId="3D487630">
      <w:pPr>
        <w:snapToGrid w:val="0"/>
        <w:spacing w:line="360" w:lineRule="auto"/>
        <w:jc w:val="left"/>
        <w:rPr>
          <w:rFonts w:ascii="宋体" w:hAnsi="宋体"/>
          <w:color w:val="auto"/>
          <w:sz w:val="24"/>
          <w:highlight w:val="none"/>
        </w:rPr>
      </w:pPr>
    </w:p>
    <w:p w14:paraId="1AE335B0">
      <w:pPr>
        <w:snapToGrid w:val="0"/>
        <w:spacing w:line="360" w:lineRule="auto"/>
        <w:jc w:val="left"/>
        <w:rPr>
          <w:rFonts w:ascii="宋体" w:hAnsi="宋体"/>
          <w:color w:val="auto"/>
          <w:sz w:val="24"/>
          <w:highlight w:val="none"/>
        </w:rPr>
      </w:pPr>
    </w:p>
    <w:p w14:paraId="65B3D223">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4E20FD1A">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362E8B31">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011D8D6">
      <w:pPr>
        <w:snapToGrid w:val="0"/>
        <w:jc w:val="center"/>
        <w:rPr>
          <w:rFonts w:ascii="宋体" w:hAnsi="宋体"/>
          <w:b/>
          <w:color w:val="auto"/>
          <w:sz w:val="28"/>
          <w:szCs w:val="28"/>
          <w:highlight w:val="none"/>
        </w:rPr>
      </w:pPr>
    </w:p>
    <w:p w14:paraId="51FF9CC8">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5.</w:t>
      </w:r>
      <w:r>
        <w:rPr>
          <w:color w:val="auto"/>
          <w:highlight w:val="none"/>
        </w:rPr>
        <w:t xml:space="preserve"> </w:t>
      </w:r>
      <w:r>
        <w:rPr>
          <w:rFonts w:hint="eastAsia" w:ascii="宋体" w:hAnsi="宋体"/>
          <w:b/>
          <w:color w:val="auto"/>
          <w:sz w:val="28"/>
          <w:szCs w:val="28"/>
          <w:highlight w:val="none"/>
        </w:rPr>
        <w:t>供应商直接管理关系信息表</w:t>
      </w:r>
    </w:p>
    <w:p w14:paraId="7F4C69EB">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D1EEA6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7B75E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4B3BD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ABECE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FE01A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638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BFD3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9B116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8868C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34BE">
            <w:pPr>
              <w:spacing w:line="360" w:lineRule="auto"/>
              <w:jc w:val="center"/>
              <w:rPr>
                <w:rFonts w:ascii="宋体" w:hAnsi="宋体" w:cs="宋体"/>
                <w:color w:val="auto"/>
                <w:kern w:val="0"/>
                <w:sz w:val="24"/>
                <w:highlight w:val="none"/>
              </w:rPr>
            </w:pPr>
          </w:p>
        </w:tc>
      </w:tr>
      <w:tr w14:paraId="0D09637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D9F0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DC39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6D4A3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A56DF9">
            <w:pPr>
              <w:spacing w:line="360" w:lineRule="auto"/>
              <w:jc w:val="center"/>
              <w:rPr>
                <w:rFonts w:ascii="宋体" w:hAnsi="宋体" w:cs="宋体"/>
                <w:color w:val="auto"/>
                <w:kern w:val="0"/>
                <w:sz w:val="24"/>
                <w:highlight w:val="none"/>
              </w:rPr>
            </w:pPr>
          </w:p>
        </w:tc>
      </w:tr>
      <w:tr w14:paraId="22774CD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2955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68919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F85D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DF9A4A">
            <w:pPr>
              <w:spacing w:line="360" w:lineRule="auto"/>
              <w:jc w:val="center"/>
              <w:rPr>
                <w:rFonts w:ascii="宋体" w:hAnsi="宋体" w:cs="宋体"/>
                <w:color w:val="auto"/>
                <w:kern w:val="0"/>
                <w:sz w:val="24"/>
                <w:highlight w:val="none"/>
              </w:rPr>
            </w:pPr>
          </w:p>
        </w:tc>
      </w:tr>
      <w:tr w14:paraId="2EB838D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9AD3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5DDFE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BB97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17AE8C">
            <w:pPr>
              <w:spacing w:line="360" w:lineRule="auto"/>
              <w:jc w:val="center"/>
              <w:rPr>
                <w:rFonts w:ascii="宋体" w:hAnsi="宋体" w:cs="宋体"/>
                <w:color w:val="auto"/>
                <w:kern w:val="0"/>
                <w:sz w:val="24"/>
                <w:highlight w:val="none"/>
              </w:rPr>
            </w:pPr>
          </w:p>
        </w:tc>
      </w:tr>
    </w:tbl>
    <w:p w14:paraId="10EDB71D">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E67C3A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4DA877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EE6C85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7BC587EE">
      <w:pPr>
        <w:snapToGrid w:val="0"/>
        <w:spacing w:line="360" w:lineRule="auto"/>
        <w:jc w:val="left"/>
        <w:rPr>
          <w:rFonts w:ascii="宋体" w:hAnsi="宋体"/>
          <w:color w:val="auto"/>
          <w:sz w:val="24"/>
          <w:highlight w:val="none"/>
        </w:rPr>
      </w:pPr>
    </w:p>
    <w:p w14:paraId="41F384FD">
      <w:pPr>
        <w:snapToGrid w:val="0"/>
        <w:spacing w:line="360" w:lineRule="auto"/>
        <w:jc w:val="left"/>
        <w:rPr>
          <w:rFonts w:ascii="宋体" w:hAnsi="宋体"/>
          <w:color w:val="auto"/>
          <w:sz w:val="24"/>
          <w:highlight w:val="none"/>
        </w:rPr>
      </w:pPr>
    </w:p>
    <w:p w14:paraId="2F1602B0">
      <w:pPr>
        <w:snapToGrid w:val="0"/>
        <w:spacing w:line="360" w:lineRule="auto"/>
        <w:jc w:val="left"/>
        <w:rPr>
          <w:rFonts w:ascii="宋体" w:hAnsi="宋体"/>
          <w:color w:val="auto"/>
          <w:sz w:val="24"/>
          <w:highlight w:val="none"/>
        </w:rPr>
      </w:pPr>
    </w:p>
    <w:p w14:paraId="636A0552">
      <w:pPr>
        <w:snapToGrid w:val="0"/>
        <w:spacing w:line="360" w:lineRule="auto"/>
        <w:jc w:val="left"/>
        <w:rPr>
          <w:color w:val="auto"/>
          <w:sz w:val="24"/>
          <w:highlight w:val="none"/>
        </w:rPr>
      </w:pPr>
    </w:p>
    <w:p w14:paraId="6446E8D4">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C050F71">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735725A8">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5F1590F">
      <w:pPr>
        <w:snapToGrid w:val="0"/>
        <w:spacing w:beforeLines="50" w:after="50"/>
        <w:jc w:val="left"/>
        <w:rPr>
          <w:rFonts w:ascii="宋体" w:hAnsi="宋体"/>
          <w:color w:val="auto"/>
          <w:sz w:val="24"/>
          <w:highlight w:val="none"/>
        </w:rPr>
      </w:pPr>
    </w:p>
    <w:p w14:paraId="6310FB92">
      <w:pPr>
        <w:spacing w:line="320" w:lineRule="exac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6.竞标声明</w:t>
      </w:r>
    </w:p>
    <w:p w14:paraId="59F6E03B">
      <w:pPr>
        <w:spacing w:line="320" w:lineRule="exact"/>
        <w:jc w:val="center"/>
        <w:rPr>
          <w:rFonts w:ascii="宋体" w:hAnsi="宋体"/>
          <w:b/>
          <w:color w:val="auto"/>
          <w:sz w:val="32"/>
          <w:szCs w:val="32"/>
          <w:highlight w:val="none"/>
        </w:rPr>
      </w:pPr>
    </w:p>
    <w:p w14:paraId="218B2131">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7C88B43A">
      <w:pPr>
        <w:spacing w:line="320" w:lineRule="exact"/>
        <w:jc w:val="center"/>
        <w:rPr>
          <w:rFonts w:ascii="宋体" w:hAnsi="宋体"/>
          <w:color w:val="auto"/>
          <w:sz w:val="24"/>
          <w:szCs w:val="20"/>
          <w:highlight w:val="none"/>
        </w:rPr>
      </w:pPr>
    </w:p>
    <w:p w14:paraId="5B316AD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B6E7746">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4A32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9FFECF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1BB51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E7C5D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7A137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0B530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6BE4D7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D04225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7D6A04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FC18F0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A585F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6C676E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50B0DE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B2B96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E177D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85D5B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1F4127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D8070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96BC6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074FCE">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AB18785">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6327833">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77B55170">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55E420B">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05606F5">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1ACF292C">
      <w:pPr>
        <w:spacing w:line="360" w:lineRule="auto"/>
        <w:contextualSpacing/>
        <w:jc w:val="left"/>
        <w:rPr>
          <w:rFonts w:ascii="宋体" w:hAnsi="宋体" w:cs="宋体"/>
          <w:color w:val="auto"/>
          <w:szCs w:val="21"/>
          <w:highlight w:val="none"/>
        </w:rPr>
      </w:pPr>
    </w:p>
    <w:p w14:paraId="0EB09A8B">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788C43D7">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0DC0B19E">
      <w:pPr>
        <w:pStyle w:val="16"/>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sz w:val="24"/>
          <w:highlight w:val="none"/>
        </w:rPr>
        <w:t xml:space="preserve"> 年    月    日</w:t>
      </w:r>
    </w:p>
    <w:p w14:paraId="45B923F1">
      <w:pPr>
        <w:pStyle w:val="9"/>
        <w:overflowPunct w:val="0"/>
        <w:spacing w:line="520" w:lineRule="exact"/>
        <w:ind w:firstLine="0"/>
        <w:jc w:val="center"/>
        <w:rPr>
          <w:rFonts w:ascii="微软雅黑" w:hAnsi="微软雅黑" w:eastAsia="微软雅黑" w:cs="微软雅黑"/>
          <w:color w:val="auto"/>
          <w:sz w:val="44"/>
          <w:szCs w:val="44"/>
          <w:highlight w:val="none"/>
        </w:rPr>
      </w:pPr>
      <w:r>
        <w:rPr>
          <w:rFonts w:hint="eastAsia"/>
          <w:color w:val="auto"/>
          <w:sz w:val="24"/>
          <w:highlight w:val="none"/>
        </w:rPr>
        <w:br w:type="page"/>
      </w:r>
      <w:r>
        <w:rPr>
          <w:rFonts w:hint="eastAsia" w:ascii="微软雅黑" w:hAnsi="微软雅黑" w:eastAsia="微软雅黑" w:cs="微软雅黑"/>
          <w:color w:val="auto"/>
          <w:sz w:val="44"/>
          <w:szCs w:val="44"/>
          <w:highlight w:val="none"/>
        </w:rPr>
        <w:t>联合体竞标协议书</w:t>
      </w:r>
    </w:p>
    <w:p w14:paraId="3500239E">
      <w:pPr>
        <w:pStyle w:val="9"/>
        <w:overflowPunct w:val="0"/>
        <w:spacing w:line="360" w:lineRule="auto"/>
        <w:ind w:firstLine="0"/>
        <w:rPr>
          <w:rFonts w:ascii="宋体" w:hAnsi="宋体"/>
          <w:color w:val="auto"/>
          <w:sz w:val="24"/>
          <w:szCs w:val="24"/>
          <w:highlight w:val="none"/>
        </w:rPr>
      </w:pPr>
    </w:p>
    <w:p w14:paraId="624C32E4">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31275936">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186D99E8">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9D297F5">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01AE7C6">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7CC0583C">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195A6460">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5614E993">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700D7199">
      <w:pPr>
        <w:pStyle w:val="9"/>
        <w:overflowPunct w:val="0"/>
        <w:spacing w:line="360" w:lineRule="auto"/>
        <w:ind w:firstLineChars="175"/>
        <w:contextualSpacing/>
        <w:rPr>
          <w:rFonts w:ascii="宋体" w:hAnsi="宋体" w:cs="仿宋_GB2312"/>
          <w:color w:val="auto"/>
          <w:sz w:val="24"/>
          <w:szCs w:val="24"/>
          <w:highlight w:val="none"/>
        </w:rPr>
      </w:pPr>
    </w:p>
    <w:p w14:paraId="5707562F">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5DD7A541">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0308857">
      <w:pPr>
        <w:pStyle w:val="9"/>
        <w:overflowPunct w:val="0"/>
        <w:spacing w:line="360" w:lineRule="auto"/>
        <w:ind w:firstLine="0"/>
        <w:contextualSpacing/>
        <w:rPr>
          <w:rFonts w:ascii="宋体" w:hAnsi="宋体" w:cs="仿宋_GB2312"/>
          <w:color w:val="auto"/>
          <w:sz w:val="24"/>
          <w:szCs w:val="24"/>
          <w:highlight w:val="none"/>
        </w:rPr>
      </w:pPr>
    </w:p>
    <w:p w14:paraId="185D624A">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C315685">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E099C55">
      <w:pPr>
        <w:pStyle w:val="9"/>
        <w:overflowPunct w:val="0"/>
        <w:spacing w:line="360" w:lineRule="auto"/>
        <w:ind w:firstLine="0"/>
        <w:contextualSpacing/>
        <w:rPr>
          <w:rFonts w:ascii="宋体" w:hAnsi="宋体" w:cs="仿宋_GB2312"/>
          <w:color w:val="auto"/>
          <w:sz w:val="24"/>
          <w:szCs w:val="24"/>
          <w:highlight w:val="none"/>
        </w:rPr>
      </w:pPr>
    </w:p>
    <w:p w14:paraId="6CBE39E2">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75884AA5">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ADE3F15">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02D43861">
      <w:pPr>
        <w:spacing w:line="360" w:lineRule="auto"/>
        <w:ind w:right="480" w:firstLine="240" w:firstLineChars="1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40D52557">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3A6F062B">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5F4D15D3">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00FE05D0">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13BC798">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6CBCF3D">
      <w:pPr>
        <w:snapToGrid w:val="0"/>
        <w:spacing w:beforeLines="50" w:after="50"/>
        <w:rPr>
          <w:rFonts w:ascii="宋体" w:hAnsi="宋体"/>
          <w:color w:val="auto"/>
          <w:sz w:val="24"/>
          <w:szCs w:val="20"/>
          <w:highlight w:val="none"/>
        </w:rPr>
      </w:pPr>
    </w:p>
    <w:p w14:paraId="21022DBE">
      <w:pPr>
        <w:snapToGrid w:val="0"/>
        <w:spacing w:beforeLines="50" w:after="50"/>
        <w:rPr>
          <w:rFonts w:ascii="宋体" w:hAnsi="宋体"/>
          <w:color w:val="auto"/>
          <w:sz w:val="24"/>
          <w:szCs w:val="20"/>
          <w:highlight w:val="none"/>
        </w:rPr>
      </w:pPr>
    </w:p>
    <w:p w14:paraId="444685EB">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07A2D67">
      <w:pPr>
        <w:snapToGrid w:val="0"/>
        <w:spacing w:beforeLines="50" w:after="50"/>
        <w:rPr>
          <w:rFonts w:ascii="宋体" w:hAnsi="宋体"/>
          <w:bCs/>
          <w:color w:val="auto"/>
          <w:sz w:val="24"/>
          <w:szCs w:val="20"/>
          <w:highlight w:val="none"/>
        </w:rPr>
      </w:pPr>
    </w:p>
    <w:p w14:paraId="1FA0013A">
      <w:pPr>
        <w:snapToGrid w:val="0"/>
        <w:spacing w:beforeLines="50" w:after="50"/>
        <w:rPr>
          <w:rFonts w:ascii="宋体" w:hAnsi="宋体"/>
          <w:bCs/>
          <w:color w:val="auto"/>
          <w:sz w:val="24"/>
          <w:szCs w:val="20"/>
          <w:highlight w:val="none"/>
        </w:rPr>
      </w:pPr>
    </w:p>
    <w:p w14:paraId="28F6708D">
      <w:pPr>
        <w:snapToGrid w:val="0"/>
        <w:spacing w:beforeLines="50" w:after="50"/>
        <w:rPr>
          <w:rFonts w:ascii="宋体" w:hAnsi="宋体"/>
          <w:bCs/>
          <w:color w:val="auto"/>
          <w:sz w:val="24"/>
          <w:szCs w:val="20"/>
          <w:highlight w:val="none"/>
        </w:rPr>
      </w:pPr>
    </w:p>
    <w:p w14:paraId="234A118D">
      <w:pPr>
        <w:snapToGrid w:val="0"/>
        <w:spacing w:beforeLines="50" w:after="50"/>
        <w:rPr>
          <w:rFonts w:ascii="宋体" w:hAnsi="宋体"/>
          <w:bCs/>
          <w:color w:val="auto"/>
          <w:sz w:val="24"/>
          <w:szCs w:val="20"/>
          <w:highlight w:val="none"/>
        </w:rPr>
      </w:pPr>
    </w:p>
    <w:p w14:paraId="59084329">
      <w:pPr>
        <w:snapToGrid w:val="0"/>
        <w:spacing w:beforeLines="50" w:after="50"/>
        <w:rPr>
          <w:rFonts w:ascii="宋体" w:hAnsi="宋体"/>
          <w:bCs/>
          <w:color w:val="auto"/>
          <w:sz w:val="24"/>
          <w:szCs w:val="20"/>
          <w:highlight w:val="none"/>
        </w:rPr>
      </w:pPr>
    </w:p>
    <w:p w14:paraId="4B99EB6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7020EF1">
      <w:pPr>
        <w:snapToGrid w:val="0"/>
        <w:spacing w:beforeLines="50" w:after="50"/>
        <w:ind w:firstLine="720" w:firstLineChars="225"/>
        <w:rPr>
          <w:rFonts w:ascii="宋体" w:hAnsi="宋体" w:cs="仿宋_GB2312"/>
          <w:bCs/>
          <w:color w:val="auto"/>
          <w:sz w:val="32"/>
          <w:szCs w:val="32"/>
          <w:highlight w:val="none"/>
        </w:rPr>
      </w:pPr>
    </w:p>
    <w:p w14:paraId="2BA5111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0FB492">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DE993D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963A787">
      <w:pPr>
        <w:snapToGrid w:val="0"/>
        <w:spacing w:beforeLines="50" w:after="50"/>
        <w:ind w:firstLine="720" w:firstLineChars="225"/>
        <w:rPr>
          <w:rFonts w:ascii="宋体" w:hAnsi="宋体" w:cs="仿宋_GB2312"/>
          <w:bCs/>
          <w:color w:val="auto"/>
          <w:sz w:val="32"/>
          <w:szCs w:val="32"/>
          <w:highlight w:val="none"/>
        </w:rPr>
      </w:pPr>
    </w:p>
    <w:p w14:paraId="75F1C06F">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5A17F00">
      <w:pPr>
        <w:pStyle w:val="9"/>
        <w:snapToGrid w:val="0"/>
        <w:spacing w:before="50" w:after="50"/>
        <w:ind w:firstLine="640" w:firstLineChars="200"/>
        <w:rPr>
          <w:rFonts w:ascii="宋体" w:hAnsi="宋体" w:cs="仿宋_GB2312"/>
          <w:bCs/>
          <w:color w:val="auto"/>
          <w:sz w:val="32"/>
          <w:szCs w:val="32"/>
          <w:highlight w:val="none"/>
        </w:rPr>
      </w:pPr>
    </w:p>
    <w:p w14:paraId="487706F4">
      <w:pPr>
        <w:pStyle w:val="9"/>
        <w:snapToGrid w:val="0"/>
        <w:spacing w:before="50" w:after="50"/>
        <w:ind w:firstLine="720" w:firstLineChars="225"/>
        <w:rPr>
          <w:rFonts w:ascii="宋体" w:hAnsi="宋体" w:cs="仿宋_GB2312"/>
          <w:bCs/>
          <w:color w:val="auto"/>
          <w:sz w:val="32"/>
          <w:szCs w:val="32"/>
          <w:highlight w:val="none"/>
        </w:rPr>
      </w:pPr>
    </w:p>
    <w:p w14:paraId="1B833653">
      <w:pPr>
        <w:pStyle w:val="9"/>
        <w:snapToGrid w:val="0"/>
        <w:spacing w:before="50" w:after="50"/>
        <w:ind w:firstLine="0"/>
        <w:rPr>
          <w:rFonts w:ascii="宋体" w:hAnsi="宋体" w:cs="仿宋_GB2312"/>
          <w:bCs/>
          <w:color w:val="auto"/>
          <w:sz w:val="32"/>
          <w:szCs w:val="32"/>
          <w:highlight w:val="none"/>
        </w:rPr>
      </w:pPr>
    </w:p>
    <w:p w14:paraId="1B2117A6">
      <w:pPr>
        <w:pStyle w:val="9"/>
        <w:snapToGrid w:val="0"/>
        <w:spacing w:before="50" w:after="50"/>
        <w:ind w:firstLine="1280" w:firstLineChars="400"/>
        <w:rPr>
          <w:rFonts w:ascii="宋体" w:hAnsi="宋体" w:cs="仿宋_GB2312"/>
          <w:bCs/>
          <w:color w:val="auto"/>
          <w:sz w:val="32"/>
          <w:szCs w:val="32"/>
          <w:highlight w:val="none"/>
        </w:rPr>
      </w:pPr>
    </w:p>
    <w:p w14:paraId="2EBF0D3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465E6AD">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07AB05B">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4C4974DC">
      <w:pPr>
        <w:spacing w:line="440" w:lineRule="exact"/>
        <w:jc w:val="center"/>
        <w:rPr>
          <w:rFonts w:ascii="方正小标宋简体" w:hAnsi="方正小标宋简体" w:eastAsia="方正小标宋简体" w:cs="方正小标宋简体"/>
          <w:bCs/>
          <w:color w:val="auto"/>
          <w:sz w:val="32"/>
          <w:szCs w:val="32"/>
          <w:highlight w:val="none"/>
        </w:rPr>
      </w:pPr>
    </w:p>
    <w:p w14:paraId="33A6ECC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14:paraId="54CDF52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1FCBB1E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1D1098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单位：元</w:t>
      </w:r>
    </w:p>
    <w:tbl>
      <w:tblPr>
        <w:tblStyle w:val="2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591"/>
        <w:gridCol w:w="1431"/>
        <w:gridCol w:w="1442"/>
        <w:gridCol w:w="2635"/>
        <w:gridCol w:w="1209"/>
      </w:tblGrid>
      <w:tr w14:paraId="567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4538B0">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1D78E42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服务内容</w:t>
            </w:r>
          </w:p>
        </w:tc>
        <w:tc>
          <w:tcPr>
            <w:tcW w:w="1431" w:type="dxa"/>
            <w:tcBorders>
              <w:top w:val="single" w:color="auto" w:sz="4" w:space="0"/>
              <w:left w:val="single" w:color="auto" w:sz="4" w:space="0"/>
              <w:bottom w:val="single" w:color="auto" w:sz="4" w:space="0"/>
              <w:right w:val="single" w:color="auto" w:sz="4" w:space="0"/>
            </w:tcBorders>
            <w:vAlign w:val="center"/>
          </w:tcPr>
          <w:p w14:paraId="719F4F7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42" w:type="dxa"/>
            <w:tcBorders>
              <w:top w:val="single" w:color="auto" w:sz="4" w:space="0"/>
              <w:left w:val="single" w:color="auto" w:sz="4" w:space="0"/>
              <w:bottom w:val="single" w:color="auto" w:sz="4" w:space="0"/>
              <w:right w:val="single" w:color="auto" w:sz="4" w:space="0"/>
            </w:tcBorders>
            <w:vAlign w:val="center"/>
          </w:tcPr>
          <w:p w14:paraId="46D3834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635" w:type="dxa"/>
            <w:tcBorders>
              <w:top w:val="single" w:color="auto" w:sz="4" w:space="0"/>
              <w:left w:val="single" w:color="auto" w:sz="4" w:space="0"/>
              <w:bottom w:val="single" w:color="auto" w:sz="4" w:space="0"/>
              <w:right w:val="single" w:color="auto" w:sz="4" w:space="0"/>
            </w:tcBorders>
            <w:vAlign w:val="center"/>
          </w:tcPr>
          <w:p w14:paraId="0943DCE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磋商报价（元）</w:t>
            </w:r>
          </w:p>
        </w:tc>
        <w:tc>
          <w:tcPr>
            <w:tcW w:w="1209" w:type="dxa"/>
            <w:tcBorders>
              <w:top w:val="single" w:color="auto" w:sz="4" w:space="0"/>
              <w:left w:val="single" w:color="auto" w:sz="4" w:space="0"/>
              <w:bottom w:val="single" w:color="auto" w:sz="4" w:space="0"/>
              <w:right w:val="single" w:color="auto" w:sz="4" w:space="0"/>
            </w:tcBorders>
            <w:vAlign w:val="center"/>
          </w:tcPr>
          <w:p w14:paraId="2BFFBC7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14:paraId="397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8CF746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14:paraId="4181445E">
            <w:pPr>
              <w:spacing w:line="360" w:lineRule="auto"/>
              <w:contextualSpacing/>
              <w:jc w:val="center"/>
              <w:rPr>
                <w:rFonts w:ascii="宋体" w:hAnsi="宋体" w:cs="仿宋_GB2312"/>
                <w:color w:val="auto"/>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23B31ECD">
            <w:pPr>
              <w:spacing w:line="360" w:lineRule="auto"/>
              <w:contextualSpacing/>
              <w:jc w:val="center"/>
              <w:rPr>
                <w:rFonts w:ascii="宋体" w:hAnsi="宋体" w:cs="仿宋_GB2312"/>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7A973670">
            <w:pPr>
              <w:spacing w:line="360" w:lineRule="auto"/>
              <w:contextualSpacing/>
              <w:jc w:val="center"/>
              <w:rPr>
                <w:rFonts w:ascii="宋体" w:hAnsi="宋体" w:cs="仿宋_GB2312"/>
                <w:color w:val="auto"/>
                <w:sz w:val="24"/>
                <w:highlight w:val="none"/>
              </w:rPr>
            </w:pPr>
          </w:p>
        </w:tc>
        <w:tc>
          <w:tcPr>
            <w:tcW w:w="2635" w:type="dxa"/>
            <w:tcBorders>
              <w:top w:val="single" w:color="auto" w:sz="4" w:space="0"/>
              <w:left w:val="single" w:color="auto" w:sz="4" w:space="0"/>
              <w:bottom w:val="single" w:color="auto" w:sz="4" w:space="0"/>
              <w:right w:val="single" w:color="auto" w:sz="4" w:space="0"/>
            </w:tcBorders>
            <w:vAlign w:val="center"/>
          </w:tcPr>
          <w:p w14:paraId="2EC31104">
            <w:pPr>
              <w:spacing w:line="360" w:lineRule="auto"/>
              <w:contextualSpacing/>
              <w:jc w:val="center"/>
              <w:rPr>
                <w:rFonts w:ascii="宋体" w:hAnsi="宋体" w:cs="仿宋_GB2312"/>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D5B35E1">
            <w:pPr>
              <w:spacing w:line="360" w:lineRule="auto"/>
              <w:contextualSpacing/>
              <w:rPr>
                <w:rFonts w:ascii="宋体" w:hAnsi="宋体" w:cs="仿宋_GB2312"/>
                <w:color w:val="auto"/>
                <w:sz w:val="24"/>
                <w:highlight w:val="none"/>
              </w:rPr>
            </w:pPr>
          </w:p>
        </w:tc>
      </w:tr>
      <w:tr w14:paraId="6EDD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057" w:type="dxa"/>
            <w:gridSpan w:val="6"/>
            <w:tcBorders>
              <w:top w:val="single" w:color="auto" w:sz="4" w:space="0"/>
              <w:left w:val="single" w:color="auto" w:sz="4" w:space="0"/>
              <w:bottom w:val="single" w:color="auto" w:sz="4" w:space="0"/>
              <w:right w:val="single" w:color="auto" w:sz="4" w:space="0"/>
            </w:tcBorders>
            <w:vAlign w:val="center"/>
          </w:tcPr>
          <w:p w14:paraId="00B4776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合同履行期限：</w:t>
            </w:r>
          </w:p>
        </w:tc>
      </w:tr>
    </w:tbl>
    <w:p w14:paraId="5BE645F6">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458FEA0B">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687E24A3">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43797E17">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3.供应商磋商报价超过采购预算的，按无效磋商处理。</w:t>
      </w:r>
    </w:p>
    <w:p w14:paraId="1A6D8D49">
      <w:pPr>
        <w:spacing w:line="360" w:lineRule="auto"/>
        <w:ind w:right="-817" w:rightChars="-389"/>
        <w:contextualSpacing/>
        <w:rPr>
          <w:rFonts w:ascii="宋体" w:hAnsi="宋体" w:cs="仿宋_GB2312"/>
          <w:color w:val="auto"/>
          <w:sz w:val="24"/>
          <w:highlight w:val="none"/>
        </w:rPr>
      </w:pPr>
    </w:p>
    <w:p w14:paraId="6878F3FB">
      <w:pPr>
        <w:spacing w:line="360" w:lineRule="auto"/>
        <w:ind w:right="-817" w:rightChars="-389" w:firstLine="2640" w:firstLineChars="1100"/>
        <w:contextualSpacing/>
        <w:rPr>
          <w:rFonts w:ascii="宋体" w:hAnsi="宋体" w:cs="仿宋_GB2312"/>
          <w:color w:val="auto"/>
          <w:sz w:val="24"/>
          <w:highlight w:val="none"/>
        </w:rPr>
      </w:pPr>
    </w:p>
    <w:p w14:paraId="757AD3D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E84190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A7FD662">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2513CF89">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F6041ED">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98CAEC0">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957D179">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1C925DC5">
      <w:pPr>
        <w:snapToGrid w:val="0"/>
        <w:spacing w:beforeLines="50" w:after="50"/>
        <w:rPr>
          <w:rFonts w:ascii="宋体" w:hAnsi="宋体"/>
          <w:color w:val="auto"/>
          <w:sz w:val="24"/>
          <w:szCs w:val="20"/>
          <w:highlight w:val="none"/>
        </w:rPr>
      </w:pPr>
    </w:p>
    <w:p w14:paraId="77C56944">
      <w:pPr>
        <w:snapToGrid w:val="0"/>
        <w:spacing w:beforeLines="50" w:after="50"/>
        <w:rPr>
          <w:rFonts w:ascii="宋体" w:hAnsi="宋体"/>
          <w:color w:val="auto"/>
          <w:sz w:val="24"/>
          <w:szCs w:val="20"/>
          <w:highlight w:val="none"/>
        </w:rPr>
      </w:pPr>
    </w:p>
    <w:p w14:paraId="064EBB5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46E3027D">
      <w:pPr>
        <w:snapToGrid w:val="0"/>
        <w:spacing w:beforeLines="50" w:after="50"/>
        <w:rPr>
          <w:rFonts w:ascii="宋体" w:hAnsi="宋体"/>
          <w:bCs/>
          <w:color w:val="auto"/>
          <w:sz w:val="24"/>
          <w:szCs w:val="20"/>
          <w:highlight w:val="none"/>
        </w:rPr>
      </w:pPr>
    </w:p>
    <w:p w14:paraId="39B3FAA6">
      <w:pPr>
        <w:snapToGrid w:val="0"/>
        <w:spacing w:beforeLines="50" w:after="50"/>
        <w:rPr>
          <w:rFonts w:ascii="宋体" w:hAnsi="宋体"/>
          <w:bCs/>
          <w:color w:val="auto"/>
          <w:sz w:val="24"/>
          <w:szCs w:val="20"/>
          <w:highlight w:val="none"/>
        </w:rPr>
      </w:pPr>
    </w:p>
    <w:p w14:paraId="44DB3ADB">
      <w:pPr>
        <w:snapToGrid w:val="0"/>
        <w:spacing w:beforeLines="50" w:after="50"/>
        <w:rPr>
          <w:rFonts w:ascii="宋体" w:hAnsi="宋体"/>
          <w:bCs/>
          <w:color w:val="auto"/>
          <w:sz w:val="24"/>
          <w:szCs w:val="20"/>
          <w:highlight w:val="none"/>
        </w:rPr>
      </w:pPr>
    </w:p>
    <w:p w14:paraId="348CA6AA">
      <w:pPr>
        <w:snapToGrid w:val="0"/>
        <w:spacing w:beforeLines="50" w:after="50"/>
        <w:rPr>
          <w:rFonts w:ascii="宋体" w:hAnsi="宋体"/>
          <w:bCs/>
          <w:color w:val="auto"/>
          <w:sz w:val="24"/>
          <w:szCs w:val="20"/>
          <w:highlight w:val="none"/>
        </w:rPr>
      </w:pPr>
    </w:p>
    <w:p w14:paraId="0839CC6E">
      <w:pPr>
        <w:snapToGrid w:val="0"/>
        <w:spacing w:beforeLines="50" w:after="50"/>
        <w:rPr>
          <w:rFonts w:ascii="宋体" w:hAnsi="宋体"/>
          <w:bCs/>
          <w:color w:val="auto"/>
          <w:sz w:val="24"/>
          <w:szCs w:val="20"/>
          <w:highlight w:val="none"/>
        </w:rPr>
      </w:pPr>
    </w:p>
    <w:p w14:paraId="1ECF92B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28CB5E0">
      <w:pPr>
        <w:snapToGrid w:val="0"/>
        <w:spacing w:beforeLines="50" w:after="50"/>
        <w:ind w:firstLine="720" w:firstLineChars="225"/>
        <w:rPr>
          <w:rFonts w:ascii="宋体" w:hAnsi="宋体" w:cs="仿宋_GB2312"/>
          <w:bCs/>
          <w:color w:val="auto"/>
          <w:sz w:val="32"/>
          <w:szCs w:val="32"/>
          <w:highlight w:val="none"/>
        </w:rPr>
      </w:pPr>
    </w:p>
    <w:p w14:paraId="15F5636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282D5A6">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9BC868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D84416D">
      <w:pPr>
        <w:snapToGrid w:val="0"/>
        <w:spacing w:beforeLines="50" w:after="50"/>
        <w:ind w:firstLine="720" w:firstLineChars="225"/>
        <w:rPr>
          <w:rFonts w:ascii="宋体" w:hAnsi="宋体" w:cs="仿宋_GB2312"/>
          <w:bCs/>
          <w:color w:val="auto"/>
          <w:sz w:val="32"/>
          <w:szCs w:val="32"/>
          <w:highlight w:val="none"/>
        </w:rPr>
      </w:pPr>
    </w:p>
    <w:p w14:paraId="12E3EAD0">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FC26E48">
      <w:pPr>
        <w:pStyle w:val="9"/>
        <w:snapToGrid w:val="0"/>
        <w:spacing w:before="50" w:after="50"/>
        <w:ind w:firstLine="640" w:firstLineChars="200"/>
        <w:rPr>
          <w:rFonts w:ascii="宋体" w:hAnsi="宋体" w:cs="仿宋_GB2312"/>
          <w:bCs/>
          <w:color w:val="auto"/>
          <w:sz w:val="32"/>
          <w:szCs w:val="32"/>
          <w:highlight w:val="none"/>
        </w:rPr>
      </w:pPr>
    </w:p>
    <w:p w14:paraId="274ADD0A">
      <w:pPr>
        <w:pStyle w:val="9"/>
        <w:snapToGrid w:val="0"/>
        <w:spacing w:before="50" w:after="50"/>
        <w:ind w:firstLine="720" w:firstLineChars="225"/>
        <w:rPr>
          <w:rFonts w:ascii="宋体" w:hAnsi="宋体" w:cs="仿宋_GB2312"/>
          <w:bCs/>
          <w:color w:val="auto"/>
          <w:sz w:val="32"/>
          <w:szCs w:val="32"/>
          <w:highlight w:val="none"/>
        </w:rPr>
      </w:pPr>
    </w:p>
    <w:p w14:paraId="75B0563B">
      <w:pPr>
        <w:pStyle w:val="9"/>
        <w:snapToGrid w:val="0"/>
        <w:spacing w:before="50" w:after="50"/>
        <w:ind w:firstLine="0"/>
        <w:rPr>
          <w:rFonts w:ascii="宋体" w:hAnsi="宋体" w:cs="仿宋_GB2312"/>
          <w:bCs/>
          <w:color w:val="auto"/>
          <w:sz w:val="32"/>
          <w:szCs w:val="32"/>
          <w:highlight w:val="none"/>
        </w:rPr>
      </w:pPr>
    </w:p>
    <w:p w14:paraId="2C62ACEC">
      <w:pPr>
        <w:pStyle w:val="9"/>
        <w:snapToGrid w:val="0"/>
        <w:spacing w:before="50" w:after="50"/>
        <w:ind w:firstLine="1280" w:firstLineChars="400"/>
        <w:rPr>
          <w:rFonts w:ascii="宋体" w:hAnsi="宋体" w:cs="仿宋_GB2312"/>
          <w:bCs/>
          <w:color w:val="auto"/>
          <w:sz w:val="32"/>
          <w:szCs w:val="32"/>
          <w:highlight w:val="none"/>
        </w:rPr>
      </w:pPr>
    </w:p>
    <w:p w14:paraId="0D84F52A">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1538A4B">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09447B5">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3FFE5E4">
      <w:pPr>
        <w:spacing w:line="400" w:lineRule="exact"/>
        <w:rPr>
          <w:rFonts w:ascii="仿宋_GB2312" w:hAnsi="仿宋_GB2312" w:eastAsia="仿宋_GB2312" w:cs="仿宋_GB2312"/>
          <w:color w:val="auto"/>
          <w:sz w:val="32"/>
          <w:szCs w:val="32"/>
          <w:highlight w:val="none"/>
        </w:rPr>
      </w:pPr>
    </w:p>
    <w:p w14:paraId="3976AD8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7F00DF72">
      <w:pPr>
        <w:spacing w:line="360" w:lineRule="auto"/>
        <w:ind w:firstLine="640" w:firstLineChars="200"/>
        <w:contextualSpacing/>
        <w:rPr>
          <w:rFonts w:ascii="仿宋_GB2312" w:hAnsi="仿宋_GB2312" w:eastAsia="仿宋_GB2312" w:cs="仿宋_GB2312"/>
          <w:color w:val="auto"/>
          <w:sz w:val="32"/>
          <w:szCs w:val="32"/>
          <w:highlight w:val="none"/>
        </w:rPr>
      </w:pPr>
    </w:p>
    <w:p w14:paraId="62F2121B">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346799D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80516B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8A5CC7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365109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BAB96F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A5D793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1680CF9">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6779BB3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0B53E2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403F85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61BBC5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41DB8A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7A2AC2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CDC4B1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5EEC863">
      <w:pPr>
        <w:spacing w:line="360" w:lineRule="auto"/>
        <w:ind w:firstLine="480" w:firstLineChars="200"/>
        <w:contextualSpacing/>
        <w:rPr>
          <w:rFonts w:ascii="宋体" w:hAnsi="宋体" w:cs="仿宋_GB2312"/>
          <w:color w:val="auto"/>
          <w:sz w:val="24"/>
          <w:highlight w:val="none"/>
        </w:rPr>
      </w:pPr>
    </w:p>
    <w:p w14:paraId="7F37AA7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A78A2FE">
      <w:pPr>
        <w:spacing w:line="360" w:lineRule="auto"/>
        <w:contextualSpacing/>
        <w:rPr>
          <w:rFonts w:ascii="宋体" w:hAnsi="宋体" w:cs="仿宋_GB2312"/>
          <w:color w:val="auto"/>
          <w:sz w:val="24"/>
          <w:highlight w:val="none"/>
        </w:rPr>
      </w:pPr>
    </w:p>
    <w:p w14:paraId="06D18034">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7BB1481">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AB46A5C">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593D438">
      <w:pPr>
        <w:spacing w:line="360" w:lineRule="auto"/>
        <w:ind w:left="540"/>
        <w:contextualSpacing/>
        <w:rPr>
          <w:rFonts w:ascii="仿宋_GB2312" w:hAnsi="仿宋_GB2312" w:eastAsia="仿宋_GB2312" w:cs="仿宋_GB2312"/>
          <w:color w:val="auto"/>
          <w:sz w:val="32"/>
          <w:szCs w:val="32"/>
          <w:highlight w:val="none"/>
        </w:rPr>
      </w:pPr>
    </w:p>
    <w:p w14:paraId="1280D06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0200DF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A13626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30A50587">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640987B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12B8DDA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1C58659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34F7E988">
      <w:pPr>
        <w:spacing w:line="360" w:lineRule="auto"/>
        <w:ind w:left="540"/>
        <w:contextualSpacing/>
        <w:rPr>
          <w:rFonts w:ascii="宋体" w:hAnsi="宋体" w:cs="仿宋_GB2312"/>
          <w:color w:val="auto"/>
          <w:sz w:val="24"/>
          <w:highlight w:val="none"/>
        </w:rPr>
      </w:pPr>
    </w:p>
    <w:p w14:paraId="7E2B3B18">
      <w:pPr>
        <w:spacing w:line="360" w:lineRule="auto"/>
        <w:ind w:left="540"/>
        <w:contextualSpacing/>
        <w:rPr>
          <w:rFonts w:ascii="宋体" w:hAnsi="宋体" w:cs="仿宋_GB2312"/>
          <w:color w:val="auto"/>
          <w:sz w:val="24"/>
          <w:highlight w:val="none"/>
        </w:rPr>
      </w:pPr>
    </w:p>
    <w:p w14:paraId="0263F9A3">
      <w:pPr>
        <w:spacing w:line="360" w:lineRule="auto"/>
        <w:ind w:left="540"/>
        <w:contextualSpacing/>
        <w:rPr>
          <w:rFonts w:ascii="宋体" w:hAnsi="宋体" w:cs="仿宋_GB2312"/>
          <w:color w:val="auto"/>
          <w:sz w:val="24"/>
          <w:highlight w:val="none"/>
        </w:rPr>
      </w:pPr>
    </w:p>
    <w:p w14:paraId="7650D74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5C90E99">
      <w:pPr>
        <w:spacing w:line="360" w:lineRule="auto"/>
        <w:ind w:left="540"/>
        <w:contextualSpacing/>
        <w:rPr>
          <w:rFonts w:ascii="宋体" w:hAnsi="宋体" w:cs="仿宋_GB2312"/>
          <w:color w:val="auto"/>
          <w:sz w:val="24"/>
          <w:highlight w:val="none"/>
        </w:rPr>
      </w:pPr>
    </w:p>
    <w:p w14:paraId="34D7E05A">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545BDEB7">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A4D9B1B">
      <w:pPr>
        <w:spacing w:line="360" w:lineRule="auto"/>
        <w:contextualSpacing/>
        <w:jc w:val="center"/>
        <w:rPr>
          <w:rFonts w:ascii="宋体" w:hAnsi="宋体" w:cs="仿宋_GB2312"/>
          <w:b/>
          <w:color w:val="auto"/>
          <w:sz w:val="24"/>
          <w:highlight w:val="none"/>
        </w:rPr>
      </w:pPr>
    </w:p>
    <w:p w14:paraId="2C05DB83">
      <w:pPr>
        <w:spacing w:line="360" w:lineRule="auto"/>
        <w:contextualSpacing/>
        <w:jc w:val="left"/>
        <w:rPr>
          <w:rFonts w:ascii="宋体" w:hAnsi="宋体" w:cs="仿宋_GB2312"/>
          <w:color w:val="auto"/>
          <w:sz w:val="24"/>
          <w:highlight w:val="none"/>
        </w:rPr>
      </w:pPr>
    </w:p>
    <w:p w14:paraId="015D010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D0217F9">
      <w:pPr>
        <w:adjustRightInd w:val="0"/>
        <w:snapToGrid w:val="0"/>
        <w:spacing w:line="300" w:lineRule="auto"/>
        <w:jc w:val="left"/>
        <w:rPr>
          <w:rFonts w:ascii="宋体" w:hAnsi="宋体"/>
          <w:b/>
          <w:color w:val="auto"/>
          <w:szCs w:val="21"/>
          <w:highlight w:val="none"/>
        </w:rPr>
      </w:pPr>
    </w:p>
    <w:p w14:paraId="6A99B0C8">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3CF63CA5">
      <w:pPr>
        <w:spacing w:line="520" w:lineRule="exact"/>
        <w:jc w:val="center"/>
        <w:rPr>
          <w:rFonts w:ascii="方正小标宋简体" w:hAnsi="方正小标宋简体" w:eastAsia="方正小标宋简体" w:cs="方正小标宋简体"/>
          <w:color w:val="auto"/>
          <w:sz w:val="44"/>
          <w:szCs w:val="44"/>
          <w:highlight w:val="none"/>
        </w:rPr>
      </w:pPr>
      <w:bookmarkStart w:id="106" w:name="_Hlk65853643"/>
      <w:r>
        <w:rPr>
          <w:rFonts w:hint="eastAsia" w:ascii="方正小标宋简体" w:hAnsi="方正小标宋简体" w:eastAsia="方正小标宋简体" w:cs="方正小标宋简体"/>
          <w:color w:val="auto"/>
          <w:sz w:val="44"/>
          <w:szCs w:val="44"/>
          <w:highlight w:val="none"/>
        </w:rPr>
        <w:t>授权委托书</w:t>
      </w:r>
    </w:p>
    <w:p w14:paraId="652FE7E5">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B7E5EE0">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AEF2325">
      <w:pPr>
        <w:spacing w:line="520" w:lineRule="exact"/>
        <w:rPr>
          <w:rFonts w:ascii="仿宋_GB2312" w:hAnsi="仿宋_GB2312" w:eastAsia="仿宋_GB2312" w:cs="仿宋_GB2312"/>
          <w:color w:val="auto"/>
          <w:sz w:val="32"/>
          <w:szCs w:val="32"/>
          <w:highlight w:val="none"/>
        </w:rPr>
      </w:pPr>
    </w:p>
    <w:p w14:paraId="33AA5EFE">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525D6D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351716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52440D2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FCEBA7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25E432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DB9C19F">
      <w:pPr>
        <w:spacing w:line="360" w:lineRule="auto"/>
        <w:rPr>
          <w:rFonts w:ascii="宋体" w:hAnsi="宋体" w:cs="仿宋_GB2312"/>
          <w:color w:val="auto"/>
          <w:sz w:val="24"/>
          <w:highlight w:val="none"/>
        </w:rPr>
      </w:pPr>
    </w:p>
    <w:p w14:paraId="4911DDC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635F015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4DBD87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7CEF7B70">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6CB9B320">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E4AA3B8">
      <w:pPr>
        <w:spacing w:line="360" w:lineRule="auto"/>
        <w:rPr>
          <w:rFonts w:ascii="宋体" w:hAnsi="宋体" w:cs="仿宋_GB2312"/>
          <w:color w:val="auto"/>
          <w:sz w:val="24"/>
          <w:highlight w:val="none"/>
        </w:rPr>
      </w:pPr>
    </w:p>
    <w:p w14:paraId="01222208">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A81438B">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107" w:name="_Hlk65853109"/>
      <w:bookmarkStart w:id="108" w:name="_Hlk65853542"/>
      <w:r>
        <w:rPr>
          <w:rFonts w:hint="eastAsia" w:ascii="宋体" w:hAnsi="宋体" w:cs="仿宋_GB2312"/>
          <w:color w:val="auto"/>
          <w:sz w:val="24"/>
          <w:highlight w:val="none"/>
        </w:rPr>
        <w:t>法人、其他组织竞标时“我方”是指“我单位”，自然人竞标时“我方”是指“本人”。</w:t>
      </w:r>
      <w:bookmarkEnd w:id="107"/>
    </w:p>
    <w:bookmarkEnd w:id="108"/>
    <w:p w14:paraId="71409041">
      <w:pPr>
        <w:spacing w:line="360" w:lineRule="auto"/>
        <w:ind w:firstLine="420" w:firstLineChars="200"/>
        <w:jc w:val="left"/>
        <w:rPr>
          <w:rFonts w:ascii="仿宋_GB2312" w:hAnsi="仿宋_GB2312" w:eastAsia="仿宋_GB2312" w:cs="仿宋_GB2312"/>
          <w:color w:val="auto"/>
          <w:szCs w:val="21"/>
          <w:highlight w:val="none"/>
        </w:rPr>
      </w:pPr>
    </w:p>
    <w:p w14:paraId="068876A4">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2C85505B">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57ABE21F">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19CA114">
      <w:pPr>
        <w:spacing w:line="500" w:lineRule="exact"/>
        <w:jc w:val="center"/>
        <w:rPr>
          <w:rFonts w:ascii="方正小标宋简体" w:hAnsi="方正小标宋简体" w:eastAsia="方正小标宋简体" w:cs="方正小标宋简体"/>
          <w:color w:val="auto"/>
          <w:sz w:val="44"/>
          <w:szCs w:val="44"/>
          <w:highlight w:val="none"/>
        </w:rPr>
      </w:pPr>
    </w:p>
    <w:p w14:paraId="7FAEFF3F">
      <w:pPr>
        <w:spacing w:line="500" w:lineRule="exact"/>
        <w:jc w:val="center"/>
        <w:rPr>
          <w:rFonts w:ascii="仿宋_GB2312" w:hAnsi="仿宋_GB2312" w:eastAsia="仿宋_GB2312" w:cs="仿宋_GB2312"/>
          <w:color w:val="auto"/>
          <w:sz w:val="32"/>
          <w:szCs w:val="32"/>
          <w:highlight w:val="none"/>
        </w:rPr>
      </w:pPr>
    </w:p>
    <w:p w14:paraId="2A8EC4CA">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750B953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1E2AF6A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2FA77C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EECA17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51A18D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367B244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37B0DDB7">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4A6A8BA">
      <w:pPr>
        <w:spacing w:line="360" w:lineRule="auto"/>
        <w:contextualSpacing/>
        <w:rPr>
          <w:rFonts w:ascii="宋体" w:hAnsi="宋体" w:cs="仿宋_GB2312"/>
          <w:color w:val="auto"/>
          <w:sz w:val="24"/>
          <w:highlight w:val="none"/>
        </w:rPr>
      </w:pPr>
    </w:p>
    <w:p w14:paraId="36365E8F">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3F9E1D41">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803C5F6">
      <w:pPr>
        <w:spacing w:line="360" w:lineRule="auto"/>
        <w:contextualSpacing/>
        <w:rPr>
          <w:rFonts w:ascii="宋体" w:hAnsi="宋体" w:cs="仿宋_GB2312"/>
          <w:color w:val="auto"/>
          <w:sz w:val="24"/>
          <w:highlight w:val="none"/>
        </w:rPr>
      </w:pPr>
    </w:p>
    <w:p w14:paraId="429CA25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17726E1">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106"/>
    <w:p w14:paraId="38B0E0CA">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11D920E1">
      <w:pPr>
        <w:spacing w:line="50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（注：按采购需求具体条款修改）</w:t>
      </w:r>
    </w:p>
    <w:p w14:paraId="086C065F">
      <w:pPr>
        <w:spacing w:line="360" w:lineRule="auto"/>
        <w:contextualSpacing/>
        <w:jc w:val="left"/>
        <w:rPr>
          <w:rFonts w:ascii="宋体" w:hAnsi="宋体"/>
          <w:color w:val="auto"/>
          <w:sz w:val="24"/>
          <w:highlight w:val="none"/>
        </w:rPr>
      </w:pPr>
    </w:p>
    <w:p w14:paraId="6A3A8332">
      <w:pPr>
        <w:pStyle w:val="18"/>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024A0880">
      <w:pPr>
        <w:spacing w:line="360" w:lineRule="auto"/>
        <w:contextualSpacing/>
        <w:jc w:val="left"/>
        <w:rPr>
          <w:rFonts w:ascii="宋体" w:hAnsi="宋体" w:cs="仿宋_GB2312"/>
          <w:color w:val="auto"/>
          <w:sz w:val="24"/>
          <w:highlight w:val="none"/>
          <w:u w:val="single"/>
        </w:rPr>
      </w:pPr>
    </w:p>
    <w:tbl>
      <w:tblPr>
        <w:tblStyle w:val="2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158E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351E338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B177D5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DE6AEA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062BD26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2140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42CC3851">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ADA9A27">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002048B">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7F90ADA">
            <w:pPr>
              <w:spacing w:line="360" w:lineRule="auto"/>
              <w:contextualSpacing/>
              <w:jc w:val="center"/>
              <w:rPr>
                <w:rFonts w:ascii="宋体" w:hAnsi="宋体" w:cs="仿宋_GB2312"/>
                <w:color w:val="auto"/>
                <w:sz w:val="24"/>
                <w:highlight w:val="none"/>
              </w:rPr>
            </w:pPr>
          </w:p>
        </w:tc>
      </w:tr>
      <w:tr w14:paraId="11445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33DB665D">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C848FB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BD572E2">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F50B365">
            <w:pPr>
              <w:spacing w:line="360" w:lineRule="auto"/>
              <w:ind w:left="43"/>
              <w:contextualSpacing/>
              <w:jc w:val="center"/>
              <w:rPr>
                <w:rFonts w:ascii="宋体" w:hAnsi="宋体" w:cs="仿宋_GB2312"/>
                <w:color w:val="auto"/>
                <w:sz w:val="24"/>
                <w:highlight w:val="none"/>
              </w:rPr>
            </w:pPr>
          </w:p>
        </w:tc>
      </w:tr>
      <w:tr w14:paraId="69B8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2904B43A">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31A7D16">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69D64D6">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030AD59">
            <w:pPr>
              <w:spacing w:line="360" w:lineRule="auto"/>
              <w:contextualSpacing/>
              <w:jc w:val="center"/>
              <w:rPr>
                <w:rFonts w:ascii="宋体" w:hAnsi="宋体" w:cs="仿宋_GB2312"/>
                <w:color w:val="auto"/>
                <w:sz w:val="24"/>
                <w:highlight w:val="none"/>
              </w:rPr>
            </w:pPr>
          </w:p>
        </w:tc>
      </w:tr>
    </w:tbl>
    <w:p w14:paraId="0C6813CD">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3FBFD02">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273D1221">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4E9CCDFE">
      <w:pPr>
        <w:spacing w:line="360" w:lineRule="auto"/>
        <w:ind w:right="-817" w:rightChars="-389"/>
        <w:contextualSpacing/>
        <w:rPr>
          <w:rFonts w:ascii="宋体" w:hAnsi="宋体" w:cs="仿宋_GB2312"/>
          <w:color w:val="auto"/>
          <w:sz w:val="24"/>
          <w:highlight w:val="none"/>
        </w:rPr>
      </w:pPr>
    </w:p>
    <w:p w14:paraId="63909C72">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EF1EA4D">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1ABF910">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79177A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917952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E0D55A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A7AE4D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902D1A9">
      <w:pPr>
        <w:adjustRightInd w:val="0"/>
        <w:snapToGrid w:val="0"/>
        <w:spacing w:line="520" w:lineRule="exact"/>
        <w:rPr>
          <w:rFonts w:ascii="宋体" w:hAnsi="宋体"/>
          <w:color w:val="auto"/>
          <w:szCs w:val="21"/>
          <w:highlight w:val="none"/>
          <w:u w:val="single"/>
        </w:rPr>
      </w:pPr>
    </w:p>
    <w:p w14:paraId="775E155C">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2953085">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0D422B93">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33FAD0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3BEF203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1105CE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B89131D">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09" w:name="_Toc383699906"/>
            <w:bookmarkStart w:id="110" w:name="_Toc254970729"/>
            <w:bookmarkStart w:id="111" w:name="_Toc373333689"/>
            <w:bookmarkStart w:id="112" w:name="_Toc254970588"/>
            <w:bookmarkStart w:id="113" w:name="_Toc173211900"/>
            <w:bookmarkStart w:id="114" w:name="_Toc173066401"/>
            <w:bookmarkStart w:id="115" w:name="_Toc297193185"/>
            <w:bookmarkStart w:id="116" w:name="_Toc295404981"/>
            <w:bookmarkStart w:id="117" w:name="_Toc301781611"/>
            <w:r>
              <w:rPr>
                <w:rFonts w:hint="eastAsia" w:ascii="宋体" w:hAnsi="宋体" w:eastAsia="宋体" w:cs="仿宋_GB2312"/>
                <w:color w:val="auto"/>
                <w:kern w:val="2"/>
                <w:sz w:val="24"/>
                <w:szCs w:val="24"/>
                <w:highlight w:val="none"/>
              </w:rPr>
              <w:t>序号</w:t>
            </w:r>
            <w:bookmarkEnd w:id="109"/>
            <w:bookmarkEnd w:id="110"/>
            <w:bookmarkEnd w:id="111"/>
            <w:bookmarkEnd w:id="112"/>
            <w:bookmarkEnd w:id="113"/>
            <w:bookmarkEnd w:id="114"/>
            <w:bookmarkEnd w:id="115"/>
            <w:bookmarkEnd w:id="116"/>
            <w:bookmarkEnd w:id="117"/>
          </w:p>
        </w:tc>
        <w:tc>
          <w:tcPr>
            <w:tcW w:w="915" w:type="dxa"/>
            <w:tcBorders>
              <w:right w:val="single" w:color="auto" w:sz="4" w:space="0"/>
            </w:tcBorders>
            <w:vAlign w:val="center"/>
          </w:tcPr>
          <w:p w14:paraId="3DC48F64">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644C5290">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0A3EE9A3">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18" w:name="_Toc173211902"/>
            <w:bookmarkStart w:id="119" w:name="_Toc373333691"/>
            <w:bookmarkStart w:id="120" w:name="_Toc254970590"/>
            <w:bookmarkStart w:id="121" w:name="_Toc173066403"/>
            <w:bookmarkStart w:id="122" w:name="_Toc254970731"/>
            <w:bookmarkStart w:id="123" w:name="_Toc297193187"/>
            <w:bookmarkStart w:id="124" w:name="_Toc301781613"/>
            <w:bookmarkStart w:id="125" w:name="_Toc295404983"/>
            <w:bookmarkStart w:id="126" w:name="_Toc383699908"/>
            <w:r>
              <w:rPr>
                <w:rFonts w:hint="eastAsia" w:ascii="宋体" w:hAnsi="宋体" w:eastAsia="宋体" w:cs="仿宋_GB2312"/>
                <w:color w:val="auto"/>
                <w:kern w:val="2"/>
                <w:sz w:val="24"/>
                <w:szCs w:val="24"/>
                <w:highlight w:val="none"/>
              </w:rPr>
              <w:t>竞标响应</w:t>
            </w:r>
            <w:bookmarkEnd w:id="118"/>
            <w:bookmarkEnd w:id="119"/>
            <w:bookmarkEnd w:id="120"/>
            <w:bookmarkEnd w:id="121"/>
            <w:bookmarkEnd w:id="122"/>
            <w:bookmarkEnd w:id="123"/>
            <w:bookmarkEnd w:id="124"/>
            <w:bookmarkEnd w:id="125"/>
            <w:bookmarkEnd w:id="126"/>
          </w:p>
        </w:tc>
        <w:tc>
          <w:tcPr>
            <w:tcW w:w="1492" w:type="dxa"/>
            <w:vAlign w:val="center"/>
          </w:tcPr>
          <w:p w14:paraId="45ECD88A">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27" w:name="_Toc383699909"/>
            <w:bookmarkStart w:id="128" w:name="_Toc297193188"/>
            <w:bookmarkStart w:id="129" w:name="_Toc254970591"/>
            <w:bookmarkStart w:id="130" w:name="_Toc254970732"/>
            <w:bookmarkStart w:id="131" w:name="_Toc373333692"/>
            <w:bookmarkStart w:id="132" w:name="_Toc173066404"/>
            <w:bookmarkStart w:id="133" w:name="_Toc173211903"/>
            <w:bookmarkStart w:id="134" w:name="_Toc301781614"/>
            <w:bookmarkStart w:id="135" w:name="_Toc295404984"/>
            <w:r>
              <w:rPr>
                <w:rFonts w:hint="eastAsia" w:ascii="宋体" w:hAnsi="宋体" w:eastAsia="宋体" w:cs="仿宋_GB2312"/>
                <w:color w:val="auto"/>
                <w:kern w:val="2"/>
                <w:sz w:val="24"/>
                <w:szCs w:val="24"/>
                <w:highlight w:val="none"/>
              </w:rPr>
              <w:t>偏离</w:t>
            </w:r>
            <w:bookmarkEnd w:id="127"/>
            <w:bookmarkEnd w:id="128"/>
            <w:bookmarkEnd w:id="129"/>
            <w:bookmarkEnd w:id="130"/>
            <w:bookmarkEnd w:id="131"/>
            <w:bookmarkEnd w:id="132"/>
            <w:bookmarkEnd w:id="133"/>
            <w:bookmarkEnd w:id="134"/>
            <w:bookmarkEnd w:id="135"/>
            <w:bookmarkStart w:id="136" w:name="_Toc173066405"/>
            <w:bookmarkStart w:id="137" w:name="_Toc373333693"/>
            <w:bookmarkStart w:id="138" w:name="_Toc295404985"/>
            <w:bookmarkStart w:id="139" w:name="_Toc254970733"/>
            <w:bookmarkStart w:id="140" w:name="_Toc297193189"/>
            <w:bookmarkStart w:id="141" w:name="_Toc173211904"/>
            <w:bookmarkStart w:id="142" w:name="_Toc301781615"/>
            <w:bookmarkStart w:id="143" w:name="_Toc254970592"/>
            <w:bookmarkStart w:id="144" w:name="_Toc383699910"/>
            <w:r>
              <w:rPr>
                <w:rFonts w:hint="eastAsia" w:ascii="宋体" w:hAnsi="宋体" w:eastAsia="宋体" w:cs="仿宋_GB2312"/>
                <w:color w:val="auto"/>
                <w:kern w:val="2"/>
                <w:sz w:val="24"/>
                <w:szCs w:val="24"/>
                <w:highlight w:val="none"/>
              </w:rPr>
              <w:t>说明</w:t>
            </w:r>
            <w:bookmarkEnd w:id="136"/>
            <w:bookmarkEnd w:id="137"/>
            <w:bookmarkEnd w:id="138"/>
            <w:bookmarkEnd w:id="139"/>
            <w:bookmarkEnd w:id="140"/>
            <w:bookmarkEnd w:id="141"/>
            <w:bookmarkEnd w:id="142"/>
            <w:bookmarkEnd w:id="143"/>
            <w:bookmarkEnd w:id="144"/>
          </w:p>
        </w:tc>
      </w:tr>
      <w:tr w14:paraId="7CC5E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92F12B">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45" w:name="_Toc297193190"/>
            <w:bookmarkStart w:id="146" w:name="_Toc373333694"/>
            <w:bookmarkStart w:id="147" w:name="_Toc301781616"/>
            <w:bookmarkStart w:id="148" w:name="_Toc295404986"/>
            <w:bookmarkStart w:id="149" w:name="_Toc173211905"/>
            <w:bookmarkStart w:id="150" w:name="_Toc254970734"/>
            <w:bookmarkStart w:id="151" w:name="_Toc173066406"/>
            <w:bookmarkStart w:id="152" w:name="_Toc254970593"/>
            <w:bookmarkStart w:id="153" w:name="_Toc383699911"/>
            <w:r>
              <w:rPr>
                <w:rFonts w:hint="eastAsia" w:ascii="宋体" w:hAnsi="宋体" w:eastAsia="宋体" w:cs="仿宋_GB2312"/>
                <w:color w:val="auto"/>
                <w:kern w:val="2"/>
                <w:sz w:val="24"/>
                <w:szCs w:val="24"/>
                <w:highlight w:val="none"/>
              </w:rPr>
              <w:t>1</w:t>
            </w:r>
            <w:bookmarkEnd w:id="145"/>
            <w:bookmarkEnd w:id="146"/>
            <w:bookmarkEnd w:id="147"/>
            <w:bookmarkEnd w:id="148"/>
            <w:bookmarkEnd w:id="149"/>
            <w:bookmarkEnd w:id="150"/>
            <w:bookmarkEnd w:id="151"/>
            <w:bookmarkEnd w:id="152"/>
            <w:bookmarkEnd w:id="153"/>
          </w:p>
        </w:tc>
        <w:tc>
          <w:tcPr>
            <w:tcW w:w="915" w:type="dxa"/>
            <w:tcBorders>
              <w:right w:val="single" w:color="auto" w:sz="4" w:space="0"/>
            </w:tcBorders>
            <w:vAlign w:val="center"/>
          </w:tcPr>
          <w:p w14:paraId="4652E60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5E83C2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0FCE72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F60E7B7">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FFA1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D164A6C">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4" w:name="_Toc173066407"/>
            <w:bookmarkStart w:id="155" w:name="_Toc254970735"/>
            <w:bookmarkStart w:id="156" w:name="_Toc297193191"/>
            <w:bookmarkStart w:id="157" w:name="_Toc301781617"/>
            <w:bookmarkStart w:id="158" w:name="_Toc383699912"/>
            <w:bookmarkStart w:id="159" w:name="_Toc254970594"/>
            <w:bookmarkStart w:id="160" w:name="_Toc373333695"/>
            <w:bookmarkStart w:id="161" w:name="_Toc295404987"/>
            <w:bookmarkStart w:id="162" w:name="_Toc173211906"/>
            <w:r>
              <w:rPr>
                <w:rFonts w:hint="eastAsia" w:ascii="宋体" w:hAnsi="宋体" w:eastAsia="宋体" w:cs="仿宋_GB2312"/>
                <w:color w:val="auto"/>
                <w:kern w:val="2"/>
                <w:sz w:val="24"/>
                <w:szCs w:val="24"/>
                <w:highlight w:val="none"/>
              </w:rPr>
              <w:t>2</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vAlign w:val="center"/>
          </w:tcPr>
          <w:p w14:paraId="4CD85DA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2D1753D">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0BB7DCD">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0E57FA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12092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87F97AF">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63" w:name="_Toc295404988"/>
            <w:bookmarkStart w:id="164" w:name="_Toc173211907"/>
            <w:bookmarkStart w:id="165" w:name="_Toc254970736"/>
            <w:bookmarkStart w:id="166" w:name="_Toc173066408"/>
            <w:bookmarkStart w:id="167" w:name="_Toc301781618"/>
            <w:bookmarkStart w:id="168" w:name="_Toc373333696"/>
            <w:bookmarkStart w:id="169" w:name="_Toc254970595"/>
            <w:bookmarkStart w:id="170" w:name="_Toc383699913"/>
            <w:bookmarkStart w:id="171" w:name="_Toc297193192"/>
            <w:r>
              <w:rPr>
                <w:rFonts w:hint="eastAsia" w:ascii="宋体" w:hAnsi="宋体" w:eastAsia="宋体" w:cs="仿宋_GB2312"/>
                <w:color w:val="auto"/>
                <w:kern w:val="2"/>
                <w:sz w:val="24"/>
                <w:szCs w:val="24"/>
                <w:highlight w:val="none"/>
              </w:rPr>
              <w:t>3</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vAlign w:val="center"/>
          </w:tcPr>
          <w:p w14:paraId="18FEA7F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A173F5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AA6A5C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C109C6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4C4F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95D7326">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72" w:name="_Toc297193193"/>
            <w:bookmarkStart w:id="173" w:name="_Toc254970596"/>
            <w:bookmarkStart w:id="174" w:name="_Toc373333697"/>
            <w:bookmarkStart w:id="175" w:name="_Toc295404989"/>
            <w:bookmarkStart w:id="176" w:name="_Toc173066409"/>
            <w:bookmarkStart w:id="177" w:name="_Toc301781619"/>
            <w:bookmarkStart w:id="178" w:name="_Toc383699914"/>
            <w:bookmarkStart w:id="179" w:name="_Toc173211908"/>
            <w:bookmarkStart w:id="180" w:name="_Toc254970737"/>
            <w:r>
              <w:rPr>
                <w:rFonts w:hint="eastAsia" w:ascii="宋体" w:hAnsi="宋体" w:eastAsia="宋体" w:cs="仿宋_GB2312"/>
                <w:color w:val="auto"/>
                <w:kern w:val="2"/>
                <w:sz w:val="24"/>
                <w:szCs w:val="24"/>
                <w:highlight w:val="none"/>
              </w:rPr>
              <w:t>4</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vAlign w:val="center"/>
          </w:tcPr>
          <w:p w14:paraId="430B142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4C8037D">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741A373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703EC4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467BA4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3C9CB1E">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81" w:name="_Toc254970597"/>
            <w:bookmarkStart w:id="182" w:name="_Toc295404990"/>
            <w:bookmarkStart w:id="183" w:name="_Toc173211909"/>
            <w:bookmarkStart w:id="184" w:name="_Toc173066410"/>
            <w:bookmarkStart w:id="185" w:name="_Toc297193194"/>
            <w:bookmarkStart w:id="186" w:name="_Toc383699915"/>
            <w:bookmarkStart w:id="187" w:name="_Toc301781620"/>
            <w:bookmarkStart w:id="188" w:name="_Toc373333698"/>
            <w:bookmarkStart w:id="189" w:name="_Toc254970738"/>
            <w:r>
              <w:rPr>
                <w:rFonts w:hint="eastAsia" w:ascii="宋体" w:hAnsi="宋体" w:eastAsia="宋体" w:cs="仿宋_GB2312"/>
                <w:color w:val="auto"/>
                <w:kern w:val="2"/>
                <w:sz w:val="24"/>
                <w:szCs w:val="24"/>
                <w:highlight w:val="none"/>
              </w:rPr>
              <w:t>5</w:t>
            </w:r>
            <w:bookmarkEnd w:id="181"/>
            <w:bookmarkEnd w:id="182"/>
            <w:bookmarkEnd w:id="183"/>
            <w:bookmarkEnd w:id="184"/>
            <w:bookmarkEnd w:id="185"/>
            <w:bookmarkEnd w:id="186"/>
            <w:bookmarkEnd w:id="187"/>
            <w:bookmarkEnd w:id="188"/>
            <w:bookmarkEnd w:id="189"/>
          </w:p>
        </w:tc>
        <w:tc>
          <w:tcPr>
            <w:tcW w:w="915" w:type="dxa"/>
            <w:tcBorders>
              <w:right w:val="single" w:color="auto" w:sz="4" w:space="0"/>
            </w:tcBorders>
            <w:vAlign w:val="center"/>
          </w:tcPr>
          <w:p w14:paraId="098B65F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01F871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7BCF5B2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EDE0F8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0234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FCB4CC4">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90" w:name="_Toc295404991"/>
            <w:bookmarkStart w:id="191" w:name="_Toc297193195"/>
            <w:bookmarkStart w:id="192" w:name="_Toc173211914"/>
            <w:bookmarkStart w:id="193" w:name="_Toc301781621"/>
            <w:bookmarkStart w:id="194" w:name="_Toc383699916"/>
            <w:bookmarkStart w:id="195" w:name="_Toc254970743"/>
            <w:bookmarkStart w:id="196" w:name="_Toc373333699"/>
            <w:bookmarkStart w:id="197" w:name="_Toc254970602"/>
            <w:bookmarkStart w:id="198" w:name="_Toc173066415"/>
            <w:r>
              <w:rPr>
                <w:rFonts w:hint="eastAsia" w:ascii="宋体" w:hAnsi="宋体" w:eastAsia="宋体" w:cs="仿宋_GB2312"/>
                <w:color w:val="auto"/>
                <w:kern w:val="2"/>
                <w:sz w:val="24"/>
                <w:szCs w:val="24"/>
                <w:highlight w:val="none"/>
              </w:rPr>
              <w:t>…</w:t>
            </w:r>
            <w:bookmarkEnd w:id="190"/>
            <w:bookmarkEnd w:id="191"/>
            <w:bookmarkEnd w:id="192"/>
            <w:bookmarkEnd w:id="193"/>
            <w:bookmarkEnd w:id="194"/>
            <w:bookmarkEnd w:id="195"/>
            <w:bookmarkEnd w:id="196"/>
            <w:bookmarkEnd w:id="197"/>
            <w:bookmarkEnd w:id="198"/>
          </w:p>
        </w:tc>
        <w:tc>
          <w:tcPr>
            <w:tcW w:w="915" w:type="dxa"/>
            <w:tcBorders>
              <w:right w:val="single" w:color="auto" w:sz="4" w:space="0"/>
            </w:tcBorders>
            <w:vAlign w:val="center"/>
          </w:tcPr>
          <w:p w14:paraId="7ED0F29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93A88A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15D4A4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557B5F9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7BC030B8">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83F8AF7">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5A6EA6CE">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2107ACB4">
      <w:pPr>
        <w:spacing w:line="360" w:lineRule="auto"/>
        <w:ind w:right="-817" w:rightChars="-389"/>
        <w:contextualSpacing/>
        <w:rPr>
          <w:rFonts w:ascii="宋体" w:hAnsi="宋体" w:cs="仿宋_GB2312"/>
          <w:color w:val="auto"/>
          <w:sz w:val="24"/>
          <w:highlight w:val="none"/>
        </w:rPr>
      </w:pPr>
    </w:p>
    <w:p w14:paraId="649EB470">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175A34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1698A0F">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8F10F66">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29F2753">
      <w:pPr>
        <w:snapToGrid w:val="0"/>
        <w:spacing w:beforeLines="50" w:after="50"/>
        <w:ind w:left="142"/>
        <w:jc w:val="left"/>
        <w:rPr>
          <w:rFonts w:ascii="宋体" w:hAnsi="宋体"/>
          <w:b/>
          <w:color w:val="auto"/>
          <w:sz w:val="24"/>
          <w:highlight w:val="none"/>
        </w:rPr>
      </w:pPr>
    </w:p>
    <w:p w14:paraId="1945572C">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597606B">
      <w:pPr>
        <w:pStyle w:val="18"/>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4B5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A25FB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706912D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3738AFB6">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1F2BD19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17E2F2FA">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5AC72DF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46B40204">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8F4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545D6B">
            <w:pPr>
              <w:spacing w:line="360" w:lineRule="auto"/>
              <w:contextualSpacing/>
              <w:jc w:val="center"/>
              <w:rPr>
                <w:rFonts w:ascii="宋体" w:hAnsi="宋体"/>
                <w:color w:val="auto"/>
                <w:sz w:val="24"/>
                <w:szCs w:val="20"/>
                <w:highlight w:val="none"/>
              </w:rPr>
            </w:pPr>
          </w:p>
        </w:tc>
        <w:tc>
          <w:tcPr>
            <w:tcW w:w="709" w:type="dxa"/>
            <w:vAlign w:val="center"/>
          </w:tcPr>
          <w:p w14:paraId="6528B56B">
            <w:pPr>
              <w:spacing w:line="360" w:lineRule="auto"/>
              <w:contextualSpacing/>
              <w:jc w:val="center"/>
              <w:rPr>
                <w:rFonts w:ascii="宋体" w:hAnsi="宋体"/>
                <w:color w:val="auto"/>
                <w:sz w:val="24"/>
                <w:szCs w:val="20"/>
                <w:highlight w:val="none"/>
              </w:rPr>
            </w:pPr>
          </w:p>
        </w:tc>
        <w:tc>
          <w:tcPr>
            <w:tcW w:w="1701" w:type="dxa"/>
            <w:vAlign w:val="center"/>
          </w:tcPr>
          <w:p w14:paraId="53EA1F53">
            <w:pPr>
              <w:spacing w:line="360" w:lineRule="auto"/>
              <w:contextualSpacing/>
              <w:jc w:val="center"/>
              <w:rPr>
                <w:rFonts w:ascii="宋体" w:hAnsi="宋体"/>
                <w:color w:val="auto"/>
                <w:sz w:val="24"/>
                <w:szCs w:val="20"/>
                <w:highlight w:val="none"/>
              </w:rPr>
            </w:pPr>
          </w:p>
        </w:tc>
        <w:tc>
          <w:tcPr>
            <w:tcW w:w="1420" w:type="dxa"/>
            <w:vAlign w:val="center"/>
          </w:tcPr>
          <w:p w14:paraId="0B5FADE3">
            <w:pPr>
              <w:spacing w:line="360" w:lineRule="auto"/>
              <w:contextualSpacing/>
              <w:jc w:val="center"/>
              <w:rPr>
                <w:rFonts w:ascii="宋体" w:hAnsi="宋体"/>
                <w:color w:val="auto"/>
                <w:sz w:val="24"/>
                <w:szCs w:val="20"/>
                <w:highlight w:val="none"/>
              </w:rPr>
            </w:pPr>
          </w:p>
        </w:tc>
        <w:tc>
          <w:tcPr>
            <w:tcW w:w="1698" w:type="dxa"/>
            <w:vAlign w:val="center"/>
          </w:tcPr>
          <w:p w14:paraId="1C0278BC">
            <w:pPr>
              <w:spacing w:line="360" w:lineRule="auto"/>
              <w:contextualSpacing/>
              <w:jc w:val="center"/>
              <w:rPr>
                <w:rFonts w:ascii="宋体" w:hAnsi="宋体"/>
                <w:color w:val="auto"/>
                <w:sz w:val="24"/>
                <w:szCs w:val="20"/>
                <w:highlight w:val="none"/>
              </w:rPr>
            </w:pPr>
          </w:p>
        </w:tc>
        <w:tc>
          <w:tcPr>
            <w:tcW w:w="1843" w:type="dxa"/>
            <w:vAlign w:val="center"/>
          </w:tcPr>
          <w:p w14:paraId="4B9F1303">
            <w:pPr>
              <w:spacing w:line="360" w:lineRule="auto"/>
              <w:contextualSpacing/>
              <w:jc w:val="center"/>
              <w:rPr>
                <w:rFonts w:ascii="宋体" w:hAnsi="宋体"/>
                <w:color w:val="auto"/>
                <w:sz w:val="24"/>
                <w:szCs w:val="20"/>
                <w:highlight w:val="none"/>
              </w:rPr>
            </w:pPr>
          </w:p>
        </w:tc>
      </w:tr>
      <w:tr w14:paraId="7918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4688EB">
            <w:pPr>
              <w:spacing w:line="360" w:lineRule="auto"/>
              <w:contextualSpacing/>
              <w:jc w:val="center"/>
              <w:rPr>
                <w:rFonts w:ascii="宋体" w:hAnsi="宋体"/>
                <w:color w:val="auto"/>
                <w:sz w:val="24"/>
                <w:szCs w:val="20"/>
                <w:highlight w:val="none"/>
              </w:rPr>
            </w:pPr>
          </w:p>
        </w:tc>
        <w:tc>
          <w:tcPr>
            <w:tcW w:w="709" w:type="dxa"/>
            <w:vAlign w:val="center"/>
          </w:tcPr>
          <w:p w14:paraId="44A5B88F">
            <w:pPr>
              <w:spacing w:line="360" w:lineRule="auto"/>
              <w:contextualSpacing/>
              <w:jc w:val="center"/>
              <w:rPr>
                <w:rFonts w:ascii="宋体" w:hAnsi="宋体"/>
                <w:color w:val="auto"/>
                <w:sz w:val="24"/>
                <w:szCs w:val="20"/>
                <w:highlight w:val="none"/>
              </w:rPr>
            </w:pPr>
          </w:p>
        </w:tc>
        <w:tc>
          <w:tcPr>
            <w:tcW w:w="1701" w:type="dxa"/>
            <w:vAlign w:val="center"/>
          </w:tcPr>
          <w:p w14:paraId="62B73E60">
            <w:pPr>
              <w:spacing w:line="360" w:lineRule="auto"/>
              <w:contextualSpacing/>
              <w:jc w:val="center"/>
              <w:rPr>
                <w:rFonts w:ascii="宋体" w:hAnsi="宋体"/>
                <w:color w:val="auto"/>
                <w:sz w:val="24"/>
                <w:szCs w:val="20"/>
                <w:highlight w:val="none"/>
              </w:rPr>
            </w:pPr>
          </w:p>
        </w:tc>
        <w:tc>
          <w:tcPr>
            <w:tcW w:w="1420" w:type="dxa"/>
            <w:vAlign w:val="center"/>
          </w:tcPr>
          <w:p w14:paraId="2001F7B5">
            <w:pPr>
              <w:spacing w:line="360" w:lineRule="auto"/>
              <w:contextualSpacing/>
              <w:jc w:val="center"/>
              <w:rPr>
                <w:rFonts w:ascii="宋体" w:hAnsi="宋体"/>
                <w:color w:val="auto"/>
                <w:sz w:val="24"/>
                <w:szCs w:val="20"/>
                <w:highlight w:val="none"/>
              </w:rPr>
            </w:pPr>
          </w:p>
        </w:tc>
        <w:tc>
          <w:tcPr>
            <w:tcW w:w="1698" w:type="dxa"/>
            <w:vAlign w:val="center"/>
          </w:tcPr>
          <w:p w14:paraId="4D49A294">
            <w:pPr>
              <w:spacing w:line="360" w:lineRule="auto"/>
              <w:contextualSpacing/>
              <w:jc w:val="center"/>
              <w:rPr>
                <w:rFonts w:ascii="宋体" w:hAnsi="宋体"/>
                <w:color w:val="auto"/>
                <w:sz w:val="24"/>
                <w:szCs w:val="20"/>
                <w:highlight w:val="none"/>
              </w:rPr>
            </w:pPr>
          </w:p>
        </w:tc>
        <w:tc>
          <w:tcPr>
            <w:tcW w:w="1843" w:type="dxa"/>
            <w:vAlign w:val="center"/>
          </w:tcPr>
          <w:p w14:paraId="61A2268D">
            <w:pPr>
              <w:spacing w:line="360" w:lineRule="auto"/>
              <w:contextualSpacing/>
              <w:jc w:val="center"/>
              <w:rPr>
                <w:rFonts w:ascii="宋体" w:hAnsi="宋体"/>
                <w:color w:val="auto"/>
                <w:sz w:val="24"/>
                <w:szCs w:val="20"/>
                <w:highlight w:val="none"/>
              </w:rPr>
            </w:pPr>
          </w:p>
        </w:tc>
      </w:tr>
      <w:tr w14:paraId="10FA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6D21C3">
            <w:pPr>
              <w:spacing w:line="360" w:lineRule="auto"/>
              <w:contextualSpacing/>
              <w:jc w:val="center"/>
              <w:rPr>
                <w:rFonts w:ascii="宋体" w:hAnsi="宋体"/>
                <w:color w:val="auto"/>
                <w:sz w:val="24"/>
                <w:szCs w:val="20"/>
                <w:highlight w:val="none"/>
              </w:rPr>
            </w:pPr>
          </w:p>
        </w:tc>
        <w:tc>
          <w:tcPr>
            <w:tcW w:w="709" w:type="dxa"/>
            <w:vAlign w:val="center"/>
          </w:tcPr>
          <w:p w14:paraId="620CC936">
            <w:pPr>
              <w:spacing w:line="360" w:lineRule="auto"/>
              <w:contextualSpacing/>
              <w:jc w:val="center"/>
              <w:rPr>
                <w:rFonts w:ascii="宋体" w:hAnsi="宋体"/>
                <w:color w:val="auto"/>
                <w:sz w:val="24"/>
                <w:szCs w:val="20"/>
                <w:highlight w:val="none"/>
              </w:rPr>
            </w:pPr>
          </w:p>
        </w:tc>
        <w:tc>
          <w:tcPr>
            <w:tcW w:w="1701" w:type="dxa"/>
            <w:vAlign w:val="center"/>
          </w:tcPr>
          <w:p w14:paraId="1798F372">
            <w:pPr>
              <w:spacing w:line="360" w:lineRule="auto"/>
              <w:contextualSpacing/>
              <w:jc w:val="center"/>
              <w:rPr>
                <w:rFonts w:ascii="宋体" w:hAnsi="宋体"/>
                <w:color w:val="auto"/>
                <w:sz w:val="24"/>
                <w:szCs w:val="20"/>
                <w:highlight w:val="none"/>
              </w:rPr>
            </w:pPr>
          </w:p>
        </w:tc>
        <w:tc>
          <w:tcPr>
            <w:tcW w:w="1420" w:type="dxa"/>
            <w:vAlign w:val="center"/>
          </w:tcPr>
          <w:p w14:paraId="48BF04D9">
            <w:pPr>
              <w:spacing w:line="360" w:lineRule="auto"/>
              <w:contextualSpacing/>
              <w:jc w:val="center"/>
              <w:rPr>
                <w:rFonts w:ascii="宋体" w:hAnsi="宋体"/>
                <w:color w:val="auto"/>
                <w:sz w:val="24"/>
                <w:szCs w:val="20"/>
                <w:highlight w:val="none"/>
              </w:rPr>
            </w:pPr>
          </w:p>
        </w:tc>
        <w:tc>
          <w:tcPr>
            <w:tcW w:w="1698" w:type="dxa"/>
            <w:vAlign w:val="center"/>
          </w:tcPr>
          <w:p w14:paraId="65CE9AEA">
            <w:pPr>
              <w:spacing w:line="360" w:lineRule="auto"/>
              <w:contextualSpacing/>
              <w:jc w:val="center"/>
              <w:rPr>
                <w:rFonts w:ascii="宋体" w:hAnsi="宋体"/>
                <w:color w:val="auto"/>
                <w:sz w:val="24"/>
                <w:szCs w:val="20"/>
                <w:highlight w:val="none"/>
              </w:rPr>
            </w:pPr>
          </w:p>
        </w:tc>
        <w:tc>
          <w:tcPr>
            <w:tcW w:w="1843" w:type="dxa"/>
            <w:vAlign w:val="center"/>
          </w:tcPr>
          <w:p w14:paraId="7D9FF56B">
            <w:pPr>
              <w:spacing w:line="360" w:lineRule="auto"/>
              <w:contextualSpacing/>
              <w:jc w:val="center"/>
              <w:rPr>
                <w:rFonts w:ascii="宋体" w:hAnsi="宋体"/>
                <w:color w:val="auto"/>
                <w:sz w:val="24"/>
                <w:szCs w:val="20"/>
                <w:highlight w:val="none"/>
              </w:rPr>
            </w:pPr>
          </w:p>
        </w:tc>
      </w:tr>
    </w:tbl>
    <w:p w14:paraId="3C10232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DCAF742">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4843184">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4342E50">
      <w:pPr>
        <w:spacing w:line="360" w:lineRule="auto"/>
        <w:contextualSpacing/>
        <w:rPr>
          <w:rFonts w:ascii="宋体" w:hAnsi="宋体"/>
          <w:color w:val="auto"/>
          <w:sz w:val="24"/>
          <w:highlight w:val="none"/>
        </w:rPr>
      </w:pPr>
    </w:p>
    <w:p w14:paraId="3BC59950">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538776FB">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C527404">
      <w:pPr>
        <w:snapToGrid w:val="0"/>
        <w:spacing w:before="50" w:afterLines="50"/>
        <w:jc w:val="left"/>
        <w:rPr>
          <w:rFonts w:ascii="宋体" w:hAnsi="宋体"/>
          <w:color w:val="auto"/>
          <w:sz w:val="24"/>
          <w:szCs w:val="20"/>
          <w:highlight w:val="none"/>
        </w:rPr>
      </w:pPr>
    </w:p>
    <w:p w14:paraId="57FAB416">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7769E6E1">
      <w:pPr>
        <w:snapToGrid w:val="0"/>
        <w:spacing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55741D68">
      <w:pPr>
        <w:snapToGrid w:val="0"/>
        <w:spacing w:beforeLines="50" w:after="50"/>
        <w:jc w:val="left"/>
        <w:rPr>
          <w:rFonts w:ascii="方正小标宋简体" w:hAnsi="方正小标宋简体" w:eastAsia="方正小标宋简体" w:cs="方正小标宋简体"/>
          <w:bCs/>
          <w:color w:val="auto"/>
          <w:szCs w:val="21"/>
          <w:highlight w:val="none"/>
        </w:rPr>
      </w:pPr>
    </w:p>
    <w:p w14:paraId="30C9589F">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738E4669">
      <w:pPr>
        <w:snapToGrid w:val="0"/>
        <w:spacing w:beforeLines="50" w:after="50"/>
        <w:jc w:val="center"/>
        <w:rPr>
          <w:rFonts w:ascii="宋体" w:hAnsi="宋体"/>
          <w:b/>
          <w:color w:val="auto"/>
          <w:sz w:val="24"/>
          <w:highlight w:val="none"/>
        </w:rPr>
      </w:pPr>
    </w:p>
    <w:p w14:paraId="6DD6F0B2">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64ACEE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057B10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683A89C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66935FA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725E2D0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28A1E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780165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5701296B">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E32E7C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41537B">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B8DE8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047A87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1D8834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8F41C96">
      <w:pPr>
        <w:spacing w:line="440" w:lineRule="exact"/>
        <w:rPr>
          <w:rFonts w:ascii="宋体" w:hAnsi="宋体"/>
          <w:color w:val="auto"/>
          <w:sz w:val="24"/>
          <w:highlight w:val="none"/>
        </w:rPr>
      </w:pPr>
    </w:p>
    <w:p w14:paraId="7F812BCD">
      <w:pPr>
        <w:spacing w:line="440" w:lineRule="exact"/>
        <w:rPr>
          <w:rFonts w:ascii="宋体" w:hAnsi="宋体"/>
          <w:color w:val="auto"/>
          <w:sz w:val="24"/>
          <w:highlight w:val="none"/>
        </w:rPr>
      </w:pPr>
    </w:p>
    <w:p w14:paraId="0C3BE7D5">
      <w:pPr>
        <w:spacing w:line="440" w:lineRule="exact"/>
        <w:rPr>
          <w:rFonts w:ascii="宋体" w:hAnsi="宋体"/>
          <w:color w:val="auto"/>
          <w:sz w:val="24"/>
          <w:highlight w:val="none"/>
        </w:rPr>
      </w:pPr>
    </w:p>
    <w:p w14:paraId="67793D21">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27598B43">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743AC0A1">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1E9D2188">
      <w:pPr>
        <w:jc w:val="center"/>
        <w:rPr>
          <w:rFonts w:ascii="方正小标宋简体" w:hAnsi="方正小标宋简体" w:eastAsia="方正小标宋简体" w:cs="方正小标宋简体"/>
          <w:color w:val="auto"/>
          <w:sz w:val="44"/>
          <w:szCs w:val="44"/>
          <w:highlight w:val="none"/>
        </w:rPr>
      </w:pPr>
      <w:bookmarkStart w:id="199" w:name="_Toc71365926"/>
      <w:r>
        <w:rPr>
          <w:rFonts w:hint="eastAsia" w:ascii="方正小标宋简体" w:hAnsi="方正小标宋简体" w:eastAsia="方正小标宋简体" w:cs="方正小标宋简体"/>
          <w:color w:val="auto"/>
          <w:sz w:val="44"/>
          <w:szCs w:val="44"/>
          <w:highlight w:val="none"/>
        </w:rPr>
        <w:t>中小企业声明函（服务）</w:t>
      </w:r>
      <w:bookmarkEnd w:id="199"/>
    </w:p>
    <w:p w14:paraId="614766B7">
      <w:pPr>
        <w:spacing w:before="2" w:line="500" w:lineRule="exact"/>
        <w:ind w:firstLine="708" w:firstLineChars="294"/>
        <w:rPr>
          <w:rFonts w:ascii="宋体" w:hAnsi="宋体" w:cs="宋体"/>
          <w:b/>
          <w:bCs/>
          <w:color w:val="auto"/>
          <w:sz w:val="24"/>
          <w:highlight w:val="none"/>
        </w:rPr>
      </w:pPr>
    </w:p>
    <w:p w14:paraId="7386AD96">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7FB6125E">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AAF66A8">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07350AD">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D732B63">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0547A57">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5726896D">
      <w:pPr>
        <w:pStyle w:val="2"/>
        <w:spacing w:before="56" w:line="500" w:lineRule="exact"/>
        <w:ind w:right="1808" w:firstLine="705" w:firstLineChars="294"/>
        <w:rPr>
          <w:rFonts w:ascii="宋体" w:hAnsi="宋体"/>
          <w:color w:val="auto"/>
          <w:sz w:val="24"/>
          <w:highlight w:val="none"/>
        </w:rPr>
      </w:pPr>
    </w:p>
    <w:p w14:paraId="445297A4">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r>
        <w:rPr>
          <w:rFonts w:ascii="宋体" w:hAnsi="宋体"/>
          <w:color w:val="auto"/>
          <w:sz w:val="24"/>
          <w:highlight w:val="none"/>
        </w:rPr>
        <w:t xml:space="preserve"> </w:t>
      </w:r>
    </w:p>
    <w:p w14:paraId="4A8AC348">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2F85E63F">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FA13D30">
      <w:pPr>
        <w:spacing w:line="520" w:lineRule="exact"/>
        <w:jc w:val="center"/>
        <w:rPr>
          <w:rFonts w:ascii="宋体" w:hAnsi="宋体"/>
          <w:color w:val="auto"/>
          <w:sz w:val="24"/>
          <w:highlight w:val="none"/>
        </w:rPr>
      </w:pPr>
      <w:r>
        <w:rPr>
          <w:rFonts w:ascii="宋体" w:hAnsi="宋体"/>
          <w:color w:val="auto"/>
          <w:sz w:val="24"/>
          <w:highlight w:val="none"/>
        </w:rPr>
        <w:br w:type="page"/>
      </w:r>
    </w:p>
    <w:p w14:paraId="446E6013">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6F43E04B">
      <w:pPr>
        <w:spacing w:line="360" w:lineRule="auto"/>
        <w:contextualSpacing/>
        <w:rPr>
          <w:rFonts w:ascii="仿宋_GB2312" w:hAnsi="仿宋_GB2312" w:eastAsia="仿宋_GB2312" w:cs="仿宋_GB2312"/>
          <w:color w:val="auto"/>
          <w:sz w:val="32"/>
          <w:szCs w:val="32"/>
          <w:highlight w:val="none"/>
        </w:rPr>
      </w:pPr>
    </w:p>
    <w:p w14:paraId="27A0A27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08BBD9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1BD8364">
      <w:pPr>
        <w:spacing w:line="360" w:lineRule="auto"/>
        <w:contextualSpacing/>
        <w:rPr>
          <w:rFonts w:ascii="宋体" w:hAnsi="宋体" w:cs="仿宋_GB2312"/>
          <w:color w:val="auto"/>
          <w:sz w:val="24"/>
          <w:highlight w:val="none"/>
        </w:rPr>
      </w:pPr>
    </w:p>
    <w:p w14:paraId="5643FD38">
      <w:pPr>
        <w:spacing w:line="360" w:lineRule="auto"/>
        <w:contextualSpacing/>
        <w:rPr>
          <w:rFonts w:ascii="宋体" w:hAnsi="宋体" w:cs="仿宋_GB2312"/>
          <w:color w:val="auto"/>
          <w:sz w:val="24"/>
          <w:highlight w:val="none"/>
        </w:rPr>
      </w:pPr>
    </w:p>
    <w:p w14:paraId="436F319A">
      <w:pPr>
        <w:spacing w:line="360" w:lineRule="auto"/>
        <w:contextualSpacing/>
        <w:rPr>
          <w:rFonts w:ascii="宋体" w:hAnsi="宋体" w:cs="仿宋_GB2312"/>
          <w:color w:val="auto"/>
          <w:sz w:val="24"/>
          <w:highlight w:val="none"/>
        </w:rPr>
      </w:pPr>
    </w:p>
    <w:p w14:paraId="37808BB9">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BCBBB5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247F1A97">
      <w:pPr>
        <w:spacing w:line="360" w:lineRule="auto"/>
        <w:contextualSpacing/>
        <w:rPr>
          <w:rFonts w:ascii="宋体" w:hAnsi="宋体" w:cs="仿宋_GB2312"/>
          <w:color w:val="auto"/>
          <w:sz w:val="24"/>
          <w:highlight w:val="none"/>
        </w:rPr>
      </w:pPr>
    </w:p>
    <w:p w14:paraId="5D5A98C5">
      <w:pPr>
        <w:spacing w:line="360" w:lineRule="auto"/>
        <w:contextualSpacing/>
        <w:rPr>
          <w:rFonts w:ascii="宋体" w:hAnsi="宋体" w:cs="仿宋_GB2312"/>
          <w:color w:val="auto"/>
          <w:sz w:val="24"/>
          <w:highlight w:val="none"/>
        </w:rPr>
      </w:pPr>
    </w:p>
    <w:p w14:paraId="0DF22379">
      <w:pPr>
        <w:spacing w:line="360" w:lineRule="auto"/>
        <w:contextualSpacing/>
        <w:rPr>
          <w:rFonts w:ascii="宋体" w:hAnsi="宋体" w:cs="仿宋_GB2312"/>
          <w:color w:val="auto"/>
          <w:sz w:val="24"/>
          <w:highlight w:val="none"/>
        </w:rPr>
      </w:pPr>
    </w:p>
    <w:p w14:paraId="1F0D595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481244D">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31E72C0F">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CA6040E">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r>
        <w:rPr>
          <w:rFonts w:hint="eastAsia" w:hAnsi="宋体"/>
          <w:bCs/>
          <w:color w:val="auto"/>
          <w:sz w:val="24"/>
          <w:szCs w:val="24"/>
          <w:highlight w:val="none"/>
        </w:rPr>
        <w:t>：</w:t>
      </w:r>
    </w:p>
    <w:p w14:paraId="466AC061">
      <w:pPr>
        <w:pStyle w:val="18"/>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7784A18">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3EA9A8">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30775DB">
      <w:pPr>
        <w:pStyle w:val="18"/>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442CBE8">
      <w:pPr>
        <w:pStyle w:val="18"/>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4974335">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6FBC51">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r>
        <w:rPr>
          <w:rFonts w:hint="eastAsia" w:hAnsi="宋体"/>
          <w:bCs/>
          <w:color w:val="auto"/>
          <w:sz w:val="24"/>
          <w:szCs w:val="24"/>
          <w:highlight w:val="none"/>
        </w:rPr>
        <w:t>：</w:t>
      </w:r>
    </w:p>
    <w:p w14:paraId="7923A561">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4D89223">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BF00B62">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73206D6">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69B5AF25">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30E13315">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07547F2B">
      <w:pPr>
        <w:pStyle w:val="18"/>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334CBD1B">
      <w:pPr>
        <w:pStyle w:val="18"/>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280C5935">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8CA71F1">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7E94F2A">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61EEB9A">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F9E77C5">
      <w:pPr>
        <w:pStyle w:val="18"/>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00985500">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40058455">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6356DC1">
      <w:pPr>
        <w:pStyle w:val="18"/>
        <w:spacing w:line="360" w:lineRule="auto"/>
        <w:ind w:left="25" w:leftChars="12" w:firstLine="352" w:firstLineChars="147"/>
        <w:contextualSpacing/>
        <w:rPr>
          <w:rFonts w:hAnsi="宋体"/>
          <w:color w:val="auto"/>
          <w:sz w:val="24"/>
          <w:szCs w:val="24"/>
          <w:highlight w:val="none"/>
        </w:rPr>
      </w:pPr>
    </w:p>
    <w:p w14:paraId="1C5B1B14">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4FD5D9B7">
      <w:pPr>
        <w:pStyle w:val="18"/>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0416C7B2">
      <w:pPr>
        <w:pStyle w:val="18"/>
        <w:spacing w:line="360" w:lineRule="auto"/>
        <w:contextualSpacing/>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0013D494">
      <w:pPr>
        <w:pStyle w:val="18"/>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2C1A612">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8609EC">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644ABD8">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68199D88">
      <w:pPr>
        <w:pStyle w:val="18"/>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59B78E8">
      <w:pPr>
        <w:pStyle w:val="18"/>
        <w:snapToGrid w:val="0"/>
        <w:rPr>
          <w:b/>
          <w:color w:val="auto"/>
          <w:sz w:val="24"/>
          <w:szCs w:val="24"/>
          <w:highlight w:val="none"/>
        </w:rPr>
      </w:pPr>
    </w:p>
    <w:p w14:paraId="69E2AB5F">
      <w:pPr>
        <w:rPr>
          <w:color w:val="auto"/>
          <w:sz w:val="32"/>
          <w:szCs w:val="40"/>
          <w:highlight w:val="none"/>
        </w:rPr>
      </w:pPr>
    </w:p>
    <w:p w14:paraId="147B080D">
      <w:pPr>
        <w:rPr>
          <w:color w:val="auto"/>
          <w:sz w:val="32"/>
          <w:szCs w:val="40"/>
          <w:highlight w:val="none"/>
        </w:rPr>
      </w:pPr>
    </w:p>
    <w:p w14:paraId="123506EF">
      <w:pPr>
        <w:rPr>
          <w:color w:val="auto"/>
          <w:sz w:val="32"/>
          <w:szCs w:val="40"/>
          <w:highlight w:val="none"/>
        </w:rPr>
      </w:pPr>
    </w:p>
    <w:p w14:paraId="2127C0FF">
      <w:pPr>
        <w:rPr>
          <w:color w:val="auto"/>
          <w:sz w:val="32"/>
          <w:szCs w:val="40"/>
          <w:highlight w:val="none"/>
        </w:rPr>
      </w:pPr>
    </w:p>
    <w:p w14:paraId="5DC960F4">
      <w:pPr>
        <w:rPr>
          <w:color w:val="auto"/>
          <w:sz w:val="32"/>
          <w:szCs w:val="40"/>
          <w:highlight w:val="none"/>
        </w:rPr>
      </w:pPr>
    </w:p>
    <w:p w14:paraId="6DF2AA30">
      <w:pPr>
        <w:rPr>
          <w:color w:val="auto"/>
          <w:sz w:val="32"/>
          <w:szCs w:val="40"/>
          <w:highlight w:val="none"/>
        </w:rPr>
      </w:pPr>
    </w:p>
    <w:p w14:paraId="5C0C85D9">
      <w:pPr>
        <w:rPr>
          <w:color w:val="auto"/>
          <w:sz w:val="32"/>
          <w:szCs w:val="40"/>
          <w:highlight w:val="none"/>
        </w:rPr>
      </w:pPr>
    </w:p>
    <w:p w14:paraId="26D1ADEA">
      <w:pPr>
        <w:rPr>
          <w:color w:val="auto"/>
          <w:sz w:val="32"/>
          <w:szCs w:val="40"/>
          <w:highlight w:val="none"/>
        </w:rPr>
      </w:pPr>
    </w:p>
    <w:p w14:paraId="160B447C">
      <w:pPr>
        <w:rPr>
          <w:color w:val="auto"/>
          <w:sz w:val="32"/>
          <w:szCs w:val="40"/>
          <w:highlight w:val="none"/>
        </w:rPr>
      </w:pPr>
    </w:p>
    <w:p w14:paraId="3D32F4E6">
      <w:pPr>
        <w:rPr>
          <w:color w:val="auto"/>
          <w:sz w:val="32"/>
          <w:szCs w:val="40"/>
          <w:highlight w:val="none"/>
        </w:rPr>
      </w:pPr>
    </w:p>
    <w:p w14:paraId="1D30587B">
      <w:pPr>
        <w:rPr>
          <w:color w:val="auto"/>
          <w:sz w:val="32"/>
          <w:szCs w:val="40"/>
          <w:highlight w:val="none"/>
        </w:rPr>
      </w:pPr>
    </w:p>
    <w:p w14:paraId="470B70B9">
      <w:pPr>
        <w:rPr>
          <w:color w:val="auto"/>
          <w:sz w:val="32"/>
          <w:szCs w:val="40"/>
          <w:highlight w:val="none"/>
        </w:rPr>
      </w:pPr>
    </w:p>
    <w:p w14:paraId="7CAC78C5">
      <w:pPr>
        <w:rPr>
          <w:color w:val="auto"/>
          <w:sz w:val="32"/>
          <w:szCs w:val="40"/>
          <w:highlight w:val="none"/>
        </w:rPr>
      </w:pPr>
    </w:p>
    <w:p w14:paraId="67DD3271">
      <w:pPr>
        <w:rPr>
          <w:color w:val="auto"/>
          <w:sz w:val="32"/>
          <w:szCs w:val="40"/>
          <w:highlight w:val="none"/>
        </w:rPr>
      </w:pPr>
    </w:p>
    <w:p w14:paraId="267D49F7">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7CE759C">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r>
        <w:rPr>
          <w:rFonts w:hint="eastAsia" w:hAnsi="宋体"/>
          <w:bCs/>
          <w:color w:val="auto"/>
          <w:sz w:val="24"/>
          <w:szCs w:val="24"/>
          <w:highlight w:val="none"/>
        </w:rPr>
        <w:t>：</w:t>
      </w:r>
    </w:p>
    <w:p w14:paraId="2AACBED3">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063ED8">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A96E483">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F064DF9">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1C0ACD7">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6C54023">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26C89B8">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319D42">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45369948">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DAE4027">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4E1815">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4A3C6B9">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EEF4EE6">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1387F053">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41F05E44">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04BCAFE">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AA058F3">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r>
        <w:rPr>
          <w:rFonts w:hint="eastAsia" w:hAnsi="宋体"/>
          <w:bCs/>
          <w:color w:val="auto"/>
          <w:sz w:val="24"/>
          <w:szCs w:val="24"/>
          <w:highlight w:val="none"/>
        </w:rPr>
        <w:t>：</w:t>
      </w:r>
    </w:p>
    <w:p w14:paraId="741CA0BE">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B660B7E">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BB9DA63">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1C41A03">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8AA3F73">
      <w:pPr>
        <w:pStyle w:val="18"/>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B0240FB">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EB78389">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7EBC36E7">
      <w:pPr>
        <w:pStyle w:val="18"/>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FE5D45E">
      <w:pPr>
        <w:pStyle w:val="18"/>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205AE3">
      <w:pPr>
        <w:pStyle w:val="18"/>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D084AA3">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FE1FD33">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31AFCD0">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5BFCF9B">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E40862D">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45054BB4">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432C070">
      <w:pPr>
        <w:pStyle w:val="18"/>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4A71358">
      <w:pPr>
        <w:pStyle w:val="18"/>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952E3AF">
      <w:pPr>
        <w:pStyle w:val="18"/>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00C20D23">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r>
        <w:rPr>
          <w:rFonts w:hint="eastAsia" w:hAnsi="宋体"/>
          <w:color w:val="auto"/>
          <w:sz w:val="24"/>
          <w:szCs w:val="24"/>
          <w:highlight w:val="none"/>
        </w:rPr>
        <w:t>：</w:t>
      </w:r>
    </w:p>
    <w:p w14:paraId="163B61BF">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EB833CA">
      <w:pPr>
        <w:pStyle w:val="18"/>
        <w:spacing w:line="360" w:lineRule="auto"/>
        <w:ind w:left="25" w:leftChars="12" w:firstLine="352" w:firstLineChars="147"/>
        <w:rPr>
          <w:rFonts w:hAnsi="宋体"/>
          <w:color w:val="auto"/>
          <w:sz w:val="24"/>
          <w:szCs w:val="24"/>
          <w:highlight w:val="none"/>
        </w:rPr>
      </w:pPr>
    </w:p>
    <w:p w14:paraId="20162985">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206558A">
      <w:pPr>
        <w:pStyle w:val="18"/>
        <w:spacing w:line="360" w:lineRule="auto"/>
        <w:ind w:left="25" w:leftChars="12" w:firstLine="352" w:firstLineChars="147"/>
        <w:rPr>
          <w:rFonts w:hAnsi="宋体"/>
          <w:color w:val="auto"/>
          <w:sz w:val="24"/>
          <w:szCs w:val="24"/>
          <w:highlight w:val="none"/>
        </w:rPr>
      </w:pPr>
    </w:p>
    <w:p w14:paraId="4A5C7E11">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069ED4C">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5453DFAB">
      <w:pPr>
        <w:pStyle w:val="18"/>
        <w:snapToGrid w:val="0"/>
        <w:spacing w:line="360" w:lineRule="auto"/>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74475681">
      <w:pPr>
        <w:pStyle w:val="1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4B5776F1">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839E4C4">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DC6E7C3">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DF59789">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4141318D">
      <w:pPr>
        <w:pStyle w:val="1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B695022">
      <w:pPr>
        <w:pStyle w:val="5"/>
        <w:jc w:val="center"/>
        <w:rPr>
          <w:color w:val="auto"/>
          <w:highlight w:val="none"/>
        </w:rPr>
      </w:pPr>
      <w:bookmarkStart w:id="200" w:name="_Toc10542"/>
      <w:r>
        <w:rPr>
          <w:rFonts w:hint="eastAsia"/>
          <w:color w:val="auto"/>
          <w:highlight w:val="none"/>
        </w:rPr>
        <w:t>第六章 合同文本</w:t>
      </w:r>
      <w:bookmarkEnd w:id="200"/>
    </w:p>
    <w:p w14:paraId="5857807C">
      <w:pPr>
        <w:autoSpaceDE w:val="0"/>
        <w:autoSpaceDN w:val="0"/>
        <w:adjustRightInd w:val="0"/>
        <w:snapToGrid w:val="0"/>
        <w:spacing w:line="640" w:lineRule="exact"/>
        <w:jc w:val="center"/>
        <w:rPr>
          <w:rFonts w:ascii="宋体" w:hAnsi="宋体"/>
          <w:b/>
          <w:bCs/>
          <w:color w:val="auto"/>
          <w:sz w:val="32"/>
          <w:szCs w:val="32"/>
          <w:highlight w:val="none"/>
        </w:rPr>
      </w:pPr>
    </w:p>
    <w:p w14:paraId="354C1BC2">
      <w:pPr>
        <w:pStyle w:val="2"/>
        <w:rPr>
          <w:color w:val="auto"/>
          <w:highlight w:val="none"/>
        </w:rPr>
      </w:pPr>
    </w:p>
    <w:p w14:paraId="69C4FD2E">
      <w:pPr>
        <w:autoSpaceDE w:val="0"/>
        <w:autoSpaceDN w:val="0"/>
        <w:adjustRightInd w:val="0"/>
        <w:snapToGrid w:val="0"/>
        <w:spacing w:line="6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14:paraId="17C50B38">
      <w:pPr>
        <w:wordWrap w:val="0"/>
        <w:spacing w:line="700" w:lineRule="exact"/>
        <w:ind w:firstLine="1799" w:firstLineChars="640"/>
        <w:rPr>
          <w:rFonts w:ascii="宋体" w:hAnsi="宋体" w:cs="Courier New"/>
          <w:b/>
          <w:color w:val="auto"/>
          <w:sz w:val="28"/>
          <w:szCs w:val="28"/>
          <w:highlight w:val="none"/>
        </w:rPr>
      </w:pPr>
    </w:p>
    <w:p w14:paraId="102B2E8D">
      <w:pPr>
        <w:wordWrap w:val="0"/>
        <w:spacing w:line="700" w:lineRule="exact"/>
        <w:ind w:firstLine="1799" w:firstLineChars="640"/>
        <w:rPr>
          <w:rFonts w:ascii="宋体" w:hAnsi="宋体" w:cs="Courier New"/>
          <w:b/>
          <w:color w:val="auto"/>
          <w:sz w:val="28"/>
          <w:szCs w:val="28"/>
          <w:highlight w:val="none"/>
        </w:rPr>
      </w:pPr>
    </w:p>
    <w:p w14:paraId="0086F62C">
      <w:pPr>
        <w:wordWrap w:val="0"/>
        <w:spacing w:line="700" w:lineRule="exact"/>
        <w:ind w:firstLine="1799" w:firstLineChars="640"/>
        <w:rPr>
          <w:rFonts w:ascii="宋体" w:hAnsi="宋体" w:cs="Courier New"/>
          <w:b/>
          <w:color w:val="auto"/>
          <w:sz w:val="28"/>
          <w:szCs w:val="28"/>
          <w:highlight w:val="none"/>
        </w:rPr>
      </w:pPr>
    </w:p>
    <w:p w14:paraId="4290DEF8">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合同名称</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0DE374E6">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合同编号</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6CFD3B92">
      <w:pPr>
        <w:wordWrap w:val="0"/>
        <w:spacing w:line="700" w:lineRule="exact"/>
        <w:ind w:firstLine="1799" w:firstLineChars="640"/>
        <w:rPr>
          <w:rFonts w:ascii="宋体" w:hAnsi="宋体" w:cs="Courier New"/>
          <w:b/>
          <w:color w:val="auto"/>
          <w:sz w:val="28"/>
          <w:szCs w:val="28"/>
          <w:highlight w:val="none"/>
        </w:rPr>
      </w:pPr>
    </w:p>
    <w:p w14:paraId="363C8A4C">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采购人（甲方）</w:t>
      </w:r>
      <w:r>
        <w:rPr>
          <w:rFonts w:hint="eastAsia" w:ascii="宋体" w:hAnsi="宋体" w:cs="Courier New"/>
          <w:b/>
          <w:color w:val="auto"/>
          <w:sz w:val="28"/>
          <w:szCs w:val="28"/>
          <w:highlight w:val="none"/>
          <w:u w:val="single"/>
        </w:rPr>
        <w:t xml:space="preserve">                      </w:t>
      </w:r>
    </w:p>
    <w:p w14:paraId="751E7394">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供 应 商（乙方）</w:t>
      </w:r>
      <w:r>
        <w:rPr>
          <w:rFonts w:hint="eastAsia" w:ascii="宋体" w:hAnsi="宋体" w:cs="Courier New"/>
          <w:b/>
          <w:color w:val="auto"/>
          <w:sz w:val="28"/>
          <w:szCs w:val="28"/>
          <w:highlight w:val="none"/>
          <w:u w:val="single"/>
        </w:rPr>
        <w:t xml:space="preserve">                    </w:t>
      </w:r>
    </w:p>
    <w:p w14:paraId="1C4CCBA3">
      <w:pPr>
        <w:wordWrap w:val="0"/>
        <w:spacing w:line="700" w:lineRule="exact"/>
        <w:ind w:firstLine="1799" w:firstLineChars="640"/>
        <w:rPr>
          <w:rFonts w:ascii="宋体" w:hAnsi="宋体" w:cs="Courier New"/>
          <w:b/>
          <w:color w:val="auto"/>
          <w:sz w:val="28"/>
          <w:szCs w:val="28"/>
          <w:highlight w:val="none"/>
        </w:rPr>
      </w:pPr>
    </w:p>
    <w:p w14:paraId="52E70740">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签订合同地点</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43E37E90">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签订合同时间</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4CE9F256">
      <w:pPr>
        <w:wordWrap w:val="0"/>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14:paraId="56FAAEDF">
      <w:pPr>
        <w:snapToGrid w:val="0"/>
        <w:spacing w:beforeLines="50" w:afterLines="50" w:line="600" w:lineRule="exact"/>
        <w:jc w:val="center"/>
        <w:rPr>
          <w:rFonts w:ascii="宋体" w:hAnsi="宋体"/>
          <w:b/>
          <w:bCs/>
          <w:color w:val="auto"/>
          <w:sz w:val="32"/>
          <w:szCs w:val="32"/>
          <w:highlight w:val="none"/>
        </w:rPr>
      </w:pPr>
      <w:r>
        <w:rPr>
          <w:rFonts w:ascii="Cambria" w:hAnsi="Cambria" w:cs="宋体"/>
          <w:b/>
          <w:bCs/>
          <w:color w:val="auto"/>
          <w:kern w:val="0"/>
          <w:sz w:val="36"/>
          <w:szCs w:val="36"/>
          <w:highlight w:val="none"/>
        </w:rPr>
        <w:br w:type="page"/>
      </w:r>
      <w:r>
        <w:rPr>
          <w:rFonts w:hint="eastAsia" w:ascii="宋体" w:hAnsi="宋体"/>
          <w:b/>
          <w:bCs/>
          <w:color w:val="auto"/>
          <w:sz w:val="32"/>
          <w:szCs w:val="32"/>
          <w:highlight w:val="none"/>
        </w:rPr>
        <w:t>北海市政府采购合同</w:t>
      </w:r>
    </w:p>
    <w:p w14:paraId="292010C5">
      <w:pPr>
        <w:wordWrap w:val="0"/>
        <w:snapToGrid w:val="0"/>
        <w:spacing w:line="40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71417654">
      <w:pPr>
        <w:wordWrap w:val="0"/>
        <w:snapToGrid w:val="0"/>
        <w:spacing w:line="40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采购计划编号：</w:t>
      </w:r>
      <w:r>
        <w:rPr>
          <w:rFonts w:hint="eastAsia" w:ascii="宋体" w:hAnsi="宋体" w:cs="宋体"/>
          <w:bCs/>
          <w:color w:val="auto"/>
          <w:szCs w:val="21"/>
          <w:highlight w:val="none"/>
          <w:u w:val="single"/>
        </w:rPr>
        <w:t xml:space="preserve">                </w:t>
      </w:r>
    </w:p>
    <w:p w14:paraId="722D32C0">
      <w:pPr>
        <w:wordWrap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C0323E5">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p>
    <w:p w14:paraId="3F120F0D">
      <w:pPr>
        <w:wordWrap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项目名称和项目编号</w:t>
      </w:r>
      <w:r>
        <w:rPr>
          <w:rFonts w:hint="eastAsia" w:ascii="宋体" w:hAnsi="宋体" w:cs="宋体"/>
          <w:color w:val="auto"/>
          <w:szCs w:val="21"/>
          <w:highlight w:val="none"/>
          <w:u w:val="single"/>
        </w:rPr>
        <w:t xml:space="preserve">                      </w:t>
      </w:r>
    </w:p>
    <w:p w14:paraId="69BAAFD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签订地点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06DD6A58">
      <w:pPr>
        <w:wordWrap w:val="0"/>
        <w:spacing w:line="400" w:lineRule="exact"/>
        <w:ind w:firstLine="420" w:firstLineChars="200"/>
        <w:rPr>
          <w:rFonts w:ascii="宋体" w:hAnsi="宋体" w:cs="宋体"/>
          <w:color w:val="auto"/>
          <w:szCs w:val="21"/>
          <w:highlight w:val="none"/>
        </w:rPr>
      </w:pPr>
    </w:p>
    <w:p w14:paraId="31E5CA14">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政府采购竞争性磋商采购方式管理暂行办法》、《中华人民共和国民法典》等法律、法规规定，按照竞争性磋商文件（以下简称磋商文件）、竞争性磋商响应文件（以下简称响应文件）规定条款和成交供应商的承诺、甲乙双方签订本采购合同。</w:t>
      </w:r>
    </w:p>
    <w:p w14:paraId="44C6C360">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合同标的及合同金额</w:t>
      </w:r>
    </w:p>
    <w:tbl>
      <w:tblPr>
        <w:tblStyle w:val="28"/>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4"/>
        <w:gridCol w:w="1749"/>
        <w:gridCol w:w="1647"/>
        <w:gridCol w:w="1438"/>
        <w:gridCol w:w="3579"/>
      </w:tblGrid>
      <w:tr w14:paraId="079AE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7" w:hRule="atLeast"/>
        </w:trPr>
        <w:tc>
          <w:tcPr>
            <w:tcW w:w="665" w:type="dxa"/>
            <w:tcBorders>
              <w:top w:val="single" w:color="auto" w:sz="4" w:space="0"/>
              <w:left w:val="single" w:color="auto" w:sz="4" w:space="0"/>
              <w:bottom w:val="single" w:color="auto" w:sz="4" w:space="0"/>
              <w:right w:val="single" w:color="auto" w:sz="4" w:space="0"/>
            </w:tcBorders>
            <w:vAlign w:val="center"/>
          </w:tcPr>
          <w:p w14:paraId="202DD06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1749" w:type="dxa"/>
            <w:tcBorders>
              <w:top w:val="single" w:color="auto" w:sz="4" w:space="0"/>
              <w:left w:val="single" w:color="auto" w:sz="4" w:space="0"/>
              <w:bottom w:val="single" w:color="auto" w:sz="4" w:space="0"/>
              <w:right w:val="single" w:color="auto" w:sz="4" w:space="0"/>
            </w:tcBorders>
            <w:vAlign w:val="center"/>
          </w:tcPr>
          <w:p w14:paraId="1DFE0C66">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647" w:type="dxa"/>
            <w:tcBorders>
              <w:top w:val="single" w:color="auto" w:sz="4" w:space="0"/>
              <w:left w:val="single" w:color="auto" w:sz="4" w:space="0"/>
              <w:bottom w:val="single" w:color="auto" w:sz="4" w:space="0"/>
              <w:right w:val="single" w:color="auto" w:sz="4" w:space="0"/>
            </w:tcBorders>
            <w:vAlign w:val="center"/>
          </w:tcPr>
          <w:p w14:paraId="3CE7DCF2">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8" w:type="dxa"/>
            <w:tcBorders>
              <w:top w:val="single" w:color="auto" w:sz="4" w:space="0"/>
              <w:left w:val="single" w:color="auto" w:sz="4" w:space="0"/>
              <w:bottom w:val="single" w:color="auto" w:sz="4" w:space="0"/>
              <w:right w:val="single" w:color="auto" w:sz="4" w:space="0"/>
            </w:tcBorders>
            <w:vAlign w:val="center"/>
          </w:tcPr>
          <w:p w14:paraId="19BFAB69">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3579" w:type="dxa"/>
            <w:tcBorders>
              <w:top w:val="single" w:color="auto" w:sz="4" w:space="0"/>
              <w:left w:val="single" w:color="auto" w:sz="4" w:space="0"/>
              <w:bottom w:val="single" w:color="auto" w:sz="4" w:space="0"/>
            </w:tcBorders>
            <w:vAlign w:val="center"/>
          </w:tcPr>
          <w:p w14:paraId="18AC15A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成交报价（元）</w:t>
            </w:r>
          </w:p>
        </w:tc>
      </w:tr>
      <w:tr w14:paraId="46CA1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7" w:hRule="atLeast"/>
        </w:trPr>
        <w:tc>
          <w:tcPr>
            <w:tcW w:w="665" w:type="dxa"/>
            <w:tcBorders>
              <w:top w:val="single" w:color="auto" w:sz="4" w:space="0"/>
              <w:left w:val="single" w:color="auto" w:sz="4" w:space="0"/>
              <w:bottom w:val="single" w:color="auto" w:sz="4" w:space="0"/>
              <w:right w:val="single" w:color="auto" w:sz="4" w:space="0"/>
            </w:tcBorders>
            <w:vAlign w:val="center"/>
          </w:tcPr>
          <w:p w14:paraId="22C5A3E1">
            <w:pPr>
              <w:wordWrap w:val="0"/>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1</w:t>
            </w:r>
          </w:p>
        </w:tc>
        <w:tc>
          <w:tcPr>
            <w:tcW w:w="1749" w:type="dxa"/>
            <w:tcBorders>
              <w:top w:val="single" w:color="auto" w:sz="4" w:space="0"/>
              <w:left w:val="single" w:color="auto" w:sz="4" w:space="0"/>
              <w:bottom w:val="single" w:color="auto" w:sz="4" w:space="0"/>
              <w:right w:val="single" w:color="auto" w:sz="4" w:space="0"/>
            </w:tcBorders>
            <w:vAlign w:val="center"/>
          </w:tcPr>
          <w:p w14:paraId="182C7557">
            <w:pPr>
              <w:wordWrap w:val="0"/>
              <w:spacing w:line="400" w:lineRule="exact"/>
              <w:jc w:val="center"/>
              <w:rPr>
                <w:rFonts w:ascii="宋体" w:hAnsi="宋体" w:cs="宋体"/>
                <w:color w:val="auto"/>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6608443">
            <w:pPr>
              <w:wordWrap w:val="0"/>
              <w:spacing w:line="400" w:lineRule="exact"/>
              <w:jc w:val="center"/>
              <w:rPr>
                <w:rFonts w:ascii="宋体" w:hAnsi="宋体" w:cs="宋体"/>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3295DA5A">
            <w:pPr>
              <w:wordWrap w:val="0"/>
              <w:spacing w:line="400" w:lineRule="exact"/>
              <w:jc w:val="center"/>
              <w:rPr>
                <w:rFonts w:ascii="宋体" w:hAnsi="宋体" w:cs="宋体"/>
                <w:color w:val="auto"/>
                <w:szCs w:val="21"/>
                <w:highlight w:val="none"/>
              </w:rPr>
            </w:pPr>
          </w:p>
        </w:tc>
        <w:tc>
          <w:tcPr>
            <w:tcW w:w="3579" w:type="dxa"/>
            <w:tcBorders>
              <w:top w:val="single" w:color="auto" w:sz="4" w:space="0"/>
              <w:left w:val="single" w:color="auto" w:sz="4" w:space="0"/>
              <w:bottom w:val="single" w:color="auto" w:sz="4" w:space="0"/>
            </w:tcBorders>
            <w:vAlign w:val="center"/>
          </w:tcPr>
          <w:p w14:paraId="16B77F5E">
            <w:pPr>
              <w:wordWrap w:val="0"/>
              <w:spacing w:line="400" w:lineRule="exact"/>
              <w:jc w:val="center"/>
              <w:rPr>
                <w:rFonts w:ascii="宋体" w:hAnsi="宋体" w:cs="宋体"/>
                <w:color w:val="auto"/>
                <w:szCs w:val="21"/>
                <w:highlight w:val="none"/>
              </w:rPr>
            </w:pPr>
          </w:p>
        </w:tc>
      </w:tr>
      <w:tr w14:paraId="4600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1" w:hRule="atLeast"/>
        </w:trPr>
        <w:tc>
          <w:tcPr>
            <w:tcW w:w="9078" w:type="dxa"/>
            <w:gridSpan w:val="5"/>
            <w:tcBorders>
              <w:top w:val="single" w:color="auto" w:sz="4" w:space="0"/>
              <w:left w:val="single" w:color="auto" w:sz="4" w:space="0"/>
            </w:tcBorders>
            <w:vAlign w:val="center"/>
          </w:tcPr>
          <w:p w14:paraId="34D1BA9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说明：合同价格必须包括项目实施所需的人工费、服务费、设备设施购置成本及费用、交通费、采样费、材料费、监测费、误工费食宿费、通讯费、税费、保险、验收、后续技术支持及合同所示的所有责任义务和各种风险等合同履约过程可预见或不可预见的一切成本、费用。乙方在固定总价中必须考虑各种风险费用。在合同履行过程中，甲方不予支付合同以外的其他费用。</w:t>
            </w:r>
          </w:p>
        </w:tc>
      </w:tr>
    </w:tbl>
    <w:p w14:paraId="6407A9C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14:paraId="73FCFC8A">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D71FA12">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乙方应按磋商文件要求及响应文件承诺向甲方提供服务。</w:t>
      </w:r>
    </w:p>
    <w:p w14:paraId="3E7779EA">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0C70D04B">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1.乙方应保证所提供服务在使用时不会侵犯任何第三方的专利权、商标权、工业设计权或其他权利。</w:t>
      </w:r>
    </w:p>
    <w:p w14:paraId="7D0F560D">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2.乙方应按磋商文件规定的时间向甲方提供服务及有关技术资料。</w:t>
      </w:r>
    </w:p>
    <w:p w14:paraId="28FA1FF8">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3.乙方保证所交付的服务的所有权完全属于乙方且无任何抵押、质押、查封等产权瑕疵。</w:t>
      </w:r>
    </w:p>
    <w:p w14:paraId="2115050C">
      <w:pPr>
        <w:wordWrap w:val="0"/>
        <w:adjustRightInd w:val="0"/>
        <w:spacing w:line="40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第四条  合同履行期限及服务地点：</w:t>
      </w:r>
    </w:p>
    <w:p w14:paraId="23F5E0C9">
      <w:pPr>
        <w:wordWrap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（1）合同履行期限：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65E6BB5">
      <w:pPr>
        <w:wordWrap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（2）交付的地点：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4194BC8">
      <w:pPr>
        <w:wordWrap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项目验收</w:t>
      </w:r>
    </w:p>
    <w:p w14:paraId="4B43CB79">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甲方依据竞争性磋商文件规定及响应文件的服务承诺对项目进行验收。</w:t>
      </w:r>
    </w:p>
    <w:p w14:paraId="6CB7F358">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服务要求</w:t>
      </w:r>
    </w:p>
    <w:p w14:paraId="030BDA4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1.乙方应按照国家有关法律规定、响应文件和本合同所附的《项目实施方案》，为甲方提供服务。</w:t>
      </w:r>
    </w:p>
    <w:p w14:paraId="413BDE38">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2.如在服务过程中发生质量问题，乙方在接到甲方通知后在及时到达甲方现场处理。</w:t>
      </w:r>
    </w:p>
    <w:p w14:paraId="23DDDD59">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3.在服务期内，乙方应对服务的质量及安全问题负责处理解决并承担一切费用。</w:t>
      </w:r>
    </w:p>
    <w:p w14:paraId="40253F56">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4.乙方在履行合同中获取的数据、视频、照片及成果报告等未经甲方书面同意，不得向任何第三方披露或使用。</w:t>
      </w:r>
    </w:p>
    <w:p w14:paraId="727DFDBE">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5CCBDCA0">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1FCBC3B7">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付款方式</w:t>
      </w:r>
    </w:p>
    <w:p w14:paraId="2D7665B6">
      <w:pPr>
        <w:wordWrap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签订合同之日后，</w:t>
      </w:r>
      <w:r>
        <w:rPr>
          <w:rFonts w:hint="eastAsia" w:ascii="宋体" w:hAnsi="宋体" w:cs="宋体"/>
          <w:bCs/>
          <w:color w:val="auto"/>
          <w:szCs w:val="21"/>
          <w:highlight w:val="none"/>
        </w:rPr>
        <w:t>甲方须在收到乙方提供的支付申请10个工作日内向财政申请拨款，财政拨款后5个工作日内向乙方支付合同价款的50%作为预付款。</w:t>
      </w:r>
    </w:p>
    <w:p w14:paraId="1CE78B5E">
      <w:pPr>
        <w:wordWrap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乙方按合同要求开展监测、维护及宣传工作，并向甲方提供合同规定的监测报告、现场监测数据、图片及影像资料、维护完工报告、宣传工作图片等，乙方按要求提供支付申请，</w:t>
      </w:r>
      <w:r>
        <w:rPr>
          <w:rFonts w:hint="eastAsia" w:ascii="宋体" w:hAnsi="宋体" w:cs="宋体"/>
          <w:color w:val="auto"/>
          <w:szCs w:val="21"/>
          <w:highlight w:val="none"/>
          <w:lang w:eastAsia="zh-CN"/>
        </w:rPr>
        <w:t>甲方对以上材料进行审核并在审核通过后的</w:t>
      </w:r>
      <w:r>
        <w:rPr>
          <w:rFonts w:hint="eastAsia" w:ascii="宋体" w:hAnsi="宋体" w:cs="宋体"/>
          <w:bCs/>
          <w:color w:val="auto"/>
          <w:szCs w:val="21"/>
          <w:highlight w:val="none"/>
        </w:rPr>
        <w:t>10个工作日内向财政申请拨款，财政拨款后5个工作日内向乙方支付合同总金额的30%。</w:t>
      </w:r>
    </w:p>
    <w:p w14:paraId="3A26A859">
      <w:pPr>
        <w:wordWrap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乙方协助甲方完成项目总体验收，验收通过后甲方收到乙方提供的符合甲方要求的支付申请10个工作日内向财政申请拨款，财政拨款后5个工作日内向乙方支付合同总金额的20%</w:t>
      </w:r>
      <w:r>
        <w:rPr>
          <w:rFonts w:hint="eastAsia" w:ascii="宋体" w:hAnsi="宋体" w:cs="宋体"/>
          <w:bCs/>
          <w:color w:val="auto"/>
          <w:szCs w:val="21"/>
          <w:highlight w:val="none"/>
        </w:rPr>
        <w:t>。</w:t>
      </w:r>
    </w:p>
    <w:p w14:paraId="14D832F8">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04F1999E">
      <w:pPr>
        <w:wordWrap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14:paraId="117BC044">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5182342C">
      <w:pPr>
        <w:tabs>
          <w:tab w:val="left" w:pos="420"/>
        </w:tabs>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1.甲乙双方均应按磋商文件要求及乙方响应文件承诺保证按时履行合同。除非遇到不可抗力等客观情况外，不得违约。 </w:t>
      </w:r>
    </w:p>
    <w:p w14:paraId="0057BD16">
      <w:pPr>
        <w:tabs>
          <w:tab w:val="left" w:pos="420"/>
        </w:tabs>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2.如任何一方未经双方协商而更改服务内容的，即为违约，除承担守约方因履行合同而形成的损失外，还应向守约方支付违约金，违约金的金额为本合同金额的20%。</w:t>
      </w:r>
    </w:p>
    <w:p w14:paraId="4583448F">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3.如甲方不依约支付合同金额，应按银行同期存款利率向乙方支付违约金。</w:t>
      </w:r>
    </w:p>
    <w:p w14:paraId="1AE55C0F">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4.如果乙方未按甲方认可的服务方案开展服务或者在服务过程中有损及甲方声誉的言行的，甲方有权拒绝支付合同金额，并要求乙方赔偿相应损失。</w:t>
      </w:r>
    </w:p>
    <w:p w14:paraId="0D05FA1F">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5.如乙方提供假发票，乙方除须向甲方补开合法发票外，并须赔偿甲方发票票面金额一倍的违约金，且甲方有权无条件终止合同，因终止合同而产生的一切损失均由乙方承担。</w:t>
      </w:r>
    </w:p>
    <w:p w14:paraId="1E405B5D">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3AB3713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1.在合同有效期内，乙方因不可抗力事件导致不能履行合同的，则合同履行期可在甲方同意的前提下予以延长，其延长期与不可抗力影响期相同，但不得影响合同所涉旅游展的举办。</w:t>
      </w:r>
    </w:p>
    <w:p w14:paraId="0B63AA2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2.不可抗力事件发生后，应在三日内通知甲方，并寄送有关权威机构出具的证明。</w:t>
      </w:r>
    </w:p>
    <w:p w14:paraId="0648826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3.不可抗力事件延续三十天以上，双方应通过友好协商，确定是否继续履行合同。</w:t>
      </w:r>
    </w:p>
    <w:p w14:paraId="6B6E09F8">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合同争议解决</w:t>
      </w:r>
    </w:p>
    <w:p w14:paraId="39216762">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1.因服务质量问题发生争议的，应邀请国家认可的质量检测机构对服务质量进行鉴定。服务符合标准的，鉴定费由甲方承担；服务不符合标准的，鉴定费由乙方承担。</w:t>
      </w:r>
    </w:p>
    <w:p w14:paraId="73259E9A">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2.因履行本合同引起的或与本合同有关的争议，甲乙双方应首先通过友好协商解决，如果协商不能解决，可向项目所在地仲裁委员会申请仲裁。</w:t>
      </w:r>
    </w:p>
    <w:p w14:paraId="313DF87D">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3C436B5">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0F89FA36">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1.合同经甲乙双方法定代表人、负责人、自然人或相应的授权代表签字并加盖单位公章后生效。</w:t>
      </w:r>
    </w:p>
    <w:p w14:paraId="6D04C01B">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2.合同执行中涉及采购资金和采购内容修改或补充的，需经北海市财政部门审批，并签订书面补充协议报北海市政府采购管理办公室备案，方可作为主合同不可分割的一部分。</w:t>
      </w:r>
    </w:p>
    <w:p w14:paraId="5481BF47">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7F3EBF58">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7B37133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1EE762B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491CA93C">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签订本合同依据：</w:t>
      </w:r>
    </w:p>
    <w:p w14:paraId="3BF9BF14">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1.竞争性磋商文件；</w:t>
      </w:r>
    </w:p>
    <w:p w14:paraId="29E40B6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2.乙方提供的响应（或应答）文件；</w:t>
      </w:r>
    </w:p>
    <w:p w14:paraId="6CC5F83D">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3.磋商中的磋商记录；</w:t>
      </w:r>
    </w:p>
    <w:p w14:paraId="105AD08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4.成交通知书。</w:t>
      </w:r>
    </w:p>
    <w:p w14:paraId="000931D3">
      <w:pPr>
        <w:wordWrap w:val="0"/>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本合同一式四份，具有同等法律效力，政府采购监管部门、采购代理机构各一份，甲乙双方各一份（可根据需要另增加）。</w:t>
      </w:r>
    </w:p>
    <w:p w14:paraId="3C55ADCB">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本合同甲乙双方签字盖章后生效，自签订之日起1个工作日内，采购人或采购代理机构应当将合同上传至广西政府采购云平台报同级财政部门备案，并在指定网站公示。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4520"/>
      </w:tblGrid>
      <w:tr w14:paraId="74A6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4519" w:type="dxa"/>
            <w:vAlign w:val="center"/>
          </w:tcPr>
          <w:p w14:paraId="26D63E13">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甲方（章）           </w:t>
            </w:r>
          </w:p>
          <w:p w14:paraId="31E26D49">
            <w:pPr>
              <w:snapToGrid w:val="0"/>
              <w:spacing w:line="400" w:lineRule="exact"/>
              <w:jc w:val="left"/>
              <w:rPr>
                <w:rFonts w:ascii="宋体" w:hAnsi="宋体"/>
                <w:color w:val="auto"/>
                <w:szCs w:val="21"/>
                <w:highlight w:val="none"/>
              </w:rPr>
            </w:pPr>
          </w:p>
          <w:p w14:paraId="22CE3AB6">
            <w:pPr>
              <w:snapToGrid w:val="0"/>
              <w:spacing w:line="400" w:lineRule="exact"/>
              <w:jc w:val="right"/>
              <w:rPr>
                <w:rFonts w:ascii="宋体" w:hAnsi="宋体"/>
                <w:color w:val="auto"/>
                <w:szCs w:val="21"/>
                <w:highlight w:val="none"/>
              </w:rPr>
            </w:pPr>
            <w:r>
              <w:rPr>
                <w:rFonts w:hint="eastAsia" w:ascii="宋体" w:hAnsi="宋体"/>
                <w:color w:val="auto"/>
                <w:szCs w:val="21"/>
                <w:highlight w:val="none"/>
              </w:rPr>
              <w:t>年   月   日</w:t>
            </w:r>
          </w:p>
        </w:tc>
        <w:tc>
          <w:tcPr>
            <w:tcW w:w="4520" w:type="dxa"/>
            <w:vAlign w:val="center"/>
          </w:tcPr>
          <w:p w14:paraId="4A46A2C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乙方（章）  </w:t>
            </w:r>
          </w:p>
          <w:p w14:paraId="34A8FB5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p>
          <w:p w14:paraId="35D71267">
            <w:pPr>
              <w:snapToGrid w:val="0"/>
              <w:spacing w:line="400" w:lineRule="exact"/>
              <w:jc w:val="right"/>
              <w:rPr>
                <w:rFonts w:ascii="宋体" w:hAnsi="宋体"/>
                <w:color w:val="auto"/>
                <w:szCs w:val="21"/>
                <w:highlight w:val="none"/>
              </w:rPr>
            </w:pPr>
            <w:r>
              <w:rPr>
                <w:rFonts w:hint="eastAsia" w:ascii="宋体" w:hAnsi="宋体"/>
                <w:color w:val="auto"/>
                <w:szCs w:val="21"/>
                <w:highlight w:val="none"/>
              </w:rPr>
              <w:t>年   月   日</w:t>
            </w:r>
          </w:p>
        </w:tc>
      </w:tr>
      <w:tr w14:paraId="4405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519" w:type="dxa"/>
            <w:vAlign w:val="center"/>
          </w:tcPr>
          <w:p w14:paraId="0DCB1B45">
            <w:pPr>
              <w:snapToGrid w:val="0"/>
              <w:spacing w:line="320" w:lineRule="exact"/>
              <w:rPr>
                <w:rFonts w:ascii="宋体" w:hAnsi="宋体"/>
                <w:color w:val="auto"/>
                <w:szCs w:val="21"/>
                <w:highlight w:val="none"/>
              </w:rPr>
            </w:pPr>
            <w:r>
              <w:rPr>
                <w:rFonts w:hint="eastAsia" w:ascii="宋体" w:hAnsi="宋体"/>
                <w:color w:val="auto"/>
                <w:szCs w:val="21"/>
                <w:highlight w:val="none"/>
              </w:rPr>
              <w:t>单位地址：</w:t>
            </w:r>
          </w:p>
        </w:tc>
        <w:tc>
          <w:tcPr>
            <w:tcW w:w="4520" w:type="dxa"/>
            <w:vAlign w:val="center"/>
          </w:tcPr>
          <w:p w14:paraId="6DADA39A">
            <w:pPr>
              <w:snapToGrid w:val="0"/>
              <w:spacing w:line="320" w:lineRule="exact"/>
              <w:rPr>
                <w:rFonts w:ascii="宋体" w:hAnsi="宋体"/>
                <w:color w:val="auto"/>
                <w:szCs w:val="21"/>
                <w:highlight w:val="none"/>
              </w:rPr>
            </w:pPr>
            <w:r>
              <w:rPr>
                <w:rFonts w:hint="eastAsia" w:ascii="宋体" w:hAnsi="宋体"/>
                <w:color w:val="auto"/>
                <w:szCs w:val="21"/>
                <w:highlight w:val="none"/>
              </w:rPr>
              <w:t>单位地址：</w:t>
            </w:r>
          </w:p>
        </w:tc>
      </w:tr>
      <w:tr w14:paraId="1EB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519" w:type="dxa"/>
            <w:vAlign w:val="center"/>
          </w:tcPr>
          <w:p w14:paraId="400348ED">
            <w:pPr>
              <w:snapToGrid w:val="0"/>
              <w:spacing w:line="320" w:lineRule="exact"/>
              <w:rPr>
                <w:rFonts w:ascii="宋体" w:hAnsi="宋体"/>
                <w:color w:val="auto"/>
                <w:szCs w:val="21"/>
                <w:highlight w:val="none"/>
              </w:rPr>
            </w:pPr>
            <w:r>
              <w:rPr>
                <w:rFonts w:hint="eastAsia" w:ascii="宋体" w:hAnsi="宋体"/>
                <w:color w:val="auto"/>
                <w:szCs w:val="21"/>
                <w:highlight w:val="none"/>
              </w:rPr>
              <w:t>法定代表人：</w:t>
            </w:r>
          </w:p>
        </w:tc>
        <w:tc>
          <w:tcPr>
            <w:tcW w:w="4520" w:type="dxa"/>
            <w:vAlign w:val="center"/>
          </w:tcPr>
          <w:p w14:paraId="7E2A3F92">
            <w:pPr>
              <w:snapToGrid w:val="0"/>
              <w:spacing w:line="320" w:lineRule="exact"/>
              <w:rPr>
                <w:rFonts w:ascii="宋体" w:hAnsi="宋体"/>
                <w:color w:val="auto"/>
                <w:szCs w:val="21"/>
                <w:highlight w:val="none"/>
              </w:rPr>
            </w:pPr>
            <w:r>
              <w:rPr>
                <w:rFonts w:hint="eastAsia" w:ascii="宋体" w:hAnsi="宋体"/>
                <w:color w:val="auto"/>
                <w:szCs w:val="21"/>
                <w:highlight w:val="none"/>
              </w:rPr>
              <w:t>法定代表人：</w:t>
            </w:r>
          </w:p>
        </w:tc>
      </w:tr>
      <w:tr w14:paraId="0444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519" w:type="dxa"/>
            <w:vAlign w:val="center"/>
          </w:tcPr>
          <w:p w14:paraId="0A8C5071">
            <w:pPr>
              <w:snapToGrid w:val="0"/>
              <w:spacing w:line="320" w:lineRule="exac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rPr>
              <w:t xml:space="preserve"> </w:t>
            </w:r>
          </w:p>
        </w:tc>
        <w:tc>
          <w:tcPr>
            <w:tcW w:w="4520" w:type="dxa"/>
            <w:vAlign w:val="center"/>
          </w:tcPr>
          <w:p w14:paraId="49F27DF0">
            <w:pPr>
              <w:snapToGrid w:val="0"/>
              <w:spacing w:line="320" w:lineRule="exact"/>
              <w:rPr>
                <w:rFonts w:ascii="宋体" w:hAnsi="宋体"/>
                <w:color w:val="auto"/>
                <w:szCs w:val="21"/>
                <w:highlight w:val="none"/>
              </w:rPr>
            </w:pPr>
            <w:r>
              <w:rPr>
                <w:rFonts w:hint="eastAsia" w:ascii="宋体" w:hAnsi="宋体"/>
                <w:color w:val="auto"/>
                <w:szCs w:val="21"/>
                <w:highlight w:val="none"/>
              </w:rPr>
              <w:t>委托代理人</w:t>
            </w:r>
          </w:p>
        </w:tc>
      </w:tr>
      <w:tr w14:paraId="43CE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9" w:type="dxa"/>
            <w:vAlign w:val="center"/>
          </w:tcPr>
          <w:p w14:paraId="1E16230A">
            <w:pPr>
              <w:snapToGrid w:val="0"/>
              <w:spacing w:line="320" w:lineRule="exact"/>
              <w:rPr>
                <w:rFonts w:ascii="宋体" w:hAnsi="宋体"/>
                <w:color w:val="auto"/>
                <w:szCs w:val="21"/>
                <w:highlight w:val="none"/>
              </w:rPr>
            </w:pPr>
            <w:r>
              <w:rPr>
                <w:rFonts w:hint="eastAsia" w:ascii="宋体" w:hAnsi="宋体"/>
                <w:color w:val="auto"/>
                <w:szCs w:val="21"/>
                <w:highlight w:val="none"/>
              </w:rPr>
              <w:t>电话：</w:t>
            </w:r>
          </w:p>
        </w:tc>
        <w:tc>
          <w:tcPr>
            <w:tcW w:w="4520" w:type="dxa"/>
            <w:vAlign w:val="center"/>
          </w:tcPr>
          <w:p w14:paraId="07DA0035">
            <w:pPr>
              <w:snapToGrid w:val="0"/>
              <w:spacing w:line="320" w:lineRule="exact"/>
              <w:rPr>
                <w:rFonts w:ascii="宋体" w:hAnsi="宋体"/>
                <w:color w:val="auto"/>
                <w:szCs w:val="21"/>
                <w:highlight w:val="none"/>
              </w:rPr>
            </w:pPr>
            <w:r>
              <w:rPr>
                <w:rFonts w:hint="eastAsia" w:ascii="宋体" w:hAnsi="宋体"/>
                <w:color w:val="auto"/>
                <w:szCs w:val="21"/>
                <w:highlight w:val="none"/>
              </w:rPr>
              <w:t>电话：</w:t>
            </w:r>
          </w:p>
        </w:tc>
      </w:tr>
      <w:tr w14:paraId="3CC5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519" w:type="dxa"/>
            <w:vAlign w:val="center"/>
          </w:tcPr>
          <w:p w14:paraId="1BAC8111">
            <w:pPr>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p>
        </w:tc>
        <w:tc>
          <w:tcPr>
            <w:tcW w:w="4520" w:type="dxa"/>
            <w:vAlign w:val="center"/>
          </w:tcPr>
          <w:p w14:paraId="6E3ACF3F">
            <w:pPr>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p>
        </w:tc>
      </w:tr>
      <w:tr w14:paraId="2479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519" w:type="dxa"/>
            <w:vAlign w:val="center"/>
          </w:tcPr>
          <w:p w14:paraId="4D3FDB00">
            <w:pPr>
              <w:snapToGrid w:val="0"/>
              <w:spacing w:line="320" w:lineRule="exact"/>
              <w:rPr>
                <w:rFonts w:ascii="宋体" w:hAnsi="宋体"/>
                <w:color w:val="auto"/>
                <w:szCs w:val="21"/>
                <w:highlight w:val="none"/>
              </w:rPr>
            </w:pPr>
            <w:r>
              <w:rPr>
                <w:rFonts w:hint="eastAsia" w:ascii="宋体" w:hAnsi="宋体"/>
                <w:color w:val="auto"/>
                <w:szCs w:val="21"/>
                <w:highlight w:val="none"/>
              </w:rPr>
              <w:t>开户银行：</w:t>
            </w:r>
          </w:p>
        </w:tc>
        <w:tc>
          <w:tcPr>
            <w:tcW w:w="4520" w:type="dxa"/>
            <w:vAlign w:val="center"/>
          </w:tcPr>
          <w:p w14:paraId="28C91FA7">
            <w:pPr>
              <w:snapToGrid w:val="0"/>
              <w:spacing w:line="320" w:lineRule="exact"/>
              <w:rPr>
                <w:rFonts w:ascii="宋体" w:hAnsi="宋体"/>
                <w:color w:val="auto"/>
                <w:szCs w:val="21"/>
                <w:highlight w:val="none"/>
              </w:rPr>
            </w:pPr>
            <w:r>
              <w:rPr>
                <w:rFonts w:hint="eastAsia" w:ascii="宋体" w:hAnsi="宋体"/>
                <w:color w:val="auto"/>
                <w:szCs w:val="21"/>
                <w:highlight w:val="none"/>
              </w:rPr>
              <w:t>开户银行：</w:t>
            </w:r>
          </w:p>
        </w:tc>
      </w:tr>
      <w:tr w14:paraId="42DC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519" w:type="dxa"/>
            <w:vAlign w:val="center"/>
          </w:tcPr>
          <w:p w14:paraId="749A22BE">
            <w:pPr>
              <w:snapToGrid w:val="0"/>
              <w:spacing w:line="320" w:lineRule="exact"/>
              <w:rPr>
                <w:rFonts w:ascii="宋体" w:hAnsi="宋体"/>
                <w:color w:val="auto"/>
                <w:szCs w:val="21"/>
                <w:highlight w:val="none"/>
              </w:rPr>
            </w:pPr>
            <w:r>
              <w:rPr>
                <w:rFonts w:hint="eastAsia" w:ascii="宋体" w:hAnsi="宋体"/>
                <w:color w:val="auto"/>
                <w:szCs w:val="21"/>
                <w:highlight w:val="none"/>
              </w:rPr>
              <w:t>账号：</w:t>
            </w:r>
          </w:p>
        </w:tc>
        <w:tc>
          <w:tcPr>
            <w:tcW w:w="4520" w:type="dxa"/>
            <w:vAlign w:val="center"/>
          </w:tcPr>
          <w:p w14:paraId="2FF5D69C">
            <w:pPr>
              <w:snapToGrid w:val="0"/>
              <w:spacing w:line="320" w:lineRule="exact"/>
              <w:rPr>
                <w:rFonts w:ascii="宋体" w:hAnsi="宋体"/>
                <w:color w:val="auto"/>
                <w:szCs w:val="21"/>
                <w:highlight w:val="none"/>
              </w:rPr>
            </w:pPr>
            <w:r>
              <w:rPr>
                <w:rFonts w:hint="eastAsia" w:ascii="宋体" w:hAnsi="宋体"/>
                <w:color w:val="auto"/>
                <w:szCs w:val="21"/>
                <w:highlight w:val="none"/>
              </w:rPr>
              <w:t>账号：</w:t>
            </w:r>
          </w:p>
        </w:tc>
      </w:tr>
      <w:tr w14:paraId="4A60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9" w:type="dxa"/>
            <w:vAlign w:val="center"/>
          </w:tcPr>
          <w:p w14:paraId="11ACF202">
            <w:pPr>
              <w:snapToGrid w:val="0"/>
              <w:spacing w:line="320" w:lineRule="exact"/>
              <w:rPr>
                <w:rFonts w:ascii="宋体" w:hAnsi="宋体"/>
                <w:color w:val="auto"/>
                <w:szCs w:val="21"/>
                <w:highlight w:val="none"/>
              </w:rPr>
            </w:pPr>
            <w:r>
              <w:rPr>
                <w:rFonts w:hint="eastAsia" w:ascii="宋体" w:hAnsi="宋体"/>
                <w:color w:val="auto"/>
                <w:szCs w:val="21"/>
                <w:highlight w:val="none"/>
              </w:rPr>
              <w:t>邮政编码：</w:t>
            </w:r>
          </w:p>
        </w:tc>
        <w:tc>
          <w:tcPr>
            <w:tcW w:w="4520" w:type="dxa"/>
            <w:vAlign w:val="center"/>
          </w:tcPr>
          <w:p w14:paraId="1F00EE40">
            <w:pPr>
              <w:snapToGrid w:val="0"/>
              <w:spacing w:line="320" w:lineRule="exact"/>
              <w:rPr>
                <w:rFonts w:ascii="宋体" w:hAnsi="宋体"/>
                <w:color w:val="auto"/>
                <w:szCs w:val="21"/>
                <w:highlight w:val="none"/>
              </w:rPr>
            </w:pPr>
            <w:r>
              <w:rPr>
                <w:rFonts w:hint="eastAsia" w:ascii="宋体" w:hAnsi="宋体"/>
                <w:color w:val="auto"/>
                <w:szCs w:val="21"/>
                <w:highlight w:val="none"/>
              </w:rPr>
              <w:t>邮政编码：</w:t>
            </w:r>
          </w:p>
        </w:tc>
      </w:tr>
    </w:tbl>
    <w:p w14:paraId="19108EC5">
      <w:pPr>
        <w:spacing w:line="400" w:lineRule="exact"/>
        <w:rPr>
          <w:rFonts w:ascii="宋体" w:hAnsi="宋体"/>
          <w:bCs/>
          <w:color w:val="auto"/>
          <w:szCs w:val="21"/>
          <w:highlight w:val="none"/>
        </w:rPr>
      </w:pPr>
    </w:p>
    <w:sectPr>
      <w:headerReference r:id="rId7" w:type="first"/>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6E3006-F2A6-43AB-9941-FB8E1E697513}"/>
  </w:font>
  <w:font w:name="黑体">
    <w:panose1 w:val="02010609060101010101"/>
    <w:charset w:val="86"/>
    <w:family w:val="auto"/>
    <w:pitch w:val="default"/>
    <w:sig w:usb0="800002BF" w:usb1="38CF7CFA" w:usb2="00000016" w:usb3="00000000" w:csb0="00040001" w:csb1="00000000"/>
    <w:embedRegular r:id="rId2" w:fontKey="{5F3C3063-9802-4573-9CD1-59B5B1DF3E24}"/>
  </w:font>
  <w:font w:name="Courier New">
    <w:panose1 w:val="02070309020205020404"/>
    <w:charset w:val="01"/>
    <w:family w:val="modern"/>
    <w:pitch w:val="default"/>
    <w:sig w:usb0="E0002AFF" w:usb1="C0007843" w:usb2="00000009" w:usb3="00000000" w:csb0="400001FF" w:csb1="FFFF0000"/>
    <w:embedRegular r:id="rId3" w:fontKey="{2208C6CA-282B-45F9-A5FE-68453873FDE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4" w:fontKey="{55106BB4-5AB5-4D3F-B92D-9C8938F0063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055DA23C-A66C-4C92-B03E-5C808288F062}"/>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6" w:fontKey="{272DBC6D-80D2-4F95-BC69-64ABBAF65552}"/>
  </w:font>
  <w:font w:name="华文新魏">
    <w:panose1 w:val="02010800040101010101"/>
    <w:charset w:val="86"/>
    <w:family w:val="auto"/>
    <w:pitch w:val="default"/>
    <w:sig w:usb0="00000001" w:usb1="080F0000" w:usb2="00000000" w:usb3="00000000" w:csb0="00040000" w:csb1="00000000"/>
    <w:embedRegular r:id="rId7" w:fontKey="{16EAD816-FF39-465F-8E73-E08A7041C158}"/>
  </w:font>
  <w:font w:name="Segoe UI Symbol">
    <w:panose1 w:val="020B0502040204020203"/>
    <w:charset w:val="00"/>
    <w:family w:val="swiss"/>
    <w:pitch w:val="default"/>
    <w:sig w:usb0="8000006F" w:usb1="1200FBEF" w:usb2="0064C000" w:usb3="00000002" w:csb0="00000001" w:csb1="40000000"/>
    <w:embedRegular r:id="rId8" w:fontKey="{2CB194D9-F12C-413E-AF36-3E8069581772}"/>
  </w:font>
  <w:font w:name="仿宋">
    <w:panose1 w:val="02010609060101010101"/>
    <w:charset w:val="86"/>
    <w:family w:val="modern"/>
    <w:pitch w:val="default"/>
    <w:sig w:usb0="800002BF" w:usb1="38CF7CFA" w:usb2="00000016" w:usb3="00000000" w:csb0="00040001" w:csb1="00000000"/>
    <w:embedRegular r:id="rId9" w:fontKey="{68974694-30A0-4A60-AEAF-105E8E7AAB34}"/>
  </w:font>
  <w:font w:name="Verdana">
    <w:panose1 w:val="020B0604030504040204"/>
    <w:charset w:val="00"/>
    <w:family w:val="swiss"/>
    <w:pitch w:val="default"/>
    <w:sig w:usb0="A10006FF" w:usb1="4000205B" w:usb2="00000010" w:usb3="00000000" w:csb0="2000019F" w:csb1="00000000"/>
    <w:embedRegular r:id="rId10" w:fontKey="{56C2EB9A-197D-4139-A158-40FE682668BB}"/>
  </w:font>
  <w:font w:name="微软雅黑">
    <w:panose1 w:val="020B0503020204020204"/>
    <w:charset w:val="86"/>
    <w:family w:val="auto"/>
    <w:pitch w:val="default"/>
    <w:sig w:usb0="80000287" w:usb1="280F3C52" w:usb2="00000016" w:usb3="00000000" w:csb0="0004001F" w:csb1="00000000"/>
    <w:embedRegular r:id="rId11" w:fontKey="{5300B3E3-5E74-4E5C-B166-BDE0F6F02B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E953">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682D8">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0NZtEBAACqAwAADgAAAGRycy9lMm9Eb2MueG1srVNLbtswEN0XyB0I&#10;7mPJblA4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C0llhl88NPPH6dff06/v5Or&#10;8vo6KdR5qLDw3mNp7D+4HvdmigMGE/FeBpO+SIlgHvU9nvUVfSQ8XVoulssSUxxzk4P4xeN1HyDe&#10;CWdIMmoa8AGzruzwCeJQOpWkbtbdKq3zI2r7JICYQ0TkLRhvJybDxMmK/bYf6W1dc0R2HW5CTS0u&#10;PiX6o0Wh09JMRpiM7WTsfVC7Fged5ynBv99HHClPmjoMsMgwOfiEmeu4bmlH/vVz1eMv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QNDWbRAQAAqgMAAA4AAAAAAAAAAQAgAAAAHgEAAGRy&#10;cy9lMm9Eb2MueG1sUEsFBgAAAAAGAAYAWQEAAGEFAAAAAA==&#10;">
              <v:fill on="f" focussize="0,0"/>
              <v:stroke on="f"/>
              <v:imagedata o:title=""/>
              <o:lock v:ext="edit" aspectratio="f"/>
              <v:textbox inset="0mm,0mm,0mm,0mm" style="mso-fit-shape-to-text:t;">
                <w:txbxContent>
                  <w:p w14:paraId="257682D8">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39422AF8">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A356">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48C62DF1"/>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owIOv9UBAACoAwAADgAAAAAAAAABACAAAAAf&#10;AQAAZHJzL2Uyb0RvYy54bWxQSwUGAAAAAAYABgBZAQAAZgUAAAAA&#10;">
              <v:fill on="f" focussize="0,0"/>
              <v:stroke on="f"/>
              <v:imagedata o:title=""/>
              <o:lock v:ext="edit" aspectratio="f"/>
              <v:textbox inset="0mm,0mm,0mm,0mm" style="mso-fit-shape-to-text:t;">
                <w:txbxContent>
                  <w:p w14:paraId="48C62DF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10B20">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136013">
                          <w:pPr>
                            <w:pStyle w:val="21"/>
                            <w:jc w:val="center"/>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mar8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hjaBMysMPfjl+7fLj1+Xn1/Z8/LV&#10;y6RQ77GiwjtPpXF444ZUPcWRgon40AaTvkSJUZ70PV/1hSEymS6tV+t1SSlJudkhnOL+ug8Y34Iz&#10;LBk1D/SAWVdxeo9xLJ1LUjfrbpXWFBeVtn8FCHOMQN6C6XZiMk6crDjsh4nG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GZqvzwEAAKoDAAAOAAAAAAAAAAEAIAAAAB4BAABkcnMv&#10;ZTJvRG9jLnhtbFBLBQYAAAAABgAGAFkBAABfBQAAAAA=&#10;">
              <v:fill on="f" focussize="0,0"/>
              <v:stroke on="f"/>
              <v:imagedata o:title=""/>
              <o:lock v:ext="edit" aspectratio="f"/>
              <v:textbox inset="0mm,0mm,0mm,0mm" style="mso-fit-shape-to-text:t;">
                <w:txbxContent>
                  <w:p w14:paraId="3D136013">
                    <w:pPr>
                      <w:pStyle w:val="21"/>
                      <w:jc w:val="center"/>
                    </w:pPr>
                    <w:r>
                      <w:fldChar w:fldCharType="begin"/>
                    </w:r>
                    <w:r>
                      <w:instrText xml:space="preserve"> PAGE  \* MERGEFORMAT </w:instrText>
                    </w:r>
                    <w:r>
                      <w:fldChar w:fldCharType="separate"/>
                    </w:r>
                    <w:r>
                      <w:t>4</w:t>
                    </w:r>
                    <w:r>
                      <w:fldChar w:fldCharType="end"/>
                    </w:r>
                  </w:p>
                </w:txbxContent>
              </v:textbox>
            </v:shape>
          </w:pict>
        </mc:Fallback>
      </mc:AlternateContent>
    </w:r>
  </w:p>
  <w:p w14:paraId="4AB45553">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F3DF">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B6CC22">
                          <w:pPr>
                            <w:pStyle w:val="2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2vm9ABAACqAwAADgAAAGRycy9lMm9Eb2MueG1srVNLbtswEN0XyB0I&#10;7mPJRlC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dEWJZQYf/Pz92/nHr/PPr+Sm&#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4D2vm9ABAACqAwAADgAAAAAAAAABACAAAAAeAQAAZHJz&#10;L2Uyb0RvYy54bWxQSwUGAAAAAAYABgBZAQAAYAUAAAAA&#10;">
              <v:fill on="f" focussize="0,0"/>
              <v:stroke on="f"/>
              <v:imagedata o:title=""/>
              <o:lock v:ext="edit" aspectratio="f"/>
              <v:textbox inset="0mm,0mm,0mm,0mm" style="mso-fit-shape-to-text:t;">
                <w:txbxContent>
                  <w:p w14:paraId="33B6CC22">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A3CD">
    <w:pPr>
      <w:pStyle w:val="22"/>
      <w:pBdr>
        <w:bottom w:val="none" w:color="auto" w:sz="0" w:space="0"/>
      </w:pBdr>
      <w:rPr>
        <w:rFonts w:ascii="宋体" w:hAnsi="宋体"/>
        <w:bCs/>
        <w:u w:val="single"/>
      </w:rPr>
    </w:pPr>
    <w:r>
      <w:rPr>
        <w:rFonts w:hint="eastAsia" w:ascii="宋体" w:hAnsi="宋体"/>
        <w:bCs/>
        <w:u w:val="single"/>
      </w:rPr>
      <w:t xml:space="preserve">项目名称：广西涠洲岛珊瑚礁国家级海洋公园2025年度珊瑚礁生态现状监测、边界浮标维护及保护宣传项目   </w:t>
    </w:r>
    <w:r>
      <w:rPr>
        <w:rFonts w:ascii="宋体" w:hAnsi="宋体"/>
        <w:bCs/>
        <w:u w:val="single"/>
      </w:rPr>
      <w:t xml:space="preserve">       </w:t>
    </w:r>
    <w:r>
      <w:rPr>
        <w:rFonts w:hint="eastAsia" w:ascii="宋体" w:hAnsi="宋体"/>
        <w:bCs/>
        <w:u w:val="single"/>
      </w:rPr>
      <w:t>项目编号：BHZC2025-C3-990057-YZLZ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3E57">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C59D">
    <w:pPr>
      <w:pStyle w:val="22"/>
      <w:pBdr>
        <w:bottom w:val="none" w:color="auto" w:sz="0" w:space="1"/>
      </w:pBdr>
      <w:rPr>
        <w:rFonts w:ascii="宋体" w:hAnsi="宋体"/>
        <w:bCs/>
        <w:u w:val="single"/>
      </w:rPr>
    </w:pPr>
    <w:r>
      <w:rPr>
        <w:rFonts w:hint="eastAsia" w:ascii="宋体" w:hAnsi="宋体"/>
        <w:bCs/>
        <w:u w:val="single"/>
      </w:rPr>
      <w:t xml:space="preserve">项目名称：广西涠洲岛珊瑚礁国家级海洋公园2025年度珊瑚礁生态现状监测、边界浮标维护及保护宣传项目  </w:t>
    </w:r>
    <w:r>
      <w:rPr>
        <w:rFonts w:ascii="宋体" w:hAnsi="宋体"/>
        <w:bCs/>
        <w:u w:val="single"/>
      </w:rPr>
      <w:t xml:space="preserve">      </w:t>
    </w:r>
    <w:r>
      <w:rPr>
        <w:rFonts w:hint="eastAsia" w:ascii="宋体" w:hAnsi="宋体"/>
        <w:bCs/>
        <w:u w:val="single"/>
      </w:rPr>
      <w:t xml:space="preserve">  项目编号：BHZC2025-C3-990057-YZLZ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OTBiY2VmNmMxMWY2OGVkMWMyYTU1NDAwZjdiZGUifQ=="/>
  </w:docVars>
  <w:rsids>
    <w:rsidRoot w:val="00F34B14"/>
    <w:rsid w:val="000002E0"/>
    <w:rsid w:val="00000672"/>
    <w:rsid w:val="00000B7F"/>
    <w:rsid w:val="00001013"/>
    <w:rsid w:val="0000140E"/>
    <w:rsid w:val="000016CE"/>
    <w:rsid w:val="00001799"/>
    <w:rsid w:val="00001AF2"/>
    <w:rsid w:val="00001ECA"/>
    <w:rsid w:val="00002D29"/>
    <w:rsid w:val="00003725"/>
    <w:rsid w:val="00003B93"/>
    <w:rsid w:val="0000474D"/>
    <w:rsid w:val="00004C1F"/>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645"/>
    <w:rsid w:val="000177DB"/>
    <w:rsid w:val="000179C9"/>
    <w:rsid w:val="00017CCC"/>
    <w:rsid w:val="00020227"/>
    <w:rsid w:val="00020263"/>
    <w:rsid w:val="00020455"/>
    <w:rsid w:val="00020813"/>
    <w:rsid w:val="00020AAC"/>
    <w:rsid w:val="000215D0"/>
    <w:rsid w:val="000220B2"/>
    <w:rsid w:val="00022440"/>
    <w:rsid w:val="0002264C"/>
    <w:rsid w:val="00022731"/>
    <w:rsid w:val="00022792"/>
    <w:rsid w:val="00022A03"/>
    <w:rsid w:val="00024463"/>
    <w:rsid w:val="00025461"/>
    <w:rsid w:val="00025636"/>
    <w:rsid w:val="00025E36"/>
    <w:rsid w:val="00026855"/>
    <w:rsid w:val="00026886"/>
    <w:rsid w:val="00026BD9"/>
    <w:rsid w:val="0002785D"/>
    <w:rsid w:val="00030691"/>
    <w:rsid w:val="000307BE"/>
    <w:rsid w:val="000329E0"/>
    <w:rsid w:val="0003527A"/>
    <w:rsid w:val="000352E9"/>
    <w:rsid w:val="00035494"/>
    <w:rsid w:val="00035677"/>
    <w:rsid w:val="00036125"/>
    <w:rsid w:val="00036A07"/>
    <w:rsid w:val="0003780B"/>
    <w:rsid w:val="00040571"/>
    <w:rsid w:val="00040973"/>
    <w:rsid w:val="0004156E"/>
    <w:rsid w:val="00041713"/>
    <w:rsid w:val="0004440C"/>
    <w:rsid w:val="00044EAE"/>
    <w:rsid w:val="00046B5E"/>
    <w:rsid w:val="000470CB"/>
    <w:rsid w:val="0004783C"/>
    <w:rsid w:val="000509D9"/>
    <w:rsid w:val="000512AF"/>
    <w:rsid w:val="00051ACB"/>
    <w:rsid w:val="000533E7"/>
    <w:rsid w:val="00054C33"/>
    <w:rsid w:val="00055D41"/>
    <w:rsid w:val="00056EF6"/>
    <w:rsid w:val="00057CD6"/>
    <w:rsid w:val="00060DCE"/>
    <w:rsid w:val="000610E3"/>
    <w:rsid w:val="000614F3"/>
    <w:rsid w:val="000623B4"/>
    <w:rsid w:val="00062405"/>
    <w:rsid w:val="00062412"/>
    <w:rsid w:val="000630B3"/>
    <w:rsid w:val="000634A7"/>
    <w:rsid w:val="00063B0B"/>
    <w:rsid w:val="00063F81"/>
    <w:rsid w:val="00064847"/>
    <w:rsid w:val="00065E08"/>
    <w:rsid w:val="000673E2"/>
    <w:rsid w:val="000678B1"/>
    <w:rsid w:val="00067EF1"/>
    <w:rsid w:val="0007063F"/>
    <w:rsid w:val="000707FD"/>
    <w:rsid w:val="00070949"/>
    <w:rsid w:val="000711E4"/>
    <w:rsid w:val="00071E9B"/>
    <w:rsid w:val="000720A1"/>
    <w:rsid w:val="000724D9"/>
    <w:rsid w:val="00072AED"/>
    <w:rsid w:val="00073F47"/>
    <w:rsid w:val="000747AA"/>
    <w:rsid w:val="0007492F"/>
    <w:rsid w:val="00074ED8"/>
    <w:rsid w:val="00075B7E"/>
    <w:rsid w:val="00077ACA"/>
    <w:rsid w:val="00077C70"/>
    <w:rsid w:val="000813B5"/>
    <w:rsid w:val="000816B6"/>
    <w:rsid w:val="0008191E"/>
    <w:rsid w:val="00081BA3"/>
    <w:rsid w:val="00081D2E"/>
    <w:rsid w:val="00081F89"/>
    <w:rsid w:val="000823EE"/>
    <w:rsid w:val="00082619"/>
    <w:rsid w:val="00082D02"/>
    <w:rsid w:val="0008381A"/>
    <w:rsid w:val="00083871"/>
    <w:rsid w:val="00083B91"/>
    <w:rsid w:val="00084195"/>
    <w:rsid w:val="0008473C"/>
    <w:rsid w:val="0008520B"/>
    <w:rsid w:val="000857DE"/>
    <w:rsid w:val="000860BD"/>
    <w:rsid w:val="000871B8"/>
    <w:rsid w:val="00087B0A"/>
    <w:rsid w:val="000916DA"/>
    <w:rsid w:val="00091AAB"/>
    <w:rsid w:val="00092442"/>
    <w:rsid w:val="000929EF"/>
    <w:rsid w:val="00092C26"/>
    <w:rsid w:val="000933BE"/>
    <w:rsid w:val="0009560F"/>
    <w:rsid w:val="0009588E"/>
    <w:rsid w:val="000959EE"/>
    <w:rsid w:val="0009634C"/>
    <w:rsid w:val="000967F8"/>
    <w:rsid w:val="00096DB9"/>
    <w:rsid w:val="00097183"/>
    <w:rsid w:val="000972CB"/>
    <w:rsid w:val="00097608"/>
    <w:rsid w:val="000A0F35"/>
    <w:rsid w:val="000A1175"/>
    <w:rsid w:val="000A131B"/>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3FFD"/>
    <w:rsid w:val="000B4321"/>
    <w:rsid w:val="000B63AB"/>
    <w:rsid w:val="000B6A6B"/>
    <w:rsid w:val="000B6C95"/>
    <w:rsid w:val="000B6E23"/>
    <w:rsid w:val="000B7478"/>
    <w:rsid w:val="000B79FC"/>
    <w:rsid w:val="000C1679"/>
    <w:rsid w:val="000C1EE3"/>
    <w:rsid w:val="000C3079"/>
    <w:rsid w:val="000C3AE7"/>
    <w:rsid w:val="000C3CC9"/>
    <w:rsid w:val="000C59C6"/>
    <w:rsid w:val="000C6DE4"/>
    <w:rsid w:val="000C6F93"/>
    <w:rsid w:val="000C7202"/>
    <w:rsid w:val="000C7CC8"/>
    <w:rsid w:val="000D0A89"/>
    <w:rsid w:val="000D1389"/>
    <w:rsid w:val="000D1798"/>
    <w:rsid w:val="000D2508"/>
    <w:rsid w:val="000D25A6"/>
    <w:rsid w:val="000D2626"/>
    <w:rsid w:val="000D411D"/>
    <w:rsid w:val="000D4589"/>
    <w:rsid w:val="000D4809"/>
    <w:rsid w:val="000D73DD"/>
    <w:rsid w:val="000E1C51"/>
    <w:rsid w:val="000E28AB"/>
    <w:rsid w:val="000E2E3E"/>
    <w:rsid w:val="000E3583"/>
    <w:rsid w:val="000E3AF0"/>
    <w:rsid w:val="000E4E04"/>
    <w:rsid w:val="000E693B"/>
    <w:rsid w:val="000E6ADF"/>
    <w:rsid w:val="000E6D5C"/>
    <w:rsid w:val="000E6EC9"/>
    <w:rsid w:val="000E70B4"/>
    <w:rsid w:val="000E7B62"/>
    <w:rsid w:val="000F0E1E"/>
    <w:rsid w:val="000F0F33"/>
    <w:rsid w:val="000F1A1B"/>
    <w:rsid w:val="000F2A95"/>
    <w:rsid w:val="000F3281"/>
    <w:rsid w:val="000F32FD"/>
    <w:rsid w:val="000F3733"/>
    <w:rsid w:val="000F37B1"/>
    <w:rsid w:val="000F4F56"/>
    <w:rsid w:val="000F5F8B"/>
    <w:rsid w:val="000F6153"/>
    <w:rsid w:val="000F64AA"/>
    <w:rsid w:val="000F68A7"/>
    <w:rsid w:val="000F74A0"/>
    <w:rsid w:val="000F7AF4"/>
    <w:rsid w:val="000F7C33"/>
    <w:rsid w:val="000F7F0C"/>
    <w:rsid w:val="001004D6"/>
    <w:rsid w:val="00100830"/>
    <w:rsid w:val="00100BC1"/>
    <w:rsid w:val="001014C0"/>
    <w:rsid w:val="00101D1B"/>
    <w:rsid w:val="00102676"/>
    <w:rsid w:val="00103646"/>
    <w:rsid w:val="00103918"/>
    <w:rsid w:val="00103C40"/>
    <w:rsid w:val="00104897"/>
    <w:rsid w:val="00104AB2"/>
    <w:rsid w:val="00104EDE"/>
    <w:rsid w:val="00104F54"/>
    <w:rsid w:val="00105CDA"/>
    <w:rsid w:val="00106BEE"/>
    <w:rsid w:val="0010711C"/>
    <w:rsid w:val="00107368"/>
    <w:rsid w:val="00107BDF"/>
    <w:rsid w:val="00107C74"/>
    <w:rsid w:val="0011091C"/>
    <w:rsid w:val="00110A2A"/>
    <w:rsid w:val="00111266"/>
    <w:rsid w:val="001112EB"/>
    <w:rsid w:val="00111C7B"/>
    <w:rsid w:val="0011247D"/>
    <w:rsid w:val="00113678"/>
    <w:rsid w:val="00113A7D"/>
    <w:rsid w:val="00113C3E"/>
    <w:rsid w:val="00115E11"/>
    <w:rsid w:val="00115EEE"/>
    <w:rsid w:val="00115F56"/>
    <w:rsid w:val="001162AB"/>
    <w:rsid w:val="00116635"/>
    <w:rsid w:val="00116CA9"/>
    <w:rsid w:val="00116F38"/>
    <w:rsid w:val="001170A4"/>
    <w:rsid w:val="00117AE7"/>
    <w:rsid w:val="00117B85"/>
    <w:rsid w:val="00117CBD"/>
    <w:rsid w:val="0012006A"/>
    <w:rsid w:val="00121979"/>
    <w:rsid w:val="00122064"/>
    <w:rsid w:val="0012280A"/>
    <w:rsid w:val="00124341"/>
    <w:rsid w:val="00124492"/>
    <w:rsid w:val="00124B12"/>
    <w:rsid w:val="001250A0"/>
    <w:rsid w:val="001263B8"/>
    <w:rsid w:val="00127BA0"/>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47ECF"/>
    <w:rsid w:val="001509CF"/>
    <w:rsid w:val="00150AF4"/>
    <w:rsid w:val="00150D1D"/>
    <w:rsid w:val="001525AA"/>
    <w:rsid w:val="00152A14"/>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728"/>
    <w:rsid w:val="001629AF"/>
    <w:rsid w:val="001629FD"/>
    <w:rsid w:val="00163E37"/>
    <w:rsid w:val="0016428A"/>
    <w:rsid w:val="001647C9"/>
    <w:rsid w:val="00164AF9"/>
    <w:rsid w:val="00165627"/>
    <w:rsid w:val="0016570B"/>
    <w:rsid w:val="001661A3"/>
    <w:rsid w:val="00167226"/>
    <w:rsid w:val="0016782B"/>
    <w:rsid w:val="0016784D"/>
    <w:rsid w:val="00167853"/>
    <w:rsid w:val="00167887"/>
    <w:rsid w:val="0017161C"/>
    <w:rsid w:val="00172CA8"/>
    <w:rsid w:val="00173256"/>
    <w:rsid w:val="00173B0E"/>
    <w:rsid w:val="00173E03"/>
    <w:rsid w:val="00174B44"/>
    <w:rsid w:val="00174B92"/>
    <w:rsid w:val="0017512C"/>
    <w:rsid w:val="001756AF"/>
    <w:rsid w:val="0017586A"/>
    <w:rsid w:val="00175BA6"/>
    <w:rsid w:val="00176CA7"/>
    <w:rsid w:val="00176D0C"/>
    <w:rsid w:val="00176F8E"/>
    <w:rsid w:val="001778C5"/>
    <w:rsid w:val="00177E56"/>
    <w:rsid w:val="00177F0A"/>
    <w:rsid w:val="001801FB"/>
    <w:rsid w:val="00180DA0"/>
    <w:rsid w:val="00181EAD"/>
    <w:rsid w:val="00182862"/>
    <w:rsid w:val="00184F57"/>
    <w:rsid w:val="00185091"/>
    <w:rsid w:val="00185544"/>
    <w:rsid w:val="00185617"/>
    <w:rsid w:val="00186FE1"/>
    <w:rsid w:val="00187A14"/>
    <w:rsid w:val="001902C2"/>
    <w:rsid w:val="0019171E"/>
    <w:rsid w:val="00192368"/>
    <w:rsid w:val="001923A0"/>
    <w:rsid w:val="001928B1"/>
    <w:rsid w:val="00193537"/>
    <w:rsid w:val="00193846"/>
    <w:rsid w:val="00194858"/>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A7B24"/>
    <w:rsid w:val="001A7DBF"/>
    <w:rsid w:val="001B125A"/>
    <w:rsid w:val="001B1EBA"/>
    <w:rsid w:val="001B2142"/>
    <w:rsid w:val="001B2C70"/>
    <w:rsid w:val="001B2F2B"/>
    <w:rsid w:val="001B327A"/>
    <w:rsid w:val="001B35DE"/>
    <w:rsid w:val="001B3A13"/>
    <w:rsid w:val="001B3F5C"/>
    <w:rsid w:val="001B57C9"/>
    <w:rsid w:val="001B59FF"/>
    <w:rsid w:val="001B6512"/>
    <w:rsid w:val="001B65D7"/>
    <w:rsid w:val="001B6752"/>
    <w:rsid w:val="001B6768"/>
    <w:rsid w:val="001B6F1F"/>
    <w:rsid w:val="001B7080"/>
    <w:rsid w:val="001B7ECC"/>
    <w:rsid w:val="001C025B"/>
    <w:rsid w:val="001C115F"/>
    <w:rsid w:val="001C1EAB"/>
    <w:rsid w:val="001C25A7"/>
    <w:rsid w:val="001C2775"/>
    <w:rsid w:val="001C2E61"/>
    <w:rsid w:val="001C318C"/>
    <w:rsid w:val="001C35C4"/>
    <w:rsid w:val="001C3C0E"/>
    <w:rsid w:val="001C4287"/>
    <w:rsid w:val="001C4479"/>
    <w:rsid w:val="001C5190"/>
    <w:rsid w:val="001C51EE"/>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4A"/>
    <w:rsid w:val="00200F7C"/>
    <w:rsid w:val="002012A1"/>
    <w:rsid w:val="002014DB"/>
    <w:rsid w:val="0020150B"/>
    <w:rsid w:val="00201E12"/>
    <w:rsid w:val="00202295"/>
    <w:rsid w:val="002033B5"/>
    <w:rsid w:val="0020382C"/>
    <w:rsid w:val="0020437A"/>
    <w:rsid w:val="0020454C"/>
    <w:rsid w:val="00204740"/>
    <w:rsid w:val="00205129"/>
    <w:rsid w:val="0020521F"/>
    <w:rsid w:val="0020532C"/>
    <w:rsid w:val="002114C7"/>
    <w:rsid w:val="002125AF"/>
    <w:rsid w:val="0021302C"/>
    <w:rsid w:val="00213B1C"/>
    <w:rsid w:val="00213F1E"/>
    <w:rsid w:val="00214202"/>
    <w:rsid w:val="002148E3"/>
    <w:rsid w:val="002150A2"/>
    <w:rsid w:val="0021552D"/>
    <w:rsid w:val="002156AE"/>
    <w:rsid w:val="00215D51"/>
    <w:rsid w:val="00215E99"/>
    <w:rsid w:val="0022054D"/>
    <w:rsid w:val="00220F7F"/>
    <w:rsid w:val="0022107B"/>
    <w:rsid w:val="00221FBD"/>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5FF1"/>
    <w:rsid w:val="00236578"/>
    <w:rsid w:val="002366E1"/>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2D4"/>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C2A"/>
    <w:rsid w:val="00273CBE"/>
    <w:rsid w:val="00274538"/>
    <w:rsid w:val="002746B1"/>
    <w:rsid w:val="00274BAD"/>
    <w:rsid w:val="00276FB5"/>
    <w:rsid w:val="002807B0"/>
    <w:rsid w:val="00282382"/>
    <w:rsid w:val="002826DB"/>
    <w:rsid w:val="00282ACB"/>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895"/>
    <w:rsid w:val="00294F10"/>
    <w:rsid w:val="002952B1"/>
    <w:rsid w:val="00295D11"/>
    <w:rsid w:val="00296FB6"/>
    <w:rsid w:val="002974A3"/>
    <w:rsid w:val="002A0001"/>
    <w:rsid w:val="002A0BD9"/>
    <w:rsid w:val="002A0C3A"/>
    <w:rsid w:val="002A0DF8"/>
    <w:rsid w:val="002A0F1C"/>
    <w:rsid w:val="002A1130"/>
    <w:rsid w:val="002A1880"/>
    <w:rsid w:val="002A23B7"/>
    <w:rsid w:val="002A3A57"/>
    <w:rsid w:val="002A4B4F"/>
    <w:rsid w:val="002A57A8"/>
    <w:rsid w:val="002A64F1"/>
    <w:rsid w:val="002A6886"/>
    <w:rsid w:val="002A6DEF"/>
    <w:rsid w:val="002A770B"/>
    <w:rsid w:val="002B013E"/>
    <w:rsid w:val="002B058D"/>
    <w:rsid w:val="002B0C16"/>
    <w:rsid w:val="002B2456"/>
    <w:rsid w:val="002B2AC5"/>
    <w:rsid w:val="002B2CD1"/>
    <w:rsid w:val="002B3528"/>
    <w:rsid w:val="002B3539"/>
    <w:rsid w:val="002B4395"/>
    <w:rsid w:val="002B4532"/>
    <w:rsid w:val="002B4DD9"/>
    <w:rsid w:val="002B5042"/>
    <w:rsid w:val="002B69CC"/>
    <w:rsid w:val="002B6D71"/>
    <w:rsid w:val="002C03AE"/>
    <w:rsid w:val="002C0C1C"/>
    <w:rsid w:val="002C11AB"/>
    <w:rsid w:val="002C41BF"/>
    <w:rsid w:val="002C4EBB"/>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3768"/>
    <w:rsid w:val="002E38AD"/>
    <w:rsid w:val="002E47E4"/>
    <w:rsid w:val="002E4BF9"/>
    <w:rsid w:val="002E4D61"/>
    <w:rsid w:val="002E68A7"/>
    <w:rsid w:val="002E6E6C"/>
    <w:rsid w:val="002F016E"/>
    <w:rsid w:val="002F0522"/>
    <w:rsid w:val="002F16DD"/>
    <w:rsid w:val="002F199D"/>
    <w:rsid w:val="002F213C"/>
    <w:rsid w:val="002F2453"/>
    <w:rsid w:val="002F33FA"/>
    <w:rsid w:val="002F352D"/>
    <w:rsid w:val="002F381E"/>
    <w:rsid w:val="002F4084"/>
    <w:rsid w:val="002F4A08"/>
    <w:rsid w:val="002F4ADB"/>
    <w:rsid w:val="002F531E"/>
    <w:rsid w:val="002F548D"/>
    <w:rsid w:val="002F5ACC"/>
    <w:rsid w:val="002F704B"/>
    <w:rsid w:val="002F72C3"/>
    <w:rsid w:val="002F768C"/>
    <w:rsid w:val="002F7D1E"/>
    <w:rsid w:val="003001BA"/>
    <w:rsid w:val="00300201"/>
    <w:rsid w:val="0030025A"/>
    <w:rsid w:val="00300F13"/>
    <w:rsid w:val="00301B3B"/>
    <w:rsid w:val="00302AF0"/>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66F"/>
    <w:rsid w:val="00310CC1"/>
    <w:rsid w:val="003117DC"/>
    <w:rsid w:val="00312059"/>
    <w:rsid w:val="00312504"/>
    <w:rsid w:val="00312B89"/>
    <w:rsid w:val="00313026"/>
    <w:rsid w:val="00313831"/>
    <w:rsid w:val="00313913"/>
    <w:rsid w:val="0031421F"/>
    <w:rsid w:val="00314B31"/>
    <w:rsid w:val="00315A65"/>
    <w:rsid w:val="0031642B"/>
    <w:rsid w:val="003165D7"/>
    <w:rsid w:val="0031666B"/>
    <w:rsid w:val="0031670F"/>
    <w:rsid w:val="00316ABE"/>
    <w:rsid w:val="00317BA7"/>
    <w:rsid w:val="00320BE2"/>
    <w:rsid w:val="00320F48"/>
    <w:rsid w:val="00321886"/>
    <w:rsid w:val="00321EDC"/>
    <w:rsid w:val="00322D52"/>
    <w:rsid w:val="0032359E"/>
    <w:rsid w:val="00323688"/>
    <w:rsid w:val="00323694"/>
    <w:rsid w:val="00323BE7"/>
    <w:rsid w:val="00324C3A"/>
    <w:rsid w:val="00324D63"/>
    <w:rsid w:val="003255AF"/>
    <w:rsid w:val="003256EB"/>
    <w:rsid w:val="003259DB"/>
    <w:rsid w:val="0032795B"/>
    <w:rsid w:val="003303CD"/>
    <w:rsid w:val="00330FF2"/>
    <w:rsid w:val="003314D9"/>
    <w:rsid w:val="00331653"/>
    <w:rsid w:val="00331A48"/>
    <w:rsid w:val="00331BCC"/>
    <w:rsid w:val="003330C9"/>
    <w:rsid w:val="0033364C"/>
    <w:rsid w:val="00334415"/>
    <w:rsid w:val="00334D63"/>
    <w:rsid w:val="00335983"/>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3C8C"/>
    <w:rsid w:val="00354062"/>
    <w:rsid w:val="0035459E"/>
    <w:rsid w:val="00354AE9"/>
    <w:rsid w:val="00355C0D"/>
    <w:rsid w:val="00355F01"/>
    <w:rsid w:val="003566A9"/>
    <w:rsid w:val="00356988"/>
    <w:rsid w:val="003569D3"/>
    <w:rsid w:val="00356CE9"/>
    <w:rsid w:val="003570BB"/>
    <w:rsid w:val="00357128"/>
    <w:rsid w:val="0035755E"/>
    <w:rsid w:val="00357A80"/>
    <w:rsid w:val="00360A2A"/>
    <w:rsid w:val="003611D1"/>
    <w:rsid w:val="00361441"/>
    <w:rsid w:val="00361B8B"/>
    <w:rsid w:val="00362DAD"/>
    <w:rsid w:val="00363F39"/>
    <w:rsid w:val="003640FC"/>
    <w:rsid w:val="0036445C"/>
    <w:rsid w:val="00364627"/>
    <w:rsid w:val="00364AB0"/>
    <w:rsid w:val="00364D71"/>
    <w:rsid w:val="003667B0"/>
    <w:rsid w:val="003667DD"/>
    <w:rsid w:val="00366B48"/>
    <w:rsid w:val="00367764"/>
    <w:rsid w:val="00370316"/>
    <w:rsid w:val="003708DE"/>
    <w:rsid w:val="00370DC7"/>
    <w:rsid w:val="00371CBD"/>
    <w:rsid w:val="00371F20"/>
    <w:rsid w:val="003721E3"/>
    <w:rsid w:val="00372B98"/>
    <w:rsid w:val="003737B7"/>
    <w:rsid w:val="00373BA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77F1A"/>
    <w:rsid w:val="00380874"/>
    <w:rsid w:val="00380BBE"/>
    <w:rsid w:val="00381D70"/>
    <w:rsid w:val="0038235E"/>
    <w:rsid w:val="003829D0"/>
    <w:rsid w:val="0038326A"/>
    <w:rsid w:val="00383535"/>
    <w:rsid w:val="0038444F"/>
    <w:rsid w:val="00385BD7"/>
    <w:rsid w:val="003861F0"/>
    <w:rsid w:val="0038649C"/>
    <w:rsid w:val="00386AF0"/>
    <w:rsid w:val="00386CF0"/>
    <w:rsid w:val="00387051"/>
    <w:rsid w:val="00387ECF"/>
    <w:rsid w:val="0039021B"/>
    <w:rsid w:val="00390429"/>
    <w:rsid w:val="003906A0"/>
    <w:rsid w:val="003923D5"/>
    <w:rsid w:val="003931AF"/>
    <w:rsid w:val="0039366C"/>
    <w:rsid w:val="00393E71"/>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12DA"/>
    <w:rsid w:val="003B2258"/>
    <w:rsid w:val="003B22F7"/>
    <w:rsid w:val="003B29CF"/>
    <w:rsid w:val="003B3A90"/>
    <w:rsid w:val="003B3D01"/>
    <w:rsid w:val="003B534F"/>
    <w:rsid w:val="003B5C0B"/>
    <w:rsid w:val="003B6B4B"/>
    <w:rsid w:val="003B7A79"/>
    <w:rsid w:val="003C0FE1"/>
    <w:rsid w:val="003C151A"/>
    <w:rsid w:val="003C350C"/>
    <w:rsid w:val="003C3733"/>
    <w:rsid w:val="003C3903"/>
    <w:rsid w:val="003C3BA0"/>
    <w:rsid w:val="003C4580"/>
    <w:rsid w:val="003C5C5E"/>
    <w:rsid w:val="003C5C81"/>
    <w:rsid w:val="003C6746"/>
    <w:rsid w:val="003C7555"/>
    <w:rsid w:val="003C7898"/>
    <w:rsid w:val="003D0E27"/>
    <w:rsid w:val="003D0FF5"/>
    <w:rsid w:val="003D11A3"/>
    <w:rsid w:val="003D1537"/>
    <w:rsid w:val="003D183C"/>
    <w:rsid w:val="003D207F"/>
    <w:rsid w:val="003D2D1B"/>
    <w:rsid w:val="003D3809"/>
    <w:rsid w:val="003D48C7"/>
    <w:rsid w:val="003D4C27"/>
    <w:rsid w:val="003D5CBF"/>
    <w:rsid w:val="003D6880"/>
    <w:rsid w:val="003D6D37"/>
    <w:rsid w:val="003D7109"/>
    <w:rsid w:val="003D7CE8"/>
    <w:rsid w:val="003E0514"/>
    <w:rsid w:val="003E1032"/>
    <w:rsid w:val="003E14BE"/>
    <w:rsid w:val="003E164F"/>
    <w:rsid w:val="003E1904"/>
    <w:rsid w:val="003E285E"/>
    <w:rsid w:val="003E3124"/>
    <w:rsid w:val="003E3300"/>
    <w:rsid w:val="003E43D3"/>
    <w:rsid w:val="003E48E1"/>
    <w:rsid w:val="003E50F4"/>
    <w:rsid w:val="003E59BB"/>
    <w:rsid w:val="003E5E97"/>
    <w:rsid w:val="003E6225"/>
    <w:rsid w:val="003E65AC"/>
    <w:rsid w:val="003E66AE"/>
    <w:rsid w:val="003E72B9"/>
    <w:rsid w:val="003E7612"/>
    <w:rsid w:val="003E7C3F"/>
    <w:rsid w:val="003E7ED4"/>
    <w:rsid w:val="003F0E52"/>
    <w:rsid w:val="003F0F6B"/>
    <w:rsid w:val="003F1FC6"/>
    <w:rsid w:val="003F1FE3"/>
    <w:rsid w:val="003F2359"/>
    <w:rsid w:val="003F3232"/>
    <w:rsid w:val="003F3865"/>
    <w:rsid w:val="003F38AC"/>
    <w:rsid w:val="003F3D55"/>
    <w:rsid w:val="003F44E2"/>
    <w:rsid w:val="003F4632"/>
    <w:rsid w:val="003F47BA"/>
    <w:rsid w:val="003F4937"/>
    <w:rsid w:val="003F4FE6"/>
    <w:rsid w:val="003F52B3"/>
    <w:rsid w:val="003F5638"/>
    <w:rsid w:val="003F6617"/>
    <w:rsid w:val="00402332"/>
    <w:rsid w:val="004025C2"/>
    <w:rsid w:val="00403195"/>
    <w:rsid w:val="004033A9"/>
    <w:rsid w:val="00403C06"/>
    <w:rsid w:val="00403E55"/>
    <w:rsid w:val="0040407C"/>
    <w:rsid w:val="0040416C"/>
    <w:rsid w:val="004041CA"/>
    <w:rsid w:val="00404681"/>
    <w:rsid w:val="00405445"/>
    <w:rsid w:val="00405AC1"/>
    <w:rsid w:val="00406923"/>
    <w:rsid w:val="0040763D"/>
    <w:rsid w:val="00410AF5"/>
    <w:rsid w:val="00410D17"/>
    <w:rsid w:val="00412AA9"/>
    <w:rsid w:val="00413373"/>
    <w:rsid w:val="00413442"/>
    <w:rsid w:val="00413821"/>
    <w:rsid w:val="00413BA5"/>
    <w:rsid w:val="004141A3"/>
    <w:rsid w:val="00414909"/>
    <w:rsid w:val="00414F9F"/>
    <w:rsid w:val="0041582F"/>
    <w:rsid w:val="00416112"/>
    <w:rsid w:val="004163EF"/>
    <w:rsid w:val="00417A18"/>
    <w:rsid w:val="00417AE0"/>
    <w:rsid w:val="00417BAA"/>
    <w:rsid w:val="00417CF1"/>
    <w:rsid w:val="004200A8"/>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10C"/>
    <w:rsid w:val="0044033F"/>
    <w:rsid w:val="00440630"/>
    <w:rsid w:val="00441F0F"/>
    <w:rsid w:val="00442965"/>
    <w:rsid w:val="004432B6"/>
    <w:rsid w:val="00444157"/>
    <w:rsid w:val="0044417C"/>
    <w:rsid w:val="00444DB3"/>
    <w:rsid w:val="00445617"/>
    <w:rsid w:val="00445859"/>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0DD"/>
    <w:rsid w:val="0046483B"/>
    <w:rsid w:val="00464AB7"/>
    <w:rsid w:val="004655CA"/>
    <w:rsid w:val="00465998"/>
    <w:rsid w:val="00465DE5"/>
    <w:rsid w:val="00467EF8"/>
    <w:rsid w:val="00471671"/>
    <w:rsid w:val="00471AC3"/>
    <w:rsid w:val="00472429"/>
    <w:rsid w:val="004725E5"/>
    <w:rsid w:val="00472751"/>
    <w:rsid w:val="00472F22"/>
    <w:rsid w:val="00473128"/>
    <w:rsid w:val="004731DC"/>
    <w:rsid w:val="00475078"/>
    <w:rsid w:val="00475767"/>
    <w:rsid w:val="00476925"/>
    <w:rsid w:val="004779A0"/>
    <w:rsid w:val="00480623"/>
    <w:rsid w:val="004808E3"/>
    <w:rsid w:val="00480C08"/>
    <w:rsid w:val="00481016"/>
    <w:rsid w:val="00481069"/>
    <w:rsid w:val="0048204C"/>
    <w:rsid w:val="004821BB"/>
    <w:rsid w:val="0048237A"/>
    <w:rsid w:val="004826FE"/>
    <w:rsid w:val="004827D5"/>
    <w:rsid w:val="00482AF2"/>
    <w:rsid w:val="004830C9"/>
    <w:rsid w:val="00483347"/>
    <w:rsid w:val="00483E2E"/>
    <w:rsid w:val="00484B69"/>
    <w:rsid w:val="00485406"/>
    <w:rsid w:val="00485650"/>
    <w:rsid w:val="0048590F"/>
    <w:rsid w:val="00486D60"/>
    <w:rsid w:val="00491FA1"/>
    <w:rsid w:val="00492A25"/>
    <w:rsid w:val="004938A3"/>
    <w:rsid w:val="0049558B"/>
    <w:rsid w:val="00496350"/>
    <w:rsid w:val="0049797C"/>
    <w:rsid w:val="004A1405"/>
    <w:rsid w:val="004A15BD"/>
    <w:rsid w:val="004A1E28"/>
    <w:rsid w:val="004A1FC6"/>
    <w:rsid w:val="004A2E5F"/>
    <w:rsid w:val="004A3837"/>
    <w:rsid w:val="004A38C2"/>
    <w:rsid w:val="004A3C03"/>
    <w:rsid w:val="004A3DB7"/>
    <w:rsid w:val="004A463B"/>
    <w:rsid w:val="004A5088"/>
    <w:rsid w:val="004A5255"/>
    <w:rsid w:val="004A5B62"/>
    <w:rsid w:val="004A6551"/>
    <w:rsid w:val="004A6B28"/>
    <w:rsid w:val="004A6CB0"/>
    <w:rsid w:val="004A70FF"/>
    <w:rsid w:val="004A7BAD"/>
    <w:rsid w:val="004A7EDE"/>
    <w:rsid w:val="004B0D93"/>
    <w:rsid w:val="004B1FA4"/>
    <w:rsid w:val="004B29AC"/>
    <w:rsid w:val="004B2F17"/>
    <w:rsid w:val="004B35DF"/>
    <w:rsid w:val="004B3627"/>
    <w:rsid w:val="004B4922"/>
    <w:rsid w:val="004B57DF"/>
    <w:rsid w:val="004B5976"/>
    <w:rsid w:val="004B6E9F"/>
    <w:rsid w:val="004B722E"/>
    <w:rsid w:val="004B72E8"/>
    <w:rsid w:val="004C01A5"/>
    <w:rsid w:val="004C0412"/>
    <w:rsid w:val="004C2138"/>
    <w:rsid w:val="004C3940"/>
    <w:rsid w:val="004C401E"/>
    <w:rsid w:val="004C4A7B"/>
    <w:rsid w:val="004C51FD"/>
    <w:rsid w:val="004C581E"/>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40F8"/>
    <w:rsid w:val="004E4178"/>
    <w:rsid w:val="004E5866"/>
    <w:rsid w:val="004E6097"/>
    <w:rsid w:val="004E61EF"/>
    <w:rsid w:val="004E63C6"/>
    <w:rsid w:val="004E76A7"/>
    <w:rsid w:val="004E7B03"/>
    <w:rsid w:val="004F0064"/>
    <w:rsid w:val="004F06AC"/>
    <w:rsid w:val="004F0E50"/>
    <w:rsid w:val="004F1233"/>
    <w:rsid w:val="004F165E"/>
    <w:rsid w:val="004F1AB3"/>
    <w:rsid w:val="004F1D2A"/>
    <w:rsid w:val="004F243F"/>
    <w:rsid w:val="004F252C"/>
    <w:rsid w:val="004F36A3"/>
    <w:rsid w:val="004F3E0C"/>
    <w:rsid w:val="004F4308"/>
    <w:rsid w:val="004F62F7"/>
    <w:rsid w:val="004F6996"/>
    <w:rsid w:val="004F7160"/>
    <w:rsid w:val="00500258"/>
    <w:rsid w:val="00500B2D"/>
    <w:rsid w:val="005011AE"/>
    <w:rsid w:val="00501A99"/>
    <w:rsid w:val="00503180"/>
    <w:rsid w:val="005038A4"/>
    <w:rsid w:val="00504CD4"/>
    <w:rsid w:val="00504E1B"/>
    <w:rsid w:val="0050524B"/>
    <w:rsid w:val="00505450"/>
    <w:rsid w:val="00505FC6"/>
    <w:rsid w:val="00507B99"/>
    <w:rsid w:val="005100B7"/>
    <w:rsid w:val="005105DE"/>
    <w:rsid w:val="00510CB3"/>
    <w:rsid w:val="005113C9"/>
    <w:rsid w:val="00512050"/>
    <w:rsid w:val="00512055"/>
    <w:rsid w:val="0051280C"/>
    <w:rsid w:val="00512842"/>
    <w:rsid w:val="005128BE"/>
    <w:rsid w:val="0051356F"/>
    <w:rsid w:val="00513E7C"/>
    <w:rsid w:val="005140BB"/>
    <w:rsid w:val="00514FBE"/>
    <w:rsid w:val="00514FD9"/>
    <w:rsid w:val="0051550A"/>
    <w:rsid w:val="005157B8"/>
    <w:rsid w:val="0051608F"/>
    <w:rsid w:val="00516480"/>
    <w:rsid w:val="005175FB"/>
    <w:rsid w:val="005179FD"/>
    <w:rsid w:val="00517CE9"/>
    <w:rsid w:val="00520EF8"/>
    <w:rsid w:val="005210F7"/>
    <w:rsid w:val="005213FE"/>
    <w:rsid w:val="00521753"/>
    <w:rsid w:val="0052239D"/>
    <w:rsid w:val="005224EE"/>
    <w:rsid w:val="00522879"/>
    <w:rsid w:val="0052395D"/>
    <w:rsid w:val="00523B63"/>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79B"/>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0F4F"/>
    <w:rsid w:val="005522F2"/>
    <w:rsid w:val="005531DF"/>
    <w:rsid w:val="00553874"/>
    <w:rsid w:val="00553DCE"/>
    <w:rsid w:val="00554577"/>
    <w:rsid w:val="00554AD8"/>
    <w:rsid w:val="00554F78"/>
    <w:rsid w:val="00555661"/>
    <w:rsid w:val="00555DA1"/>
    <w:rsid w:val="00556BF7"/>
    <w:rsid w:val="00556E53"/>
    <w:rsid w:val="005571E2"/>
    <w:rsid w:val="00557F60"/>
    <w:rsid w:val="00561730"/>
    <w:rsid w:val="00561B97"/>
    <w:rsid w:val="00562149"/>
    <w:rsid w:val="0056407A"/>
    <w:rsid w:val="005640EB"/>
    <w:rsid w:val="005643AA"/>
    <w:rsid w:val="005666A4"/>
    <w:rsid w:val="00567B5D"/>
    <w:rsid w:val="00570757"/>
    <w:rsid w:val="00573520"/>
    <w:rsid w:val="00573733"/>
    <w:rsid w:val="00573F8B"/>
    <w:rsid w:val="00574554"/>
    <w:rsid w:val="00574E06"/>
    <w:rsid w:val="005751BB"/>
    <w:rsid w:val="00576089"/>
    <w:rsid w:val="005764B1"/>
    <w:rsid w:val="00576852"/>
    <w:rsid w:val="00576D06"/>
    <w:rsid w:val="005779E4"/>
    <w:rsid w:val="00580EC7"/>
    <w:rsid w:val="0058289C"/>
    <w:rsid w:val="005836C7"/>
    <w:rsid w:val="00583C96"/>
    <w:rsid w:val="0058408E"/>
    <w:rsid w:val="005844C3"/>
    <w:rsid w:val="00585374"/>
    <w:rsid w:val="005854CA"/>
    <w:rsid w:val="00585FAB"/>
    <w:rsid w:val="00586C48"/>
    <w:rsid w:val="00590B77"/>
    <w:rsid w:val="00590D9A"/>
    <w:rsid w:val="005913A3"/>
    <w:rsid w:val="00591A5A"/>
    <w:rsid w:val="005920CF"/>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3F43"/>
    <w:rsid w:val="005A46EC"/>
    <w:rsid w:val="005A5EAE"/>
    <w:rsid w:val="005A6273"/>
    <w:rsid w:val="005A6407"/>
    <w:rsid w:val="005A726C"/>
    <w:rsid w:val="005B02A7"/>
    <w:rsid w:val="005B07EC"/>
    <w:rsid w:val="005B0E5A"/>
    <w:rsid w:val="005B131A"/>
    <w:rsid w:val="005B183B"/>
    <w:rsid w:val="005B2B11"/>
    <w:rsid w:val="005B32A4"/>
    <w:rsid w:val="005B3371"/>
    <w:rsid w:val="005B338D"/>
    <w:rsid w:val="005B33A1"/>
    <w:rsid w:val="005B3852"/>
    <w:rsid w:val="005B3BAF"/>
    <w:rsid w:val="005B4DA3"/>
    <w:rsid w:val="005B5BEE"/>
    <w:rsid w:val="005B6C7B"/>
    <w:rsid w:val="005B77D2"/>
    <w:rsid w:val="005C0195"/>
    <w:rsid w:val="005C019B"/>
    <w:rsid w:val="005C08D0"/>
    <w:rsid w:val="005C1AED"/>
    <w:rsid w:val="005C1C32"/>
    <w:rsid w:val="005C2136"/>
    <w:rsid w:val="005C30F5"/>
    <w:rsid w:val="005C3840"/>
    <w:rsid w:val="005C3DCB"/>
    <w:rsid w:val="005C51A5"/>
    <w:rsid w:val="005C557A"/>
    <w:rsid w:val="005C566F"/>
    <w:rsid w:val="005C5C47"/>
    <w:rsid w:val="005C61DD"/>
    <w:rsid w:val="005C6438"/>
    <w:rsid w:val="005C6B8B"/>
    <w:rsid w:val="005C727F"/>
    <w:rsid w:val="005C7DAD"/>
    <w:rsid w:val="005D02E3"/>
    <w:rsid w:val="005D1F34"/>
    <w:rsid w:val="005D2C1F"/>
    <w:rsid w:val="005D317B"/>
    <w:rsid w:val="005D34B2"/>
    <w:rsid w:val="005D3B54"/>
    <w:rsid w:val="005D40CD"/>
    <w:rsid w:val="005D6B59"/>
    <w:rsid w:val="005D784B"/>
    <w:rsid w:val="005D78F4"/>
    <w:rsid w:val="005E03E4"/>
    <w:rsid w:val="005E0454"/>
    <w:rsid w:val="005E05F6"/>
    <w:rsid w:val="005E1B9D"/>
    <w:rsid w:val="005E1BDA"/>
    <w:rsid w:val="005E2375"/>
    <w:rsid w:val="005E2442"/>
    <w:rsid w:val="005E2897"/>
    <w:rsid w:val="005E3111"/>
    <w:rsid w:val="005E3CA0"/>
    <w:rsid w:val="005E3F85"/>
    <w:rsid w:val="005E4A5F"/>
    <w:rsid w:val="005E516A"/>
    <w:rsid w:val="005E57B0"/>
    <w:rsid w:val="005E5B01"/>
    <w:rsid w:val="005E6D3B"/>
    <w:rsid w:val="005F009E"/>
    <w:rsid w:val="005F0418"/>
    <w:rsid w:val="005F0DF1"/>
    <w:rsid w:val="005F1516"/>
    <w:rsid w:val="005F1A6F"/>
    <w:rsid w:val="005F229E"/>
    <w:rsid w:val="005F2564"/>
    <w:rsid w:val="005F3822"/>
    <w:rsid w:val="005F38AF"/>
    <w:rsid w:val="005F4635"/>
    <w:rsid w:val="005F4900"/>
    <w:rsid w:val="005F4E52"/>
    <w:rsid w:val="005F60E3"/>
    <w:rsid w:val="005F6638"/>
    <w:rsid w:val="005F6D58"/>
    <w:rsid w:val="005F7383"/>
    <w:rsid w:val="005F7F36"/>
    <w:rsid w:val="0060058E"/>
    <w:rsid w:val="00602A3C"/>
    <w:rsid w:val="00603EFD"/>
    <w:rsid w:val="0060475B"/>
    <w:rsid w:val="00604BED"/>
    <w:rsid w:val="00604FB6"/>
    <w:rsid w:val="00605387"/>
    <w:rsid w:val="00606302"/>
    <w:rsid w:val="006076FD"/>
    <w:rsid w:val="00607779"/>
    <w:rsid w:val="00610587"/>
    <w:rsid w:val="00610811"/>
    <w:rsid w:val="00610CE8"/>
    <w:rsid w:val="0061143F"/>
    <w:rsid w:val="006114D8"/>
    <w:rsid w:val="00613553"/>
    <w:rsid w:val="00613601"/>
    <w:rsid w:val="00613791"/>
    <w:rsid w:val="00613C8B"/>
    <w:rsid w:val="00614110"/>
    <w:rsid w:val="006150D6"/>
    <w:rsid w:val="00615245"/>
    <w:rsid w:val="0061590D"/>
    <w:rsid w:val="00617EEE"/>
    <w:rsid w:val="00620A1F"/>
    <w:rsid w:val="0062169D"/>
    <w:rsid w:val="0062181E"/>
    <w:rsid w:val="0062211B"/>
    <w:rsid w:val="00622BB7"/>
    <w:rsid w:val="00622C1E"/>
    <w:rsid w:val="00623389"/>
    <w:rsid w:val="00623D7B"/>
    <w:rsid w:val="00623DAA"/>
    <w:rsid w:val="00623FAF"/>
    <w:rsid w:val="006244AB"/>
    <w:rsid w:val="006265C4"/>
    <w:rsid w:val="0062678A"/>
    <w:rsid w:val="006270AF"/>
    <w:rsid w:val="00634367"/>
    <w:rsid w:val="006360E2"/>
    <w:rsid w:val="00636CE3"/>
    <w:rsid w:val="00640082"/>
    <w:rsid w:val="00640291"/>
    <w:rsid w:val="00640D0E"/>
    <w:rsid w:val="00640EFE"/>
    <w:rsid w:val="00641D6D"/>
    <w:rsid w:val="00641FAC"/>
    <w:rsid w:val="00643607"/>
    <w:rsid w:val="00643664"/>
    <w:rsid w:val="00643CAA"/>
    <w:rsid w:val="00644F16"/>
    <w:rsid w:val="006455EB"/>
    <w:rsid w:val="006456C2"/>
    <w:rsid w:val="00645A65"/>
    <w:rsid w:val="00646959"/>
    <w:rsid w:val="006477F0"/>
    <w:rsid w:val="006478E4"/>
    <w:rsid w:val="0065171A"/>
    <w:rsid w:val="00652680"/>
    <w:rsid w:val="00653288"/>
    <w:rsid w:val="00653CDE"/>
    <w:rsid w:val="00654585"/>
    <w:rsid w:val="006552A0"/>
    <w:rsid w:val="0065566E"/>
    <w:rsid w:val="00655AB6"/>
    <w:rsid w:val="00655EFA"/>
    <w:rsid w:val="00656061"/>
    <w:rsid w:val="00656281"/>
    <w:rsid w:val="0065636A"/>
    <w:rsid w:val="00657003"/>
    <w:rsid w:val="006570AE"/>
    <w:rsid w:val="00657477"/>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F7D"/>
    <w:rsid w:val="0068051E"/>
    <w:rsid w:val="00680B9D"/>
    <w:rsid w:val="00681F13"/>
    <w:rsid w:val="0068200A"/>
    <w:rsid w:val="0068231C"/>
    <w:rsid w:val="00682344"/>
    <w:rsid w:val="00682A52"/>
    <w:rsid w:val="00682F28"/>
    <w:rsid w:val="00683515"/>
    <w:rsid w:val="00684079"/>
    <w:rsid w:val="00684842"/>
    <w:rsid w:val="006859AA"/>
    <w:rsid w:val="00685BD6"/>
    <w:rsid w:val="00687116"/>
    <w:rsid w:val="006878A6"/>
    <w:rsid w:val="00687D5F"/>
    <w:rsid w:val="00690437"/>
    <w:rsid w:val="00690DC3"/>
    <w:rsid w:val="00690E65"/>
    <w:rsid w:val="006911B7"/>
    <w:rsid w:val="00691387"/>
    <w:rsid w:val="00691635"/>
    <w:rsid w:val="0069188E"/>
    <w:rsid w:val="00691974"/>
    <w:rsid w:val="00692BAB"/>
    <w:rsid w:val="00692BF6"/>
    <w:rsid w:val="00692CE6"/>
    <w:rsid w:val="00693186"/>
    <w:rsid w:val="00693381"/>
    <w:rsid w:val="00693B6C"/>
    <w:rsid w:val="006942AE"/>
    <w:rsid w:val="00695421"/>
    <w:rsid w:val="00696395"/>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C28"/>
    <w:rsid w:val="006B0DF4"/>
    <w:rsid w:val="006B16EA"/>
    <w:rsid w:val="006B1780"/>
    <w:rsid w:val="006B21DC"/>
    <w:rsid w:val="006B224E"/>
    <w:rsid w:val="006B376E"/>
    <w:rsid w:val="006B4589"/>
    <w:rsid w:val="006B5157"/>
    <w:rsid w:val="006B610E"/>
    <w:rsid w:val="006B6805"/>
    <w:rsid w:val="006B6C07"/>
    <w:rsid w:val="006B6DE0"/>
    <w:rsid w:val="006B7703"/>
    <w:rsid w:val="006B7B07"/>
    <w:rsid w:val="006B7E1F"/>
    <w:rsid w:val="006C16C3"/>
    <w:rsid w:val="006C1938"/>
    <w:rsid w:val="006C2187"/>
    <w:rsid w:val="006C2623"/>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941"/>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AB9"/>
    <w:rsid w:val="006E58BF"/>
    <w:rsid w:val="006E5DD8"/>
    <w:rsid w:val="006E5EA1"/>
    <w:rsid w:val="006E6DEE"/>
    <w:rsid w:val="006E7A5A"/>
    <w:rsid w:val="006E7D4B"/>
    <w:rsid w:val="006F018A"/>
    <w:rsid w:val="006F0760"/>
    <w:rsid w:val="006F11E2"/>
    <w:rsid w:val="006F2574"/>
    <w:rsid w:val="006F3231"/>
    <w:rsid w:val="006F3DE3"/>
    <w:rsid w:val="006F4787"/>
    <w:rsid w:val="006F61D8"/>
    <w:rsid w:val="006F62B7"/>
    <w:rsid w:val="006F70BC"/>
    <w:rsid w:val="006F726C"/>
    <w:rsid w:val="006F7E7C"/>
    <w:rsid w:val="007016E7"/>
    <w:rsid w:val="0070174E"/>
    <w:rsid w:val="007018DB"/>
    <w:rsid w:val="00701B59"/>
    <w:rsid w:val="00701DE6"/>
    <w:rsid w:val="00702740"/>
    <w:rsid w:val="0070381B"/>
    <w:rsid w:val="00703985"/>
    <w:rsid w:val="007060C1"/>
    <w:rsid w:val="0070796C"/>
    <w:rsid w:val="007109BB"/>
    <w:rsid w:val="00710E59"/>
    <w:rsid w:val="00710EBF"/>
    <w:rsid w:val="007110B8"/>
    <w:rsid w:val="0071209F"/>
    <w:rsid w:val="007125A2"/>
    <w:rsid w:val="00713DD9"/>
    <w:rsid w:val="00713F79"/>
    <w:rsid w:val="007148A8"/>
    <w:rsid w:val="00716A66"/>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AE"/>
    <w:rsid w:val="00733DE2"/>
    <w:rsid w:val="00734142"/>
    <w:rsid w:val="007352EA"/>
    <w:rsid w:val="0073792F"/>
    <w:rsid w:val="00740C81"/>
    <w:rsid w:val="00740DA6"/>
    <w:rsid w:val="00741B4B"/>
    <w:rsid w:val="00741D1E"/>
    <w:rsid w:val="00741DD6"/>
    <w:rsid w:val="00741EE2"/>
    <w:rsid w:val="00741F3D"/>
    <w:rsid w:val="0074207F"/>
    <w:rsid w:val="00742367"/>
    <w:rsid w:val="00742EAA"/>
    <w:rsid w:val="00743360"/>
    <w:rsid w:val="00743818"/>
    <w:rsid w:val="00743857"/>
    <w:rsid w:val="007441FB"/>
    <w:rsid w:val="00744517"/>
    <w:rsid w:val="0074522A"/>
    <w:rsid w:val="00745A5F"/>
    <w:rsid w:val="00747295"/>
    <w:rsid w:val="00747829"/>
    <w:rsid w:val="0074789C"/>
    <w:rsid w:val="00747DE2"/>
    <w:rsid w:val="007502D0"/>
    <w:rsid w:val="007504BF"/>
    <w:rsid w:val="007506CD"/>
    <w:rsid w:val="0075267F"/>
    <w:rsid w:val="007526EC"/>
    <w:rsid w:val="00753C48"/>
    <w:rsid w:val="00754250"/>
    <w:rsid w:val="007549A2"/>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3DA"/>
    <w:rsid w:val="00767BFD"/>
    <w:rsid w:val="00767EA0"/>
    <w:rsid w:val="0077068F"/>
    <w:rsid w:val="007706E5"/>
    <w:rsid w:val="00771749"/>
    <w:rsid w:val="00771EDF"/>
    <w:rsid w:val="00772A90"/>
    <w:rsid w:val="00772F8D"/>
    <w:rsid w:val="0077408D"/>
    <w:rsid w:val="00774270"/>
    <w:rsid w:val="007743F6"/>
    <w:rsid w:val="00774733"/>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4D9D"/>
    <w:rsid w:val="007955DA"/>
    <w:rsid w:val="00795E4C"/>
    <w:rsid w:val="00796366"/>
    <w:rsid w:val="00796F65"/>
    <w:rsid w:val="007A0A32"/>
    <w:rsid w:val="007A11C2"/>
    <w:rsid w:val="007A18BB"/>
    <w:rsid w:val="007A27DD"/>
    <w:rsid w:val="007A303D"/>
    <w:rsid w:val="007A41BF"/>
    <w:rsid w:val="007A490A"/>
    <w:rsid w:val="007A7B95"/>
    <w:rsid w:val="007A7C8C"/>
    <w:rsid w:val="007B0297"/>
    <w:rsid w:val="007B02FA"/>
    <w:rsid w:val="007B0F53"/>
    <w:rsid w:val="007B21AE"/>
    <w:rsid w:val="007B2570"/>
    <w:rsid w:val="007B3113"/>
    <w:rsid w:val="007B3304"/>
    <w:rsid w:val="007B3639"/>
    <w:rsid w:val="007B3B5E"/>
    <w:rsid w:val="007B3BF0"/>
    <w:rsid w:val="007B6925"/>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54"/>
    <w:rsid w:val="007D0FE7"/>
    <w:rsid w:val="007D1452"/>
    <w:rsid w:val="007D1563"/>
    <w:rsid w:val="007D1ECB"/>
    <w:rsid w:val="007D3DCB"/>
    <w:rsid w:val="007D460C"/>
    <w:rsid w:val="007D4996"/>
    <w:rsid w:val="007D4AD3"/>
    <w:rsid w:val="007D5D19"/>
    <w:rsid w:val="007D5FDC"/>
    <w:rsid w:val="007D6176"/>
    <w:rsid w:val="007D69CD"/>
    <w:rsid w:val="007D6D68"/>
    <w:rsid w:val="007D7F70"/>
    <w:rsid w:val="007E194F"/>
    <w:rsid w:val="007E32DA"/>
    <w:rsid w:val="007E4998"/>
    <w:rsid w:val="007E4A9C"/>
    <w:rsid w:val="007E6914"/>
    <w:rsid w:val="007E7E2E"/>
    <w:rsid w:val="007E7F78"/>
    <w:rsid w:val="007F0179"/>
    <w:rsid w:val="007F0BCD"/>
    <w:rsid w:val="007F1397"/>
    <w:rsid w:val="007F19EF"/>
    <w:rsid w:val="007F2C13"/>
    <w:rsid w:val="007F2CEC"/>
    <w:rsid w:val="007F2ED1"/>
    <w:rsid w:val="007F2EEE"/>
    <w:rsid w:val="007F3435"/>
    <w:rsid w:val="007F505D"/>
    <w:rsid w:val="007F531B"/>
    <w:rsid w:val="007F55DE"/>
    <w:rsid w:val="007F762D"/>
    <w:rsid w:val="007F78F0"/>
    <w:rsid w:val="007F78FF"/>
    <w:rsid w:val="008001C5"/>
    <w:rsid w:val="00800F6C"/>
    <w:rsid w:val="00801065"/>
    <w:rsid w:val="00801DB4"/>
    <w:rsid w:val="00802C0B"/>
    <w:rsid w:val="008034BA"/>
    <w:rsid w:val="00805040"/>
    <w:rsid w:val="008051FC"/>
    <w:rsid w:val="008055A9"/>
    <w:rsid w:val="008056C4"/>
    <w:rsid w:val="008057FD"/>
    <w:rsid w:val="00805D8B"/>
    <w:rsid w:val="0081010F"/>
    <w:rsid w:val="00810768"/>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12CB"/>
    <w:rsid w:val="00822518"/>
    <w:rsid w:val="008226F5"/>
    <w:rsid w:val="00823FC6"/>
    <w:rsid w:val="00824306"/>
    <w:rsid w:val="00825A76"/>
    <w:rsid w:val="00825C74"/>
    <w:rsid w:val="00825CFA"/>
    <w:rsid w:val="00826AB9"/>
    <w:rsid w:val="00826E0E"/>
    <w:rsid w:val="00827451"/>
    <w:rsid w:val="00827D11"/>
    <w:rsid w:val="00827E0F"/>
    <w:rsid w:val="00827F6E"/>
    <w:rsid w:val="00830712"/>
    <w:rsid w:val="00831758"/>
    <w:rsid w:val="008317D9"/>
    <w:rsid w:val="00831AEC"/>
    <w:rsid w:val="0083241D"/>
    <w:rsid w:val="0083279F"/>
    <w:rsid w:val="00832CE9"/>
    <w:rsid w:val="0083307F"/>
    <w:rsid w:val="008334DB"/>
    <w:rsid w:val="00833B7F"/>
    <w:rsid w:val="00833E8E"/>
    <w:rsid w:val="00834906"/>
    <w:rsid w:val="00836075"/>
    <w:rsid w:val="00836417"/>
    <w:rsid w:val="008368C4"/>
    <w:rsid w:val="00837526"/>
    <w:rsid w:val="008407A7"/>
    <w:rsid w:val="0084322B"/>
    <w:rsid w:val="00843F81"/>
    <w:rsid w:val="00844087"/>
    <w:rsid w:val="008448F1"/>
    <w:rsid w:val="0084519E"/>
    <w:rsid w:val="00845CAE"/>
    <w:rsid w:val="0084617B"/>
    <w:rsid w:val="008462C5"/>
    <w:rsid w:val="008462FA"/>
    <w:rsid w:val="00846370"/>
    <w:rsid w:val="00846873"/>
    <w:rsid w:val="008477A5"/>
    <w:rsid w:val="008477E7"/>
    <w:rsid w:val="00847C2B"/>
    <w:rsid w:val="00850272"/>
    <w:rsid w:val="008506B9"/>
    <w:rsid w:val="0085086F"/>
    <w:rsid w:val="00851822"/>
    <w:rsid w:val="00851C16"/>
    <w:rsid w:val="008532BF"/>
    <w:rsid w:val="008539B2"/>
    <w:rsid w:val="00853BF4"/>
    <w:rsid w:val="00854294"/>
    <w:rsid w:val="00854295"/>
    <w:rsid w:val="0085572E"/>
    <w:rsid w:val="00855D45"/>
    <w:rsid w:val="0085788B"/>
    <w:rsid w:val="00857A9E"/>
    <w:rsid w:val="00857DE2"/>
    <w:rsid w:val="0086003D"/>
    <w:rsid w:val="00862779"/>
    <w:rsid w:val="00863A8E"/>
    <w:rsid w:val="0086407F"/>
    <w:rsid w:val="008645E3"/>
    <w:rsid w:val="00864E79"/>
    <w:rsid w:val="0086572B"/>
    <w:rsid w:val="00866615"/>
    <w:rsid w:val="0086661F"/>
    <w:rsid w:val="00866A0D"/>
    <w:rsid w:val="00866DB5"/>
    <w:rsid w:val="0086701D"/>
    <w:rsid w:val="0086702B"/>
    <w:rsid w:val="008672E2"/>
    <w:rsid w:val="0086784E"/>
    <w:rsid w:val="00870103"/>
    <w:rsid w:val="0087121C"/>
    <w:rsid w:val="00871E72"/>
    <w:rsid w:val="00871FD2"/>
    <w:rsid w:val="00872084"/>
    <w:rsid w:val="00872827"/>
    <w:rsid w:val="00872A32"/>
    <w:rsid w:val="00872D46"/>
    <w:rsid w:val="00874684"/>
    <w:rsid w:val="00874911"/>
    <w:rsid w:val="008754E4"/>
    <w:rsid w:val="00876EAE"/>
    <w:rsid w:val="00880106"/>
    <w:rsid w:val="008802A8"/>
    <w:rsid w:val="00880E13"/>
    <w:rsid w:val="00880F95"/>
    <w:rsid w:val="00881B3B"/>
    <w:rsid w:val="00882B44"/>
    <w:rsid w:val="008838AD"/>
    <w:rsid w:val="008841CE"/>
    <w:rsid w:val="00885BC9"/>
    <w:rsid w:val="008864B3"/>
    <w:rsid w:val="008865E5"/>
    <w:rsid w:val="008871B0"/>
    <w:rsid w:val="00890B57"/>
    <w:rsid w:val="00890DEC"/>
    <w:rsid w:val="008916BA"/>
    <w:rsid w:val="0089217C"/>
    <w:rsid w:val="00892790"/>
    <w:rsid w:val="00892F89"/>
    <w:rsid w:val="00893671"/>
    <w:rsid w:val="00895185"/>
    <w:rsid w:val="00895838"/>
    <w:rsid w:val="00895A1E"/>
    <w:rsid w:val="00895A72"/>
    <w:rsid w:val="00895CDF"/>
    <w:rsid w:val="00896679"/>
    <w:rsid w:val="00896D8C"/>
    <w:rsid w:val="008A0784"/>
    <w:rsid w:val="008A0FC9"/>
    <w:rsid w:val="008A1956"/>
    <w:rsid w:val="008A1A7C"/>
    <w:rsid w:val="008A2CE2"/>
    <w:rsid w:val="008A40D3"/>
    <w:rsid w:val="008A469C"/>
    <w:rsid w:val="008A486C"/>
    <w:rsid w:val="008A50FB"/>
    <w:rsid w:val="008A51D1"/>
    <w:rsid w:val="008A5DCE"/>
    <w:rsid w:val="008A75D3"/>
    <w:rsid w:val="008B05DD"/>
    <w:rsid w:val="008B07B8"/>
    <w:rsid w:val="008B17E8"/>
    <w:rsid w:val="008B18F0"/>
    <w:rsid w:val="008B2875"/>
    <w:rsid w:val="008B2C45"/>
    <w:rsid w:val="008B2E7C"/>
    <w:rsid w:val="008B399A"/>
    <w:rsid w:val="008B3E67"/>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82"/>
    <w:rsid w:val="008C74D9"/>
    <w:rsid w:val="008D2050"/>
    <w:rsid w:val="008D3973"/>
    <w:rsid w:val="008D3B2D"/>
    <w:rsid w:val="008D4DAF"/>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A"/>
    <w:rsid w:val="008F357B"/>
    <w:rsid w:val="008F44CA"/>
    <w:rsid w:val="008F49D3"/>
    <w:rsid w:val="008F6411"/>
    <w:rsid w:val="008F6519"/>
    <w:rsid w:val="008F7012"/>
    <w:rsid w:val="008F7ADA"/>
    <w:rsid w:val="008F7B17"/>
    <w:rsid w:val="00900042"/>
    <w:rsid w:val="0090034B"/>
    <w:rsid w:val="0090061F"/>
    <w:rsid w:val="009007CA"/>
    <w:rsid w:val="0090087C"/>
    <w:rsid w:val="00901121"/>
    <w:rsid w:val="00902623"/>
    <w:rsid w:val="00902A67"/>
    <w:rsid w:val="00902C5E"/>
    <w:rsid w:val="00903521"/>
    <w:rsid w:val="00904BE4"/>
    <w:rsid w:val="0090504A"/>
    <w:rsid w:val="009051F5"/>
    <w:rsid w:val="00905221"/>
    <w:rsid w:val="00905664"/>
    <w:rsid w:val="00905A7C"/>
    <w:rsid w:val="00905D7E"/>
    <w:rsid w:val="009061C2"/>
    <w:rsid w:val="00907037"/>
    <w:rsid w:val="00907259"/>
    <w:rsid w:val="00910C5D"/>
    <w:rsid w:val="0091112C"/>
    <w:rsid w:val="0091160A"/>
    <w:rsid w:val="00912E04"/>
    <w:rsid w:val="00913258"/>
    <w:rsid w:val="009133A3"/>
    <w:rsid w:val="00913851"/>
    <w:rsid w:val="00913BB0"/>
    <w:rsid w:val="0091456C"/>
    <w:rsid w:val="00914C58"/>
    <w:rsid w:val="00914D78"/>
    <w:rsid w:val="00914EA5"/>
    <w:rsid w:val="0091564D"/>
    <w:rsid w:val="009156DA"/>
    <w:rsid w:val="00915774"/>
    <w:rsid w:val="009165E3"/>
    <w:rsid w:val="00916BC5"/>
    <w:rsid w:val="00916DC2"/>
    <w:rsid w:val="0091726A"/>
    <w:rsid w:val="00917C01"/>
    <w:rsid w:val="00920184"/>
    <w:rsid w:val="00920EA4"/>
    <w:rsid w:val="00921792"/>
    <w:rsid w:val="00921BEA"/>
    <w:rsid w:val="009227BE"/>
    <w:rsid w:val="009238FD"/>
    <w:rsid w:val="00923998"/>
    <w:rsid w:val="00923DB4"/>
    <w:rsid w:val="0092420B"/>
    <w:rsid w:val="0092430E"/>
    <w:rsid w:val="00925F4B"/>
    <w:rsid w:val="00926112"/>
    <w:rsid w:val="0092625F"/>
    <w:rsid w:val="00926B28"/>
    <w:rsid w:val="00926D9C"/>
    <w:rsid w:val="00927028"/>
    <w:rsid w:val="009275CB"/>
    <w:rsid w:val="00927763"/>
    <w:rsid w:val="0092798B"/>
    <w:rsid w:val="00927A2D"/>
    <w:rsid w:val="00927B37"/>
    <w:rsid w:val="009321B1"/>
    <w:rsid w:val="009327F0"/>
    <w:rsid w:val="00932ED7"/>
    <w:rsid w:val="0093422D"/>
    <w:rsid w:val="0093483B"/>
    <w:rsid w:val="00934CF9"/>
    <w:rsid w:val="00934DD7"/>
    <w:rsid w:val="00935CB2"/>
    <w:rsid w:val="009369A9"/>
    <w:rsid w:val="00936CF7"/>
    <w:rsid w:val="00937783"/>
    <w:rsid w:val="0093781B"/>
    <w:rsid w:val="00937EAD"/>
    <w:rsid w:val="00937F28"/>
    <w:rsid w:val="00940AA6"/>
    <w:rsid w:val="00940FE1"/>
    <w:rsid w:val="00941474"/>
    <w:rsid w:val="00942306"/>
    <w:rsid w:val="009424B8"/>
    <w:rsid w:val="009432E2"/>
    <w:rsid w:val="00944668"/>
    <w:rsid w:val="00944DC6"/>
    <w:rsid w:val="009458B0"/>
    <w:rsid w:val="00945B52"/>
    <w:rsid w:val="00945B7A"/>
    <w:rsid w:val="00945F05"/>
    <w:rsid w:val="00946348"/>
    <w:rsid w:val="0094639A"/>
    <w:rsid w:val="00947224"/>
    <w:rsid w:val="00947797"/>
    <w:rsid w:val="009478A2"/>
    <w:rsid w:val="00950746"/>
    <w:rsid w:val="00951ED3"/>
    <w:rsid w:val="009533BD"/>
    <w:rsid w:val="009536FB"/>
    <w:rsid w:val="00953808"/>
    <w:rsid w:val="0095399D"/>
    <w:rsid w:val="009539A6"/>
    <w:rsid w:val="00954032"/>
    <w:rsid w:val="00954537"/>
    <w:rsid w:val="0095472D"/>
    <w:rsid w:val="00954C5C"/>
    <w:rsid w:val="00955342"/>
    <w:rsid w:val="00955FBB"/>
    <w:rsid w:val="0095694B"/>
    <w:rsid w:val="00956BD5"/>
    <w:rsid w:val="00956D84"/>
    <w:rsid w:val="009577B5"/>
    <w:rsid w:val="0096018C"/>
    <w:rsid w:val="009608E6"/>
    <w:rsid w:val="00960F57"/>
    <w:rsid w:val="00961C90"/>
    <w:rsid w:val="00961F82"/>
    <w:rsid w:val="00965443"/>
    <w:rsid w:val="00965954"/>
    <w:rsid w:val="0096596F"/>
    <w:rsid w:val="00965A21"/>
    <w:rsid w:val="00965DD1"/>
    <w:rsid w:val="00965E55"/>
    <w:rsid w:val="0096608E"/>
    <w:rsid w:val="00966522"/>
    <w:rsid w:val="00966979"/>
    <w:rsid w:val="00966C33"/>
    <w:rsid w:val="00970F18"/>
    <w:rsid w:val="00971CF1"/>
    <w:rsid w:val="00971F5D"/>
    <w:rsid w:val="009721E9"/>
    <w:rsid w:val="00973772"/>
    <w:rsid w:val="009739CB"/>
    <w:rsid w:val="00974E9F"/>
    <w:rsid w:val="0097560A"/>
    <w:rsid w:val="00975E1E"/>
    <w:rsid w:val="00975E70"/>
    <w:rsid w:val="009761DE"/>
    <w:rsid w:val="009766FA"/>
    <w:rsid w:val="00977CD6"/>
    <w:rsid w:val="0098048B"/>
    <w:rsid w:val="00980908"/>
    <w:rsid w:val="00980DF9"/>
    <w:rsid w:val="00981CD8"/>
    <w:rsid w:val="0098243D"/>
    <w:rsid w:val="00982D26"/>
    <w:rsid w:val="00983B6E"/>
    <w:rsid w:val="00983B7B"/>
    <w:rsid w:val="00983FE5"/>
    <w:rsid w:val="009849E9"/>
    <w:rsid w:val="00984AFF"/>
    <w:rsid w:val="009850EA"/>
    <w:rsid w:val="009859E4"/>
    <w:rsid w:val="00985D7F"/>
    <w:rsid w:val="00986F6A"/>
    <w:rsid w:val="00987812"/>
    <w:rsid w:val="00990225"/>
    <w:rsid w:val="00991307"/>
    <w:rsid w:val="00991FAA"/>
    <w:rsid w:val="009928C4"/>
    <w:rsid w:val="00992A13"/>
    <w:rsid w:val="00994AAD"/>
    <w:rsid w:val="00995150"/>
    <w:rsid w:val="0099538C"/>
    <w:rsid w:val="00995D67"/>
    <w:rsid w:val="00996509"/>
    <w:rsid w:val="00997613"/>
    <w:rsid w:val="00997852"/>
    <w:rsid w:val="009A013B"/>
    <w:rsid w:val="009A02F4"/>
    <w:rsid w:val="009A06BF"/>
    <w:rsid w:val="009A0D17"/>
    <w:rsid w:val="009A2494"/>
    <w:rsid w:val="009A32B1"/>
    <w:rsid w:val="009A33A3"/>
    <w:rsid w:val="009A36F2"/>
    <w:rsid w:val="009A3E18"/>
    <w:rsid w:val="009A40C3"/>
    <w:rsid w:val="009A40D5"/>
    <w:rsid w:val="009A5268"/>
    <w:rsid w:val="009A57D0"/>
    <w:rsid w:val="009A5C36"/>
    <w:rsid w:val="009A6559"/>
    <w:rsid w:val="009A674C"/>
    <w:rsid w:val="009A68FC"/>
    <w:rsid w:val="009A6CE4"/>
    <w:rsid w:val="009A7514"/>
    <w:rsid w:val="009A7E7A"/>
    <w:rsid w:val="009B0925"/>
    <w:rsid w:val="009B1584"/>
    <w:rsid w:val="009B18F0"/>
    <w:rsid w:val="009B1F4C"/>
    <w:rsid w:val="009B2471"/>
    <w:rsid w:val="009B2C53"/>
    <w:rsid w:val="009B314F"/>
    <w:rsid w:val="009B439C"/>
    <w:rsid w:val="009B49A1"/>
    <w:rsid w:val="009B4A6C"/>
    <w:rsid w:val="009B4DA8"/>
    <w:rsid w:val="009B519A"/>
    <w:rsid w:val="009B620C"/>
    <w:rsid w:val="009B6753"/>
    <w:rsid w:val="009B676C"/>
    <w:rsid w:val="009B6A26"/>
    <w:rsid w:val="009C079D"/>
    <w:rsid w:val="009C0D70"/>
    <w:rsid w:val="009C13D1"/>
    <w:rsid w:val="009C2555"/>
    <w:rsid w:val="009C2913"/>
    <w:rsid w:val="009C2BD4"/>
    <w:rsid w:val="009C5AFE"/>
    <w:rsid w:val="009C6606"/>
    <w:rsid w:val="009C6CE5"/>
    <w:rsid w:val="009C6D50"/>
    <w:rsid w:val="009C7547"/>
    <w:rsid w:val="009D029D"/>
    <w:rsid w:val="009D05EC"/>
    <w:rsid w:val="009D06B5"/>
    <w:rsid w:val="009D17CA"/>
    <w:rsid w:val="009D18D4"/>
    <w:rsid w:val="009D1FCF"/>
    <w:rsid w:val="009D2F60"/>
    <w:rsid w:val="009D3A2E"/>
    <w:rsid w:val="009D5ADE"/>
    <w:rsid w:val="009D5BAC"/>
    <w:rsid w:val="009D5C56"/>
    <w:rsid w:val="009D6265"/>
    <w:rsid w:val="009D64BD"/>
    <w:rsid w:val="009D6CB1"/>
    <w:rsid w:val="009E0286"/>
    <w:rsid w:val="009E0D41"/>
    <w:rsid w:val="009E10BD"/>
    <w:rsid w:val="009E153F"/>
    <w:rsid w:val="009E18C5"/>
    <w:rsid w:val="009E322A"/>
    <w:rsid w:val="009E393E"/>
    <w:rsid w:val="009E3F36"/>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218"/>
    <w:rsid w:val="00A10CA8"/>
    <w:rsid w:val="00A11042"/>
    <w:rsid w:val="00A12579"/>
    <w:rsid w:val="00A12CDC"/>
    <w:rsid w:val="00A133D8"/>
    <w:rsid w:val="00A15655"/>
    <w:rsid w:val="00A15A40"/>
    <w:rsid w:val="00A160B0"/>
    <w:rsid w:val="00A16FDE"/>
    <w:rsid w:val="00A1740C"/>
    <w:rsid w:val="00A17904"/>
    <w:rsid w:val="00A20069"/>
    <w:rsid w:val="00A2244D"/>
    <w:rsid w:val="00A2253D"/>
    <w:rsid w:val="00A2267F"/>
    <w:rsid w:val="00A22CDB"/>
    <w:rsid w:val="00A232E9"/>
    <w:rsid w:val="00A247B8"/>
    <w:rsid w:val="00A2495A"/>
    <w:rsid w:val="00A24C7A"/>
    <w:rsid w:val="00A24D8F"/>
    <w:rsid w:val="00A25B8B"/>
    <w:rsid w:val="00A25D8E"/>
    <w:rsid w:val="00A2689F"/>
    <w:rsid w:val="00A26ECA"/>
    <w:rsid w:val="00A27461"/>
    <w:rsid w:val="00A27D67"/>
    <w:rsid w:val="00A30ABC"/>
    <w:rsid w:val="00A31C00"/>
    <w:rsid w:val="00A33B74"/>
    <w:rsid w:val="00A342C5"/>
    <w:rsid w:val="00A3467F"/>
    <w:rsid w:val="00A34B28"/>
    <w:rsid w:val="00A34B4C"/>
    <w:rsid w:val="00A35030"/>
    <w:rsid w:val="00A3551A"/>
    <w:rsid w:val="00A366A0"/>
    <w:rsid w:val="00A36D34"/>
    <w:rsid w:val="00A37209"/>
    <w:rsid w:val="00A37584"/>
    <w:rsid w:val="00A376E8"/>
    <w:rsid w:val="00A37F8E"/>
    <w:rsid w:val="00A41537"/>
    <w:rsid w:val="00A41737"/>
    <w:rsid w:val="00A41750"/>
    <w:rsid w:val="00A42B8F"/>
    <w:rsid w:val="00A42D8E"/>
    <w:rsid w:val="00A42DDD"/>
    <w:rsid w:val="00A42F8F"/>
    <w:rsid w:val="00A43254"/>
    <w:rsid w:val="00A43896"/>
    <w:rsid w:val="00A43951"/>
    <w:rsid w:val="00A43A26"/>
    <w:rsid w:val="00A447A0"/>
    <w:rsid w:val="00A44AD3"/>
    <w:rsid w:val="00A459F5"/>
    <w:rsid w:val="00A45FC0"/>
    <w:rsid w:val="00A46802"/>
    <w:rsid w:val="00A46B74"/>
    <w:rsid w:val="00A47BF7"/>
    <w:rsid w:val="00A47ECC"/>
    <w:rsid w:val="00A50171"/>
    <w:rsid w:val="00A504FA"/>
    <w:rsid w:val="00A50AC2"/>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4ED"/>
    <w:rsid w:val="00A7657C"/>
    <w:rsid w:val="00A77EFC"/>
    <w:rsid w:val="00A80216"/>
    <w:rsid w:val="00A8118A"/>
    <w:rsid w:val="00A81DA8"/>
    <w:rsid w:val="00A81F2D"/>
    <w:rsid w:val="00A8311C"/>
    <w:rsid w:val="00A835D0"/>
    <w:rsid w:val="00A84C5F"/>
    <w:rsid w:val="00A84FBE"/>
    <w:rsid w:val="00A85930"/>
    <w:rsid w:val="00A863F7"/>
    <w:rsid w:val="00A86604"/>
    <w:rsid w:val="00A87519"/>
    <w:rsid w:val="00A9246D"/>
    <w:rsid w:val="00A92804"/>
    <w:rsid w:val="00A92CCA"/>
    <w:rsid w:val="00A92EED"/>
    <w:rsid w:val="00A93BD0"/>
    <w:rsid w:val="00A93CC2"/>
    <w:rsid w:val="00A93D03"/>
    <w:rsid w:val="00A94D4B"/>
    <w:rsid w:val="00A974CC"/>
    <w:rsid w:val="00AA16FB"/>
    <w:rsid w:val="00AA2001"/>
    <w:rsid w:val="00AA2B5C"/>
    <w:rsid w:val="00AA32D2"/>
    <w:rsid w:val="00AA3B8B"/>
    <w:rsid w:val="00AA3F61"/>
    <w:rsid w:val="00AA4016"/>
    <w:rsid w:val="00AA4C1F"/>
    <w:rsid w:val="00AA5328"/>
    <w:rsid w:val="00AA5393"/>
    <w:rsid w:val="00AA5D54"/>
    <w:rsid w:val="00AA63D4"/>
    <w:rsid w:val="00AA7989"/>
    <w:rsid w:val="00AA7AE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2494"/>
    <w:rsid w:val="00AC40B7"/>
    <w:rsid w:val="00AC5148"/>
    <w:rsid w:val="00AC531F"/>
    <w:rsid w:val="00AC5B36"/>
    <w:rsid w:val="00AC6377"/>
    <w:rsid w:val="00AC66A4"/>
    <w:rsid w:val="00AC6CB1"/>
    <w:rsid w:val="00AC75E9"/>
    <w:rsid w:val="00AC7669"/>
    <w:rsid w:val="00AC7D6D"/>
    <w:rsid w:val="00AD0091"/>
    <w:rsid w:val="00AD23EF"/>
    <w:rsid w:val="00AD2583"/>
    <w:rsid w:val="00AD2662"/>
    <w:rsid w:val="00AD307B"/>
    <w:rsid w:val="00AD3581"/>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6C5B"/>
    <w:rsid w:val="00B003FF"/>
    <w:rsid w:val="00B0098A"/>
    <w:rsid w:val="00B00A5F"/>
    <w:rsid w:val="00B0247D"/>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4F"/>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910"/>
    <w:rsid w:val="00B2504A"/>
    <w:rsid w:val="00B25EE6"/>
    <w:rsid w:val="00B3115A"/>
    <w:rsid w:val="00B3178B"/>
    <w:rsid w:val="00B31825"/>
    <w:rsid w:val="00B31A5C"/>
    <w:rsid w:val="00B32265"/>
    <w:rsid w:val="00B3276D"/>
    <w:rsid w:val="00B33AF9"/>
    <w:rsid w:val="00B33B06"/>
    <w:rsid w:val="00B33C19"/>
    <w:rsid w:val="00B34AE0"/>
    <w:rsid w:val="00B35607"/>
    <w:rsid w:val="00B35A15"/>
    <w:rsid w:val="00B35B45"/>
    <w:rsid w:val="00B36165"/>
    <w:rsid w:val="00B36A99"/>
    <w:rsid w:val="00B40602"/>
    <w:rsid w:val="00B41C80"/>
    <w:rsid w:val="00B42264"/>
    <w:rsid w:val="00B434B2"/>
    <w:rsid w:val="00B43D45"/>
    <w:rsid w:val="00B459AF"/>
    <w:rsid w:val="00B468F2"/>
    <w:rsid w:val="00B469DE"/>
    <w:rsid w:val="00B47286"/>
    <w:rsid w:val="00B47EB4"/>
    <w:rsid w:val="00B50234"/>
    <w:rsid w:val="00B51BF4"/>
    <w:rsid w:val="00B52C68"/>
    <w:rsid w:val="00B5372B"/>
    <w:rsid w:val="00B539B2"/>
    <w:rsid w:val="00B542FE"/>
    <w:rsid w:val="00B55A1B"/>
    <w:rsid w:val="00B561DB"/>
    <w:rsid w:val="00B56DF9"/>
    <w:rsid w:val="00B56E80"/>
    <w:rsid w:val="00B571F1"/>
    <w:rsid w:val="00B57EC7"/>
    <w:rsid w:val="00B600BD"/>
    <w:rsid w:val="00B60E4E"/>
    <w:rsid w:val="00B61274"/>
    <w:rsid w:val="00B61DCE"/>
    <w:rsid w:val="00B62188"/>
    <w:rsid w:val="00B62F79"/>
    <w:rsid w:val="00B62F82"/>
    <w:rsid w:val="00B6306A"/>
    <w:rsid w:val="00B635E3"/>
    <w:rsid w:val="00B662FF"/>
    <w:rsid w:val="00B66679"/>
    <w:rsid w:val="00B668BE"/>
    <w:rsid w:val="00B70145"/>
    <w:rsid w:val="00B717F9"/>
    <w:rsid w:val="00B71A92"/>
    <w:rsid w:val="00B721D8"/>
    <w:rsid w:val="00B72AC5"/>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765"/>
    <w:rsid w:val="00B82B78"/>
    <w:rsid w:val="00B845B4"/>
    <w:rsid w:val="00B84662"/>
    <w:rsid w:val="00B84C74"/>
    <w:rsid w:val="00B84CE9"/>
    <w:rsid w:val="00B85191"/>
    <w:rsid w:val="00B858A1"/>
    <w:rsid w:val="00B85FEC"/>
    <w:rsid w:val="00B8637D"/>
    <w:rsid w:val="00B864A3"/>
    <w:rsid w:val="00B86C2A"/>
    <w:rsid w:val="00B902A5"/>
    <w:rsid w:val="00B90420"/>
    <w:rsid w:val="00B90848"/>
    <w:rsid w:val="00B91146"/>
    <w:rsid w:val="00B913E4"/>
    <w:rsid w:val="00B91DB9"/>
    <w:rsid w:val="00B91FF3"/>
    <w:rsid w:val="00B925F8"/>
    <w:rsid w:val="00B934AF"/>
    <w:rsid w:val="00B93EFE"/>
    <w:rsid w:val="00B944B9"/>
    <w:rsid w:val="00B94956"/>
    <w:rsid w:val="00B94C7F"/>
    <w:rsid w:val="00B94E93"/>
    <w:rsid w:val="00B956B5"/>
    <w:rsid w:val="00B95956"/>
    <w:rsid w:val="00B96DF2"/>
    <w:rsid w:val="00B96E18"/>
    <w:rsid w:val="00B96F5A"/>
    <w:rsid w:val="00B97B44"/>
    <w:rsid w:val="00BA0B39"/>
    <w:rsid w:val="00BA0CB2"/>
    <w:rsid w:val="00BA0E26"/>
    <w:rsid w:val="00BA138B"/>
    <w:rsid w:val="00BA1A9E"/>
    <w:rsid w:val="00BA305B"/>
    <w:rsid w:val="00BA31BF"/>
    <w:rsid w:val="00BA3916"/>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416"/>
    <w:rsid w:val="00BC2C17"/>
    <w:rsid w:val="00BC397C"/>
    <w:rsid w:val="00BC3ACD"/>
    <w:rsid w:val="00BC3B20"/>
    <w:rsid w:val="00BC3EE4"/>
    <w:rsid w:val="00BC588C"/>
    <w:rsid w:val="00BC6E73"/>
    <w:rsid w:val="00BC721B"/>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319"/>
    <w:rsid w:val="00BE3917"/>
    <w:rsid w:val="00BE48D3"/>
    <w:rsid w:val="00BE4BFE"/>
    <w:rsid w:val="00BE4D94"/>
    <w:rsid w:val="00BE50FD"/>
    <w:rsid w:val="00BE51CA"/>
    <w:rsid w:val="00BE537F"/>
    <w:rsid w:val="00BE5D77"/>
    <w:rsid w:val="00BE6884"/>
    <w:rsid w:val="00BE6D47"/>
    <w:rsid w:val="00BE7032"/>
    <w:rsid w:val="00BE7330"/>
    <w:rsid w:val="00BE78F1"/>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55"/>
    <w:rsid w:val="00C031CF"/>
    <w:rsid w:val="00C047AB"/>
    <w:rsid w:val="00C058AF"/>
    <w:rsid w:val="00C05935"/>
    <w:rsid w:val="00C075B6"/>
    <w:rsid w:val="00C11ACA"/>
    <w:rsid w:val="00C124C1"/>
    <w:rsid w:val="00C128AE"/>
    <w:rsid w:val="00C12BA8"/>
    <w:rsid w:val="00C13094"/>
    <w:rsid w:val="00C136D6"/>
    <w:rsid w:val="00C13D5B"/>
    <w:rsid w:val="00C141D7"/>
    <w:rsid w:val="00C169B9"/>
    <w:rsid w:val="00C1711B"/>
    <w:rsid w:val="00C17AE2"/>
    <w:rsid w:val="00C20140"/>
    <w:rsid w:val="00C20F27"/>
    <w:rsid w:val="00C215CF"/>
    <w:rsid w:val="00C2244B"/>
    <w:rsid w:val="00C22711"/>
    <w:rsid w:val="00C2280A"/>
    <w:rsid w:val="00C22B0D"/>
    <w:rsid w:val="00C22BFF"/>
    <w:rsid w:val="00C23522"/>
    <w:rsid w:val="00C23E89"/>
    <w:rsid w:val="00C240C1"/>
    <w:rsid w:val="00C244A1"/>
    <w:rsid w:val="00C24AED"/>
    <w:rsid w:val="00C250D0"/>
    <w:rsid w:val="00C252AC"/>
    <w:rsid w:val="00C25C0F"/>
    <w:rsid w:val="00C26567"/>
    <w:rsid w:val="00C26923"/>
    <w:rsid w:val="00C2695A"/>
    <w:rsid w:val="00C27214"/>
    <w:rsid w:val="00C27597"/>
    <w:rsid w:val="00C27E5E"/>
    <w:rsid w:val="00C30382"/>
    <w:rsid w:val="00C30772"/>
    <w:rsid w:val="00C30D6F"/>
    <w:rsid w:val="00C31063"/>
    <w:rsid w:val="00C31B7E"/>
    <w:rsid w:val="00C322D1"/>
    <w:rsid w:val="00C3242A"/>
    <w:rsid w:val="00C33201"/>
    <w:rsid w:val="00C33A39"/>
    <w:rsid w:val="00C34619"/>
    <w:rsid w:val="00C3467C"/>
    <w:rsid w:val="00C348D9"/>
    <w:rsid w:val="00C35D01"/>
    <w:rsid w:val="00C360B3"/>
    <w:rsid w:val="00C36885"/>
    <w:rsid w:val="00C37027"/>
    <w:rsid w:val="00C373BF"/>
    <w:rsid w:val="00C37B19"/>
    <w:rsid w:val="00C41349"/>
    <w:rsid w:val="00C413CB"/>
    <w:rsid w:val="00C42752"/>
    <w:rsid w:val="00C42973"/>
    <w:rsid w:val="00C44D22"/>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635"/>
    <w:rsid w:val="00C62A48"/>
    <w:rsid w:val="00C62AC4"/>
    <w:rsid w:val="00C62B59"/>
    <w:rsid w:val="00C62F96"/>
    <w:rsid w:val="00C631E1"/>
    <w:rsid w:val="00C638D8"/>
    <w:rsid w:val="00C63A43"/>
    <w:rsid w:val="00C63AE7"/>
    <w:rsid w:val="00C63D26"/>
    <w:rsid w:val="00C6540A"/>
    <w:rsid w:val="00C668A1"/>
    <w:rsid w:val="00C67223"/>
    <w:rsid w:val="00C701FE"/>
    <w:rsid w:val="00C707B8"/>
    <w:rsid w:val="00C712AC"/>
    <w:rsid w:val="00C71ADC"/>
    <w:rsid w:val="00C71C15"/>
    <w:rsid w:val="00C71F3D"/>
    <w:rsid w:val="00C72F53"/>
    <w:rsid w:val="00C74035"/>
    <w:rsid w:val="00C748EA"/>
    <w:rsid w:val="00C77818"/>
    <w:rsid w:val="00C8063F"/>
    <w:rsid w:val="00C81282"/>
    <w:rsid w:val="00C827B4"/>
    <w:rsid w:val="00C83214"/>
    <w:rsid w:val="00C8329F"/>
    <w:rsid w:val="00C83B21"/>
    <w:rsid w:val="00C84F8A"/>
    <w:rsid w:val="00C85BA4"/>
    <w:rsid w:val="00C8618F"/>
    <w:rsid w:val="00C8625D"/>
    <w:rsid w:val="00C86A49"/>
    <w:rsid w:val="00C874F1"/>
    <w:rsid w:val="00C90103"/>
    <w:rsid w:val="00C90364"/>
    <w:rsid w:val="00C90372"/>
    <w:rsid w:val="00C9041F"/>
    <w:rsid w:val="00C91023"/>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6DE"/>
    <w:rsid w:val="00CB105E"/>
    <w:rsid w:val="00CB19D7"/>
    <w:rsid w:val="00CB19FE"/>
    <w:rsid w:val="00CB1C3F"/>
    <w:rsid w:val="00CB2364"/>
    <w:rsid w:val="00CB25BA"/>
    <w:rsid w:val="00CB304C"/>
    <w:rsid w:val="00CB3933"/>
    <w:rsid w:val="00CB5010"/>
    <w:rsid w:val="00CB53E8"/>
    <w:rsid w:val="00CB594A"/>
    <w:rsid w:val="00CB5CB2"/>
    <w:rsid w:val="00CB6979"/>
    <w:rsid w:val="00CB7DDE"/>
    <w:rsid w:val="00CC0A3D"/>
    <w:rsid w:val="00CC2F62"/>
    <w:rsid w:val="00CC2FF0"/>
    <w:rsid w:val="00CC3261"/>
    <w:rsid w:val="00CC3C53"/>
    <w:rsid w:val="00CC3D24"/>
    <w:rsid w:val="00CC3F91"/>
    <w:rsid w:val="00CC47EE"/>
    <w:rsid w:val="00CC4ACD"/>
    <w:rsid w:val="00CC4B0A"/>
    <w:rsid w:val="00CC544A"/>
    <w:rsid w:val="00CC57AE"/>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3D3"/>
    <w:rsid w:val="00CD7111"/>
    <w:rsid w:val="00CD72C5"/>
    <w:rsid w:val="00CD79A7"/>
    <w:rsid w:val="00CD7FAD"/>
    <w:rsid w:val="00CE0789"/>
    <w:rsid w:val="00CE0AF1"/>
    <w:rsid w:val="00CE0E8D"/>
    <w:rsid w:val="00CE1A03"/>
    <w:rsid w:val="00CE2346"/>
    <w:rsid w:val="00CE25B2"/>
    <w:rsid w:val="00CE2D47"/>
    <w:rsid w:val="00CE3529"/>
    <w:rsid w:val="00CE35C8"/>
    <w:rsid w:val="00CE3962"/>
    <w:rsid w:val="00CE4920"/>
    <w:rsid w:val="00CE4A07"/>
    <w:rsid w:val="00CE4D0A"/>
    <w:rsid w:val="00CE4D1A"/>
    <w:rsid w:val="00CE4E8A"/>
    <w:rsid w:val="00CE5105"/>
    <w:rsid w:val="00CE56BD"/>
    <w:rsid w:val="00CE5EC0"/>
    <w:rsid w:val="00CE68AD"/>
    <w:rsid w:val="00CE6F9F"/>
    <w:rsid w:val="00CE7719"/>
    <w:rsid w:val="00CE781A"/>
    <w:rsid w:val="00CE790C"/>
    <w:rsid w:val="00CE7B08"/>
    <w:rsid w:val="00CE7D52"/>
    <w:rsid w:val="00CF0AB7"/>
    <w:rsid w:val="00CF1D74"/>
    <w:rsid w:val="00CF287D"/>
    <w:rsid w:val="00CF2BE2"/>
    <w:rsid w:val="00CF3DEB"/>
    <w:rsid w:val="00CF4498"/>
    <w:rsid w:val="00CF55F9"/>
    <w:rsid w:val="00CF585F"/>
    <w:rsid w:val="00CF5D43"/>
    <w:rsid w:val="00CF6870"/>
    <w:rsid w:val="00CF7074"/>
    <w:rsid w:val="00CF7495"/>
    <w:rsid w:val="00D01CF9"/>
    <w:rsid w:val="00D02D65"/>
    <w:rsid w:val="00D0334D"/>
    <w:rsid w:val="00D0374D"/>
    <w:rsid w:val="00D06D7B"/>
    <w:rsid w:val="00D06DA5"/>
    <w:rsid w:val="00D07191"/>
    <w:rsid w:val="00D07F1D"/>
    <w:rsid w:val="00D10136"/>
    <w:rsid w:val="00D10558"/>
    <w:rsid w:val="00D11D4D"/>
    <w:rsid w:val="00D11DB1"/>
    <w:rsid w:val="00D11F76"/>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6C3F"/>
    <w:rsid w:val="00D27185"/>
    <w:rsid w:val="00D3028A"/>
    <w:rsid w:val="00D32A03"/>
    <w:rsid w:val="00D33488"/>
    <w:rsid w:val="00D338D9"/>
    <w:rsid w:val="00D33AB3"/>
    <w:rsid w:val="00D33F24"/>
    <w:rsid w:val="00D34160"/>
    <w:rsid w:val="00D346B8"/>
    <w:rsid w:val="00D34DCA"/>
    <w:rsid w:val="00D35AC8"/>
    <w:rsid w:val="00D35B55"/>
    <w:rsid w:val="00D36F87"/>
    <w:rsid w:val="00D37D77"/>
    <w:rsid w:val="00D37E4E"/>
    <w:rsid w:val="00D417D8"/>
    <w:rsid w:val="00D41F78"/>
    <w:rsid w:val="00D42D63"/>
    <w:rsid w:val="00D42E6C"/>
    <w:rsid w:val="00D4351C"/>
    <w:rsid w:val="00D43B80"/>
    <w:rsid w:val="00D44261"/>
    <w:rsid w:val="00D44988"/>
    <w:rsid w:val="00D45B4C"/>
    <w:rsid w:val="00D45BA4"/>
    <w:rsid w:val="00D471AF"/>
    <w:rsid w:val="00D471E2"/>
    <w:rsid w:val="00D4724F"/>
    <w:rsid w:val="00D4738A"/>
    <w:rsid w:val="00D50519"/>
    <w:rsid w:val="00D50779"/>
    <w:rsid w:val="00D51496"/>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C14"/>
    <w:rsid w:val="00D60D6D"/>
    <w:rsid w:val="00D6128C"/>
    <w:rsid w:val="00D61CFF"/>
    <w:rsid w:val="00D63B22"/>
    <w:rsid w:val="00D63E63"/>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237"/>
    <w:rsid w:val="00D81AFA"/>
    <w:rsid w:val="00D81EAA"/>
    <w:rsid w:val="00D81FE2"/>
    <w:rsid w:val="00D820A5"/>
    <w:rsid w:val="00D8259F"/>
    <w:rsid w:val="00D825F2"/>
    <w:rsid w:val="00D8285C"/>
    <w:rsid w:val="00D828B1"/>
    <w:rsid w:val="00D8294D"/>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1AF1"/>
    <w:rsid w:val="00D923B2"/>
    <w:rsid w:val="00D92463"/>
    <w:rsid w:val="00D93E64"/>
    <w:rsid w:val="00D93F64"/>
    <w:rsid w:val="00D94CA4"/>
    <w:rsid w:val="00D95E99"/>
    <w:rsid w:val="00D965D5"/>
    <w:rsid w:val="00D970B3"/>
    <w:rsid w:val="00D97D58"/>
    <w:rsid w:val="00D97DA2"/>
    <w:rsid w:val="00DA0485"/>
    <w:rsid w:val="00DA1A3A"/>
    <w:rsid w:val="00DA2351"/>
    <w:rsid w:val="00DA249E"/>
    <w:rsid w:val="00DA2D3D"/>
    <w:rsid w:val="00DA3855"/>
    <w:rsid w:val="00DA39BA"/>
    <w:rsid w:val="00DA3D28"/>
    <w:rsid w:val="00DA4C30"/>
    <w:rsid w:val="00DA5C6B"/>
    <w:rsid w:val="00DA6A44"/>
    <w:rsid w:val="00DA7A3C"/>
    <w:rsid w:val="00DB145E"/>
    <w:rsid w:val="00DB1A94"/>
    <w:rsid w:val="00DB1D52"/>
    <w:rsid w:val="00DB1E2B"/>
    <w:rsid w:val="00DB1F62"/>
    <w:rsid w:val="00DB21E7"/>
    <w:rsid w:val="00DB2E03"/>
    <w:rsid w:val="00DB3742"/>
    <w:rsid w:val="00DB3E9B"/>
    <w:rsid w:val="00DB3F4B"/>
    <w:rsid w:val="00DB5375"/>
    <w:rsid w:val="00DB5382"/>
    <w:rsid w:val="00DB67C1"/>
    <w:rsid w:val="00DB6C0B"/>
    <w:rsid w:val="00DB70F4"/>
    <w:rsid w:val="00DB748A"/>
    <w:rsid w:val="00DC050E"/>
    <w:rsid w:val="00DC1056"/>
    <w:rsid w:val="00DC1442"/>
    <w:rsid w:val="00DC21D8"/>
    <w:rsid w:val="00DC282A"/>
    <w:rsid w:val="00DC2DE8"/>
    <w:rsid w:val="00DC34DC"/>
    <w:rsid w:val="00DC3780"/>
    <w:rsid w:val="00DC3ADA"/>
    <w:rsid w:val="00DC3CC6"/>
    <w:rsid w:val="00DC3F55"/>
    <w:rsid w:val="00DC4782"/>
    <w:rsid w:val="00DC514A"/>
    <w:rsid w:val="00DC5D05"/>
    <w:rsid w:val="00DC67B1"/>
    <w:rsid w:val="00DC7FBC"/>
    <w:rsid w:val="00DD0019"/>
    <w:rsid w:val="00DD07C2"/>
    <w:rsid w:val="00DD132B"/>
    <w:rsid w:val="00DD1725"/>
    <w:rsid w:val="00DD2159"/>
    <w:rsid w:val="00DD218B"/>
    <w:rsid w:val="00DD2A18"/>
    <w:rsid w:val="00DD3044"/>
    <w:rsid w:val="00DD3985"/>
    <w:rsid w:val="00DD4DAD"/>
    <w:rsid w:val="00DD5783"/>
    <w:rsid w:val="00DD61E8"/>
    <w:rsid w:val="00DD62C0"/>
    <w:rsid w:val="00DD64DE"/>
    <w:rsid w:val="00DD66DE"/>
    <w:rsid w:val="00DD7859"/>
    <w:rsid w:val="00DD7B41"/>
    <w:rsid w:val="00DE0338"/>
    <w:rsid w:val="00DE0784"/>
    <w:rsid w:val="00DE0A1D"/>
    <w:rsid w:val="00DE15B2"/>
    <w:rsid w:val="00DE16BA"/>
    <w:rsid w:val="00DE1A9A"/>
    <w:rsid w:val="00DE33F3"/>
    <w:rsid w:val="00DE3C82"/>
    <w:rsid w:val="00DE3D2C"/>
    <w:rsid w:val="00DE4569"/>
    <w:rsid w:val="00DE5E82"/>
    <w:rsid w:val="00DE5FA6"/>
    <w:rsid w:val="00DE605D"/>
    <w:rsid w:val="00DE6792"/>
    <w:rsid w:val="00DE6AA1"/>
    <w:rsid w:val="00DE7EF7"/>
    <w:rsid w:val="00DF015B"/>
    <w:rsid w:val="00DF02EC"/>
    <w:rsid w:val="00DF10FC"/>
    <w:rsid w:val="00DF1185"/>
    <w:rsid w:val="00DF1299"/>
    <w:rsid w:val="00DF1A70"/>
    <w:rsid w:val="00DF1E5F"/>
    <w:rsid w:val="00DF23A8"/>
    <w:rsid w:val="00DF2E4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4C8"/>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868"/>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363F"/>
    <w:rsid w:val="00E34A77"/>
    <w:rsid w:val="00E34DB1"/>
    <w:rsid w:val="00E352B3"/>
    <w:rsid w:val="00E35931"/>
    <w:rsid w:val="00E359FF"/>
    <w:rsid w:val="00E3699A"/>
    <w:rsid w:val="00E36B82"/>
    <w:rsid w:val="00E402C5"/>
    <w:rsid w:val="00E402F4"/>
    <w:rsid w:val="00E405F1"/>
    <w:rsid w:val="00E417DB"/>
    <w:rsid w:val="00E43054"/>
    <w:rsid w:val="00E43655"/>
    <w:rsid w:val="00E44440"/>
    <w:rsid w:val="00E46013"/>
    <w:rsid w:val="00E464FB"/>
    <w:rsid w:val="00E47099"/>
    <w:rsid w:val="00E47284"/>
    <w:rsid w:val="00E477C3"/>
    <w:rsid w:val="00E47CB6"/>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7E3"/>
    <w:rsid w:val="00E6402D"/>
    <w:rsid w:val="00E6680A"/>
    <w:rsid w:val="00E66F0D"/>
    <w:rsid w:val="00E70615"/>
    <w:rsid w:val="00E7161E"/>
    <w:rsid w:val="00E7207B"/>
    <w:rsid w:val="00E7347A"/>
    <w:rsid w:val="00E73AA6"/>
    <w:rsid w:val="00E75A47"/>
    <w:rsid w:val="00E75BB6"/>
    <w:rsid w:val="00E75D8C"/>
    <w:rsid w:val="00E76A3F"/>
    <w:rsid w:val="00E777F2"/>
    <w:rsid w:val="00E802C9"/>
    <w:rsid w:val="00E80BFB"/>
    <w:rsid w:val="00E80EC2"/>
    <w:rsid w:val="00E80F0A"/>
    <w:rsid w:val="00E811AB"/>
    <w:rsid w:val="00E815D4"/>
    <w:rsid w:val="00E8291B"/>
    <w:rsid w:val="00E82E70"/>
    <w:rsid w:val="00E82F92"/>
    <w:rsid w:val="00E8395F"/>
    <w:rsid w:val="00E8410F"/>
    <w:rsid w:val="00E849D7"/>
    <w:rsid w:val="00E85E41"/>
    <w:rsid w:val="00E85EA1"/>
    <w:rsid w:val="00E8618C"/>
    <w:rsid w:val="00E86703"/>
    <w:rsid w:val="00E86C85"/>
    <w:rsid w:val="00E900DA"/>
    <w:rsid w:val="00E91044"/>
    <w:rsid w:val="00E910D3"/>
    <w:rsid w:val="00E92097"/>
    <w:rsid w:val="00E92154"/>
    <w:rsid w:val="00E923CF"/>
    <w:rsid w:val="00E93685"/>
    <w:rsid w:val="00E93B65"/>
    <w:rsid w:val="00E93C8C"/>
    <w:rsid w:val="00E95111"/>
    <w:rsid w:val="00E95FDF"/>
    <w:rsid w:val="00EA080B"/>
    <w:rsid w:val="00EA14C8"/>
    <w:rsid w:val="00EA2110"/>
    <w:rsid w:val="00EA283A"/>
    <w:rsid w:val="00EA2C90"/>
    <w:rsid w:val="00EA2E07"/>
    <w:rsid w:val="00EA383B"/>
    <w:rsid w:val="00EA48F3"/>
    <w:rsid w:val="00EA60BF"/>
    <w:rsid w:val="00EA7365"/>
    <w:rsid w:val="00EA763F"/>
    <w:rsid w:val="00EA77E9"/>
    <w:rsid w:val="00EB0037"/>
    <w:rsid w:val="00EB05D0"/>
    <w:rsid w:val="00EB1151"/>
    <w:rsid w:val="00EB1D49"/>
    <w:rsid w:val="00EB23D9"/>
    <w:rsid w:val="00EB39A0"/>
    <w:rsid w:val="00EB430A"/>
    <w:rsid w:val="00EB559F"/>
    <w:rsid w:val="00EB566C"/>
    <w:rsid w:val="00EB5A18"/>
    <w:rsid w:val="00EB5F3D"/>
    <w:rsid w:val="00EB677D"/>
    <w:rsid w:val="00EB67A0"/>
    <w:rsid w:val="00EB6C97"/>
    <w:rsid w:val="00EB7E7E"/>
    <w:rsid w:val="00EC1CEB"/>
    <w:rsid w:val="00EC1DC0"/>
    <w:rsid w:val="00EC1DC2"/>
    <w:rsid w:val="00EC1E09"/>
    <w:rsid w:val="00EC210E"/>
    <w:rsid w:val="00EC21EC"/>
    <w:rsid w:val="00EC24B8"/>
    <w:rsid w:val="00EC268C"/>
    <w:rsid w:val="00EC3753"/>
    <w:rsid w:val="00EC4E71"/>
    <w:rsid w:val="00EC5F1C"/>
    <w:rsid w:val="00EC7470"/>
    <w:rsid w:val="00ED0365"/>
    <w:rsid w:val="00ED0865"/>
    <w:rsid w:val="00ED0C1C"/>
    <w:rsid w:val="00ED1C60"/>
    <w:rsid w:val="00ED2EB9"/>
    <w:rsid w:val="00ED3722"/>
    <w:rsid w:val="00ED3A31"/>
    <w:rsid w:val="00ED4469"/>
    <w:rsid w:val="00ED4C30"/>
    <w:rsid w:val="00ED5302"/>
    <w:rsid w:val="00ED5424"/>
    <w:rsid w:val="00ED5F23"/>
    <w:rsid w:val="00ED6DC0"/>
    <w:rsid w:val="00ED7A7A"/>
    <w:rsid w:val="00EE0327"/>
    <w:rsid w:val="00EE038C"/>
    <w:rsid w:val="00EE28C5"/>
    <w:rsid w:val="00EE2F09"/>
    <w:rsid w:val="00EE3B97"/>
    <w:rsid w:val="00EE47C5"/>
    <w:rsid w:val="00EE4824"/>
    <w:rsid w:val="00EE490C"/>
    <w:rsid w:val="00EE4E57"/>
    <w:rsid w:val="00EE5738"/>
    <w:rsid w:val="00EE58BD"/>
    <w:rsid w:val="00EE5E59"/>
    <w:rsid w:val="00EE73D0"/>
    <w:rsid w:val="00EE7CB0"/>
    <w:rsid w:val="00EE7F8E"/>
    <w:rsid w:val="00EF0455"/>
    <w:rsid w:val="00EF08A8"/>
    <w:rsid w:val="00EF167B"/>
    <w:rsid w:val="00EF2496"/>
    <w:rsid w:val="00EF41A8"/>
    <w:rsid w:val="00EF44FB"/>
    <w:rsid w:val="00EF5122"/>
    <w:rsid w:val="00EF5554"/>
    <w:rsid w:val="00EF5AD8"/>
    <w:rsid w:val="00EF6B90"/>
    <w:rsid w:val="00EF7807"/>
    <w:rsid w:val="00EF79F7"/>
    <w:rsid w:val="00EF7D80"/>
    <w:rsid w:val="00F005DE"/>
    <w:rsid w:val="00F006C0"/>
    <w:rsid w:val="00F0125F"/>
    <w:rsid w:val="00F019AA"/>
    <w:rsid w:val="00F0267E"/>
    <w:rsid w:val="00F02686"/>
    <w:rsid w:val="00F030C0"/>
    <w:rsid w:val="00F03291"/>
    <w:rsid w:val="00F03A85"/>
    <w:rsid w:val="00F0459B"/>
    <w:rsid w:val="00F04D6F"/>
    <w:rsid w:val="00F04E15"/>
    <w:rsid w:val="00F05DF3"/>
    <w:rsid w:val="00F06829"/>
    <w:rsid w:val="00F069EA"/>
    <w:rsid w:val="00F070E5"/>
    <w:rsid w:val="00F07DB8"/>
    <w:rsid w:val="00F07DDE"/>
    <w:rsid w:val="00F11675"/>
    <w:rsid w:val="00F123DA"/>
    <w:rsid w:val="00F12557"/>
    <w:rsid w:val="00F13599"/>
    <w:rsid w:val="00F13B28"/>
    <w:rsid w:val="00F156A0"/>
    <w:rsid w:val="00F15730"/>
    <w:rsid w:val="00F176A6"/>
    <w:rsid w:val="00F202C2"/>
    <w:rsid w:val="00F20D26"/>
    <w:rsid w:val="00F212F6"/>
    <w:rsid w:val="00F22756"/>
    <w:rsid w:val="00F23248"/>
    <w:rsid w:val="00F23890"/>
    <w:rsid w:val="00F24B3D"/>
    <w:rsid w:val="00F2504D"/>
    <w:rsid w:val="00F2637F"/>
    <w:rsid w:val="00F268F7"/>
    <w:rsid w:val="00F26A5F"/>
    <w:rsid w:val="00F30B83"/>
    <w:rsid w:val="00F30BDB"/>
    <w:rsid w:val="00F30CF8"/>
    <w:rsid w:val="00F30E78"/>
    <w:rsid w:val="00F31EDF"/>
    <w:rsid w:val="00F3228B"/>
    <w:rsid w:val="00F32CDE"/>
    <w:rsid w:val="00F32D4C"/>
    <w:rsid w:val="00F3327E"/>
    <w:rsid w:val="00F338C3"/>
    <w:rsid w:val="00F33A62"/>
    <w:rsid w:val="00F34B14"/>
    <w:rsid w:val="00F34F58"/>
    <w:rsid w:val="00F35DA7"/>
    <w:rsid w:val="00F36A6A"/>
    <w:rsid w:val="00F379E5"/>
    <w:rsid w:val="00F37A38"/>
    <w:rsid w:val="00F40101"/>
    <w:rsid w:val="00F404F7"/>
    <w:rsid w:val="00F40CCA"/>
    <w:rsid w:val="00F42D97"/>
    <w:rsid w:val="00F42FCF"/>
    <w:rsid w:val="00F436B2"/>
    <w:rsid w:val="00F43813"/>
    <w:rsid w:val="00F43FEE"/>
    <w:rsid w:val="00F4492F"/>
    <w:rsid w:val="00F4547B"/>
    <w:rsid w:val="00F45A72"/>
    <w:rsid w:val="00F46723"/>
    <w:rsid w:val="00F4706D"/>
    <w:rsid w:val="00F476E1"/>
    <w:rsid w:val="00F47D1D"/>
    <w:rsid w:val="00F47F29"/>
    <w:rsid w:val="00F50016"/>
    <w:rsid w:val="00F5118A"/>
    <w:rsid w:val="00F51A21"/>
    <w:rsid w:val="00F52614"/>
    <w:rsid w:val="00F5265B"/>
    <w:rsid w:val="00F5276E"/>
    <w:rsid w:val="00F52E9F"/>
    <w:rsid w:val="00F52F3C"/>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9D5"/>
    <w:rsid w:val="00F70799"/>
    <w:rsid w:val="00F70A8B"/>
    <w:rsid w:val="00F70B8D"/>
    <w:rsid w:val="00F71936"/>
    <w:rsid w:val="00F724FB"/>
    <w:rsid w:val="00F726B8"/>
    <w:rsid w:val="00F72A26"/>
    <w:rsid w:val="00F733C3"/>
    <w:rsid w:val="00F73E8D"/>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016"/>
    <w:rsid w:val="00FA0889"/>
    <w:rsid w:val="00FA16E7"/>
    <w:rsid w:val="00FA31C7"/>
    <w:rsid w:val="00FA472D"/>
    <w:rsid w:val="00FA681F"/>
    <w:rsid w:val="00FB0500"/>
    <w:rsid w:val="00FB0CBF"/>
    <w:rsid w:val="00FB18F6"/>
    <w:rsid w:val="00FB1958"/>
    <w:rsid w:val="00FB2A52"/>
    <w:rsid w:val="00FB3999"/>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F09"/>
    <w:rsid w:val="00FC6524"/>
    <w:rsid w:val="00FC6B58"/>
    <w:rsid w:val="00FC75AC"/>
    <w:rsid w:val="00FC7984"/>
    <w:rsid w:val="00FD01BF"/>
    <w:rsid w:val="00FD0525"/>
    <w:rsid w:val="00FD0AB7"/>
    <w:rsid w:val="00FD1EA6"/>
    <w:rsid w:val="00FD297D"/>
    <w:rsid w:val="00FD2D13"/>
    <w:rsid w:val="00FD374D"/>
    <w:rsid w:val="00FD534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72"/>
    <w:rsid w:val="00FF1C9B"/>
    <w:rsid w:val="00FF1D49"/>
    <w:rsid w:val="00FF203B"/>
    <w:rsid w:val="00FF2216"/>
    <w:rsid w:val="00FF2562"/>
    <w:rsid w:val="00FF3703"/>
    <w:rsid w:val="00FF3A41"/>
    <w:rsid w:val="00FF3C9C"/>
    <w:rsid w:val="00FF3E5B"/>
    <w:rsid w:val="00FF4538"/>
    <w:rsid w:val="00FF57E4"/>
    <w:rsid w:val="00FF78E5"/>
    <w:rsid w:val="012C5FAF"/>
    <w:rsid w:val="01AF3D99"/>
    <w:rsid w:val="02221B29"/>
    <w:rsid w:val="02511F9D"/>
    <w:rsid w:val="029D4ECB"/>
    <w:rsid w:val="02A9526F"/>
    <w:rsid w:val="02C951F9"/>
    <w:rsid w:val="02CE19DA"/>
    <w:rsid w:val="03127926"/>
    <w:rsid w:val="03591C55"/>
    <w:rsid w:val="03A314B8"/>
    <w:rsid w:val="03D82B98"/>
    <w:rsid w:val="03DB0072"/>
    <w:rsid w:val="03F83E8B"/>
    <w:rsid w:val="04DB69A2"/>
    <w:rsid w:val="05182AFA"/>
    <w:rsid w:val="05C56868"/>
    <w:rsid w:val="060A3E55"/>
    <w:rsid w:val="06AC66F4"/>
    <w:rsid w:val="07A539BD"/>
    <w:rsid w:val="07B72767"/>
    <w:rsid w:val="08077E72"/>
    <w:rsid w:val="08882DD0"/>
    <w:rsid w:val="08A16533"/>
    <w:rsid w:val="08D85DF6"/>
    <w:rsid w:val="09CC2AAC"/>
    <w:rsid w:val="0A652D3E"/>
    <w:rsid w:val="0A730510"/>
    <w:rsid w:val="0AF94B2F"/>
    <w:rsid w:val="0B326F2A"/>
    <w:rsid w:val="0B75621D"/>
    <w:rsid w:val="0BED0EFB"/>
    <w:rsid w:val="0C1E2888"/>
    <w:rsid w:val="0C8723F5"/>
    <w:rsid w:val="0C92213C"/>
    <w:rsid w:val="0CB343F6"/>
    <w:rsid w:val="0CC2027E"/>
    <w:rsid w:val="0D003F3D"/>
    <w:rsid w:val="0D63531C"/>
    <w:rsid w:val="0D84032B"/>
    <w:rsid w:val="0EF4423E"/>
    <w:rsid w:val="0F1A028E"/>
    <w:rsid w:val="0F2A74C4"/>
    <w:rsid w:val="0F7B4E6A"/>
    <w:rsid w:val="0F8B76DD"/>
    <w:rsid w:val="0FC4763E"/>
    <w:rsid w:val="103B2931"/>
    <w:rsid w:val="10A27F31"/>
    <w:rsid w:val="11306AD5"/>
    <w:rsid w:val="11927058"/>
    <w:rsid w:val="11C041A5"/>
    <w:rsid w:val="11C708A3"/>
    <w:rsid w:val="11EA400A"/>
    <w:rsid w:val="120E171E"/>
    <w:rsid w:val="120F5D75"/>
    <w:rsid w:val="129652A4"/>
    <w:rsid w:val="12B62DBD"/>
    <w:rsid w:val="136E7FB7"/>
    <w:rsid w:val="13801C3B"/>
    <w:rsid w:val="13AF4F03"/>
    <w:rsid w:val="143C0174"/>
    <w:rsid w:val="14736E66"/>
    <w:rsid w:val="147F458F"/>
    <w:rsid w:val="14FB3FE4"/>
    <w:rsid w:val="1534169A"/>
    <w:rsid w:val="15517E86"/>
    <w:rsid w:val="15C03E03"/>
    <w:rsid w:val="162A25EB"/>
    <w:rsid w:val="165F088C"/>
    <w:rsid w:val="16735895"/>
    <w:rsid w:val="16CC0D53"/>
    <w:rsid w:val="16FD2A55"/>
    <w:rsid w:val="17067C1A"/>
    <w:rsid w:val="17366761"/>
    <w:rsid w:val="173C7D8C"/>
    <w:rsid w:val="177C01F0"/>
    <w:rsid w:val="179E3EFA"/>
    <w:rsid w:val="17CE6630"/>
    <w:rsid w:val="180A592B"/>
    <w:rsid w:val="1857752E"/>
    <w:rsid w:val="18D41847"/>
    <w:rsid w:val="1929207F"/>
    <w:rsid w:val="19807C73"/>
    <w:rsid w:val="1A240E45"/>
    <w:rsid w:val="1A8647D3"/>
    <w:rsid w:val="1AFF0AFE"/>
    <w:rsid w:val="1B093873"/>
    <w:rsid w:val="1B47100F"/>
    <w:rsid w:val="1B4F19F8"/>
    <w:rsid w:val="1B6D5E5F"/>
    <w:rsid w:val="1B8B1C65"/>
    <w:rsid w:val="1C2022D6"/>
    <w:rsid w:val="1D5A4243"/>
    <w:rsid w:val="1DD9661C"/>
    <w:rsid w:val="1DEB2570"/>
    <w:rsid w:val="1E066426"/>
    <w:rsid w:val="1EC666D7"/>
    <w:rsid w:val="1ECC44FA"/>
    <w:rsid w:val="1F063325"/>
    <w:rsid w:val="1F3D64E2"/>
    <w:rsid w:val="1FB309B9"/>
    <w:rsid w:val="1FBC5DF5"/>
    <w:rsid w:val="1FC86C5A"/>
    <w:rsid w:val="1FF90588"/>
    <w:rsid w:val="20793A8A"/>
    <w:rsid w:val="207C0831"/>
    <w:rsid w:val="20C3623F"/>
    <w:rsid w:val="21781212"/>
    <w:rsid w:val="21A75BB7"/>
    <w:rsid w:val="21B83F86"/>
    <w:rsid w:val="21BD41DB"/>
    <w:rsid w:val="221178A8"/>
    <w:rsid w:val="221213CF"/>
    <w:rsid w:val="22327A92"/>
    <w:rsid w:val="227D4DF4"/>
    <w:rsid w:val="228C7672"/>
    <w:rsid w:val="231D53A2"/>
    <w:rsid w:val="236D5383"/>
    <w:rsid w:val="23B7504C"/>
    <w:rsid w:val="23BA5744"/>
    <w:rsid w:val="23EB61A9"/>
    <w:rsid w:val="24484D0F"/>
    <w:rsid w:val="24571307"/>
    <w:rsid w:val="24B149DB"/>
    <w:rsid w:val="24EA5A89"/>
    <w:rsid w:val="24FB1080"/>
    <w:rsid w:val="25110A2A"/>
    <w:rsid w:val="256C0944"/>
    <w:rsid w:val="25DE70EB"/>
    <w:rsid w:val="2602467A"/>
    <w:rsid w:val="26125040"/>
    <w:rsid w:val="26446DE3"/>
    <w:rsid w:val="26877DFE"/>
    <w:rsid w:val="269669E7"/>
    <w:rsid w:val="26A270C1"/>
    <w:rsid w:val="26D7699F"/>
    <w:rsid w:val="270409FF"/>
    <w:rsid w:val="27514182"/>
    <w:rsid w:val="27586C8C"/>
    <w:rsid w:val="27A7749C"/>
    <w:rsid w:val="284B4155"/>
    <w:rsid w:val="29BF7B8B"/>
    <w:rsid w:val="29D75F7F"/>
    <w:rsid w:val="2A7932A2"/>
    <w:rsid w:val="2ABA6379"/>
    <w:rsid w:val="2AE273B5"/>
    <w:rsid w:val="2B185AC8"/>
    <w:rsid w:val="2B774624"/>
    <w:rsid w:val="2C326B2E"/>
    <w:rsid w:val="2C4C78E5"/>
    <w:rsid w:val="2C7A72BE"/>
    <w:rsid w:val="2C9A7D75"/>
    <w:rsid w:val="2CC17412"/>
    <w:rsid w:val="2D1D5A3E"/>
    <w:rsid w:val="2D7C1E99"/>
    <w:rsid w:val="2E953665"/>
    <w:rsid w:val="2E9976CE"/>
    <w:rsid w:val="2EDA456E"/>
    <w:rsid w:val="2EF01DEE"/>
    <w:rsid w:val="2F401D3C"/>
    <w:rsid w:val="2F5B24E1"/>
    <w:rsid w:val="2FA95C88"/>
    <w:rsid w:val="30182A89"/>
    <w:rsid w:val="302A3A0A"/>
    <w:rsid w:val="3041370F"/>
    <w:rsid w:val="30B87FED"/>
    <w:rsid w:val="312B50A3"/>
    <w:rsid w:val="31486EE9"/>
    <w:rsid w:val="315B522B"/>
    <w:rsid w:val="31894FD2"/>
    <w:rsid w:val="318F1FBE"/>
    <w:rsid w:val="32453A27"/>
    <w:rsid w:val="3263064A"/>
    <w:rsid w:val="32770F75"/>
    <w:rsid w:val="32A43132"/>
    <w:rsid w:val="32AC0C06"/>
    <w:rsid w:val="33201DA5"/>
    <w:rsid w:val="33344EF5"/>
    <w:rsid w:val="3383610E"/>
    <w:rsid w:val="340F5638"/>
    <w:rsid w:val="3537750C"/>
    <w:rsid w:val="3537798C"/>
    <w:rsid w:val="35C13FC9"/>
    <w:rsid w:val="35F66EA4"/>
    <w:rsid w:val="36310181"/>
    <w:rsid w:val="36372B05"/>
    <w:rsid w:val="364257B6"/>
    <w:rsid w:val="37290267"/>
    <w:rsid w:val="37EA5922"/>
    <w:rsid w:val="38276B93"/>
    <w:rsid w:val="382E58B8"/>
    <w:rsid w:val="384E5AB2"/>
    <w:rsid w:val="38AC3431"/>
    <w:rsid w:val="39087C97"/>
    <w:rsid w:val="392F2E16"/>
    <w:rsid w:val="39886A38"/>
    <w:rsid w:val="399A69DA"/>
    <w:rsid w:val="39E00529"/>
    <w:rsid w:val="3A0B64A7"/>
    <w:rsid w:val="3A574DDA"/>
    <w:rsid w:val="3A643DBF"/>
    <w:rsid w:val="3AD3075A"/>
    <w:rsid w:val="3AF74C02"/>
    <w:rsid w:val="3BF33702"/>
    <w:rsid w:val="3C0059A5"/>
    <w:rsid w:val="3C134E78"/>
    <w:rsid w:val="3C5C7C56"/>
    <w:rsid w:val="3D024FE4"/>
    <w:rsid w:val="3D3A25CA"/>
    <w:rsid w:val="3DCB38CE"/>
    <w:rsid w:val="3DE02603"/>
    <w:rsid w:val="3DE26608"/>
    <w:rsid w:val="3DF6345D"/>
    <w:rsid w:val="3E2B5515"/>
    <w:rsid w:val="3E445E69"/>
    <w:rsid w:val="3E4D4F28"/>
    <w:rsid w:val="3EA437F3"/>
    <w:rsid w:val="3ED92EC4"/>
    <w:rsid w:val="3EE13701"/>
    <w:rsid w:val="3EFC6DB2"/>
    <w:rsid w:val="3F1A4BB3"/>
    <w:rsid w:val="3F797AD9"/>
    <w:rsid w:val="3FF65CE6"/>
    <w:rsid w:val="40192BA6"/>
    <w:rsid w:val="41614CC1"/>
    <w:rsid w:val="41766EA9"/>
    <w:rsid w:val="423367A1"/>
    <w:rsid w:val="42550A18"/>
    <w:rsid w:val="429B0BD7"/>
    <w:rsid w:val="429D496A"/>
    <w:rsid w:val="42F473A1"/>
    <w:rsid w:val="431324CB"/>
    <w:rsid w:val="433C73FD"/>
    <w:rsid w:val="437217EA"/>
    <w:rsid w:val="43974077"/>
    <w:rsid w:val="43AB7156"/>
    <w:rsid w:val="441E62C0"/>
    <w:rsid w:val="45094B59"/>
    <w:rsid w:val="450A4D4D"/>
    <w:rsid w:val="452F6EE8"/>
    <w:rsid w:val="45325D14"/>
    <w:rsid w:val="453D13BE"/>
    <w:rsid w:val="45413006"/>
    <w:rsid w:val="455707A9"/>
    <w:rsid w:val="45622D3C"/>
    <w:rsid w:val="45751EAF"/>
    <w:rsid w:val="457B3D2C"/>
    <w:rsid w:val="45811C7C"/>
    <w:rsid w:val="45906116"/>
    <w:rsid w:val="45931B8C"/>
    <w:rsid w:val="459C087E"/>
    <w:rsid w:val="45EF2552"/>
    <w:rsid w:val="46640BA8"/>
    <w:rsid w:val="468B3EFB"/>
    <w:rsid w:val="46E1680A"/>
    <w:rsid w:val="470A6193"/>
    <w:rsid w:val="47385210"/>
    <w:rsid w:val="47395927"/>
    <w:rsid w:val="475510F8"/>
    <w:rsid w:val="47C07070"/>
    <w:rsid w:val="47D54D38"/>
    <w:rsid w:val="47DC4F5C"/>
    <w:rsid w:val="48B40671"/>
    <w:rsid w:val="49205F7F"/>
    <w:rsid w:val="499B5738"/>
    <w:rsid w:val="499F244D"/>
    <w:rsid w:val="49A9693B"/>
    <w:rsid w:val="4A63530A"/>
    <w:rsid w:val="4A973F3F"/>
    <w:rsid w:val="4ACB4D84"/>
    <w:rsid w:val="4AF96BC7"/>
    <w:rsid w:val="4B0D0CEC"/>
    <w:rsid w:val="4B1916B1"/>
    <w:rsid w:val="4B24669A"/>
    <w:rsid w:val="4B862A85"/>
    <w:rsid w:val="4B8C33A1"/>
    <w:rsid w:val="4C5F40FE"/>
    <w:rsid w:val="4CA878C4"/>
    <w:rsid w:val="4CEF36E2"/>
    <w:rsid w:val="4CEF4DC5"/>
    <w:rsid w:val="4D2D3ED6"/>
    <w:rsid w:val="4D73058E"/>
    <w:rsid w:val="4D7A7B6F"/>
    <w:rsid w:val="4E1A20D7"/>
    <w:rsid w:val="4E257655"/>
    <w:rsid w:val="4EB34830"/>
    <w:rsid w:val="4F372380"/>
    <w:rsid w:val="4F372FFB"/>
    <w:rsid w:val="4F474815"/>
    <w:rsid w:val="4F871DAE"/>
    <w:rsid w:val="50206D62"/>
    <w:rsid w:val="5025116D"/>
    <w:rsid w:val="505408CC"/>
    <w:rsid w:val="50550B27"/>
    <w:rsid w:val="50DE0F6D"/>
    <w:rsid w:val="51B84A51"/>
    <w:rsid w:val="52395ECD"/>
    <w:rsid w:val="52C10D75"/>
    <w:rsid w:val="52EC2C4F"/>
    <w:rsid w:val="53C27FF8"/>
    <w:rsid w:val="541746D3"/>
    <w:rsid w:val="548041E2"/>
    <w:rsid w:val="54806794"/>
    <w:rsid w:val="549E1A80"/>
    <w:rsid w:val="54C658F4"/>
    <w:rsid w:val="54C92704"/>
    <w:rsid w:val="550C4BD7"/>
    <w:rsid w:val="554C1D56"/>
    <w:rsid w:val="55572986"/>
    <w:rsid w:val="555D26AF"/>
    <w:rsid w:val="55656217"/>
    <w:rsid w:val="55806920"/>
    <w:rsid w:val="565340FA"/>
    <w:rsid w:val="56AD5F59"/>
    <w:rsid w:val="56C60774"/>
    <w:rsid w:val="56E3631B"/>
    <w:rsid w:val="57486711"/>
    <w:rsid w:val="57B12A52"/>
    <w:rsid w:val="580A39A0"/>
    <w:rsid w:val="58313FB6"/>
    <w:rsid w:val="5858427A"/>
    <w:rsid w:val="58D64A28"/>
    <w:rsid w:val="59425364"/>
    <w:rsid w:val="59444D7C"/>
    <w:rsid w:val="594F05A5"/>
    <w:rsid w:val="595128D6"/>
    <w:rsid w:val="5A2F2CC8"/>
    <w:rsid w:val="5A663955"/>
    <w:rsid w:val="5AA77AC9"/>
    <w:rsid w:val="5AE51395"/>
    <w:rsid w:val="5B1A676E"/>
    <w:rsid w:val="5B596DE8"/>
    <w:rsid w:val="5B8836FB"/>
    <w:rsid w:val="5BE6357C"/>
    <w:rsid w:val="5C10702D"/>
    <w:rsid w:val="5C152601"/>
    <w:rsid w:val="5C4C2264"/>
    <w:rsid w:val="5C591F03"/>
    <w:rsid w:val="5C8A1B2F"/>
    <w:rsid w:val="5C924741"/>
    <w:rsid w:val="5D864083"/>
    <w:rsid w:val="5E2B162C"/>
    <w:rsid w:val="5E7F524D"/>
    <w:rsid w:val="5E8C073E"/>
    <w:rsid w:val="5EB14206"/>
    <w:rsid w:val="5F385194"/>
    <w:rsid w:val="5F3F0D2F"/>
    <w:rsid w:val="5F561B72"/>
    <w:rsid w:val="606007BB"/>
    <w:rsid w:val="60AC7F66"/>
    <w:rsid w:val="60DA3FB5"/>
    <w:rsid w:val="61BF10D9"/>
    <w:rsid w:val="625A5414"/>
    <w:rsid w:val="625C3C13"/>
    <w:rsid w:val="62AC22DC"/>
    <w:rsid w:val="62F86FD5"/>
    <w:rsid w:val="6303755C"/>
    <w:rsid w:val="6375365C"/>
    <w:rsid w:val="63A22BFD"/>
    <w:rsid w:val="64E45EF7"/>
    <w:rsid w:val="65137C9C"/>
    <w:rsid w:val="65234D8A"/>
    <w:rsid w:val="659B319B"/>
    <w:rsid w:val="65A253EE"/>
    <w:rsid w:val="65C45688"/>
    <w:rsid w:val="6691014E"/>
    <w:rsid w:val="66C87CCE"/>
    <w:rsid w:val="66D26A77"/>
    <w:rsid w:val="6708598A"/>
    <w:rsid w:val="670B76C5"/>
    <w:rsid w:val="671C666D"/>
    <w:rsid w:val="67384EA6"/>
    <w:rsid w:val="677435B2"/>
    <w:rsid w:val="67E548C1"/>
    <w:rsid w:val="67EF75F1"/>
    <w:rsid w:val="683B434D"/>
    <w:rsid w:val="684F4F11"/>
    <w:rsid w:val="687A7D07"/>
    <w:rsid w:val="69124F16"/>
    <w:rsid w:val="69481BB6"/>
    <w:rsid w:val="69737C6F"/>
    <w:rsid w:val="69CD5C14"/>
    <w:rsid w:val="69CF0D33"/>
    <w:rsid w:val="6AB966A8"/>
    <w:rsid w:val="6B0845B4"/>
    <w:rsid w:val="6B1317C0"/>
    <w:rsid w:val="6B20695E"/>
    <w:rsid w:val="6B9946B3"/>
    <w:rsid w:val="6BE518DA"/>
    <w:rsid w:val="6C276F3A"/>
    <w:rsid w:val="6C7007C7"/>
    <w:rsid w:val="6C8D2840"/>
    <w:rsid w:val="6CE472D5"/>
    <w:rsid w:val="6CEC39FF"/>
    <w:rsid w:val="6D14399E"/>
    <w:rsid w:val="6DE76850"/>
    <w:rsid w:val="6E2D2E36"/>
    <w:rsid w:val="6E7F017C"/>
    <w:rsid w:val="6EC56CC7"/>
    <w:rsid w:val="6FB20BD4"/>
    <w:rsid w:val="6FBA59BE"/>
    <w:rsid w:val="6FC71E08"/>
    <w:rsid w:val="70220040"/>
    <w:rsid w:val="70296B3E"/>
    <w:rsid w:val="70454174"/>
    <w:rsid w:val="70611204"/>
    <w:rsid w:val="70954546"/>
    <w:rsid w:val="709D579F"/>
    <w:rsid w:val="70BA6916"/>
    <w:rsid w:val="70E7097F"/>
    <w:rsid w:val="7165620F"/>
    <w:rsid w:val="717039F8"/>
    <w:rsid w:val="71E847F7"/>
    <w:rsid w:val="72E51112"/>
    <w:rsid w:val="734A1857"/>
    <w:rsid w:val="73C52D0D"/>
    <w:rsid w:val="7456013E"/>
    <w:rsid w:val="74843CE5"/>
    <w:rsid w:val="74A65081"/>
    <w:rsid w:val="74D13AD5"/>
    <w:rsid w:val="74EE65C9"/>
    <w:rsid w:val="74FA2C30"/>
    <w:rsid w:val="7517160E"/>
    <w:rsid w:val="754D5C4B"/>
    <w:rsid w:val="758C1F4C"/>
    <w:rsid w:val="759C224A"/>
    <w:rsid w:val="75B574B1"/>
    <w:rsid w:val="765E373E"/>
    <w:rsid w:val="76C240A7"/>
    <w:rsid w:val="76DA416A"/>
    <w:rsid w:val="77200E71"/>
    <w:rsid w:val="77252D09"/>
    <w:rsid w:val="773635C2"/>
    <w:rsid w:val="775246B7"/>
    <w:rsid w:val="77FA6220"/>
    <w:rsid w:val="781E69D1"/>
    <w:rsid w:val="78630FEE"/>
    <w:rsid w:val="7901747F"/>
    <w:rsid w:val="79107E1B"/>
    <w:rsid w:val="798D24A0"/>
    <w:rsid w:val="79C331B5"/>
    <w:rsid w:val="79FC42F4"/>
    <w:rsid w:val="7A194398"/>
    <w:rsid w:val="7A263B6B"/>
    <w:rsid w:val="7AF42D09"/>
    <w:rsid w:val="7AF46346"/>
    <w:rsid w:val="7B0F5EBF"/>
    <w:rsid w:val="7B130FB9"/>
    <w:rsid w:val="7B7862BD"/>
    <w:rsid w:val="7BBC41AB"/>
    <w:rsid w:val="7BD71E38"/>
    <w:rsid w:val="7BE51CB9"/>
    <w:rsid w:val="7BF64EDE"/>
    <w:rsid w:val="7C0F19A9"/>
    <w:rsid w:val="7C400C1E"/>
    <w:rsid w:val="7D092EA1"/>
    <w:rsid w:val="7D4B12F6"/>
    <w:rsid w:val="7DD11708"/>
    <w:rsid w:val="7DEE4A4F"/>
    <w:rsid w:val="7DF85511"/>
    <w:rsid w:val="7E3B0572"/>
    <w:rsid w:val="7E4C34C4"/>
    <w:rsid w:val="7EA1529F"/>
    <w:rsid w:val="7EAE6230"/>
    <w:rsid w:val="7EBD579E"/>
    <w:rsid w:val="7EC167BD"/>
    <w:rsid w:val="7F272D9E"/>
    <w:rsid w:val="7FCB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5"/>
    <w:basedOn w:val="1"/>
    <w:next w:val="9"/>
    <w:link w:val="39"/>
    <w:qFormat/>
    <w:uiPriority w:val="9"/>
    <w:pPr>
      <w:keepNext/>
      <w:keepLines/>
      <w:spacing w:before="280" w:after="290" w:line="376" w:lineRule="auto"/>
      <w:outlineLvl w:val="4"/>
    </w:pPr>
    <w:rPr>
      <w:b/>
      <w:bCs/>
      <w:sz w:val="28"/>
      <w:szCs w:val="28"/>
    </w:rPr>
  </w:style>
  <w:style w:type="paragraph" w:styleId="10">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0"/>
    <w:pPr>
      <w:spacing w:after="120"/>
    </w:pPr>
  </w:style>
  <w:style w:type="paragraph" w:styleId="3">
    <w:name w:val="Body Text First Indent 2"/>
    <w:basedOn w:val="4"/>
    <w:link w:val="49"/>
    <w:unhideWhenUsed/>
    <w:qFormat/>
    <w:uiPriority w:val="99"/>
    <w:pPr>
      <w:spacing w:after="120"/>
      <w:ind w:left="420" w:leftChars="200" w:firstLine="420" w:firstLineChars="200"/>
    </w:pPr>
    <w:rPr>
      <w:kern w:val="2"/>
      <w:sz w:val="21"/>
      <w:szCs w:val="24"/>
    </w:rPr>
  </w:style>
  <w:style w:type="paragraph" w:styleId="4">
    <w:name w:val="Body Text Indent"/>
    <w:basedOn w:val="1"/>
    <w:link w:val="43"/>
    <w:qFormat/>
    <w:uiPriority w:val="0"/>
    <w:pPr>
      <w:ind w:firstLine="830" w:firstLineChars="352"/>
    </w:pPr>
    <w:rPr>
      <w:rFonts w:ascii="仿宋_GB2312" w:eastAsia="仿宋_GB2312"/>
      <w:kern w:val="0"/>
      <w:sz w:val="32"/>
      <w:szCs w:val="20"/>
    </w:rPr>
  </w:style>
  <w:style w:type="paragraph" w:styleId="9">
    <w:name w:val="Normal Indent"/>
    <w:basedOn w:val="1"/>
    <w:next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35"/>
    <w:pPr>
      <w:widowControl/>
      <w:spacing w:line="360" w:lineRule="auto"/>
      <w:jc w:val="center"/>
    </w:pPr>
    <w:rPr>
      <w:rFonts w:ascii="宋体" w:hAnsi="宋体" w:eastAsia="黑体" w:cs="宋体"/>
      <w:kern w:val="0"/>
      <w:sz w:val="24"/>
    </w:rPr>
  </w:style>
  <w:style w:type="paragraph" w:styleId="13">
    <w:name w:val="List Bullet"/>
    <w:basedOn w:val="1"/>
    <w:qFormat/>
    <w:uiPriority w:val="0"/>
    <w:pPr>
      <w:tabs>
        <w:tab w:val="left" w:pos="360"/>
      </w:tabs>
      <w:ind w:left="360" w:hanging="360" w:hangingChars="200"/>
    </w:pPr>
  </w:style>
  <w:style w:type="paragraph" w:styleId="14">
    <w:name w:val="annotation text"/>
    <w:basedOn w:val="1"/>
    <w:link w:val="41"/>
    <w:qFormat/>
    <w:uiPriority w:val="0"/>
    <w:pPr>
      <w:jc w:val="left"/>
    </w:pPr>
  </w:style>
  <w:style w:type="paragraph" w:styleId="15">
    <w:name w:val="Body Text 3"/>
    <w:basedOn w:val="1"/>
    <w:link w:val="42"/>
    <w:unhideWhenUsed/>
    <w:qFormat/>
    <w:uiPriority w:val="99"/>
    <w:pPr>
      <w:spacing w:after="120"/>
    </w:pPr>
    <w:rPr>
      <w:sz w:val="16"/>
      <w:szCs w:val="16"/>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semiHidden/>
    <w:unhideWhenUsed/>
    <w:qFormat/>
    <w:uiPriority w:val="39"/>
    <w:pPr>
      <w:ind w:left="840" w:leftChars="400"/>
    </w:pPr>
  </w:style>
  <w:style w:type="paragraph" w:styleId="18">
    <w:name w:val="Plain Text"/>
    <w:basedOn w:val="1"/>
    <w:link w:val="44"/>
    <w:qFormat/>
    <w:uiPriority w:val="0"/>
    <w:rPr>
      <w:rFonts w:ascii="宋体" w:hAnsi="Courier New"/>
      <w:kern w:val="0"/>
      <w:sz w:val="20"/>
      <w:szCs w:val="21"/>
    </w:rPr>
  </w:style>
  <w:style w:type="paragraph" w:styleId="19">
    <w:name w:val="Date"/>
    <w:basedOn w:val="1"/>
    <w:next w:val="1"/>
    <w:link w:val="45"/>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kern w:val="0"/>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4"/>
    <w:next w:val="14"/>
    <w:link w:val="48"/>
    <w:qFormat/>
    <w:uiPriority w:val="99"/>
    <w:rPr>
      <w:b/>
      <w:bCs/>
    </w:rPr>
  </w:style>
  <w:style w:type="paragraph" w:styleId="27">
    <w:name w:val="Body Text First Indent"/>
    <w:basedOn w:val="2"/>
    <w:qFormat/>
    <w:uiPriority w:val="0"/>
    <w:pPr>
      <w:ind w:firstLine="420" w:firstLineChars="1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正文文本 Char1"/>
    <w:link w:val="2"/>
    <w:qFormat/>
    <w:uiPriority w:val="0"/>
    <w:rPr>
      <w:rFonts w:ascii="Times New Roman" w:hAnsi="Times New Roman"/>
      <w:kern w:val="2"/>
      <w:sz w:val="21"/>
      <w:szCs w:val="24"/>
    </w:rPr>
  </w:style>
  <w:style w:type="character" w:customStyle="1" w:styleId="36">
    <w:name w:val="标题 1 Char"/>
    <w:link w:val="5"/>
    <w:qFormat/>
    <w:uiPriority w:val="9"/>
    <w:rPr>
      <w:b/>
      <w:bCs/>
      <w:kern w:val="44"/>
      <w:sz w:val="44"/>
      <w:szCs w:val="44"/>
    </w:rPr>
  </w:style>
  <w:style w:type="character" w:customStyle="1" w:styleId="37">
    <w:name w:val="标题 2 Char1"/>
    <w:link w:val="6"/>
    <w:qFormat/>
    <w:uiPriority w:val="9"/>
    <w:rPr>
      <w:rFonts w:ascii="Cambria" w:hAnsi="Cambria" w:eastAsia="宋体" w:cs="Times New Roman"/>
      <w:b/>
      <w:bCs/>
      <w:kern w:val="2"/>
      <w:sz w:val="32"/>
      <w:szCs w:val="32"/>
    </w:rPr>
  </w:style>
  <w:style w:type="character" w:customStyle="1" w:styleId="38">
    <w:name w:val="标题 3 Char"/>
    <w:link w:val="7"/>
    <w:qFormat/>
    <w:uiPriority w:val="99"/>
    <w:rPr>
      <w:b/>
      <w:bCs/>
      <w:kern w:val="2"/>
      <w:sz w:val="32"/>
      <w:szCs w:val="32"/>
    </w:rPr>
  </w:style>
  <w:style w:type="character" w:customStyle="1" w:styleId="39">
    <w:name w:val="标题 5 Char"/>
    <w:link w:val="8"/>
    <w:semiHidden/>
    <w:qFormat/>
    <w:uiPriority w:val="9"/>
    <w:rPr>
      <w:rFonts w:ascii="Times New Roman" w:hAnsi="Times New Roman"/>
      <w:b/>
      <w:bCs/>
      <w:kern w:val="2"/>
      <w:sz w:val="28"/>
      <w:szCs w:val="28"/>
    </w:rPr>
  </w:style>
  <w:style w:type="character" w:customStyle="1" w:styleId="40">
    <w:name w:val="标题 8 Char1"/>
    <w:link w:val="10"/>
    <w:semiHidden/>
    <w:qFormat/>
    <w:uiPriority w:val="9"/>
    <w:rPr>
      <w:rFonts w:ascii="等线 Light" w:hAnsi="等线 Light" w:eastAsia="等线 Light" w:cs="Times New Roman"/>
      <w:kern w:val="2"/>
      <w:sz w:val="24"/>
      <w:szCs w:val="24"/>
    </w:rPr>
  </w:style>
  <w:style w:type="character" w:customStyle="1" w:styleId="41">
    <w:name w:val="批注文字 Char1"/>
    <w:link w:val="14"/>
    <w:qFormat/>
    <w:uiPriority w:val="0"/>
    <w:rPr>
      <w:rFonts w:ascii="Times New Roman" w:hAnsi="Times New Roman"/>
      <w:kern w:val="2"/>
      <w:sz w:val="21"/>
      <w:szCs w:val="24"/>
    </w:rPr>
  </w:style>
  <w:style w:type="character" w:customStyle="1" w:styleId="42">
    <w:name w:val="正文文本 3 Char"/>
    <w:link w:val="15"/>
    <w:semiHidden/>
    <w:qFormat/>
    <w:uiPriority w:val="99"/>
    <w:rPr>
      <w:kern w:val="2"/>
      <w:sz w:val="16"/>
      <w:szCs w:val="16"/>
    </w:rPr>
  </w:style>
  <w:style w:type="character" w:customStyle="1" w:styleId="43">
    <w:name w:val="正文文本缩进 Char"/>
    <w:link w:val="4"/>
    <w:qFormat/>
    <w:uiPriority w:val="0"/>
    <w:rPr>
      <w:rFonts w:ascii="仿宋_GB2312" w:hAnsi="Times New Roman" w:eastAsia="仿宋_GB2312" w:cs="Times New Roman"/>
      <w:sz w:val="32"/>
      <w:szCs w:val="20"/>
    </w:rPr>
  </w:style>
  <w:style w:type="character" w:customStyle="1" w:styleId="44">
    <w:name w:val="纯文本 Char1"/>
    <w:link w:val="18"/>
    <w:qFormat/>
    <w:uiPriority w:val="0"/>
    <w:rPr>
      <w:rFonts w:ascii="宋体" w:hAnsi="Courier New" w:eastAsia="宋体" w:cs="Courier New"/>
      <w:szCs w:val="21"/>
    </w:rPr>
  </w:style>
  <w:style w:type="character" w:customStyle="1" w:styleId="45">
    <w:name w:val="日期 Char"/>
    <w:link w:val="19"/>
    <w:semiHidden/>
    <w:qFormat/>
    <w:uiPriority w:val="99"/>
    <w:rPr>
      <w:rFonts w:ascii="Times New Roman" w:hAnsi="Times New Roman"/>
      <w:kern w:val="2"/>
      <w:sz w:val="21"/>
      <w:szCs w:val="24"/>
    </w:rPr>
  </w:style>
  <w:style w:type="character" w:customStyle="1" w:styleId="46">
    <w:name w:val="页脚 Char"/>
    <w:link w:val="21"/>
    <w:qFormat/>
    <w:uiPriority w:val="99"/>
    <w:rPr>
      <w:sz w:val="18"/>
      <w:szCs w:val="18"/>
    </w:rPr>
  </w:style>
  <w:style w:type="character" w:customStyle="1" w:styleId="47">
    <w:name w:val="页眉 Char"/>
    <w:link w:val="22"/>
    <w:qFormat/>
    <w:uiPriority w:val="99"/>
    <w:rPr>
      <w:sz w:val="18"/>
      <w:szCs w:val="18"/>
    </w:rPr>
  </w:style>
  <w:style w:type="character" w:customStyle="1" w:styleId="48">
    <w:name w:val="批注主题 Char"/>
    <w:link w:val="26"/>
    <w:qFormat/>
    <w:uiPriority w:val="99"/>
    <w:rPr>
      <w:rFonts w:ascii="Times New Roman" w:hAnsi="Times New Roman"/>
      <w:b/>
      <w:bCs/>
      <w:kern w:val="2"/>
      <w:sz w:val="21"/>
      <w:szCs w:val="24"/>
    </w:rPr>
  </w:style>
  <w:style w:type="character" w:customStyle="1" w:styleId="49">
    <w:name w:val="正文首行缩进 2 Char"/>
    <w:link w:val="3"/>
    <w:qFormat/>
    <w:uiPriority w:val="99"/>
    <w:rPr>
      <w:rFonts w:ascii="仿宋_GB2312" w:hAnsi="Times New Roman" w:eastAsia="仿宋_GB2312" w:cs="Times New Roman"/>
      <w:kern w:val="2"/>
      <w:sz w:val="21"/>
      <w:szCs w:val="24"/>
    </w:rPr>
  </w:style>
  <w:style w:type="character" w:customStyle="1" w:styleId="50">
    <w:name w:val="apple-style-span"/>
    <w:qFormat/>
    <w:uiPriority w:val="0"/>
  </w:style>
  <w:style w:type="character" w:customStyle="1" w:styleId="51">
    <w:name w:val="font101"/>
    <w:qFormat/>
    <w:uiPriority w:val="0"/>
    <w:rPr>
      <w:rFonts w:hint="eastAsia" w:ascii="宋体" w:hAnsi="宋体" w:eastAsia="宋体"/>
      <w:color w:val="000000"/>
      <w:sz w:val="20"/>
      <w:szCs w:val="20"/>
      <w:u w:val="none"/>
      <w:vertAlign w:val="superscript"/>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纯文本 字符"/>
    <w:qFormat/>
    <w:uiPriority w:val="0"/>
    <w:rPr>
      <w:rFonts w:ascii="宋体" w:hAnsi="Courier New" w:eastAsia="宋体" w:cs="Courier New"/>
      <w:szCs w:val="21"/>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批注文字 Char2"/>
    <w:qFormat/>
    <w:uiPriority w:val="0"/>
    <w:rPr>
      <w:rFonts w:ascii="Times New Roman" w:hAnsi="Times New Roman"/>
      <w:kern w:val="2"/>
      <w:sz w:val="21"/>
      <w:szCs w:val="24"/>
    </w:rPr>
  </w:style>
  <w:style w:type="character" w:customStyle="1" w:styleId="56">
    <w:name w:val="font132"/>
    <w:qFormat/>
    <w:uiPriority w:val="0"/>
    <w:rPr>
      <w:rFonts w:hint="eastAsia" w:ascii="宋体" w:hAnsi="宋体" w:eastAsia="宋体" w:cs="宋体"/>
      <w:color w:val="000000"/>
      <w:sz w:val="28"/>
      <w:szCs w:val="28"/>
      <w:u w:val="none"/>
    </w:rPr>
  </w:style>
  <w:style w:type="character" w:customStyle="1" w:styleId="57">
    <w:name w:val="font71"/>
    <w:qFormat/>
    <w:uiPriority w:val="0"/>
    <w:rPr>
      <w:rFonts w:hint="eastAsia" w:ascii="宋体" w:hAnsi="宋体" w:eastAsia="宋体"/>
      <w:color w:val="000000"/>
      <w:sz w:val="20"/>
      <w:szCs w:val="20"/>
      <w:u w:val="none"/>
    </w:rPr>
  </w:style>
  <w:style w:type="character" w:customStyle="1" w:styleId="58">
    <w:name w:val="纯文本 Char"/>
    <w:qFormat/>
    <w:uiPriority w:val="0"/>
    <w:rPr>
      <w:rFonts w:ascii="宋体" w:hAnsi="Courier New" w:eastAsia="宋体" w:cs="Courier New"/>
      <w:szCs w:val="21"/>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1 字符1"/>
    <w:qFormat/>
    <w:uiPriority w:val="0"/>
    <w:rPr>
      <w:b/>
      <w:bCs/>
      <w:kern w:val="44"/>
      <w:sz w:val="44"/>
      <w:szCs w:val="44"/>
    </w:rPr>
  </w:style>
  <w:style w:type="character" w:customStyle="1" w:styleId="61">
    <w:name w:val="正文文本 Char"/>
    <w:qFormat/>
    <w:uiPriority w:val="0"/>
    <w:rPr>
      <w:rFonts w:ascii="Times New Roman" w:hAnsi="Times New Roman"/>
      <w:kern w:val="2"/>
      <w:sz w:val="21"/>
      <w:szCs w:val="2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textcontents"/>
    <w:qFormat/>
    <w:uiPriority w:val="0"/>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font131"/>
    <w:qFormat/>
    <w:uiPriority w:val="0"/>
    <w:rPr>
      <w:rFonts w:hint="eastAsia" w:ascii="宋体" w:hAnsi="宋体" w:eastAsia="宋体" w:cs="宋体"/>
      <w:color w:val="000000"/>
      <w:sz w:val="28"/>
      <w:szCs w:val="28"/>
      <w:u w:val="none"/>
    </w:rPr>
  </w:style>
  <w:style w:type="character" w:customStyle="1" w:styleId="69">
    <w:name w:val="批注文字 Char"/>
    <w:qFormat/>
    <w:uiPriority w:val="0"/>
    <w:rPr>
      <w:rFonts w:ascii="Times New Roman" w:hAnsi="Times New Roman"/>
      <w:kern w:val="2"/>
      <w:sz w:val="21"/>
      <w:szCs w:val="24"/>
    </w:rPr>
  </w:style>
  <w:style w:type="character" w:customStyle="1" w:styleId="70">
    <w:name w:val="纯文本 字符1"/>
    <w:qFormat/>
    <w:uiPriority w:val="0"/>
    <w:rPr>
      <w:rFonts w:ascii="宋体" w:hAnsi="Courier New"/>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纯文本 字符2"/>
    <w:qFormat/>
    <w:uiPriority w:val="0"/>
    <w:rPr>
      <w:rFonts w:ascii="宋体" w:hAnsi="Courier New" w:eastAsia="宋体" w:cs="Courier New"/>
      <w:szCs w:val="21"/>
    </w:rPr>
  </w:style>
  <w:style w:type="character" w:customStyle="1" w:styleId="73">
    <w:name w:val="font12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4"/>
      <w:szCs w:val="24"/>
      <w:u w:val="none"/>
    </w:rPr>
  </w:style>
  <w:style w:type="character" w:customStyle="1" w:styleId="76">
    <w:name w:val="font51"/>
    <w:qFormat/>
    <w:uiPriority w:val="0"/>
    <w:rPr>
      <w:rFonts w:hint="eastAsia" w:ascii="宋体" w:hAnsi="宋体" w:eastAsia="宋体"/>
      <w:color w:val="000000"/>
      <w:sz w:val="24"/>
      <w:szCs w:val="24"/>
      <w:u w:val="none"/>
    </w:rPr>
  </w:style>
  <w:style w:type="character" w:customStyle="1" w:styleId="77">
    <w:name w:val="font61"/>
    <w:qFormat/>
    <w:uiPriority w:val="0"/>
    <w:rPr>
      <w:rFonts w:hint="eastAsia" w:ascii="宋体" w:hAnsi="宋体" w:eastAsia="宋体" w:cs="宋体"/>
      <w:b/>
      <w:bCs/>
      <w:color w:val="000000"/>
      <w:sz w:val="24"/>
      <w:szCs w:val="24"/>
      <w:u w:val="none"/>
    </w:rPr>
  </w:style>
  <w:style w:type="character" w:customStyle="1" w:styleId="78">
    <w:name w:val="font41"/>
    <w:qFormat/>
    <w:uiPriority w:val="0"/>
    <w:rPr>
      <w:rFonts w:ascii="宋体" w:hAnsi="宋体" w:eastAsia="宋体" w:cs="宋体"/>
      <w:b/>
      <w:bCs/>
      <w:color w:val="000000"/>
      <w:sz w:val="20"/>
      <w:szCs w:val="20"/>
      <w:u w:val="none"/>
    </w:rPr>
  </w:style>
  <w:style w:type="character" w:customStyle="1" w:styleId="79">
    <w:name w:val="样式 宋体 三号"/>
    <w:qFormat/>
    <w:uiPriority w:val="0"/>
    <w:rPr>
      <w:rFonts w:hint="eastAsia" w:ascii="宋体" w:hAnsi="宋体" w:eastAsia="宋体" w:cs="Times New Roman"/>
      <w:sz w:val="30"/>
    </w:r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styleId="82">
    <w:name w:val="List Paragraph"/>
    <w:basedOn w:val="1"/>
    <w:qFormat/>
    <w:uiPriority w:val="34"/>
    <w:pPr>
      <w:ind w:firstLine="420" w:firstLineChars="200"/>
    </w:p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115"/>
    <w:basedOn w:val="1"/>
    <w:qFormat/>
    <w:uiPriority w:val="0"/>
    <w:pPr>
      <w:jc w:val="left"/>
    </w:pPr>
    <w:rPr>
      <w:bCs/>
      <w:spacing w:val="10"/>
      <w:kern w:val="0"/>
      <w:sz w:val="24"/>
    </w:rPr>
  </w:style>
  <w:style w:type="paragraph" w:customStyle="1" w:styleId="85">
    <w:name w:val="p0"/>
    <w:basedOn w:val="1"/>
    <w:qFormat/>
    <w:uiPriority w:val="0"/>
    <w:pPr>
      <w:widowControl/>
    </w:pPr>
    <w:rPr>
      <w:kern w:val="0"/>
      <w:szCs w:val="21"/>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39086</Words>
  <Characters>40881</Characters>
  <Lines>347</Lines>
  <Paragraphs>97</Paragraphs>
  <TotalTime>35</TotalTime>
  <ScaleCrop>false</ScaleCrop>
  <LinksUpToDate>false</LinksUpToDate>
  <CharactersWithSpaces>46699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2025-04-27T07:57:00Z</dcterms:created>
  <dc:creator>唐冰</dc:creator>
  <cp:lastModifiedBy> </cp:lastModifiedBy>
  <cp:lastPrinted>2023-04-14T08:25:00Z</cp:lastPrinted>
  <dcterms:modified xsi:type="dcterms:W3CDTF">2025-04-28T05:40:17Z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1E4C7C591FA942D9B094C5211DAEC63D</vt:lpwstr>
  </property>
  <property fmtid="{D5CDD505-2E9C-101B-9397-08002B2CF9AE}" pid="4" name="KSOTemplateDocerSaveRecord">
    <vt:lpwstr>eyJoZGlkIjoiNzU1OTBiY2VmNmMxMWY2OGVkMWMyYTU1NDAwZjdiZGUiLCJ1c2VySWQiOiI0NjM0OTk2MzcifQ==</vt:lpwstr>
  </property>
</Properties>
</file>