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000F8">
      <w:pPr>
        <w:spacing w:line="360" w:lineRule="auto"/>
        <w:jc w:val="center"/>
        <w:rPr>
          <w:rFonts w:hint="eastAsia" w:ascii="方正小标宋简体" w:hAnsi="宋体" w:eastAsia="方正小标宋简体"/>
          <w:color w:val="auto"/>
          <w:sz w:val="52"/>
          <w:szCs w:val="52"/>
          <w:highlight w:val="none"/>
        </w:rPr>
      </w:pPr>
      <w:bookmarkStart w:id="177" w:name="_GoBack"/>
    </w:p>
    <w:p w14:paraId="30836A10">
      <w:pPr>
        <w:spacing w:line="360" w:lineRule="auto"/>
        <w:jc w:val="center"/>
        <w:rPr>
          <w:rFonts w:hint="eastAsia" w:ascii="方正小标宋简体" w:hAnsi="宋体" w:eastAsia="方正小标宋简体"/>
          <w:color w:val="auto"/>
          <w:sz w:val="52"/>
          <w:szCs w:val="52"/>
          <w:highlight w:val="none"/>
        </w:rPr>
      </w:pPr>
    </w:p>
    <w:p w14:paraId="1049A509">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52E84BAE">
      <w:pPr>
        <w:spacing w:line="360" w:lineRule="auto"/>
        <w:jc w:val="center"/>
        <w:rPr>
          <w:rFonts w:ascii="方正小标宋简体" w:hAnsi="方正小标宋简体" w:eastAsia="方正小标宋简体" w:cs="方正小标宋简体"/>
          <w:b/>
          <w:iCs/>
          <w:color w:val="auto"/>
          <w:sz w:val="44"/>
          <w:szCs w:val="44"/>
          <w:highlight w:val="none"/>
        </w:rPr>
      </w:pPr>
      <w:r>
        <w:rPr>
          <w:rFonts w:hint="eastAsia" w:ascii="仿宋_GB2312" w:hAnsi="宋体" w:eastAsia="仿宋_GB2312"/>
          <w:b/>
          <w:color w:val="auto"/>
          <w:sz w:val="48"/>
          <w:szCs w:val="48"/>
          <w:highlight w:val="none"/>
        </w:rPr>
        <w:t>（服务类政府采购）</w:t>
      </w:r>
    </w:p>
    <w:p w14:paraId="47B0FEC2">
      <w:pPr>
        <w:spacing w:line="360" w:lineRule="auto"/>
        <w:jc w:val="center"/>
        <w:rPr>
          <w:rFonts w:ascii="方正小标宋简体" w:hAnsi="方正小标宋简体" w:eastAsia="方正小标宋简体" w:cs="方正小标宋简体"/>
          <w:b/>
          <w:color w:val="auto"/>
          <w:sz w:val="44"/>
          <w:szCs w:val="44"/>
          <w:highlight w:val="none"/>
        </w:rPr>
      </w:pPr>
    </w:p>
    <w:p w14:paraId="6AF1D3D0">
      <w:pPr>
        <w:snapToGrid w:val="0"/>
        <w:spacing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0ABBF8A8">
      <w:pPr>
        <w:snapToGrid w:val="0"/>
        <w:spacing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w:t>
      </w:r>
      <w:r>
        <w:rPr>
          <w:rFonts w:hint="eastAsia" w:ascii="仿宋_GB2312" w:hAnsi="宋体" w:eastAsia="仿宋_GB2312"/>
          <w:b/>
          <w:color w:val="auto"/>
          <w:sz w:val="48"/>
          <w:szCs w:val="48"/>
          <w:highlight w:val="none"/>
        </w:rPr>
        <w:t>全流程电子化采购-远程异地评标</w:t>
      </w:r>
      <w:r>
        <w:rPr>
          <w:rFonts w:hint="eastAsia" w:ascii="仿宋_GB2312" w:hAnsi="宋体" w:eastAsia="仿宋_GB2312"/>
          <w:b/>
          <w:color w:val="auto"/>
          <w:sz w:val="48"/>
          <w:szCs w:val="48"/>
          <w:highlight w:val="none"/>
        </w:rPr>
        <w:t>）</w:t>
      </w:r>
    </w:p>
    <w:p w14:paraId="011E1D03">
      <w:pPr>
        <w:snapToGrid w:val="0"/>
        <w:spacing w:line="360" w:lineRule="auto"/>
        <w:rPr>
          <w:rFonts w:ascii="仿宋_GB2312" w:hAnsi="宋体" w:eastAsia="仿宋_GB2312"/>
          <w:color w:val="auto"/>
          <w:sz w:val="30"/>
          <w:szCs w:val="72"/>
          <w:highlight w:val="none"/>
        </w:rPr>
      </w:pPr>
    </w:p>
    <w:p w14:paraId="1F3829C1">
      <w:pPr>
        <w:pStyle w:val="16"/>
        <w:snapToGrid w:val="0"/>
        <w:spacing w:line="360" w:lineRule="auto"/>
        <w:jc w:val="center"/>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蒙山县人民法院移动办公办案专用通信租赁服务项目</w:t>
      </w:r>
    </w:p>
    <w:p w14:paraId="43495D12">
      <w:pPr>
        <w:snapToGrid w:val="0"/>
        <w:spacing w:line="360" w:lineRule="auto"/>
        <w:ind w:firstLine="1145" w:firstLineChars="400"/>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WZZC2025-C3-990091-YZLZ</w:t>
      </w:r>
    </w:p>
    <w:p w14:paraId="189C7C15">
      <w:pPr>
        <w:pStyle w:val="16"/>
        <w:snapToGrid w:val="0"/>
        <w:spacing w:line="360" w:lineRule="auto"/>
        <w:ind w:firstLine="1125" w:firstLineChars="393"/>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sz w:val="30"/>
          <w:szCs w:val="30"/>
          <w:highlight w:val="none"/>
          <w:lang w:eastAsia="zh-CN"/>
        </w:rPr>
        <w:t>蒙山县人民法院</w:t>
      </w:r>
    </w:p>
    <w:p w14:paraId="65272DF0">
      <w:pPr>
        <w:pStyle w:val="16"/>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20778F91">
      <w:pPr>
        <w:pStyle w:val="16"/>
        <w:snapToGrid w:val="0"/>
        <w:spacing w:line="360" w:lineRule="auto"/>
        <w:ind w:firstLine="1125" w:firstLineChars="393"/>
        <w:rPr>
          <w:rFonts w:ascii="仿宋_GB2312" w:hAnsi="宋体" w:eastAsia="仿宋_GB2312"/>
          <w:b/>
          <w:bCs/>
          <w:color w:val="auto"/>
          <w:w w:val="95"/>
          <w:sz w:val="30"/>
          <w:szCs w:val="30"/>
          <w:highlight w:val="none"/>
        </w:rPr>
      </w:pPr>
    </w:p>
    <w:p w14:paraId="2C792678">
      <w:pPr>
        <w:pStyle w:val="16"/>
        <w:snapToGrid w:val="0"/>
        <w:spacing w:line="360" w:lineRule="auto"/>
        <w:ind w:firstLine="1125" w:firstLineChars="393"/>
        <w:rPr>
          <w:rFonts w:ascii="仿宋_GB2312" w:hAnsi="宋体" w:eastAsia="仿宋_GB2312"/>
          <w:b/>
          <w:bCs/>
          <w:color w:val="auto"/>
          <w:w w:val="95"/>
          <w:sz w:val="30"/>
          <w:szCs w:val="30"/>
          <w:highlight w:val="none"/>
        </w:rPr>
      </w:pPr>
    </w:p>
    <w:p w14:paraId="0EF4B567">
      <w:pPr>
        <w:pStyle w:val="16"/>
        <w:snapToGrid w:val="0"/>
        <w:spacing w:line="360" w:lineRule="auto"/>
        <w:ind w:left="420" w:firstLine="3128" w:firstLineChars="1093"/>
        <w:jc w:val="both"/>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2025年</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12</w:t>
      </w:r>
      <w:r>
        <w:rPr>
          <w:rFonts w:hint="eastAsia" w:ascii="仿宋_GB2312" w:hAnsi="宋体" w:eastAsia="仿宋_GB2312"/>
          <w:b/>
          <w:bCs/>
          <w:color w:val="auto"/>
          <w:w w:val="95"/>
          <w:sz w:val="30"/>
          <w:szCs w:val="30"/>
          <w:highlight w:val="none"/>
        </w:rPr>
        <w:t>日</w:t>
      </w:r>
    </w:p>
    <w:p w14:paraId="18AC9AF3">
      <w:pPr>
        <w:spacing w:line="360" w:lineRule="auto"/>
        <w:jc w:val="center"/>
        <w:rPr>
          <w:rFonts w:ascii="宋体" w:hAnsi="宋体" w:cs="宋体"/>
          <w:b/>
          <w:bCs/>
          <w:color w:val="auto"/>
          <w:kern w:val="0"/>
          <w:sz w:val="32"/>
          <w:szCs w:val="32"/>
          <w:highlight w:val="none"/>
        </w:rPr>
      </w:pPr>
    </w:p>
    <w:p w14:paraId="50E8CDFA">
      <w:pPr>
        <w:spacing w:line="360" w:lineRule="auto"/>
        <w:jc w:val="center"/>
        <w:rPr>
          <w:rFonts w:ascii="宋体" w:hAnsi="宋体" w:cs="宋体"/>
          <w:b/>
          <w:bCs/>
          <w:color w:val="auto"/>
          <w:kern w:val="0"/>
          <w:sz w:val="32"/>
          <w:szCs w:val="32"/>
          <w:highlight w:val="none"/>
        </w:rPr>
      </w:pPr>
    </w:p>
    <w:p w14:paraId="469F5097">
      <w:pPr>
        <w:spacing w:line="360" w:lineRule="auto"/>
        <w:jc w:val="center"/>
        <w:rPr>
          <w:rFonts w:ascii="宋体" w:hAnsi="宋体"/>
          <w:b/>
          <w:color w:val="auto"/>
          <w:sz w:val="44"/>
          <w:szCs w:val="44"/>
          <w:highlight w:val="none"/>
        </w:rPr>
      </w:pPr>
    </w:p>
    <w:p w14:paraId="06AC711F">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551282CA">
      <w:pPr>
        <w:spacing w:line="400" w:lineRule="exact"/>
        <w:jc w:val="center"/>
        <w:rPr>
          <w:rFonts w:ascii="宋体" w:hAnsi="宋体"/>
          <w:b/>
          <w:color w:val="auto"/>
          <w:sz w:val="44"/>
          <w:szCs w:val="44"/>
          <w:highlight w:val="none"/>
        </w:rPr>
      </w:pPr>
    </w:p>
    <w:p w14:paraId="57A7F763">
      <w:pPr>
        <w:pStyle w:val="21"/>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29"/>
          <w:rFonts w:hint="eastAsia" w:ascii="宋体" w:hAnsi="宋体"/>
          <w:b/>
          <w:color w:val="auto"/>
          <w:sz w:val="24"/>
          <w:highlight w:val="none"/>
        </w:rPr>
        <w:t>第一章竞争性磋商公告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_Toc74323456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4C1FE5E6">
      <w:pPr>
        <w:pStyle w:val="21"/>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29"/>
          <w:rFonts w:hint="eastAsia" w:ascii="宋体" w:hAnsi="宋体"/>
          <w:b/>
          <w:color w:val="auto"/>
          <w:sz w:val="24"/>
          <w:highlight w:val="none"/>
        </w:rPr>
        <w:t>第二章供应</w:t>
      </w:r>
      <w:bookmarkStart w:id="0" w:name="_Hlt82161237"/>
      <w:r>
        <w:rPr>
          <w:rStyle w:val="29"/>
          <w:rFonts w:hint="eastAsia" w:ascii="宋体" w:hAnsi="宋体"/>
          <w:b/>
          <w:color w:val="auto"/>
          <w:sz w:val="24"/>
          <w:highlight w:val="none"/>
        </w:rPr>
        <w:t>商</w:t>
      </w:r>
      <w:bookmarkEnd w:id="0"/>
      <w:r>
        <w:rPr>
          <w:rStyle w:val="29"/>
          <w:rFonts w:hint="eastAsia" w:ascii="宋体" w:hAnsi="宋体"/>
          <w:b/>
          <w:color w:val="auto"/>
          <w:sz w:val="24"/>
          <w:highlight w:val="none"/>
        </w:rPr>
        <w:t>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_Toc74323457 \h </w:instrText>
      </w:r>
      <w:r>
        <w:rPr>
          <w:rFonts w:ascii="宋体" w:hAnsi="宋体"/>
          <w:b/>
          <w:color w:val="auto"/>
          <w:sz w:val="24"/>
          <w:highlight w:val="none"/>
        </w:rPr>
        <w:fldChar w:fldCharType="separate"/>
      </w:r>
      <w:r>
        <w:rPr>
          <w:rFonts w:ascii="宋体" w:hAnsi="宋体"/>
          <w:b/>
          <w:color w:val="auto"/>
          <w:sz w:val="24"/>
          <w:highlight w:val="none"/>
        </w:rPr>
        <w:t>6</w:t>
      </w:r>
      <w:r>
        <w:rPr>
          <w:rFonts w:ascii="宋体" w:hAnsi="宋体"/>
          <w:b/>
          <w:color w:val="auto"/>
          <w:sz w:val="24"/>
          <w:highlight w:val="none"/>
        </w:rPr>
        <w:fldChar w:fldCharType="end"/>
      </w:r>
      <w:r>
        <w:rPr>
          <w:rFonts w:ascii="宋体" w:hAnsi="宋体"/>
          <w:b/>
          <w:color w:val="auto"/>
          <w:sz w:val="24"/>
          <w:highlight w:val="none"/>
        </w:rPr>
        <w:fldChar w:fldCharType="end"/>
      </w:r>
    </w:p>
    <w:p w14:paraId="502641C7">
      <w:pPr>
        <w:pStyle w:val="21"/>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29"/>
          <w:rFonts w:hint="eastAsia" w:ascii="宋体" w:hAnsi="宋体"/>
          <w:b/>
          <w:color w:val="auto"/>
          <w:sz w:val="24"/>
          <w:highlight w:val="none"/>
        </w:rPr>
        <w:t>第三章采购需</w:t>
      </w:r>
      <w:bookmarkStart w:id="1" w:name="_Hlt82166940"/>
      <w:r>
        <w:rPr>
          <w:rStyle w:val="29"/>
          <w:rFonts w:hint="eastAsia" w:ascii="宋体" w:hAnsi="宋体"/>
          <w:b/>
          <w:color w:val="auto"/>
          <w:sz w:val="24"/>
          <w:highlight w:val="none"/>
        </w:rPr>
        <w:t>求</w:t>
      </w:r>
      <w:bookmarkEnd w:id="1"/>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_Toc74323458 \h </w:instrText>
      </w:r>
      <w:r>
        <w:rPr>
          <w:rFonts w:ascii="宋体" w:hAnsi="宋体"/>
          <w:b/>
          <w:color w:val="auto"/>
          <w:sz w:val="24"/>
          <w:highlight w:val="none"/>
        </w:rPr>
        <w:fldChar w:fldCharType="separate"/>
      </w:r>
      <w:r>
        <w:rPr>
          <w:rFonts w:ascii="宋体" w:hAnsi="宋体"/>
          <w:b/>
          <w:color w:val="auto"/>
          <w:sz w:val="24"/>
          <w:highlight w:val="none"/>
        </w:rPr>
        <w:t>23</w:t>
      </w:r>
      <w:r>
        <w:rPr>
          <w:rFonts w:ascii="宋体" w:hAnsi="宋体"/>
          <w:b/>
          <w:color w:val="auto"/>
          <w:sz w:val="24"/>
          <w:highlight w:val="none"/>
        </w:rPr>
        <w:fldChar w:fldCharType="end"/>
      </w:r>
      <w:r>
        <w:rPr>
          <w:rFonts w:ascii="宋体" w:hAnsi="宋体"/>
          <w:b/>
          <w:color w:val="auto"/>
          <w:sz w:val="24"/>
          <w:highlight w:val="none"/>
        </w:rPr>
        <w:fldChar w:fldCharType="end"/>
      </w:r>
    </w:p>
    <w:p w14:paraId="571C70D0">
      <w:pPr>
        <w:pStyle w:val="21"/>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29"/>
          <w:rFonts w:hint="eastAsia" w:ascii="宋体" w:hAnsi="宋体"/>
          <w:b/>
          <w:color w:val="auto"/>
          <w:sz w:val="24"/>
          <w:highlight w:val="none"/>
        </w:rPr>
        <w:t>第四章评审程序、</w:t>
      </w:r>
      <w:bookmarkStart w:id="2" w:name="_Hlt82166000"/>
      <w:r>
        <w:rPr>
          <w:rStyle w:val="29"/>
          <w:rFonts w:hint="eastAsia" w:ascii="宋体" w:hAnsi="宋体"/>
          <w:b/>
          <w:color w:val="auto"/>
          <w:sz w:val="24"/>
          <w:highlight w:val="none"/>
        </w:rPr>
        <w:t>评</w:t>
      </w:r>
      <w:bookmarkEnd w:id="2"/>
      <w:r>
        <w:rPr>
          <w:rStyle w:val="29"/>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_Toc74323459 \h </w:instrText>
      </w:r>
      <w:r>
        <w:rPr>
          <w:rFonts w:ascii="宋体" w:hAnsi="宋体"/>
          <w:b/>
          <w:color w:val="auto"/>
          <w:sz w:val="24"/>
          <w:highlight w:val="none"/>
        </w:rPr>
        <w:fldChar w:fldCharType="separate"/>
      </w:r>
      <w:r>
        <w:rPr>
          <w:rFonts w:ascii="宋体" w:hAnsi="宋体"/>
          <w:b/>
          <w:color w:val="auto"/>
          <w:sz w:val="24"/>
          <w:highlight w:val="none"/>
        </w:rPr>
        <w:t>29</w:t>
      </w:r>
      <w:r>
        <w:rPr>
          <w:rFonts w:ascii="宋体" w:hAnsi="宋体"/>
          <w:b/>
          <w:color w:val="auto"/>
          <w:sz w:val="24"/>
          <w:highlight w:val="none"/>
        </w:rPr>
        <w:fldChar w:fldCharType="end"/>
      </w:r>
      <w:r>
        <w:rPr>
          <w:rFonts w:ascii="宋体" w:hAnsi="宋体"/>
          <w:b/>
          <w:color w:val="auto"/>
          <w:sz w:val="24"/>
          <w:highlight w:val="none"/>
        </w:rPr>
        <w:fldChar w:fldCharType="end"/>
      </w:r>
    </w:p>
    <w:p w14:paraId="28C3CA48">
      <w:pPr>
        <w:pStyle w:val="21"/>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29"/>
          <w:rFonts w:hint="eastAsia" w:ascii="宋体" w:hAnsi="宋体"/>
          <w:b/>
          <w:color w:val="auto"/>
          <w:sz w:val="24"/>
          <w:highlight w:val="none"/>
        </w:rPr>
        <w:t>第五章响应文件格式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_Toc74323460 \h </w:instrText>
      </w:r>
      <w:r>
        <w:rPr>
          <w:rFonts w:ascii="宋体" w:hAnsi="宋体"/>
          <w:b/>
          <w:color w:val="auto"/>
          <w:sz w:val="24"/>
          <w:highlight w:val="none"/>
        </w:rPr>
        <w:fldChar w:fldCharType="separate"/>
      </w:r>
      <w:r>
        <w:rPr>
          <w:rFonts w:ascii="宋体" w:hAnsi="宋体"/>
          <w:b/>
          <w:color w:val="auto"/>
          <w:sz w:val="24"/>
          <w:highlight w:val="none"/>
        </w:rPr>
        <w:t>37</w:t>
      </w:r>
      <w:r>
        <w:rPr>
          <w:rFonts w:ascii="宋体" w:hAnsi="宋体"/>
          <w:b/>
          <w:color w:val="auto"/>
          <w:sz w:val="24"/>
          <w:highlight w:val="none"/>
        </w:rPr>
        <w:fldChar w:fldCharType="end"/>
      </w:r>
      <w:r>
        <w:rPr>
          <w:rFonts w:ascii="宋体" w:hAnsi="宋体"/>
          <w:b/>
          <w:color w:val="auto"/>
          <w:sz w:val="24"/>
          <w:highlight w:val="none"/>
        </w:rPr>
        <w:fldChar w:fldCharType="end"/>
      </w:r>
    </w:p>
    <w:p w14:paraId="3C1EE30A">
      <w:pPr>
        <w:pStyle w:val="21"/>
        <w:tabs>
          <w:tab w:val="right" w:leader="dot" w:pos="8869"/>
        </w:tabs>
        <w:snapToGrid w:val="0"/>
        <w:spacing w:line="500" w:lineRule="atLeast"/>
        <w:rPr>
          <w:rFonts w:ascii="宋体" w:hAnsi="宋体"/>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29"/>
          <w:rFonts w:hint="eastAsia" w:ascii="宋体" w:hAnsi="宋体"/>
          <w:b/>
          <w:color w:val="auto"/>
          <w:sz w:val="24"/>
          <w:highlight w:val="none"/>
        </w:rPr>
        <w:t>第六章合同文本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_Toc74323461 \h </w:instrText>
      </w:r>
      <w:r>
        <w:rPr>
          <w:rFonts w:ascii="宋体" w:hAnsi="宋体"/>
          <w:b/>
          <w:color w:val="auto"/>
          <w:sz w:val="24"/>
          <w:highlight w:val="none"/>
        </w:rPr>
        <w:fldChar w:fldCharType="separate"/>
      </w:r>
      <w:r>
        <w:rPr>
          <w:rFonts w:ascii="宋体" w:hAnsi="宋体"/>
          <w:b/>
          <w:color w:val="auto"/>
          <w:sz w:val="24"/>
          <w:highlight w:val="none"/>
        </w:rPr>
        <w:t>59</w:t>
      </w:r>
      <w:r>
        <w:rPr>
          <w:rFonts w:ascii="宋体" w:hAnsi="宋体"/>
          <w:b/>
          <w:color w:val="auto"/>
          <w:sz w:val="24"/>
          <w:highlight w:val="none"/>
        </w:rPr>
        <w:fldChar w:fldCharType="end"/>
      </w:r>
      <w:r>
        <w:rPr>
          <w:rFonts w:ascii="宋体" w:hAnsi="宋体"/>
          <w:b/>
          <w:color w:val="auto"/>
          <w:sz w:val="24"/>
          <w:highlight w:val="none"/>
        </w:rPr>
        <w:fldChar w:fldCharType="end"/>
      </w:r>
    </w:p>
    <w:p w14:paraId="26D5096F">
      <w:pPr>
        <w:pStyle w:val="22"/>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1C0256E1">
      <w:pPr>
        <w:spacing w:line="400" w:lineRule="exact"/>
        <w:jc w:val="left"/>
        <w:rPr>
          <w:rFonts w:ascii="宋体" w:hAnsi="宋体"/>
          <w:b/>
          <w:color w:val="auto"/>
          <w:sz w:val="32"/>
          <w:szCs w:val="32"/>
          <w:highlight w:val="none"/>
        </w:rPr>
      </w:pPr>
    </w:p>
    <w:p w14:paraId="68F3845B">
      <w:pPr>
        <w:spacing w:line="400" w:lineRule="exact"/>
        <w:jc w:val="center"/>
        <w:rPr>
          <w:rFonts w:ascii="宋体" w:hAnsi="宋体"/>
          <w:b/>
          <w:color w:val="auto"/>
          <w:sz w:val="32"/>
          <w:szCs w:val="32"/>
          <w:highlight w:val="none"/>
        </w:rPr>
      </w:pPr>
    </w:p>
    <w:p w14:paraId="4E7BC0CB">
      <w:pPr>
        <w:spacing w:line="400" w:lineRule="exact"/>
        <w:jc w:val="center"/>
        <w:rPr>
          <w:rFonts w:ascii="宋体" w:hAnsi="宋体"/>
          <w:b/>
          <w:color w:val="auto"/>
          <w:sz w:val="32"/>
          <w:szCs w:val="32"/>
          <w:highlight w:val="none"/>
        </w:rPr>
      </w:pPr>
    </w:p>
    <w:p w14:paraId="0E320A9F">
      <w:pPr>
        <w:spacing w:line="400" w:lineRule="exact"/>
        <w:jc w:val="center"/>
        <w:rPr>
          <w:rFonts w:ascii="宋体" w:hAnsi="宋体"/>
          <w:b/>
          <w:color w:val="auto"/>
          <w:sz w:val="32"/>
          <w:szCs w:val="32"/>
          <w:highlight w:val="none"/>
        </w:rPr>
      </w:pPr>
    </w:p>
    <w:p w14:paraId="40335427">
      <w:pPr>
        <w:spacing w:line="400" w:lineRule="exact"/>
        <w:jc w:val="center"/>
        <w:rPr>
          <w:rFonts w:ascii="宋体" w:hAnsi="宋体"/>
          <w:b/>
          <w:color w:val="auto"/>
          <w:sz w:val="32"/>
          <w:szCs w:val="32"/>
          <w:highlight w:val="none"/>
        </w:rPr>
      </w:pPr>
    </w:p>
    <w:p w14:paraId="54323F29">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327" w:right="1253" w:bottom="1327" w:left="1253" w:header="851" w:footer="992" w:gutter="0"/>
          <w:pgNumType w:start="0"/>
          <w:cols w:space="720" w:num="1"/>
          <w:titlePg/>
          <w:docGrid w:type="lines" w:linePitch="312" w:charSpace="0"/>
        </w:sectPr>
      </w:pPr>
    </w:p>
    <w:p w14:paraId="20513274">
      <w:pPr>
        <w:pStyle w:val="3"/>
        <w:keepNext/>
        <w:keepLines/>
        <w:pageBreakBefore w:val="0"/>
        <w:widowControl w:val="0"/>
        <w:kinsoku/>
        <w:wordWrap/>
        <w:overflowPunct/>
        <w:topLinePunct w:val="0"/>
        <w:autoSpaceDE/>
        <w:autoSpaceDN/>
        <w:bidi w:val="0"/>
        <w:adjustRightInd/>
        <w:snapToGrid/>
        <w:spacing w:line="480" w:lineRule="auto"/>
        <w:jc w:val="center"/>
        <w:textAlignment w:val="auto"/>
        <w:rPr>
          <w:color w:val="auto"/>
          <w:highlight w:val="none"/>
        </w:rPr>
      </w:pPr>
      <w:bookmarkStart w:id="3" w:name="_Toc74323456"/>
      <w:r>
        <w:rPr>
          <w:rFonts w:hint="eastAsia"/>
          <w:color w:val="auto"/>
          <w:highlight w:val="none"/>
        </w:rPr>
        <w:t>第一章 竞争性磋商公告</w:t>
      </w:r>
      <w:bookmarkEnd w:id="3"/>
    </w:p>
    <w:p w14:paraId="125CF5CF">
      <w:pPr>
        <w:spacing w:line="400" w:lineRule="exact"/>
        <w:jc w:val="center"/>
        <w:outlineLvl w:val="1"/>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72FF9A24">
      <w:pPr>
        <w:spacing w:line="360" w:lineRule="auto"/>
        <w:rPr>
          <w:rFonts w:ascii="宋体" w:hAnsi="宋体"/>
          <w:color w:val="auto"/>
          <w:szCs w:val="21"/>
          <w:highlight w:val="none"/>
        </w:rPr>
      </w:pPr>
    </w:p>
    <w:p w14:paraId="21236F6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4EF3B54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蒙山县人民法院移动办公办案专用通信租赁服务项目</w:t>
      </w:r>
      <w:r>
        <w:rPr>
          <w:rFonts w:hint="eastAsia" w:ascii="宋体" w:hAnsi="宋体"/>
          <w:color w:val="auto"/>
          <w:szCs w:val="21"/>
          <w:highlight w:val="none"/>
        </w:rPr>
        <w:t>采购项目的潜在供应商应在广西政府采购云平台（https://www.gcy.zfcg.gxzf.gov.cn/）获取（下载）竞争性磋商文件，并于</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23</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0分（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6E539D14">
      <w:pPr>
        <w:ind w:firstLine="354" w:firstLineChars="147"/>
        <w:rPr>
          <w:rFonts w:hint="eastAsia" w:ascii="黑体" w:hAnsi="黑体" w:eastAsia="黑体"/>
          <w:b/>
          <w:color w:val="auto"/>
          <w:sz w:val="24"/>
          <w:highlight w:val="none"/>
        </w:rPr>
      </w:pPr>
      <w:bookmarkStart w:id="5" w:name="_Toc44229878"/>
      <w:bookmarkStart w:id="6" w:name="_Toc28359089"/>
      <w:bookmarkStart w:id="7" w:name="_Toc71365905"/>
      <w:bookmarkStart w:id="8" w:name="_Toc35393629"/>
      <w:bookmarkStart w:id="9" w:name="_Toc35393798"/>
      <w:bookmarkStart w:id="10" w:name="_Toc28359012"/>
    </w:p>
    <w:p w14:paraId="0B52FA23">
      <w:pPr>
        <w:ind w:firstLine="354" w:firstLineChars="147"/>
        <w:outlineLvl w:val="2"/>
        <w:rPr>
          <w:rFonts w:ascii="黑体" w:hAnsi="黑体" w:eastAsia="黑体"/>
          <w:b/>
          <w:color w:val="auto"/>
          <w:sz w:val="24"/>
          <w:highlight w:val="none"/>
        </w:rPr>
      </w:pPr>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0B90695B">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WZZC2025-C3-990091-YZLZ</w:t>
      </w:r>
    </w:p>
    <w:p w14:paraId="6E4D450F">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蒙山县人民法院移动办公办案专用通信租赁服务项目</w:t>
      </w:r>
    </w:p>
    <w:p w14:paraId="5DFB02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421D164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预算金额（元）：</w:t>
      </w:r>
      <w:r>
        <w:rPr>
          <w:rFonts w:hint="eastAsia" w:ascii="宋体" w:hAnsi="宋体"/>
          <w:color w:val="auto"/>
          <w:szCs w:val="21"/>
          <w:highlight w:val="none"/>
          <w:lang w:eastAsia="zh-CN"/>
        </w:rPr>
        <w:t>700000.00</w:t>
      </w:r>
    </w:p>
    <w:p w14:paraId="2CBE31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eastAsia="zh-CN"/>
        </w:rPr>
        <w:t>70.00万元</w:t>
      </w:r>
    </w:p>
    <w:p w14:paraId="337917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25"/>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1"/>
        <w:gridCol w:w="1734"/>
        <w:gridCol w:w="919"/>
        <w:gridCol w:w="6086"/>
      </w:tblGrid>
      <w:tr w14:paraId="17B1A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ign w:val="center"/>
          </w:tcPr>
          <w:p w14:paraId="326A8681">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1</w:t>
            </w:r>
            <w:r>
              <w:rPr>
                <w:rFonts w:hint="eastAsia" w:ascii="宋体" w:hAnsi="宋体"/>
                <w:color w:val="auto"/>
                <w:szCs w:val="21"/>
                <w:highlight w:val="none"/>
              </w:rPr>
              <w:t>分标；预算金额：</w:t>
            </w:r>
            <w:r>
              <w:rPr>
                <w:rFonts w:hint="eastAsia" w:ascii="宋体" w:hAnsi="宋体"/>
                <w:color w:val="auto"/>
                <w:szCs w:val="21"/>
                <w:highlight w:val="none"/>
                <w:lang w:eastAsia="zh-CN"/>
              </w:rPr>
              <w:t>70.00万元</w:t>
            </w:r>
          </w:p>
        </w:tc>
      </w:tr>
      <w:tr w14:paraId="7E527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dxa"/>
            <w:tcBorders>
              <w:top w:val="single" w:color="auto" w:sz="4" w:space="0"/>
              <w:left w:val="single" w:color="auto" w:sz="4" w:space="0"/>
              <w:bottom w:val="single" w:color="auto" w:sz="4" w:space="0"/>
              <w:right w:val="single" w:color="auto" w:sz="4" w:space="0"/>
            </w:tcBorders>
            <w:noWrap/>
            <w:vAlign w:val="center"/>
          </w:tcPr>
          <w:p w14:paraId="2DE48045">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734" w:type="dxa"/>
            <w:tcBorders>
              <w:top w:val="single" w:color="auto" w:sz="4" w:space="0"/>
              <w:left w:val="single" w:color="auto" w:sz="4" w:space="0"/>
              <w:bottom w:val="single" w:color="auto" w:sz="4" w:space="0"/>
              <w:right w:val="single" w:color="auto" w:sz="4" w:space="0"/>
            </w:tcBorders>
            <w:noWrap/>
            <w:vAlign w:val="center"/>
          </w:tcPr>
          <w:p w14:paraId="46815F58">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919" w:type="dxa"/>
            <w:tcBorders>
              <w:top w:val="single" w:color="auto" w:sz="4" w:space="0"/>
              <w:left w:val="single" w:color="auto" w:sz="4" w:space="0"/>
              <w:bottom w:val="single" w:color="auto" w:sz="4" w:space="0"/>
              <w:right w:val="single" w:color="auto" w:sz="4" w:space="0"/>
            </w:tcBorders>
            <w:noWrap/>
            <w:vAlign w:val="center"/>
          </w:tcPr>
          <w:p w14:paraId="46ED875A">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数量及</w:t>
            </w:r>
          </w:p>
          <w:p w14:paraId="11FAA32A">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单位</w:t>
            </w:r>
          </w:p>
        </w:tc>
        <w:tc>
          <w:tcPr>
            <w:tcW w:w="6086" w:type="dxa"/>
            <w:tcBorders>
              <w:top w:val="single" w:color="auto" w:sz="4" w:space="0"/>
              <w:left w:val="single" w:color="auto" w:sz="4" w:space="0"/>
              <w:bottom w:val="single" w:color="auto" w:sz="4" w:space="0"/>
              <w:right w:val="single" w:color="auto" w:sz="4" w:space="0"/>
            </w:tcBorders>
            <w:noWrap/>
            <w:vAlign w:val="center"/>
          </w:tcPr>
          <w:p w14:paraId="5E560B7D">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26574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441" w:type="dxa"/>
            <w:tcBorders>
              <w:top w:val="single" w:color="auto" w:sz="4" w:space="0"/>
              <w:left w:val="single" w:color="auto" w:sz="4" w:space="0"/>
              <w:bottom w:val="single" w:color="auto" w:sz="4" w:space="0"/>
              <w:right w:val="single" w:color="auto" w:sz="4" w:space="0"/>
            </w:tcBorders>
            <w:noWrap/>
            <w:vAlign w:val="center"/>
          </w:tcPr>
          <w:p w14:paraId="404FCBB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1734" w:type="dxa"/>
            <w:tcBorders>
              <w:top w:val="single" w:color="auto" w:sz="4" w:space="0"/>
              <w:left w:val="single" w:color="auto" w:sz="4" w:space="0"/>
              <w:bottom w:val="single" w:color="auto" w:sz="4" w:space="0"/>
              <w:right w:val="single" w:color="auto" w:sz="4" w:space="0"/>
            </w:tcBorders>
            <w:noWrap/>
            <w:vAlign w:val="center"/>
          </w:tcPr>
          <w:p w14:paraId="5F8C9D34">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蒙山县人民法院移动办公办案专用通信租赁服务项目</w:t>
            </w:r>
          </w:p>
        </w:tc>
        <w:tc>
          <w:tcPr>
            <w:tcW w:w="919" w:type="dxa"/>
            <w:tcBorders>
              <w:top w:val="single" w:color="auto" w:sz="4" w:space="0"/>
              <w:left w:val="single" w:color="auto" w:sz="4" w:space="0"/>
              <w:bottom w:val="single" w:color="auto" w:sz="4" w:space="0"/>
              <w:right w:val="single" w:color="auto" w:sz="4" w:space="0"/>
            </w:tcBorders>
            <w:noWrap/>
            <w:vAlign w:val="center"/>
          </w:tcPr>
          <w:p w14:paraId="629642DF">
            <w:pPr>
              <w:tabs>
                <w:tab w:val="left" w:pos="180"/>
                <w:tab w:val="left" w:pos="1620"/>
              </w:tabs>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1项</w:t>
            </w:r>
          </w:p>
        </w:tc>
        <w:tc>
          <w:tcPr>
            <w:tcW w:w="6086" w:type="dxa"/>
            <w:tcBorders>
              <w:top w:val="single" w:color="auto" w:sz="4" w:space="0"/>
              <w:left w:val="single" w:color="auto" w:sz="4" w:space="0"/>
              <w:bottom w:val="single" w:color="auto" w:sz="4" w:space="0"/>
              <w:right w:val="single" w:color="auto" w:sz="4" w:space="0"/>
            </w:tcBorders>
            <w:noWrap/>
            <w:vAlign w:val="center"/>
          </w:tcPr>
          <w:p w14:paraId="2CDC2F3E">
            <w:pPr>
              <w:pStyle w:val="5"/>
              <w:spacing w:before="0" w:after="0" w:line="360" w:lineRule="auto"/>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为接续好移动办公办案服务，保持与上、下级法院网络一致，拟租赁广西法院移动办公办案专用通信服务，租赁服务期限为两年。法院定制移动办公办案专用通信租赁服务须能够与法院专网进行链接，保证数据安全，用于开展移动办公办案应用，符合法院移动办公办案安全要求，具体详见竞争性磋商文件</w:t>
            </w:r>
            <w:r>
              <w:rPr>
                <w:rFonts w:hint="eastAsia" w:ascii="宋体" w:hAnsi="宋体" w:eastAsia="宋体" w:cs="宋体"/>
                <w:b w:val="0"/>
                <w:bCs w:val="0"/>
                <w:color w:val="auto"/>
                <w:sz w:val="21"/>
                <w:szCs w:val="21"/>
                <w:highlight w:val="none"/>
              </w:rPr>
              <w:t>。</w:t>
            </w:r>
          </w:p>
        </w:tc>
      </w:tr>
    </w:tbl>
    <w:p w14:paraId="3EF5ABF7">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合同履行期限：</w:t>
      </w:r>
      <w:r>
        <w:rPr>
          <w:rFonts w:hint="eastAsia" w:ascii="宋体" w:hAnsi="宋体" w:cs="宋体"/>
          <w:color w:val="auto"/>
          <w:sz w:val="21"/>
          <w:szCs w:val="21"/>
          <w:highlight w:val="none"/>
          <w:lang w:val="en-US" w:eastAsia="zh-CN"/>
        </w:rPr>
        <w:t>自验收合格之日起24个月</w:t>
      </w:r>
      <w:r>
        <w:rPr>
          <w:rFonts w:hint="eastAsia" w:ascii="宋体" w:hAnsi="宋体" w:cs="宋体"/>
          <w:color w:val="auto"/>
          <w:szCs w:val="21"/>
          <w:highlight w:val="none"/>
          <w:lang w:val="en-US" w:eastAsia="zh-CN"/>
        </w:rPr>
        <w:t>。</w:t>
      </w:r>
      <w:r>
        <w:rPr>
          <w:rFonts w:hint="eastAsia" w:ascii="宋体" w:hAnsi="宋体"/>
          <w:color w:val="auto"/>
          <w:szCs w:val="21"/>
          <w:highlight w:val="none"/>
          <w:lang w:val="en-US" w:eastAsia="zh-CN"/>
        </w:rPr>
        <w:t xml:space="preserve"> </w:t>
      </w:r>
    </w:p>
    <w:p w14:paraId="05DC63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67810D37">
      <w:pPr>
        <w:ind w:firstLine="354" w:firstLineChars="147"/>
        <w:outlineLvl w:val="2"/>
        <w:rPr>
          <w:rFonts w:ascii="黑体" w:hAnsi="黑体" w:eastAsia="黑体"/>
          <w:b/>
          <w:color w:val="auto"/>
          <w:sz w:val="24"/>
          <w:highlight w:val="none"/>
        </w:rPr>
      </w:pPr>
      <w:bookmarkStart w:id="11" w:name="_Toc44229879"/>
      <w:bookmarkStart w:id="12" w:name="_Toc35393799"/>
      <w:bookmarkStart w:id="13" w:name="_Toc71365906"/>
      <w:bookmarkStart w:id="14" w:name="_Toc28359013"/>
      <w:bookmarkStart w:id="15" w:name="_Toc28359090"/>
      <w:bookmarkStart w:id="16" w:name="_Toc35393630"/>
      <w:r>
        <w:rPr>
          <w:rFonts w:hint="eastAsia" w:ascii="黑体" w:hAnsi="黑体" w:eastAsia="黑体"/>
          <w:b/>
          <w:color w:val="auto"/>
          <w:sz w:val="24"/>
          <w:highlight w:val="none"/>
        </w:rPr>
        <w:t>二、申请人的资格条件：</w:t>
      </w:r>
      <w:bookmarkEnd w:id="11"/>
      <w:bookmarkEnd w:id="12"/>
      <w:bookmarkEnd w:id="13"/>
      <w:bookmarkEnd w:id="14"/>
      <w:bookmarkEnd w:id="15"/>
      <w:bookmarkEnd w:id="16"/>
    </w:p>
    <w:p w14:paraId="5CACC8BE">
      <w:pPr>
        <w:spacing w:line="360" w:lineRule="auto"/>
        <w:ind w:firstLine="420" w:firstLineChars="200"/>
        <w:rPr>
          <w:rFonts w:ascii="宋体" w:hAnsi="宋体"/>
          <w:color w:val="auto"/>
          <w:szCs w:val="21"/>
          <w:highlight w:val="none"/>
        </w:rPr>
      </w:pPr>
      <w:bookmarkStart w:id="17" w:name="_Toc28359091"/>
      <w:bookmarkStart w:id="18" w:name="_Toc35393631"/>
      <w:bookmarkStart w:id="19" w:name="_Toc44229880"/>
      <w:bookmarkStart w:id="20" w:name="_Toc35393800"/>
      <w:bookmarkStart w:id="21" w:name="_Toc28359014"/>
      <w:r>
        <w:rPr>
          <w:rFonts w:hint="eastAsia" w:ascii="宋体" w:hAnsi="宋体"/>
          <w:color w:val="auto"/>
          <w:szCs w:val="21"/>
          <w:highlight w:val="none"/>
        </w:rPr>
        <w:t>1.满足《中华人民共和国政府采购法》第二十二条规定；</w:t>
      </w:r>
    </w:p>
    <w:p w14:paraId="18D16796">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val="en-US" w:eastAsia="zh-CN"/>
        </w:rPr>
        <w:t>无</w:t>
      </w:r>
      <w:r>
        <w:rPr>
          <w:rFonts w:hint="eastAsia" w:ascii="宋体" w:hAnsi="宋体"/>
          <w:color w:val="auto"/>
          <w:szCs w:val="21"/>
          <w:highlight w:val="none"/>
        </w:rPr>
        <w:t>。</w:t>
      </w:r>
    </w:p>
    <w:p w14:paraId="53086C89">
      <w:pPr>
        <w:ind w:firstLine="308" w:firstLineChars="147"/>
        <w:rPr>
          <w:rFonts w:ascii="宋体" w:hAnsi="宋体"/>
          <w:color w:val="auto"/>
          <w:szCs w:val="21"/>
          <w:highlight w:val="none"/>
        </w:rPr>
      </w:pPr>
      <w:r>
        <w:rPr>
          <w:rFonts w:hint="eastAsia" w:ascii="宋体" w:hAnsi="宋体"/>
          <w:color w:val="auto"/>
          <w:szCs w:val="21"/>
          <w:highlight w:val="none"/>
        </w:rPr>
        <w:t>3.本项目的特定资格要求：</w:t>
      </w:r>
      <w:bookmarkStart w:id="22" w:name="_Toc71365907"/>
      <w:r>
        <w:rPr>
          <w:rFonts w:hint="eastAsia" w:ascii="宋体" w:hAnsi="宋体"/>
          <w:color w:val="auto"/>
          <w:szCs w:val="21"/>
          <w:highlight w:val="none"/>
          <w:lang w:val="en-US" w:eastAsia="zh-CN"/>
        </w:rPr>
        <w:t>无。</w:t>
      </w:r>
    </w:p>
    <w:p w14:paraId="0EF6E91C">
      <w:pPr>
        <w:ind w:firstLine="354" w:firstLineChars="147"/>
        <w:outlineLvl w:val="2"/>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7"/>
      <w:bookmarkEnd w:id="18"/>
      <w:bookmarkEnd w:id="19"/>
      <w:bookmarkEnd w:id="20"/>
      <w:bookmarkEnd w:id="21"/>
      <w:bookmarkEnd w:id="22"/>
    </w:p>
    <w:p w14:paraId="57295D8A">
      <w:pPr>
        <w:spacing w:line="360" w:lineRule="auto"/>
        <w:ind w:firstLine="420" w:firstLineChars="200"/>
        <w:rPr>
          <w:rFonts w:ascii="宋体" w:hAnsi="宋体" w:cs="宋体"/>
          <w:bCs/>
          <w:color w:val="auto"/>
          <w:kern w:val="0"/>
          <w:szCs w:val="21"/>
          <w:highlight w:val="none"/>
        </w:rPr>
      </w:pPr>
      <w:bookmarkStart w:id="23" w:name="_Toc28359015"/>
      <w:bookmarkStart w:id="24" w:name="_Toc44229881"/>
      <w:bookmarkStart w:id="25" w:name="_Toc35393801"/>
      <w:bookmarkStart w:id="26" w:name="_Toc35393632"/>
      <w:bookmarkStart w:id="27" w:name="_Toc28359092"/>
      <w:r>
        <w:rPr>
          <w:rFonts w:hint="eastAsia" w:ascii="宋体" w:hAnsi="宋体" w:cs="宋体"/>
          <w:bCs/>
          <w:color w:val="auto"/>
          <w:kern w:val="0"/>
          <w:szCs w:val="21"/>
          <w:highlight w:val="none"/>
        </w:rPr>
        <w:t>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19</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18：00</w:t>
      </w:r>
      <w:r>
        <w:rPr>
          <w:rFonts w:hint="eastAsia" w:ascii="宋体" w:hAnsi="宋体" w:cs="宋体"/>
          <w:bCs/>
          <w:color w:val="auto"/>
          <w:kern w:val="0"/>
          <w:szCs w:val="21"/>
          <w:highlight w:val="none"/>
        </w:rPr>
        <w:t>（北京时间）</w:t>
      </w:r>
    </w:p>
    <w:p w14:paraId="1BA71A0E">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441DA3EF">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306DB4ED">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0</w:t>
      </w:r>
      <w:r>
        <w:rPr>
          <w:rFonts w:hint="eastAsia" w:ascii="宋体" w:hAnsi="宋体" w:cs="宋体"/>
          <w:color w:val="auto"/>
          <w:szCs w:val="21"/>
          <w:highlight w:val="none"/>
        </w:rPr>
        <w:t>元</w:t>
      </w:r>
    </w:p>
    <w:p w14:paraId="6EBCF5EA">
      <w:pPr>
        <w:ind w:firstLine="354" w:firstLineChars="147"/>
        <w:outlineLvl w:val="2"/>
        <w:rPr>
          <w:rFonts w:ascii="黑体" w:hAnsi="黑体" w:eastAsia="黑体"/>
          <w:b/>
          <w:color w:val="auto"/>
          <w:sz w:val="24"/>
          <w:highlight w:val="none"/>
        </w:rPr>
      </w:pPr>
      <w:bookmarkStart w:id="28" w:name="_Toc71365908"/>
      <w:r>
        <w:rPr>
          <w:rFonts w:hint="eastAsia" w:ascii="黑体" w:hAnsi="黑体" w:eastAsia="黑体"/>
          <w:b/>
          <w:color w:val="auto"/>
          <w:sz w:val="24"/>
          <w:highlight w:val="none"/>
        </w:rPr>
        <w:t>四、响应文件提交</w:t>
      </w:r>
      <w:bookmarkEnd w:id="23"/>
      <w:bookmarkEnd w:id="24"/>
      <w:bookmarkEnd w:id="25"/>
      <w:bookmarkEnd w:id="26"/>
      <w:bookmarkEnd w:id="27"/>
      <w:bookmarkEnd w:id="28"/>
    </w:p>
    <w:p w14:paraId="05FEAA71">
      <w:pPr>
        <w:spacing w:line="360" w:lineRule="auto"/>
        <w:ind w:firstLine="420" w:firstLineChars="200"/>
        <w:rPr>
          <w:rFonts w:ascii="宋体" w:hAnsi="宋体"/>
          <w:bCs/>
          <w:color w:val="auto"/>
          <w:szCs w:val="21"/>
          <w:highlight w:val="none"/>
        </w:rPr>
      </w:pPr>
      <w:bookmarkStart w:id="29" w:name="_Toc28359016"/>
      <w:bookmarkStart w:id="30" w:name="_Toc35393802"/>
      <w:bookmarkStart w:id="31" w:name="_Toc35393633"/>
      <w:bookmarkStart w:id="32" w:name="_Toc44229882"/>
      <w:bookmarkStart w:id="33" w:name="_Toc28359093"/>
      <w:r>
        <w:rPr>
          <w:rFonts w:hint="eastAsia" w:ascii="宋体" w:hAnsi="宋体"/>
          <w:color w:val="auto"/>
          <w:szCs w:val="21"/>
          <w:highlight w:val="none"/>
        </w:rPr>
        <w:t>截止时间：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23</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25D870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612DF899">
      <w:pPr>
        <w:ind w:firstLine="354" w:firstLineChars="147"/>
        <w:outlineLvl w:val="2"/>
        <w:rPr>
          <w:rFonts w:ascii="黑体" w:hAnsi="黑体" w:eastAsia="黑体"/>
          <w:b/>
          <w:color w:val="auto"/>
          <w:sz w:val="24"/>
          <w:highlight w:val="none"/>
        </w:rPr>
      </w:pPr>
      <w:bookmarkStart w:id="34" w:name="_Toc71365909"/>
      <w:r>
        <w:rPr>
          <w:rFonts w:hint="eastAsia" w:ascii="黑体" w:hAnsi="黑体" w:eastAsia="黑体"/>
          <w:b/>
          <w:color w:val="auto"/>
          <w:sz w:val="24"/>
          <w:highlight w:val="none"/>
        </w:rPr>
        <w:t>五、开启</w:t>
      </w:r>
      <w:bookmarkEnd w:id="29"/>
      <w:bookmarkEnd w:id="30"/>
      <w:bookmarkEnd w:id="31"/>
      <w:bookmarkEnd w:id="32"/>
      <w:bookmarkEnd w:id="33"/>
      <w:bookmarkEnd w:id="34"/>
    </w:p>
    <w:p w14:paraId="19488928">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23</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5D2264E0">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7AD5C01">
      <w:pPr>
        <w:ind w:firstLine="354" w:firstLineChars="147"/>
        <w:outlineLvl w:val="2"/>
        <w:rPr>
          <w:rFonts w:ascii="黑体" w:hAnsi="黑体" w:eastAsia="黑体"/>
          <w:b/>
          <w:color w:val="auto"/>
          <w:sz w:val="24"/>
          <w:highlight w:val="none"/>
        </w:rPr>
      </w:pPr>
      <w:bookmarkStart w:id="35" w:name="_Toc28359017"/>
      <w:bookmarkStart w:id="36" w:name="_Toc44229883"/>
      <w:bookmarkStart w:id="37" w:name="_Toc35393634"/>
      <w:bookmarkStart w:id="38" w:name="_Toc71365910"/>
      <w:bookmarkStart w:id="39" w:name="_Toc28359094"/>
      <w:bookmarkStart w:id="40" w:name="_Toc35393803"/>
      <w:r>
        <w:rPr>
          <w:rFonts w:hint="eastAsia" w:ascii="黑体" w:hAnsi="黑体" w:eastAsia="黑体"/>
          <w:b/>
          <w:color w:val="auto"/>
          <w:sz w:val="24"/>
          <w:highlight w:val="none"/>
        </w:rPr>
        <w:t>六、公告期限</w:t>
      </w:r>
      <w:bookmarkEnd w:id="35"/>
      <w:bookmarkEnd w:id="36"/>
      <w:bookmarkEnd w:id="37"/>
      <w:bookmarkEnd w:id="38"/>
      <w:bookmarkEnd w:id="39"/>
      <w:bookmarkEnd w:id="40"/>
    </w:p>
    <w:p w14:paraId="39D23C6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A95DA83">
      <w:pPr>
        <w:ind w:firstLine="354" w:firstLineChars="147"/>
        <w:outlineLvl w:val="2"/>
        <w:rPr>
          <w:rFonts w:ascii="黑体" w:hAnsi="黑体" w:eastAsia="黑体"/>
          <w:b/>
          <w:color w:val="auto"/>
          <w:sz w:val="24"/>
          <w:highlight w:val="none"/>
        </w:rPr>
      </w:pPr>
      <w:bookmarkStart w:id="41" w:name="_Toc44229884"/>
      <w:bookmarkStart w:id="42" w:name="_Toc35393635"/>
      <w:bookmarkStart w:id="43" w:name="_Toc35393804"/>
      <w:bookmarkStart w:id="44" w:name="_Toc71365911"/>
      <w:r>
        <w:rPr>
          <w:rFonts w:hint="eastAsia" w:ascii="黑体" w:hAnsi="黑体" w:eastAsia="黑体"/>
          <w:b/>
          <w:color w:val="auto"/>
          <w:sz w:val="24"/>
          <w:highlight w:val="none"/>
        </w:rPr>
        <w:t>七、其他补充事宜</w:t>
      </w:r>
      <w:bookmarkEnd w:id="41"/>
      <w:bookmarkEnd w:id="42"/>
      <w:bookmarkEnd w:id="43"/>
      <w:bookmarkEnd w:id="44"/>
    </w:p>
    <w:p w14:paraId="1E5ADA1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76F2365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http：//117.141.250.58：10030/info/107809（梧州市政府采购网）、http://www.gxms.gov.cn/（蒙山县人民政府门户网站）、http://ggzy.jgswj.gxzf.gov.cn/msxggzy/（全国公共资源交易平台·广西蒙山）</w:t>
      </w:r>
    </w:p>
    <w:p w14:paraId="05DCE021">
      <w:pPr>
        <w:spacing w:line="360" w:lineRule="auto"/>
        <w:ind w:firstLine="424" w:firstLineChars="202"/>
        <w:rPr>
          <w:rFonts w:ascii="宋体" w:hAnsi="宋体" w:cs="宋体"/>
          <w:color w:val="auto"/>
          <w:kern w:val="0"/>
          <w:szCs w:val="21"/>
          <w:highlight w:val="none"/>
        </w:rPr>
      </w:pPr>
      <w:bookmarkStart w:id="45" w:name="_Hlk37429674"/>
      <w:bookmarkStart w:id="46" w:name="_Toc28359018"/>
      <w:bookmarkStart w:id="47" w:name="_Toc44229885"/>
      <w:bookmarkStart w:id="48" w:name="_Toc28359095"/>
      <w:bookmarkStart w:id="49" w:name="_Toc35393636"/>
      <w:bookmarkStart w:id="50" w:name="_Toc3539380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bookmarkEnd w:id="45"/>
    <w:p w14:paraId="4F4F37E7">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288FF0B2">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0933D483">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2D6EF487">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1DA6638B">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27F838B4">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00DF08C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政府采购项目电子交易管理操作指南－供应商</w:t>
      </w:r>
      <w:r>
        <w:rPr>
          <w:rFonts w:hint="eastAsia" w:ascii="宋体" w:hAnsi="宋体"/>
          <w:color w:val="auto"/>
          <w:szCs w:val="21"/>
          <w:highlight w:val="none"/>
        </w:rPr>
        <w:t>”查看电子竞标具体操作流程。</w:t>
      </w:r>
    </w:p>
    <w:p w14:paraId="5E59DD1D">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w:t>
      </w:r>
      <w:r>
        <w:rPr>
          <w:rFonts w:hint="eastAsia" w:ascii="宋体" w:hAnsi="宋体" w:cs="宋体"/>
          <w:b/>
          <w:color w:val="auto"/>
          <w:kern w:val="0"/>
          <w:szCs w:val="21"/>
          <w:highlight w:val="none"/>
        </w:rPr>
        <w:t>请致电客服热线：95763或者0771-3381253</w:t>
      </w:r>
      <w:r>
        <w:rPr>
          <w:rFonts w:hint="eastAsia" w:ascii="宋体" w:hAnsi="宋体"/>
          <w:color w:val="auto"/>
          <w:szCs w:val="21"/>
          <w:highlight w:val="none"/>
        </w:rPr>
        <w:t>）。</w:t>
      </w:r>
    </w:p>
    <w:p w14:paraId="52F78B1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21582F97">
      <w:pPr>
        <w:widowControl/>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B546688">
      <w:pPr>
        <w:spacing w:line="360" w:lineRule="auto"/>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03B8F953">
      <w:pPr>
        <w:ind w:firstLine="354" w:firstLineChars="147"/>
        <w:outlineLvl w:val="2"/>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6"/>
      <w:bookmarkEnd w:id="47"/>
      <w:bookmarkEnd w:id="48"/>
      <w:bookmarkEnd w:id="49"/>
      <w:bookmarkEnd w:id="50"/>
    </w:p>
    <w:p w14:paraId="63AAC882">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1.采购人信息</w:t>
      </w:r>
    </w:p>
    <w:p w14:paraId="39EA0715">
      <w:pPr>
        <w:spacing w:line="360" w:lineRule="auto"/>
        <w:ind w:firstLine="424" w:firstLineChars="202"/>
        <w:jc w:val="left"/>
        <w:rPr>
          <w:rFonts w:hint="eastAsia" w:ascii="宋体" w:hAnsi="宋体" w:eastAsia="宋体"/>
          <w:color w:val="auto"/>
          <w:szCs w:val="21"/>
          <w:highlight w:val="none"/>
          <w:u w:val="single"/>
          <w:lang w:eastAsia="zh-CN"/>
        </w:rPr>
      </w:pPr>
      <w:bookmarkStart w:id="51" w:name="_Toc28359009"/>
      <w:bookmarkStart w:id="52" w:name="_Toc28359086"/>
      <w:r>
        <w:rPr>
          <w:rFonts w:hint="eastAsia" w:ascii="宋体" w:hAnsi="宋体"/>
          <w:color w:val="auto"/>
          <w:szCs w:val="21"/>
          <w:highlight w:val="none"/>
        </w:rPr>
        <w:t>名 称：</w:t>
      </w:r>
      <w:r>
        <w:rPr>
          <w:rFonts w:hint="eastAsia" w:ascii="宋体" w:hAnsi="宋体"/>
          <w:color w:val="auto"/>
          <w:szCs w:val="21"/>
          <w:highlight w:val="none"/>
          <w:u w:val="single"/>
          <w:lang w:eastAsia="zh-CN"/>
        </w:rPr>
        <w:t>蒙山县人民法院</w:t>
      </w:r>
    </w:p>
    <w:p w14:paraId="638B3EA9">
      <w:pPr>
        <w:spacing w:line="360" w:lineRule="auto"/>
        <w:ind w:firstLine="424" w:firstLineChars="202"/>
        <w:jc w:val="left"/>
        <w:rPr>
          <w:rFonts w:hint="eastAsia" w:ascii="宋体" w:hAnsi="宋体" w:eastAsia="宋体"/>
          <w:color w:val="auto"/>
          <w:szCs w:val="21"/>
          <w:highlight w:val="none"/>
          <w:u w:val="single"/>
          <w:lang w:eastAsia="zh-CN"/>
        </w:rPr>
      </w:pPr>
      <w:r>
        <w:rPr>
          <w:rFonts w:hint="eastAsia" w:ascii="宋体" w:hAnsi="宋体"/>
          <w:color w:val="auto"/>
          <w:szCs w:val="21"/>
          <w:highlight w:val="none"/>
        </w:rPr>
        <w:t>地址：</w:t>
      </w:r>
      <w:r>
        <w:rPr>
          <w:rFonts w:hint="eastAsia" w:ascii="宋体" w:hAnsi="宋体"/>
          <w:color w:val="auto"/>
          <w:szCs w:val="21"/>
          <w:highlight w:val="none"/>
          <w:u w:val="single"/>
        </w:rPr>
        <w:t>蒙山镇湄江中路西蒙山县人民法院</w:t>
      </w:r>
    </w:p>
    <w:p w14:paraId="7D5E5F8F">
      <w:pPr>
        <w:spacing w:line="360" w:lineRule="auto"/>
        <w:ind w:firstLine="424" w:firstLineChars="202"/>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联系方式:</w:t>
      </w:r>
      <w:r>
        <w:rPr>
          <w:rFonts w:hint="eastAsia" w:ascii="宋体" w:hAnsi="宋体"/>
          <w:color w:val="auto"/>
          <w:szCs w:val="21"/>
          <w:highlight w:val="none"/>
          <w:u w:val="single"/>
          <w:lang w:val="en-US" w:eastAsia="zh-CN"/>
        </w:rPr>
        <w:t xml:space="preserve"> 罗梓瑜 </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0774-</w:t>
      </w:r>
      <w:r>
        <w:rPr>
          <w:rFonts w:hint="eastAsia" w:ascii="宋体" w:hAnsi="宋体"/>
          <w:color w:val="auto"/>
          <w:szCs w:val="21"/>
          <w:highlight w:val="none"/>
          <w:u w:val="single"/>
          <w:lang w:val="en-US" w:eastAsia="zh-CN"/>
        </w:rPr>
        <w:t>6286439</w:t>
      </w:r>
    </w:p>
    <w:p w14:paraId="61D676B2">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51"/>
      <w:bookmarkEnd w:id="52"/>
    </w:p>
    <w:p w14:paraId="143F23DA">
      <w:pPr>
        <w:spacing w:line="360" w:lineRule="auto"/>
        <w:ind w:firstLine="424" w:firstLineChars="202"/>
        <w:rPr>
          <w:rFonts w:ascii="宋体" w:hAnsi="宋体"/>
          <w:color w:val="auto"/>
          <w:szCs w:val="21"/>
          <w:highlight w:val="none"/>
        </w:rPr>
      </w:pPr>
      <w:bookmarkStart w:id="53" w:name="_Toc28359087"/>
      <w:bookmarkStart w:id="54" w:name="_Toc28359010"/>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　</w:t>
      </w:r>
    </w:p>
    <w:p w14:paraId="57D8C5B2">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single"/>
        </w:rPr>
        <w:t>广西壮族自治区梧州市蒙山县东江南路西三巷2号</w:t>
      </w:r>
    </w:p>
    <w:p w14:paraId="204A7B7E">
      <w:pPr>
        <w:spacing w:line="360" w:lineRule="auto"/>
        <w:ind w:firstLine="1260" w:firstLineChars="600"/>
        <w:rPr>
          <w:rFonts w:ascii="宋体" w:hAnsi="宋体"/>
          <w:color w:val="auto"/>
          <w:szCs w:val="21"/>
          <w:highlight w:val="none"/>
          <w:u w:val="single"/>
        </w:rPr>
      </w:pPr>
      <w:r>
        <w:rPr>
          <w:rFonts w:hint="eastAsia" w:ascii="宋体" w:hAnsi="宋体"/>
          <w:color w:val="auto"/>
          <w:szCs w:val="21"/>
          <w:highlight w:val="none"/>
          <w:u w:val="single"/>
        </w:rPr>
        <w:t>(城南新区华美水岸明珠第33栋12号)</w:t>
      </w:r>
    </w:p>
    <w:p w14:paraId="4BDB5633">
      <w:pPr>
        <w:spacing w:line="360" w:lineRule="auto"/>
        <w:ind w:firstLine="424" w:firstLineChars="202"/>
        <w:rPr>
          <w:rFonts w:ascii="宋体" w:hAnsi="宋体"/>
          <w:color w:val="auto"/>
          <w:szCs w:val="21"/>
          <w:highlight w:val="none"/>
        </w:rPr>
      </w:pPr>
    </w:p>
    <w:p w14:paraId="1516408D">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周子然</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 xml:space="preserve">覃文思 </w:t>
      </w:r>
      <w:r>
        <w:rPr>
          <w:rFonts w:hint="eastAsia" w:ascii="宋体" w:hAnsi="宋体"/>
          <w:color w:val="auto"/>
          <w:szCs w:val="21"/>
          <w:highlight w:val="none"/>
          <w:u w:val="single"/>
        </w:rPr>
        <w:t>0774-3859935</w:t>
      </w:r>
    </w:p>
    <w:p w14:paraId="6FAED6C4">
      <w:pPr>
        <w:spacing w:line="360" w:lineRule="auto"/>
        <w:ind w:firstLine="424" w:firstLineChars="202"/>
        <w:rPr>
          <w:rFonts w:ascii="宋体" w:hAnsi="宋体"/>
          <w:color w:val="auto"/>
          <w:szCs w:val="21"/>
          <w:highlight w:val="non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53"/>
      <w:bookmarkEnd w:id="54"/>
    </w:p>
    <w:p w14:paraId="4A1D692B">
      <w:pPr>
        <w:pStyle w:val="16"/>
        <w:spacing w:line="360" w:lineRule="auto"/>
        <w:ind w:firstLine="424" w:firstLineChars="202"/>
        <w:rPr>
          <w:rFonts w:hAnsi="宋体"/>
          <w:color w:val="auto"/>
          <w:sz w:val="21"/>
          <w:highlight w:val="none"/>
          <w:u w:val="single"/>
        </w:rPr>
      </w:pPr>
      <w:r>
        <w:rPr>
          <w:rFonts w:hint="eastAsia" w:hAnsi="宋体"/>
          <w:color w:val="auto"/>
          <w:sz w:val="21"/>
          <w:highlight w:val="none"/>
        </w:rPr>
        <w:t>项目联系人：</w:t>
      </w:r>
      <w:r>
        <w:rPr>
          <w:rFonts w:hint="eastAsia" w:hAnsi="宋体"/>
          <w:color w:val="auto"/>
          <w:sz w:val="21"/>
          <w:highlight w:val="none"/>
          <w:u w:val="single"/>
        </w:rPr>
        <w:t>周子然</w:t>
      </w:r>
      <w:r>
        <w:rPr>
          <w:rFonts w:hint="eastAsia" w:hAnsi="宋体"/>
          <w:color w:val="auto"/>
          <w:sz w:val="21"/>
          <w:highlight w:val="none"/>
          <w:u w:val="single"/>
          <w:lang w:eastAsia="zh-CN"/>
        </w:rPr>
        <w:t>、</w:t>
      </w:r>
      <w:r>
        <w:rPr>
          <w:rFonts w:hint="eastAsia" w:hAnsi="宋体"/>
          <w:color w:val="auto"/>
          <w:szCs w:val="21"/>
          <w:highlight w:val="none"/>
          <w:u w:val="single"/>
          <w:lang w:val="en-US" w:eastAsia="zh-CN"/>
        </w:rPr>
        <w:t>覃文思</w:t>
      </w:r>
    </w:p>
    <w:p w14:paraId="42537B67">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0774-3859935</w:t>
      </w:r>
    </w:p>
    <w:p w14:paraId="5680CFF0">
      <w:pPr>
        <w:spacing w:line="360" w:lineRule="auto"/>
        <w:ind w:firstLine="420" w:firstLineChars="200"/>
        <w:rPr>
          <w:rFonts w:ascii="宋体" w:hAnsi="宋体"/>
          <w:color w:val="auto"/>
          <w:szCs w:val="21"/>
          <w:highlight w:val="none"/>
          <w:u w:val="single"/>
        </w:rPr>
      </w:pPr>
    </w:p>
    <w:bookmarkEnd w:id="4"/>
    <w:p w14:paraId="3F9E2472">
      <w:pPr>
        <w:jc w:val="center"/>
        <w:outlineLvl w:val="0"/>
        <w:rPr>
          <w:color w:val="auto"/>
          <w:highlight w:val="none"/>
        </w:rPr>
      </w:pPr>
      <w:r>
        <w:rPr>
          <w:rFonts w:ascii="宋体" w:hAnsi="宋体"/>
          <w:color w:val="auto"/>
          <w:sz w:val="32"/>
          <w:szCs w:val="32"/>
          <w:highlight w:val="none"/>
        </w:rPr>
        <w:br w:type="page"/>
      </w:r>
      <w:bookmarkStart w:id="55" w:name="_Toc74323457"/>
      <w:r>
        <w:rPr>
          <w:rFonts w:hint="eastAsia"/>
          <w:b/>
          <w:bCs/>
          <w:color w:val="auto"/>
          <w:kern w:val="44"/>
          <w:sz w:val="44"/>
          <w:szCs w:val="44"/>
          <w:highlight w:val="none"/>
        </w:rPr>
        <w:t>第二章 供应商须知</w:t>
      </w:r>
      <w:bookmarkEnd w:id="55"/>
    </w:p>
    <w:p w14:paraId="34BD02FF">
      <w:pPr>
        <w:spacing w:line="400" w:lineRule="exact"/>
        <w:jc w:val="center"/>
        <w:outlineLvl w:val="1"/>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1B39EA82">
      <w:pPr>
        <w:spacing w:line="400" w:lineRule="exact"/>
        <w:jc w:val="center"/>
        <w:rPr>
          <w:rFonts w:ascii="宋体" w:hAnsi="宋体"/>
          <w:b/>
          <w:color w:val="auto"/>
          <w:sz w:val="32"/>
          <w:szCs w:val="32"/>
          <w:highlight w:val="none"/>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43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61EF30F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tcPr>
          <w:p w14:paraId="48D6BC6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09D86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08788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noWrap/>
            <w:vAlign w:val="center"/>
          </w:tcPr>
          <w:p w14:paraId="2B740797">
            <w:pPr>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6E993379">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698DB902">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C31287A">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A551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E27C0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noWrap/>
            <w:vAlign w:val="center"/>
          </w:tcPr>
          <w:p w14:paraId="78937174">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718CA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C3DF2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ign w:val="center"/>
          </w:tcPr>
          <w:p w14:paraId="45395E1C">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r>
              <w:rPr>
                <w:rFonts w:hint="eastAsia" w:ascii="宋体" w:hAnsi="宋体" w:cs="宋体"/>
                <w:color w:val="auto"/>
                <w:szCs w:val="21"/>
                <w:highlight w:val="none"/>
              </w:rPr>
              <w:t>/</w:t>
            </w:r>
          </w:p>
        </w:tc>
      </w:tr>
      <w:tr w14:paraId="09278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D860B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noWrap/>
            <w:vAlign w:val="center"/>
          </w:tcPr>
          <w:p w14:paraId="034B8C39">
            <w:pPr>
              <w:pStyle w:val="12"/>
              <w:spacing w:line="360" w:lineRule="auto"/>
              <w:rPr>
                <w:rFonts w:ascii="宋体" w:hAnsi="宋体"/>
                <w:color w:val="auto"/>
                <w:szCs w:val="21"/>
                <w:highlight w:val="none"/>
                <w:lang w:val="en-US" w:eastAsia="zh-CN"/>
              </w:rPr>
            </w:pPr>
            <w:r>
              <w:rPr>
                <w:rFonts w:hint="eastAsia" w:ascii="宋体" w:hAnsi="宋体"/>
                <w:color w:val="auto"/>
                <w:szCs w:val="21"/>
                <w:highlight w:val="none"/>
                <w:lang w:val="en-US" w:eastAsia="zh-CN"/>
              </w:rPr>
              <w:t>☑不允许分包</w:t>
            </w:r>
          </w:p>
          <w:p w14:paraId="55953026">
            <w:pPr>
              <w:pStyle w:val="12"/>
              <w:spacing w:line="360" w:lineRule="auto"/>
              <w:rPr>
                <w:rFonts w:ascii="宋体" w:hAnsi="宋体"/>
                <w:color w:val="auto"/>
                <w:szCs w:val="21"/>
                <w:highlight w:val="none"/>
                <w:lang w:val="en-US" w:eastAsia="zh-CN"/>
              </w:rPr>
            </w:pPr>
            <w:r>
              <w:rPr>
                <w:rFonts w:hint="eastAsia" w:ascii="宋体" w:hAnsi="宋体"/>
                <w:color w:val="auto"/>
                <w:szCs w:val="21"/>
                <w:highlight w:val="none"/>
                <w:lang w:val="en-US" w:eastAsia="zh-CN"/>
              </w:rPr>
              <w:t>□允许分包</w:t>
            </w:r>
          </w:p>
          <w:p w14:paraId="7B60AAAA">
            <w:pPr>
              <w:pStyle w:val="12"/>
              <w:spacing w:line="360" w:lineRule="auto"/>
              <w:rPr>
                <w:rFonts w:ascii="宋体" w:hAnsi="宋体"/>
                <w:color w:val="auto"/>
                <w:szCs w:val="21"/>
                <w:highlight w:val="none"/>
                <w:u w:val="single"/>
                <w:lang w:val="en-US" w:eastAsia="zh-CN"/>
              </w:rPr>
            </w:pPr>
            <w:r>
              <w:rPr>
                <w:rFonts w:hint="eastAsia" w:ascii="宋体" w:hAnsi="宋体"/>
                <w:color w:val="auto"/>
                <w:szCs w:val="21"/>
                <w:highlight w:val="none"/>
                <w:lang w:val="en-US" w:eastAsia="zh-CN"/>
              </w:rPr>
              <w:t>分包内容：</w:t>
            </w:r>
            <w:r>
              <w:rPr>
                <w:rFonts w:hint="eastAsia" w:ascii="宋体" w:hAnsi="宋体"/>
                <w:color w:val="auto"/>
                <w:szCs w:val="21"/>
                <w:highlight w:val="none"/>
                <w:u w:val="single"/>
                <w:lang w:val="en-US" w:eastAsia="zh-CN"/>
              </w:rPr>
              <w:t xml:space="preserve">                                     。</w:t>
            </w:r>
          </w:p>
          <w:p w14:paraId="60FAF385">
            <w:pPr>
              <w:pStyle w:val="12"/>
              <w:spacing w:line="360" w:lineRule="auto"/>
              <w:rPr>
                <w:rFonts w:ascii="宋体" w:hAnsi="宋体" w:cs="宋体"/>
                <w:color w:val="auto"/>
                <w:szCs w:val="21"/>
                <w:highlight w:val="none"/>
                <w:lang w:val="en-US" w:eastAsia="zh-CN"/>
              </w:rPr>
            </w:pPr>
            <w:r>
              <w:rPr>
                <w:rFonts w:hint="eastAsia" w:ascii="宋体" w:hAnsi="宋体"/>
                <w:color w:val="auto"/>
                <w:szCs w:val="21"/>
                <w:highlight w:val="none"/>
                <w:lang w:val="en-US" w:eastAsia="zh-CN"/>
              </w:rPr>
              <w:t>分包金额或者比例：</w:t>
            </w:r>
            <w:r>
              <w:rPr>
                <w:rFonts w:hint="eastAsia" w:ascii="宋体" w:hAnsi="宋体"/>
                <w:color w:val="auto"/>
                <w:szCs w:val="21"/>
                <w:highlight w:val="none"/>
                <w:u w:val="single"/>
                <w:lang w:val="en-US" w:eastAsia="zh-CN"/>
              </w:rPr>
              <w:t xml:space="preserve">                                     。</w:t>
            </w:r>
          </w:p>
        </w:tc>
      </w:tr>
      <w:tr w14:paraId="44722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3AE65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ign w:val="center"/>
          </w:tcPr>
          <w:p w14:paraId="0FE0395E">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0E32C1EC">
            <w:pPr>
              <w:pStyle w:val="12"/>
              <w:spacing w:line="360" w:lineRule="auto"/>
              <w:rPr>
                <w:rFonts w:ascii="宋体" w:hAnsi="宋体"/>
                <w:color w:val="auto"/>
                <w:szCs w:val="21"/>
                <w:highlight w:val="none"/>
                <w:lang w:val="en-US" w:eastAsia="zh-CN"/>
              </w:rPr>
            </w:pPr>
            <w:r>
              <w:rPr>
                <w:rFonts w:hint="eastAsia" w:ascii="宋体" w:hAnsi="宋体" w:cs="宋体"/>
                <w:color w:val="auto"/>
                <w:szCs w:val="21"/>
                <w:highlight w:val="none"/>
                <w:lang w:val="en-US" w:eastAsia="zh-CN"/>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14:paraId="31DBAE24">
            <w:pPr>
              <w:spacing w:line="360" w:lineRule="auto"/>
              <w:contextualSpacing/>
              <w:jc w:val="left"/>
              <w:rPr>
                <w:rFonts w:hint="eastAsia" w:ascii="宋体" w:hAnsi="宋体" w:eastAsia="宋体"/>
                <w:color w:val="auto"/>
                <w:szCs w:val="21"/>
                <w:highlight w:val="none"/>
                <w:lang w:val="en-US" w:eastAsia="zh-CN"/>
              </w:rPr>
            </w:pPr>
            <w:r>
              <w:rPr>
                <w:rFonts w:hint="eastAsia" w:ascii="宋体" w:hAnsi="宋体" w:cs="宋体"/>
                <w:color w:val="auto"/>
                <w:szCs w:val="21"/>
                <w:highlight w:val="none"/>
                <w:lang w:val="en-US" w:eastAsia="zh-CN"/>
              </w:rPr>
              <w:t>2.供应商</w:t>
            </w:r>
            <w:r>
              <w:rPr>
                <w:rFonts w:hint="eastAsia" w:ascii="宋体" w:hAnsi="宋体" w:cs="宋体"/>
                <w:color w:val="auto"/>
                <w:szCs w:val="21"/>
                <w:highlight w:val="none"/>
              </w:rPr>
              <w:t>是下属分公司（分支机构）的，还须</w:t>
            </w:r>
            <w:r>
              <w:rPr>
                <w:rFonts w:hint="eastAsia" w:ascii="宋体" w:hAnsi="宋体"/>
                <w:color w:val="auto"/>
                <w:szCs w:val="21"/>
                <w:highlight w:val="none"/>
              </w:rPr>
              <w:t>提供总公司出具的授权其</w:t>
            </w:r>
            <w:r>
              <w:rPr>
                <w:rFonts w:hint="eastAsia" w:ascii="宋体" w:hAnsi="宋体"/>
                <w:color w:val="auto"/>
                <w:szCs w:val="21"/>
                <w:highlight w:val="none"/>
                <w:lang w:val="en-US" w:eastAsia="zh-CN"/>
              </w:rPr>
              <w:t>竞</w:t>
            </w:r>
            <w:r>
              <w:rPr>
                <w:rFonts w:hint="eastAsia" w:ascii="宋体" w:hAnsi="宋体"/>
                <w:color w:val="auto"/>
                <w:szCs w:val="21"/>
                <w:highlight w:val="none"/>
              </w:rPr>
              <w:t>标的授权文件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w:t>
            </w:r>
            <w:r>
              <w:rPr>
                <w:rFonts w:hint="eastAsia" w:ascii="宋体" w:hAnsi="宋体" w:cs="宋体"/>
                <w:b/>
                <w:bCs/>
                <w:color w:val="auto"/>
                <w:szCs w:val="21"/>
                <w:highlight w:val="none"/>
              </w:rPr>
              <w:t>分公司</w:t>
            </w:r>
            <w:r>
              <w:rPr>
                <w:rFonts w:hint="eastAsia" w:ascii="宋体" w:hAnsi="宋体" w:cs="宋体"/>
                <w:b/>
                <w:bCs/>
                <w:color w:val="auto"/>
                <w:szCs w:val="21"/>
                <w:highlight w:val="none"/>
                <w:lang w:val="en-US" w:eastAsia="zh-CN"/>
              </w:rPr>
              <w:t>或</w:t>
            </w:r>
            <w:r>
              <w:rPr>
                <w:rFonts w:hint="eastAsia" w:ascii="宋体" w:hAnsi="宋体" w:cs="宋体"/>
                <w:b/>
                <w:bCs/>
                <w:color w:val="auto"/>
                <w:szCs w:val="21"/>
                <w:highlight w:val="none"/>
              </w:rPr>
              <w:t>分支机构</w:t>
            </w:r>
            <w:r>
              <w:rPr>
                <w:rFonts w:hint="eastAsia" w:ascii="宋体" w:hAnsi="宋体" w:cs="宋体"/>
                <w:b/>
                <w:bCs/>
                <w:color w:val="auto"/>
                <w:szCs w:val="21"/>
                <w:highlight w:val="none"/>
                <w:lang w:val="en-US" w:eastAsia="zh-CN"/>
              </w:rPr>
              <w:t>竞标时必须提供，</w:t>
            </w:r>
            <w:r>
              <w:rPr>
                <w:rFonts w:hint="eastAsia" w:ascii="宋体" w:hAnsi="宋体" w:cs="宋体"/>
                <w:b/>
                <w:bCs/>
                <w:color w:val="auto"/>
                <w:szCs w:val="21"/>
                <w:highlight w:val="none"/>
              </w:rPr>
              <w:t>否则响应文件按无效</w:t>
            </w:r>
            <w:r>
              <w:rPr>
                <w:rFonts w:hint="eastAsia" w:ascii="宋体" w:hAnsi="宋体" w:cs="宋体"/>
                <w:b/>
                <w:color w:val="auto"/>
                <w:szCs w:val="21"/>
                <w:highlight w:val="none"/>
              </w:rPr>
              <w:t>响应处理</w:t>
            </w:r>
            <w:r>
              <w:rPr>
                <w:rFonts w:hint="eastAsia" w:ascii="宋体" w:hAnsi="宋体" w:cs="宋体"/>
                <w:b/>
                <w:color w:val="auto"/>
                <w:szCs w:val="21"/>
                <w:highlight w:val="none"/>
                <w:lang w:eastAsia="zh-CN"/>
              </w:rPr>
              <w:t>）</w:t>
            </w:r>
          </w:p>
          <w:p w14:paraId="6C99EBE2">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月至提交响应文件截止之日内</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AFB8C81">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月至提交响应文件截止之日内</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个月的依法缴纳社会保障资金的缴费凭证（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A8790DF">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供应商</w:t>
            </w:r>
            <w:r>
              <w:rPr>
                <w:rFonts w:hint="eastAsia"/>
                <w:color w:val="auto"/>
                <w:szCs w:val="21"/>
                <w:highlight w:val="none"/>
              </w:rPr>
              <w:t>财务状况报告</w:t>
            </w:r>
            <w:r>
              <w:rPr>
                <w:rFonts w:hint="eastAsia" w:ascii="宋体" w:hAnsi="宋体" w:cs="宋体"/>
                <w:color w:val="auto"/>
                <w:szCs w:val="21"/>
                <w:highlight w:val="none"/>
              </w:rPr>
              <w:t>[</w:t>
            </w:r>
            <w:r>
              <w:rPr>
                <w:rFonts w:hint="eastAsia"/>
                <w:color w:val="auto"/>
                <w:szCs w:val="21"/>
                <w:highlight w:val="none"/>
                <w:u w:val="single"/>
              </w:rPr>
              <w:t>2023</w:t>
            </w:r>
            <w:r>
              <w:rPr>
                <w:rFonts w:hint="eastAsia"/>
                <w:color w:val="auto"/>
                <w:szCs w:val="21"/>
                <w:highlight w:val="none"/>
                <w:u w:val="single"/>
                <w:lang w:val="en-US" w:eastAsia="zh-CN"/>
              </w:rPr>
              <w:t>或2024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1225D49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5F49A5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339760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1386F5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.除磋商文件规定必须提供以外，供应商认为需要提供的其他证明材料；</w:t>
            </w:r>
          </w:p>
          <w:p w14:paraId="5CE7DCC6">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54475225">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2B4F0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F543B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ign w:val="center"/>
          </w:tcPr>
          <w:p w14:paraId="00AAAD42">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0162D230">
            <w:pPr>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FEDD2A8">
            <w:pPr>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515A7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A2C47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ign w:val="center"/>
          </w:tcPr>
          <w:p w14:paraId="5D55FDC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53B2E3D4">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3D325D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ED84D66">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29F89A3">
            <w:pPr>
              <w:spacing w:line="360" w:lineRule="auto"/>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75C3E5A">
            <w:pPr>
              <w:spacing w:line="360" w:lineRule="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DF11CC7">
            <w:pPr>
              <w:spacing w:line="360" w:lineRule="auto"/>
              <w:rPr>
                <w:rFonts w:ascii="宋体" w:hAnsi="宋体" w:cs="宋体"/>
                <w:color w:val="auto"/>
                <w:szCs w:val="21"/>
                <w:highlight w:val="none"/>
              </w:rPr>
            </w:pPr>
            <w:r>
              <w:rPr>
                <w:rFonts w:hint="eastAsia" w:ascii="宋体" w:hAnsi="宋体" w:cs="宋体"/>
                <w:color w:val="auto"/>
                <w:szCs w:val="21"/>
                <w:highlight w:val="none"/>
              </w:rPr>
              <w:t>6.技术要求偏离表（格式后附）；（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7B2FE10">
            <w:pPr>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项目实施人员一览表</w:t>
            </w:r>
            <w:r>
              <w:rPr>
                <w:rFonts w:hint="eastAsia" w:ascii="宋体" w:hAnsi="宋体" w:cs="宋体"/>
                <w:color w:val="auto"/>
                <w:szCs w:val="21"/>
                <w:highlight w:val="none"/>
              </w:rPr>
              <w:t>（格式后附）</w:t>
            </w:r>
            <w:r>
              <w:rPr>
                <w:rFonts w:hint="eastAsia" w:ascii="宋体" w:hAnsi="宋体"/>
                <w:bCs/>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1A9E3BB">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8.保密承诺、廉洁承诺和售后服务承诺</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.项目实施方案</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根据本项目的采购需求及各项评审因素自行编制）；</w:t>
            </w:r>
          </w:p>
          <w:p w14:paraId="3320DF27">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lang w:val="en-US" w:eastAsia="zh-CN"/>
              </w:rPr>
              <w:t>10.运维服务方案</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根据本项目的采购需求及各项评审因素自行编制）；</w:t>
            </w:r>
          </w:p>
          <w:p w14:paraId="4A83652D">
            <w:pPr>
              <w:spacing w:line="360" w:lineRule="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rPr>
              <w:t>售后服务</w:t>
            </w:r>
            <w:r>
              <w:rPr>
                <w:rFonts w:hint="eastAsia" w:ascii="宋体" w:hAnsi="宋体" w:cs="宋体"/>
                <w:bCs/>
                <w:color w:val="auto"/>
                <w:szCs w:val="21"/>
                <w:highlight w:val="none"/>
                <w:lang w:val="en-US" w:eastAsia="zh-CN"/>
              </w:rPr>
              <w:t>方案</w:t>
            </w:r>
            <w:r>
              <w:rPr>
                <w:rFonts w:hint="eastAsia" w:ascii="宋体" w:hAnsi="宋体" w:cs="宋体"/>
                <w:color w:val="auto"/>
                <w:szCs w:val="21"/>
                <w:highlight w:val="none"/>
              </w:rPr>
              <w:t>（根据本项目的采购需求及各项评审因素自行编制）</w:t>
            </w:r>
          </w:p>
          <w:p w14:paraId="40B86EE3">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.供应商认为需要提供的其他有关资料。</w:t>
            </w:r>
          </w:p>
          <w:p w14:paraId="55A08715">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1A573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AEF65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noWrap/>
            <w:vAlign w:val="center"/>
          </w:tcPr>
          <w:p w14:paraId="0094783F">
            <w:pPr>
              <w:spacing w:line="360" w:lineRule="auto"/>
              <w:contextualSpacing/>
              <w:jc w:val="left"/>
              <w:rPr>
                <w:rFonts w:hint="eastAsia" w:ascii="宋体" w:hAnsi="宋体" w:eastAsia="宋体" w:cs="宋体"/>
                <w:color w:val="auto"/>
                <w:szCs w:val="21"/>
                <w:highlight w:val="none"/>
                <w:lang w:eastAsia="zh-CN"/>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p>
        </w:tc>
      </w:tr>
      <w:tr w14:paraId="1E679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D7FCB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ign w:val="center"/>
          </w:tcPr>
          <w:p w14:paraId="05DD1824">
            <w:pPr>
              <w:pStyle w:val="11"/>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5DEA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22CA9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noWrap/>
            <w:vAlign w:val="center"/>
          </w:tcPr>
          <w:p w14:paraId="2FCD2E67">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本项目不收取磋商保证金。</w:t>
            </w:r>
          </w:p>
          <w:p w14:paraId="26E141AA">
            <w:pPr>
              <w:snapToGrid w:val="0"/>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本项目收取磋商保证金，具体规定如下：</w:t>
            </w:r>
          </w:p>
          <w:p w14:paraId="1370BE87">
            <w:pPr>
              <w:snapToGrid w:val="0"/>
              <w:spacing w:line="360" w:lineRule="auto"/>
              <w:rPr>
                <w:rFonts w:ascii="宋体" w:hAnsi="宋体" w:cs="宋体"/>
                <w:color w:val="auto"/>
                <w:kern w:val="0"/>
                <w:szCs w:val="21"/>
                <w:highlight w:val="none"/>
              </w:rPr>
            </w:pPr>
            <w:r>
              <w:rPr>
                <w:rFonts w:hint="eastAsia" w:ascii="宋体" w:hAnsi="宋体" w:cs="宋体"/>
                <w:b/>
                <w:bCs/>
                <w:color w:val="auto"/>
                <w:kern w:val="0"/>
                <w:szCs w:val="21"/>
                <w:highlight w:val="none"/>
              </w:rPr>
              <w:t>磋商保证金人民币</w:t>
            </w:r>
            <w:r>
              <w:rPr>
                <w:rFonts w:hint="eastAsia" w:ascii="宋体" w:hAnsi="宋体" w:cs="宋体"/>
                <w:b/>
                <w:bCs/>
                <w:color w:val="auto"/>
                <w:kern w:val="0"/>
                <w:szCs w:val="21"/>
                <w:highlight w:val="none"/>
                <w:u w:val="single"/>
                <w:lang w:val="en-US" w:eastAsia="zh-CN"/>
              </w:rPr>
              <w:t>7000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14:paraId="12E71BEA">
            <w:pPr>
              <w:snapToGrid w:val="0"/>
              <w:spacing w:line="360" w:lineRule="auto"/>
              <w:rPr>
                <w:rFonts w:ascii="宋体" w:hAnsi="宋体" w:cs="宋体"/>
                <w:b/>
                <w:bCs/>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w:t>
            </w:r>
            <w:r>
              <w:rPr>
                <w:rFonts w:hint="eastAsia"/>
                <w:color w:val="auto"/>
                <w:highlight w:val="none"/>
              </w:rPr>
              <w:t>（包含电子保函）</w:t>
            </w:r>
            <w:r>
              <w:rPr>
                <w:rFonts w:hint="eastAsia" w:ascii="宋体" w:hAnsi="宋体" w:cs="宋体"/>
                <w:color w:val="auto"/>
                <w:kern w:val="0"/>
                <w:szCs w:val="21"/>
                <w:highlight w:val="none"/>
              </w:rPr>
              <w:t>，禁止采用现钞方式。采用银行转账方式的，在响应文件提交截止时间前交至指定账户并且到账（</w:t>
            </w:r>
            <w:r>
              <w:rPr>
                <w:rFonts w:hint="eastAsia" w:ascii="宋体" w:hAnsi="宋体" w:cs="宋体"/>
                <w:b/>
                <w:bCs/>
                <w:color w:val="auto"/>
                <w:kern w:val="0"/>
                <w:szCs w:val="21"/>
                <w:highlight w:val="none"/>
              </w:rPr>
              <w:t>开户银行：中信银行南宁东葛支行，开户名称：云之龙咨询集团有限公司梧州分公司，银行账号：8113001013700074625</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）；采用支票、汇票、本票或者保函等方式的，在响应文件提交截止时间前，供应商必须提交单独密封的支票、汇票、本票或者保函原件（电子保函须提交复印件并加盖供应商公章）。</w:t>
            </w:r>
            <w:r>
              <w:rPr>
                <w:rFonts w:hint="eastAsia" w:ascii="宋体" w:hAnsi="宋体" w:cs="宋体"/>
                <w:b/>
                <w:bCs/>
                <w:color w:val="auto"/>
                <w:kern w:val="0"/>
                <w:szCs w:val="21"/>
                <w:highlight w:val="none"/>
              </w:rPr>
              <w:t>否则视为无效磋商保证金。</w:t>
            </w:r>
          </w:p>
          <w:p w14:paraId="432028F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068B87D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BDEE9E2">
            <w:pPr>
              <w:snapToGrid w:val="0"/>
              <w:spacing w:line="360" w:lineRule="auto"/>
              <w:rPr>
                <w:rFonts w:ascii="宋体" w:hAnsi="宋体"/>
                <w:color w:val="auto"/>
                <w:szCs w:val="21"/>
                <w:highlight w:val="none"/>
              </w:rPr>
            </w:pPr>
            <w:r>
              <w:rPr>
                <w:rFonts w:hint="eastAsia" w:ascii="宋体" w:hAnsi="宋体"/>
                <w:color w:val="auto"/>
                <w:szCs w:val="21"/>
                <w:highlight w:val="none"/>
              </w:rPr>
              <w:t>2.磋商保证金采用支票、汇票、本票或者银行、保险机构出具的保函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在响应文件提交截止时间前采用现场或邮寄方式（现场提交地址：广西壮族自治区梧州市蒙山县东江南路西三巷2号(城南新区华美水岸明珠第33栋12号)，收件人：周子然、覃文思 ，联系方式：0774-3859935）</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支票、汇票、本票或者银行、保险机构出具的保函原件（电子保函须提交复印件并加盖供应商公章）提交给采购人或者采购代理机构，并妥善保管。</w:t>
            </w:r>
          </w:p>
          <w:p w14:paraId="4064835D">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04FFFE3B">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314CBEB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7F82AED0">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7076ED8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56B17EC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16AD4ED3">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5.采用银行、保险机构出具保函（包含电子保函）的，必须为无条件保函，否则视为无效磋商保证金。</w:t>
            </w:r>
          </w:p>
        </w:tc>
      </w:tr>
      <w:tr w14:paraId="3D234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81FB69A">
            <w:pPr>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noWrap/>
            <w:vAlign w:val="center"/>
          </w:tcPr>
          <w:p w14:paraId="55F10162">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781C4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E2CC6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noWrap/>
            <w:vAlign w:val="center"/>
          </w:tcPr>
          <w:p w14:paraId="7D29EBF2">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5A42E0BB">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29632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A8DCE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noWrap/>
            <w:vAlign w:val="center"/>
          </w:tcPr>
          <w:p w14:paraId="39BE969F">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633A0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F5DD8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ign w:val="center"/>
          </w:tcPr>
          <w:p w14:paraId="30F0D7A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53E82A3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09CF5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ign w:val="center"/>
          </w:tcPr>
          <w:p w14:paraId="533101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noWrap/>
            <w:vAlign w:val="center"/>
          </w:tcPr>
          <w:p w14:paraId="4474B92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116A480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项。</w:t>
            </w:r>
          </w:p>
        </w:tc>
      </w:tr>
      <w:tr w14:paraId="28E92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7928556">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noWrap/>
            <w:vAlign w:val="center"/>
          </w:tcPr>
          <w:p w14:paraId="64F2B0E2">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olor w:val="auto"/>
                <w:szCs w:val="21"/>
                <w:highlight w:val="none"/>
              </w:rPr>
              <w:t>☑本项目不收取履约保证金。</w:t>
            </w:r>
          </w:p>
        </w:tc>
      </w:tr>
      <w:tr w14:paraId="46050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7BBC812">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noWrap/>
            <w:vAlign w:val="center"/>
          </w:tcPr>
          <w:p w14:paraId="60EEF1B6">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7A14B0F5">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48EC95A7">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32A66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689D7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ign w:val="center"/>
          </w:tcPr>
          <w:p w14:paraId="1B3DEF4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1CF49B9F">
            <w:pPr>
              <w:pStyle w:val="16"/>
              <w:snapToGrid w:val="0"/>
              <w:spacing w:line="360" w:lineRule="auto"/>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质疑联系部门及联系方式：云之龙咨询集团有限公司，联系电话：0774-3859935，通讯地址：广西壮族自治区梧州市蒙山县东江南路西三巷2号(城南新区华美水岸明珠第33栋12号)</w:t>
            </w:r>
          </w:p>
          <w:p w14:paraId="1B21E20F">
            <w:pPr>
              <w:pStyle w:val="16"/>
              <w:snapToGrid w:val="0"/>
              <w:spacing w:line="360" w:lineRule="auto"/>
              <w:rPr>
                <w:rFonts w:hAnsi="宋体"/>
                <w:color w:val="auto"/>
                <w:highlight w:val="none"/>
                <w:lang w:val="en-US" w:eastAsia="zh-CN"/>
              </w:rPr>
            </w:pPr>
            <w:r>
              <w:rPr>
                <w:rFonts w:hint="eastAsia" w:hAnsi="宋体" w:cs="宋体"/>
                <w:color w:val="auto"/>
                <w:kern w:val="2"/>
                <w:sz w:val="21"/>
                <w:highlight w:val="none"/>
                <w:lang w:val="en-US" w:eastAsia="zh-CN"/>
              </w:rPr>
              <w:t>业务时间：工作日每天上午</w:t>
            </w:r>
            <w:r>
              <w:rPr>
                <w:rFonts w:hAnsi="宋体" w:cs="宋体"/>
                <w:color w:val="auto"/>
                <w:kern w:val="2"/>
                <w:sz w:val="21"/>
                <w:highlight w:val="none"/>
                <w:lang w:val="en-US" w:eastAsia="zh-CN"/>
              </w:rPr>
              <w:t>8</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分到</w:t>
            </w:r>
            <w:r>
              <w:rPr>
                <w:rFonts w:hAnsi="宋体" w:cs="宋体"/>
                <w:color w:val="auto"/>
                <w:kern w:val="2"/>
                <w:sz w:val="21"/>
                <w:highlight w:val="none"/>
                <w:lang w:val="en-US" w:eastAsia="zh-CN"/>
              </w:rPr>
              <w:t>12</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分，下午</w:t>
            </w:r>
            <w:r>
              <w:rPr>
                <w:rFonts w:hAnsi="宋体" w:cs="宋体"/>
                <w:color w:val="auto"/>
                <w:kern w:val="2"/>
                <w:sz w:val="21"/>
                <w:highlight w:val="none"/>
                <w:lang w:val="en-US" w:eastAsia="zh-CN"/>
              </w:rPr>
              <w:t>3</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分到</w:t>
            </w:r>
            <w:r>
              <w:rPr>
                <w:rFonts w:hAnsi="宋体" w:cs="宋体"/>
                <w:color w:val="auto"/>
                <w:kern w:val="2"/>
                <w:sz w:val="21"/>
                <w:highlight w:val="none"/>
                <w:lang w:val="en-US" w:eastAsia="zh-CN"/>
              </w:rPr>
              <w:t>6</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w:t>
            </w:r>
          </w:p>
        </w:tc>
      </w:tr>
      <w:tr w14:paraId="5AE86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12D4985">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noWrap/>
            <w:vAlign w:val="center"/>
          </w:tcPr>
          <w:p w14:paraId="24B6677A">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55A0D706">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一次性向采购代理机构支付。</w:t>
            </w:r>
          </w:p>
          <w:p w14:paraId="401FAE26">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616F4C3D">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399B445B">
            <w:pPr>
              <w:pStyle w:val="16"/>
              <w:snapToGrid w:val="0"/>
              <w:spacing w:line="360" w:lineRule="auto"/>
              <w:rPr>
                <w:rFonts w:hAnsi="宋体" w:cs="宋体"/>
                <w:b/>
                <w:bCs/>
                <w:color w:val="auto"/>
                <w:sz w:val="21"/>
                <w:highlight w:val="none"/>
                <w:lang w:val="en-US" w:eastAsia="zh-CN"/>
              </w:rPr>
            </w:pPr>
            <w:r>
              <w:rPr>
                <w:rFonts w:hint="eastAsia" w:hAnsi="宋体" w:cs="宋体"/>
                <w:b/>
                <w:bCs/>
                <w:color w:val="auto"/>
                <w:sz w:val="21"/>
                <w:highlight w:val="none"/>
                <w:lang w:val="en-US" w:eastAsia="zh-CN"/>
              </w:rPr>
              <w:t>☑以项目成交金额为计费额，按本须知正文第</w:t>
            </w:r>
            <w:r>
              <w:rPr>
                <w:rFonts w:hAnsi="宋体" w:cs="宋体"/>
                <w:b/>
                <w:bCs/>
                <w:color w:val="auto"/>
                <w:sz w:val="21"/>
                <w:highlight w:val="none"/>
                <w:lang w:val="en-US" w:eastAsia="zh-CN"/>
              </w:rPr>
              <w:t>32</w:t>
            </w:r>
            <w:r>
              <w:rPr>
                <w:rFonts w:hint="eastAsia" w:hAnsi="宋体" w:cs="宋体"/>
                <w:b/>
                <w:bCs/>
                <w:color w:val="auto"/>
                <w:sz w:val="21"/>
                <w:highlight w:val="none"/>
                <w:lang w:val="en-US" w:eastAsia="zh-CN"/>
              </w:rPr>
              <w:t>.</w:t>
            </w:r>
            <w:r>
              <w:rPr>
                <w:rFonts w:hAnsi="宋体" w:cs="宋体"/>
                <w:b/>
                <w:bCs/>
                <w:color w:val="auto"/>
                <w:sz w:val="21"/>
                <w:highlight w:val="none"/>
                <w:lang w:val="en-US" w:eastAsia="zh-CN"/>
              </w:rPr>
              <w:t>2</w:t>
            </w:r>
            <w:r>
              <w:rPr>
                <w:rFonts w:hint="eastAsia" w:hAnsi="宋体" w:cs="宋体"/>
                <w:b/>
                <w:bCs/>
                <w:color w:val="auto"/>
                <w:sz w:val="21"/>
                <w:highlight w:val="none"/>
                <w:lang w:val="en-US" w:eastAsia="zh-CN"/>
              </w:rPr>
              <w:t>条规定的收费计算标准（服务类）采用差额定率累进法计算出收费基准价格，采购代理收费以收费基准价格收取。</w:t>
            </w:r>
          </w:p>
          <w:p w14:paraId="5AB6AC7F">
            <w:pPr>
              <w:pStyle w:val="16"/>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14:paraId="634F8E57">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14:paraId="12CA2BB1">
            <w:pPr>
              <w:pStyle w:val="16"/>
              <w:snapToGrid w:val="0"/>
              <w:spacing w:line="360" w:lineRule="auto"/>
              <w:rPr>
                <w:rFonts w:hAnsi="宋体" w:cs="宋体"/>
                <w:b/>
                <w:bCs/>
                <w:color w:val="auto"/>
                <w:sz w:val="21"/>
                <w:highlight w:val="none"/>
              </w:rPr>
            </w:pPr>
            <w:r>
              <w:rPr>
                <w:rFonts w:hint="eastAsia" w:hAnsi="宋体" w:cs="宋体"/>
                <w:b/>
                <w:bCs/>
                <w:color w:val="auto"/>
                <w:sz w:val="21"/>
                <w:highlight w:val="none"/>
              </w:rPr>
              <w:t>户名：云之龙咨询集团有限公司蒙山分公司</w:t>
            </w:r>
          </w:p>
          <w:p w14:paraId="1968AD30">
            <w:pPr>
              <w:pStyle w:val="16"/>
              <w:snapToGrid w:val="0"/>
              <w:spacing w:line="360" w:lineRule="auto"/>
              <w:rPr>
                <w:rFonts w:hAnsi="宋体" w:cs="宋体"/>
                <w:b/>
                <w:bCs/>
                <w:color w:val="auto"/>
                <w:sz w:val="21"/>
                <w:highlight w:val="none"/>
              </w:rPr>
            </w:pPr>
            <w:r>
              <w:rPr>
                <w:rFonts w:hint="eastAsia" w:hAnsi="宋体" w:cs="宋体"/>
                <w:b/>
                <w:bCs/>
                <w:color w:val="auto"/>
                <w:sz w:val="21"/>
                <w:highlight w:val="none"/>
              </w:rPr>
              <w:t>账号：660000022985200018</w:t>
            </w:r>
          </w:p>
          <w:p w14:paraId="7170138A">
            <w:pPr>
              <w:pStyle w:val="16"/>
              <w:snapToGrid w:val="0"/>
              <w:spacing w:line="360" w:lineRule="auto"/>
              <w:rPr>
                <w:rFonts w:hAnsi="宋体" w:cs="宋体"/>
                <w:color w:val="auto"/>
                <w:sz w:val="21"/>
                <w:highlight w:val="none"/>
                <w:lang w:val="en-US" w:eastAsia="zh-CN"/>
              </w:rPr>
            </w:pPr>
            <w:r>
              <w:rPr>
                <w:rFonts w:hint="eastAsia" w:hAnsi="宋体" w:cs="宋体"/>
                <w:b/>
                <w:bCs/>
                <w:color w:val="auto"/>
                <w:sz w:val="21"/>
                <w:highlight w:val="none"/>
              </w:rPr>
              <w:t>开户行：桂林银行梧州河西支行</w:t>
            </w:r>
          </w:p>
        </w:tc>
      </w:tr>
      <w:tr w14:paraId="76DA9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E8D0C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ign w:val="center"/>
          </w:tcPr>
          <w:p w14:paraId="18E0DB9E">
            <w:pPr>
              <w:pStyle w:val="16"/>
              <w:snapToGrid w:val="0"/>
              <w:spacing w:line="360" w:lineRule="auto"/>
              <w:rPr>
                <w:rFonts w:hAnsi="宋体" w:cs="宋体"/>
                <w:color w:val="auto"/>
                <w:kern w:val="2"/>
                <w:sz w:val="21"/>
                <w:highlight w:val="none"/>
                <w:lang w:val="en-US" w:eastAsia="zh-CN"/>
              </w:rPr>
            </w:pPr>
            <w:r>
              <w:rPr>
                <w:rFonts w:hint="eastAsia" w:hAnsi="宋体"/>
                <w:color w:val="auto"/>
                <w:sz w:val="21"/>
                <w:highlight w:val="none"/>
                <w:lang w:val="en-US" w:eastAsia="zh-CN"/>
              </w:rPr>
              <w:t>解释：</w:t>
            </w:r>
            <w:r>
              <w:rPr>
                <w:rFonts w:hAnsi="宋体"/>
                <w:color w:val="auto"/>
                <w:sz w:val="21"/>
                <w:highlight w:val="none"/>
                <w:lang w:val="en-US" w:eastAsia="zh-CN"/>
              </w:rPr>
              <w:t>构成本</w:t>
            </w:r>
            <w:r>
              <w:rPr>
                <w:rFonts w:hint="eastAsia" w:hAnsi="宋体"/>
                <w:color w:val="auto"/>
                <w:sz w:val="21"/>
                <w:highlight w:val="none"/>
                <w:lang w:val="en-US" w:eastAsia="zh-CN"/>
              </w:rPr>
              <w:t>磋商文件</w:t>
            </w:r>
            <w:r>
              <w:rPr>
                <w:rFonts w:hAnsi="宋体"/>
                <w:color w:val="auto"/>
                <w:sz w:val="21"/>
                <w:highlight w:val="none"/>
                <w:lang w:val="en-US" w:eastAsia="zh-CN"/>
              </w:rPr>
              <w:t>的各个组成文件应互为解释，互为说明；除</w:t>
            </w:r>
            <w:r>
              <w:rPr>
                <w:rFonts w:hint="eastAsia" w:hAnsi="宋体"/>
                <w:color w:val="auto"/>
                <w:sz w:val="21"/>
                <w:highlight w:val="none"/>
                <w:lang w:val="en-US" w:eastAsia="zh-CN"/>
              </w:rPr>
              <w:t>磋商文件</w:t>
            </w:r>
            <w:r>
              <w:rPr>
                <w:rFonts w:hAnsi="宋体"/>
                <w:color w:val="auto"/>
                <w:sz w:val="21"/>
                <w:highlight w:val="none"/>
                <w:lang w:val="en-US" w:eastAsia="zh-CN"/>
              </w:rPr>
              <w:t>中有特别规定外，仅适用于</w:t>
            </w:r>
            <w:r>
              <w:rPr>
                <w:rFonts w:hint="eastAsia" w:hAnsi="宋体"/>
                <w:color w:val="auto"/>
                <w:sz w:val="21"/>
                <w:highlight w:val="none"/>
                <w:lang w:val="en-US" w:eastAsia="zh-CN"/>
              </w:rPr>
              <w:t>竞标</w:t>
            </w:r>
            <w:r>
              <w:rPr>
                <w:rFonts w:hAnsi="宋体"/>
                <w:color w:val="auto"/>
                <w:sz w:val="21"/>
                <w:highlight w:val="none"/>
                <w:lang w:val="en-US" w:eastAsia="zh-CN"/>
              </w:rPr>
              <w:t>阶段的规定，按</w:t>
            </w:r>
            <w:r>
              <w:rPr>
                <w:rFonts w:hint="eastAsia" w:hAnsi="宋体"/>
                <w:color w:val="auto"/>
                <w:sz w:val="21"/>
                <w:highlight w:val="none"/>
                <w:lang w:val="en-US" w:eastAsia="zh-CN"/>
              </w:rPr>
              <w:t>更正公告（澄清公告）</w:t>
            </w:r>
            <w:r>
              <w:rPr>
                <w:rFonts w:hAnsi="宋体"/>
                <w:color w:val="auto"/>
                <w:sz w:val="21"/>
                <w:highlight w:val="none"/>
                <w:lang w:val="en-US" w:eastAsia="zh-CN"/>
              </w:rPr>
              <w:t>、</w:t>
            </w:r>
            <w:r>
              <w:rPr>
                <w:rFonts w:hint="eastAsia" w:hAnsi="宋体"/>
                <w:color w:val="auto"/>
                <w:sz w:val="21"/>
                <w:highlight w:val="none"/>
                <w:lang w:val="en-US" w:eastAsia="zh-CN"/>
              </w:rPr>
              <w:t>竞争性磋商</w:t>
            </w:r>
            <w:r>
              <w:rPr>
                <w:rFonts w:hAnsi="宋体"/>
                <w:color w:val="auto"/>
                <w:sz w:val="21"/>
                <w:highlight w:val="none"/>
                <w:lang w:val="en-US" w:eastAsia="zh-CN"/>
              </w:rPr>
              <w:t>公告、</w:t>
            </w:r>
            <w:r>
              <w:rPr>
                <w:rFonts w:hint="eastAsia" w:hAnsi="宋体"/>
                <w:color w:val="auto"/>
                <w:sz w:val="21"/>
                <w:highlight w:val="none"/>
                <w:lang w:val="en-US" w:eastAsia="zh-CN"/>
              </w:rPr>
              <w:t>供应商</w:t>
            </w:r>
            <w:r>
              <w:rPr>
                <w:rFonts w:hAnsi="宋体"/>
                <w:color w:val="auto"/>
                <w:sz w:val="21"/>
                <w:highlight w:val="none"/>
                <w:lang w:val="en-US" w:eastAsia="zh-CN"/>
              </w:rPr>
              <w:t>须知</w:t>
            </w:r>
            <w:r>
              <w:rPr>
                <w:rFonts w:hint="eastAsia" w:hAnsi="宋体"/>
                <w:color w:val="auto"/>
                <w:sz w:val="21"/>
                <w:highlight w:val="none"/>
                <w:lang w:val="en-US" w:eastAsia="zh-CN"/>
              </w:rPr>
              <w:t>、采购需求</w:t>
            </w:r>
            <w:r>
              <w:rPr>
                <w:rFonts w:hAnsi="宋体"/>
                <w:color w:val="auto"/>
                <w:sz w:val="21"/>
                <w:highlight w:val="none"/>
                <w:lang w:val="en-US" w:eastAsia="zh-CN"/>
              </w:rPr>
              <w:t>、</w:t>
            </w:r>
            <w:r>
              <w:rPr>
                <w:rFonts w:hint="eastAsia"/>
                <w:color w:val="auto"/>
                <w:sz w:val="21"/>
                <w:highlight w:val="none"/>
                <w:lang w:val="en-US" w:eastAsia="zh-CN"/>
              </w:rPr>
              <w:t>评审程序、评审方法和评审标准</w:t>
            </w:r>
            <w:r>
              <w:rPr>
                <w:rFonts w:hAnsi="宋体"/>
                <w:color w:val="auto"/>
                <w:sz w:val="21"/>
                <w:highlight w:val="none"/>
                <w:lang w:val="en-US" w:eastAsia="zh-CN"/>
              </w:rPr>
              <w:t>、</w:t>
            </w:r>
            <w:r>
              <w:rPr>
                <w:rFonts w:hint="eastAsia" w:hAnsi="宋体"/>
                <w:color w:val="auto"/>
                <w:sz w:val="21"/>
                <w:highlight w:val="none"/>
                <w:lang w:val="en-US" w:eastAsia="zh-CN"/>
              </w:rPr>
              <w:t>响应</w:t>
            </w:r>
            <w:r>
              <w:rPr>
                <w:rFonts w:hAnsi="宋体"/>
                <w:color w:val="auto"/>
                <w:sz w:val="21"/>
                <w:highlight w:val="none"/>
                <w:lang w:val="en-US" w:eastAsia="zh-CN"/>
              </w:rPr>
              <w:t>文件格式</w:t>
            </w:r>
            <w:r>
              <w:rPr>
                <w:rFonts w:hint="eastAsia" w:hAnsi="宋体"/>
                <w:color w:val="auto"/>
                <w:sz w:val="21"/>
                <w:highlight w:val="none"/>
                <w:lang w:val="en-US" w:eastAsia="zh-CN"/>
              </w:rPr>
              <w:t>、合同文本</w:t>
            </w:r>
            <w:r>
              <w:rPr>
                <w:rFonts w:hAnsi="宋体"/>
                <w:color w:val="auto"/>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lang w:val="en-US" w:eastAsia="zh-CN"/>
              </w:rPr>
              <w:t>更正公告（澄清公告）</w:t>
            </w:r>
            <w:r>
              <w:rPr>
                <w:rFonts w:hAnsi="宋体"/>
                <w:color w:val="auto"/>
                <w:sz w:val="21"/>
                <w:highlight w:val="none"/>
                <w:lang w:val="en-US" w:eastAsia="zh-CN"/>
              </w:rPr>
              <w:t>与同步更新的</w:t>
            </w:r>
            <w:r>
              <w:rPr>
                <w:rFonts w:hint="eastAsia" w:hAnsi="宋体"/>
                <w:color w:val="auto"/>
                <w:sz w:val="21"/>
                <w:highlight w:val="none"/>
                <w:lang w:val="en-US" w:eastAsia="zh-CN"/>
              </w:rPr>
              <w:t>磋商文件</w:t>
            </w:r>
            <w:r>
              <w:rPr>
                <w:rFonts w:hAnsi="宋体"/>
                <w:color w:val="auto"/>
                <w:sz w:val="21"/>
                <w:highlight w:val="none"/>
                <w:lang w:val="en-US" w:eastAsia="zh-CN"/>
              </w:rPr>
              <w:t>不一致时以</w:t>
            </w:r>
            <w:r>
              <w:rPr>
                <w:rFonts w:hint="eastAsia" w:hAnsi="宋体"/>
                <w:color w:val="auto"/>
                <w:sz w:val="21"/>
                <w:highlight w:val="none"/>
                <w:lang w:val="en-US" w:eastAsia="zh-CN"/>
              </w:rPr>
              <w:t>更正公告（澄清公告）</w:t>
            </w:r>
            <w:r>
              <w:rPr>
                <w:rFonts w:hAnsi="宋体"/>
                <w:color w:val="auto"/>
                <w:sz w:val="21"/>
                <w:highlight w:val="none"/>
                <w:lang w:val="en-US" w:eastAsia="zh-CN"/>
              </w:rPr>
              <w:t>为准。按本款前述规定仍不能形成结论的，由</w:t>
            </w:r>
            <w:r>
              <w:rPr>
                <w:rFonts w:hint="eastAsia" w:hAnsi="宋体"/>
                <w:color w:val="auto"/>
                <w:sz w:val="21"/>
                <w:highlight w:val="none"/>
                <w:lang w:val="en-US" w:eastAsia="zh-CN"/>
              </w:rPr>
              <w:t>采购</w:t>
            </w:r>
            <w:r>
              <w:rPr>
                <w:rFonts w:hAnsi="宋体"/>
                <w:color w:val="auto"/>
                <w:sz w:val="21"/>
                <w:highlight w:val="none"/>
                <w:lang w:val="en-US" w:eastAsia="zh-CN"/>
              </w:rPr>
              <w:t>人</w:t>
            </w:r>
            <w:r>
              <w:rPr>
                <w:rFonts w:hint="eastAsia" w:hAnsi="宋体"/>
                <w:color w:val="auto"/>
                <w:sz w:val="21"/>
                <w:highlight w:val="none"/>
                <w:lang w:val="en-US" w:eastAsia="zh-CN"/>
              </w:rPr>
              <w:t>或者采购代理机构</w:t>
            </w:r>
            <w:r>
              <w:rPr>
                <w:rFonts w:hAnsi="宋体"/>
                <w:color w:val="auto"/>
                <w:sz w:val="21"/>
                <w:highlight w:val="none"/>
                <w:lang w:val="en-US" w:eastAsia="zh-CN"/>
              </w:rPr>
              <w:t>负责解释。</w:t>
            </w:r>
          </w:p>
        </w:tc>
      </w:tr>
      <w:tr w14:paraId="782EC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74CE2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ign w:val="center"/>
          </w:tcPr>
          <w:p w14:paraId="3B31D5E9">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6DD5630">
            <w:pPr>
              <w:pStyle w:val="16"/>
              <w:snapToGrid w:val="0"/>
              <w:spacing w:line="360" w:lineRule="auto"/>
              <w:rPr>
                <w:rFonts w:hAnsi="宋体" w:cs="宋体"/>
                <w:color w:val="auto"/>
                <w:sz w:val="21"/>
                <w:highlight w:val="none"/>
                <w:lang w:val="en-US" w:eastAsia="zh-CN"/>
              </w:rPr>
            </w:pPr>
            <w:r>
              <w:rPr>
                <w:rFonts w:hint="eastAsia" w:hAnsi="宋体" w:cs="宋体"/>
                <w:bCs/>
                <w:color w:val="auto"/>
                <w:sz w:val="21"/>
                <w:highlight w:val="none"/>
                <w:lang w:val="en-US" w:eastAsia="zh-CN"/>
              </w:rPr>
              <w:t>2.本磋商文件所称的“</w:t>
            </w:r>
            <w:r>
              <w:rPr>
                <w:rFonts w:hint="eastAsia" w:hAnsi="宋体"/>
                <w:color w:val="auto"/>
                <w:sz w:val="21"/>
                <w:highlight w:val="none"/>
                <w:lang w:val="en-US" w:eastAsia="zh-CN"/>
              </w:rPr>
              <w:t>电子签章</w:t>
            </w:r>
            <w:r>
              <w:rPr>
                <w:rFonts w:hint="eastAsia" w:hAnsi="宋体" w:cs="宋体"/>
                <w:bCs/>
                <w:color w:val="auto"/>
                <w:sz w:val="21"/>
                <w:highlight w:val="none"/>
                <w:lang w:val="en-US" w:eastAsia="zh-CN"/>
              </w:rPr>
              <w:t>”“电子签名”</w:t>
            </w:r>
            <w:r>
              <w:rPr>
                <w:rFonts w:hint="eastAsia" w:hAnsi="宋体"/>
                <w:color w:val="auto"/>
                <w:sz w:val="21"/>
                <w:highlight w:val="none"/>
                <w:lang w:val="en-US" w:eastAsia="zh-CN"/>
              </w:rPr>
              <w:t>，是指经广西政府采购云平台认可的CA认证的电子签名数据为表现形式的印章，可用于签署电子响应文件，电子印章与实物印章具有同等法律效力，不因其采用电子化表现形式而否定其法律效力。</w:t>
            </w:r>
          </w:p>
          <w:p w14:paraId="76DA51DB">
            <w:pPr>
              <w:pStyle w:val="16"/>
              <w:snapToGrid w:val="0"/>
              <w:spacing w:line="360" w:lineRule="auto"/>
              <w:rPr>
                <w:rFonts w:hAnsi="宋体" w:cs="宋体"/>
                <w:bCs/>
                <w:color w:val="auto"/>
                <w:sz w:val="21"/>
                <w:highlight w:val="none"/>
                <w:lang w:val="en-US" w:eastAsia="zh-CN"/>
              </w:rPr>
            </w:pPr>
            <w:r>
              <w:rPr>
                <w:rFonts w:hAnsi="宋体" w:cs="宋体"/>
                <w:color w:val="auto"/>
                <w:sz w:val="21"/>
                <w:highlight w:val="none"/>
                <w:lang w:val="en-US" w:eastAsia="zh-CN"/>
              </w:rPr>
              <w:t>3</w:t>
            </w:r>
            <w:r>
              <w:rPr>
                <w:rFonts w:hint="eastAsia" w:hAnsi="宋体" w:cs="宋体"/>
                <w:color w:val="auto"/>
                <w:sz w:val="21"/>
                <w:highlight w:val="none"/>
                <w:lang w:val="en-US" w:eastAsia="zh-CN"/>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lang w:val="en-US" w:eastAsia="zh-CN"/>
              </w:rPr>
              <w:t>营业执照或者执业许可证等证照上的</w:t>
            </w:r>
            <w:r>
              <w:rPr>
                <w:rFonts w:hint="eastAsia" w:hAnsi="宋体" w:cs="宋体"/>
                <w:color w:val="auto"/>
                <w:sz w:val="21"/>
                <w:highlight w:val="none"/>
                <w:lang w:val="en-US" w:eastAsia="zh-CN"/>
              </w:rPr>
              <w:t>负责人，本磋商文件所称自然人指参与竞标的自然人本人，</w:t>
            </w:r>
            <w:r>
              <w:rPr>
                <w:rFonts w:hint="eastAsia" w:hAnsi="宋体" w:cs="宋体"/>
                <w:bCs/>
                <w:color w:val="auto"/>
                <w:sz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6F004F29">
            <w:pPr>
              <w:pStyle w:val="16"/>
              <w:snapToGrid w:val="0"/>
              <w:spacing w:line="360" w:lineRule="auto"/>
              <w:rPr>
                <w:rFonts w:hAnsi="宋体" w:cs="宋体"/>
                <w:color w:val="auto"/>
                <w:sz w:val="21"/>
                <w:highlight w:val="none"/>
                <w:lang w:val="en-US" w:eastAsia="zh-CN"/>
              </w:rPr>
            </w:pPr>
            <w:r>
              <w:rPr>
                <w:rFonts w:hAnsi="宋体" w:cs="宋体"/>
                <w:color w:val="auto"/>
                <w:sz w:val="21"/>
                <w:highlight w:val="none"/>
                <w:lang w:val="en-US" w:eastAsia="zh-CN"/>
              </w:rPr>
              <w:t>4.</w:t>
            </w:r>
            <w:r>
              <w:rPr>
                <w:rFonts w:hint="eastAsia" w:hAnsi="宋体" w:cs="宋体"/>
                <w:color w:val="auto"/>
                <w:sz w:val="21"/>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3B9FEB03">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5</w:t>
            </w:r>
            <w:r>
              <w:rPr>
                <w:rFonts w:hAnsi="宋体" w:cs="宋体"/>
                <w:color w:val="auto"/>
                <w:sz w:val="21"/>
                <w:highlight w:val="none"/>
                <w:lang w:val="en-US" w:eastAsia="zh-CN"/>
              </w:rPr>
              <w:t>.</w:t>
            </w:r>
            <w:r>
              <w:rPr>
                <w:rFonts w:hint="eastAsia" w:hAnsi="宋体" w:cs="宋体"/>
                <w:color w:val="auto"/>
                <w:sz w:val="21"/>
                <w:highlight w:val="none"/>
                <w:lang w:val="en-US" w:eastAsia="zh-CN"/>
              </w:rPr>
              <w:t>本磋商文件所称的“以上”“以下”“以内”“届满”，包括本数；所称的“不满”“超过”“以外”，不包括本数。</w:t>
            </w:r>
          </w:p>
        </w:tc>
      </w:tr>
    </w:tbl>
    <w:p w14:paraId="7A45E1F6">
      <w:pPr>
        <w:spacing w:line="400" w:lineRule="exact"/>
        <w:jc w:val="center"/>
        <w:outlineLvl w:val="1"/>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02D80F3C">
      <w:pPr>
        <w:spacing w:line="400" w:lineRule="exact"/>
        <w:jc w:val="center"/>
        <w:rPr>
          <w:rFonts w:ascii="宋体" w:hAnsi="宋体"/>
          <w:b/>
          <w:color w:val="auto"/>
          <w:sz w:val="32"/>
          <w:szCs w:val="32"/>
          <w:highlight w:val="none"/>
        </w:rPr>
      </w:pPr>
    </w:p>
    <w:p w14:paraId="4BBD58D8">
      <w:pPr>
        <w:spacing w:line="400" w:lineRule="exact"/>
        <w:jc w:val="center"/>
        <w:outlineLvl w:val="2"/>
        <w:rPr>
          <w:rFonts w:ascii="宋体" w:hAnsi="宋体"/>
          <w:b/>
          <w:color w:val="auto"/>
          <w:sz w:val="32"/>
          <w:szCs w:val="32"/>
          <w:highlight w:val="none"/>
        </w:rPr>
      </w:pPr>
      <w:r>
        <w:rPr>
          <w:rFonts w:hint="eastAsia" w:ascii="宋体" w:hAnsi="宋体"/>
          <w:b/>
          <w:color w:val="auto"/>
          <w:sz w:val="32"/>
          <w:szCs w:val="32"/>
          <w:highlight w:val="none"/>
        </w:rPr>
        <w:t>一、总则</w:t>
      </w:r>
    </w:p>
    <w:p w14:paraId="00E48C58">
      <w:pPr>
        <w:spacing w:line="400" w:lineRule="exact"/>
        <w:rPr>
          <w:rFonts w:ascii="宋体" w:hAnsi="宋体"/>
          <w:color w:val="auto"/>
          <w:szCs w:val="21"/>
          <w:highlight w:val="none"/>
        </w:rPr>
      </w:pPr>
    </w:p>
    <w:p w14:paraId="2692BD3D">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4EE8B6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68617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F7E4BCE">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3ECFC5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39A023D2">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F309A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339B503">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539014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5E1A670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781C4B9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935FCC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62452E5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1DB5DFB1">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383084A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631444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6B6FE4CD">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0AD8A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23D4A3A">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152B86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59FAF813">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B0C32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766F4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D586E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56" w:name="_Hlk66782192"/>
      <w:r>
        <w:rPr>
          <w:rFonts w:hint="eastAsia" w:ascii="宋体" w:hAnsi="宋体"/>
          <w:bCs/>
          <w:color w:val="auto"/>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6"/>
    </w:p>
    <w:p w14:paraId="1FA9237B">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7CFE0B10">
      <w:pPr>
        <w:keepNext w:val="0"/>
        <w:keepLines w:val="0"/>
        <w:spacing w:before="0" w:after="0" w:line="360" w:lineRule="auto"/>
        <w:ind w:left="420" w:leftChars="200"/>
        <w:outlineLvl w:val="9"/>
        <w:rPr>
          <w:rFonts w:ascii="宋体" w:hAnsi="宋体"/>
          <w:b w:val="0"/>
          <w:color w:val="auto"/>
          <w:sz w:val="21"/>
          <w:szCs w:val="21"/>
          <w:highlight w:val="none"/>
        </w:rPr>
      </w:pPr>
      <w:bookmarkStart w:id="57" w:name="_Toc254970532"/>
      <w:bookmarkStart w:id="58" w:name="_Toc254970673"/>
      <w:r>
        <w:rPr>
          <w:rFonts w:hint="eastAsia" w:ascii="宋体" w:hAnsi="宋体"/>
          <w:b w:val="0"/>
          <w:color w:val="auto"/>
          <w:sz w:val="21"/>
          <w:szCs w:val="21"/>
          <w:highlight w:val="none"/>
        </w:rPr>
        <w:t>6.1本项目不允许转包。</w:t>
      </w:r>
    </w:p>
    <w:p w14:paraId="036F39F4">
      <w:pPr>
        <w:keepNext w:val="0"/>
        <w:keepLines w:val="0"/>
        <w:spacing w:before="0" w:after="0" w:line="360" w:lineRule="auto"/>
        <w:ind w:firstLine="315" w:firstLineChars="150"/>
        <w:outlineLvl w:val="9"/>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270FC10">
      <w:pPr>
        <w:keepNext w:val="0"/>
        <w:keepLines w:val="0"/>
        <w:spacing w:before="0" w:after="0" w:line="360" w:lineRule="auto"/>
        <w:ind w:firstLine="315" w:firstLineChars="150"/>
        <w:outlineLvl w:val="9"/>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41C8B712">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7"/>
      <w:bookmarkEnd w:id="58"/>
    </w:p>
    <w:p w14:paraId="06CA3BD0">
      <w:pPr>
        <w:spacing w:line="360" w:lineRule="auto"/>
        <w:ind w:firstLine="420" w:firstLineChars="200"/>
        <w:rPr>
          <w:rFonts w:ascii="宋体" w:hAnsi="宋体" w:cs="宋体"/>
          <w:color w:val="auto"/>
          <w:szCs w:val="21"/>
          <w:highlight w:val="none"/>
        </w:rPr>
      </w:pPr>
      <w:bookmarkStart w:id="59" w:name="_8.1提供相同品牌产品且通过资格审查、符合性审查的不同投标人参加同一合"/>
      <w:bookmarkEnd w:id="59"/>
      <w:r>
        <w:rPr>
          <w:rFonts w:hint="eastAsia" w:ascii="宋体" w:hAnsi="宋体" w:cs="宋体"/>
          <w:color w:val="auto"/>
          <w:szCs w:val="21"/>
          <w:highlight w:val="none"/>
        </w:rPr>
        <w:t>7.</w:t>
      </w:r>
      <w:r>
        <w:rPr>
          <w:rFonts w:ascii="宋体" w:hAnsi="宋体" w:cs="宋体"/>
          <w:color w:val="auto"/>
          <w:szCs w:val="21"/>
          <w:highlight w:val="none"/>
        </w:rPr>
        <w:t>1</w:t>
      </w:r>
      <w:bookmarkStart w:id="60"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0"/>
    <w:p w14:paraId="5BC8F5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3BB1ED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62AF0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3DDA02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8514D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2ABAA9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77431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97444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83C5D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2D9B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3818F7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076A4F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11EB3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73EC0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2A156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F68911A">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47E49F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09E894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A1CA9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04451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449EB4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6CF83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A348B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30543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9D105C9">
      <w:pPr>
        <w:spacing w:line="360" w:lineRule="auto"/>
        <w:ind w:firstLine="420" w:firstLineChars="200"/>
        <w:rPr>
          <w:rFonts w:ascii="宋体" w:hAnsi="宋体" w:cs="宋体"/>
          <w:color w:val="auto"/>
          <w:szCs w:val="21"/>
          <w:highlight w:val="none"/>
        </w:rPr>
      </w:pPr>
    </w:p>
    <w:p w14:paraId="5494FD76">
      <w:pPr>
        <w:spacing w:line="360" w:lineRule="auto"/>
        <w:ind w:left="1" w:firstLine="417" w:firstLineChars="199"/>
        <w:jc w:val="center"/>
        <w:rPr>
          <w:rFonts w:ascii="宋体" w:hAnsi="宋体"/>
          <w:color w:val="auto"/>
          <w:highlight w:val="none"/>
        </w:rPr>
      </w:pPr>
      <w:bookmarkStart w:id="61" w:name="_Toc254970675"/>
      <w:bookmarkStart w:id="62" w:name="_Toc254970534"/>
    </w:p>
    <w:p w14:paraId="05B1D834">
      <w:pPr>
        <w:spacing w:line="360" w:lineRule="auto"/>
        <w:jc w:val="center"/>
        <w:outlineLvl w:val="2"/>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1"/>
      <w:bookmarkEnd w:id="62"/>
    </w:p>
    <w:p w14:paraId="58E73757">
      <w:pPr>
        <w:spacing w:line="360" w:lineRule="auto"/>
        <w:rPr>
          <w:rFonts w:ascii="宋体" w:hAnsi="宋体"/>
          <w:color w:val="auto"/>
          <w:szCs w:val="21"/>
          <w:highlight w:val="none"/>
        </w:rPr>
      </w:pPr>
    </w:p>
    <w:p w14:paraId="25E7B6F7">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1FA0CD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41D57E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3618A7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41B5F09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52AC91F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1F3128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39A26F3F">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4C33B7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17F0826F">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59434707">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5E93384F">
      <w:pPr>
        <w:spacing w:line="360" w:lineRule="auto"/>
        <w:rPr>
          <w:rFonts w:ascii="宋体" w:hAnsi="宋体"/>
          <w:color w:val="auto"/>
          <w:szCs w:val="21"/>
          <w:highlight w:val="none"/>
        </w:rPr>
      </w:pPr>
    </w:p>
    <w:p w14:paraId="2282F010">
      <w:pPr>
        <w:spacing w:line="360" w:lineRule="auto"/>
        <w:jc w:val="center"/>
        <w:outlineLvl w:val="2"/>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615FEE18">
      <w:pPr>
        <w:spacing w:line="360" w:lineRule="auto"/>
        <w:rPr>
          <w:rFonts w:ascii="宋体" w:hAnsi="宋体"/>
          <w:color w:val="auto"/>
          <w:szCs w:val="21"/>
          <w:highlight w:val="none"/>
        </w:rPr>
      </w:pPr>
    </w:p>
    <w:p w14:paraId="36EEB701">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6E994D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w:t>
      </w:r>
      <w:r>
        <w:rPr>
          <w:rFonts w:hint="eastAsia" w:ascii="宋体" w:hAnsi="宋体"/>
          <w:color w:val="auto"/>
          <w:szCs w:val="21"/>
          <w:highlight w:val="none"/>
        </w:rPr>
        <w:t>提出的要求和条件作出明确响应</w:t>
      </w:r>
      <w:r>
        <w:rPr>
          <w:rFonts w:hint="eastAsia" w:ascii="宋体" w:hAnsi="宋体" w:cs="宋体"/>
          <w:color w:val="auto"/>
          <w:szCs w:val="21"/>
          <w:highlight w:val="none"/>
        </w:rPr>
        <w:t>。</w:t>
      </w:r>
    </w:p>
    <w:p w14:paraId="0E092944">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7E1DC5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43D0C751">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04603FED">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3B3F47CD">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06DB716E">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4F0BAC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A7E1B5E">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5DF81A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EAFC9EB">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778AFFC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45903214">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223D1325">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25DD81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2CC6C5E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437924BD">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5F0A06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1A740C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6D9B79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63" w:name="_Hlk42592874"/>
      <w:r>
        <w:rPr>
          <w:rFonts w:hint="eastAsia" w:ascii="宋体" w:hAnsi="宋体" w:cs="宋体"/>
          <w:color w:val="auto"/>
          <w:szCs w:val="21"/>
          <w:highlight w:val="none"/>
        </w:rPr>
        <w:t>竞标报价（包含首次报价、最后报价）超过分项采购预算金额或者最高限价的，其响应文件将按无效处理。</w:t>
      </w:r>
    </w:p>
    <w:bookmarkEnd w:id="63"/>
    <w:p w14:paraId="54643828">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ADB2A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2C2B7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4191D8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43670BB">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5E20EE6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263C8E6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352D7C75">
      <w:pPr>
        <w:spacing w:line="360" w:lineRule="auto"/>
        <w:ind w:firstLine="420" w:firstLineChars="200"/>
        <w:rPr>
          <w:rFonts w:ascii="宋体" w:hAnsi="宋体" w:cs="宋体"/>
          <w:color w:val="auto"/>
          <w:szCs w:val="21"/>
          <w:highlight w:val="none"/>
        </w:rPr>
      </w:pPr>
      <w:bookmarkStart w:id="64"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64"/>
    </w:p>
    <w:p w14:paraId="47DB4C7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17.3除逾期退还磋商保证金和终止采购的情形以外，磋商保证金不计息。</w:t>
      </w:r>
    </w:p>
    <w:p w14:paraId="6458549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554D3EC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52D67763">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1313FA2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2D3686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1D72BB5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6209FEC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432548E4">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BC86B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29E588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5C06B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57674E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b/>
          <w:color w:val="auto"/>
          <w:szCs w:val="21"/>
          <w:highlight w:val="none"/>
        </w:rPr>
        <w:t>并与广西政府采购云平台中获取采购文件的供应商名称一致，</w:t>
      </w:r>
      <w:r>
        <w:rPr>
          <w:rFonts w:hint="eastAsia" w:ascii="宋体" w:hAnsi="宋体" w:cs="宋体"/>
          <w:color w:val="auto"/>
          <w:szCs w:val="21"/>
          <w:highlight w:val="none"/>
        </w:rPr>
        <w:t>供应商为自然人的，标注的供应商名称应与身份证姓名及签名一致，否则其响应文件按无效响应处理。</w:t>
      </w:r>
    </w:p>
    <w:p w14:paraId="26EAA7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AC3A2C4">
      <w:pPr>
        <w:spacing w:line="360" w:lineRule="auto"/>
        <w:ind w:firstLine="482" w:firstLineChars="200"/>
        <w:outlineLvl w:val="3"/>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3692EE19">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2A2AFCB0">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18DE7062">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2DFF6542">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45650928">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61EA27E3">
      <w:pPr>
        <w:snapToGrid w:val="0"/>
        <w:spacing w:line="360" w:lineRule="auto"/>
        <w:ind w:firstLine="420"/>
        <w:jc w:val="left"/>
        <w:rPr>
          <w:rFonts w:ascii="宋体" w:hAnsi="宋体"/>
          <w:color w:val="auto"/>
          <w:szCs w:val="21"/>
          <w:highlight w:val="none"/>
        </w:rPr>
      </w:pPr>
      <w:bookmarkStart w:id="65" w:name="_Toc254970543"/>
      <w:bookmarkStart w:id="66"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65"/>
    <w:bookmarkEnd w:id="66"/>
    <w:p w14:paraId="4606A683">
      <w:pPr>
        <w:pStyle w:val="66"/>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0795E0F4">
      <w:pPr>
        <w:spacing w:line="360" w:lineRule="auto"/>
        <w:ind w:firstLine="482" w:firstLineChars="200"/>
        <w:outlineLvl w:val="3"/>
        <w:rPr>
          <w:rFonts w:ascii="黑体" w:hAnsi="黑体" w:eastAsia="黑体" w:cs="宋体"/>
          <w:b/>
          <w:bCs/>
          <w:color w:val="auto"/>
          <w:sz w:val="24"/>
          <w:highlight w:val="none"/>
        </w:rPr>
      </w:pPr>
      <w:bookmarkStart w:id="67" w:name="_Hlk45702405"/>
      <w:r>
        <w:rPr>
          <w:rFonts w:hint="eastAsia" w:ascii="黑体" w:hAnsi="黑体" w:eastAsia="黑体" w:cs="宋体"/>
          <w:b/>
          <w:bCs/>
          <w:color w:val="auto"/>
          <w:sz w:val="24"/>
          <w:highlight w:val="none"/>
        </w:rPr>
        <w:t>22.响应文件的退回</w:t>
      </w:r>
    </w:p>
    <w:p w14:paraId="20E2C0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402E2ED6">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20741B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67"/>
    <w:p w14:paraId="3F1B5892">
      <w:pPr>
        <w:spacing w:line="360" w:lineRule="auto"/>
        <w:rPr>
          <w:rFonts w:ascii="宋体" w:hAnsi="宋体"/>
          <w:color w:val="auto"/>
          <w:szCs w:val="21"/>
          <w:highlight w:val="none"/>
        </w:rPr>
      </w:pPr>
    </w:p>
    <w:p w14:paraId="121AA157">
      <w:pPr>
        <w:spacing w:line="360" w:lineRule="auto"/>
        <w:ind w:left="420" w:firstLine="420"/>
        <w:jc w:val="center"/>
        <w:outlineLvl w:val="2"/>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2D7EFB7F">
      <w:pPr>
        <w:spacing w:line="360" w:lineRule="auto"/>
        <w:ind w:left="420" w:firstLine="420"/>
        <w:rPr>
          <w:rFonts w:ascii="宋体" w:hAnsi="宋体"/>
          <w:color w:val="auto"/>
          <w:szCs w:val="21"/>
          <w:highlight w:val="none"/>
        </w:rPr>
      </w:pPr>
    </w:p>
    <w:p w14:paraId="0C89B078">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4C0235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43CB26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E5BF40B">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00F355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574BE0CF">
      <w:pPr>
        <w:spacing w:line="360" w:lineRule="auto"/>
        <w:ind w:firstLine="482" w:firstLineChars="200"/>
        <w:outlineLvl w:val="3"/>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54EEEFF6">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487E0C9C">
      <w:pPr>
        <w:spacing w:line="360" w:lineRule="auto"/>
        <w:ind w:firstLine="482" w:firstLineChars="200"/>
        <w:outlineLvl w:val="3"/>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57B153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76BED48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5D0549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762B4D2B">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064C741A">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463573D">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2E49294E">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1090F016">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720FDF6B">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1A0491E1">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52F103E8">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63D53FB9">
      <w:pPr>
        <w:spacing w:line="360" w:lineRule="auto"/>
        <w:ind w:firstLine="482" w:firstLineChars="200"/>
        <w:outlineLvl w:val="3"/>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1FE9FD4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21BAA73">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8"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8"/>
    </w:p>
    <w:p w14:paraId="1A38E397">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2CEE914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4D09D5E7">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6EDB4491">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4FA97984">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75A22317">
      <w:pPr>
        <w:spacing w:line="360" w:lineRule="auto"/>
        <w:ind w:firstLine="482" w:firstLineChars="200"/>
        <w:outlineLvl w:val="3"/>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481D084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.1履约保证金的金额、提交方式、缴纳期限、退付的时间和条件详见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061F2D6F">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0FDB5012">
      <w:pPr>
        <w:spacing w:line="360" w:lineRule="auto"/>
        <w:ind w:firstLine="482" w:firstLineChars="200"/>
        <w:outlineLvl w:val="3"/>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128E81C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2180F4A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0678031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3903310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676BCF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D4C7D5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24D19AE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5D0343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E58A329">
      <w:pPr>
        <w:spacing w:line="360" w:lineRule="auto"/>
        <w:ind w:firstLine="482" w:firstLineChars="200"/>
        <w:outlineLvl w:val="3"/>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2CF5ED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E59007D">
      <w:pPr>
        <w:spacing w:line="360" w:lineRule="auto"/>
        <w:ind w:firstLine="482" w:firstLineChars="200"/>
        <w:outlineLvl w:val="3"/>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0BD3CC6B">
      <w:pPr>
        <w:pStyle w:val="7"/>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55E3F84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7D6153F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049E7A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EF1889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41FB1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54816A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6DF22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4EF477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158B5C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A5763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0F0832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81D8F3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A4A80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F45E1A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D6D6C8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C467A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E1C06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2AA2134">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64E9DC0">
      <w:pPr>
        <w:spacing w:line="360" w:lineRule="auto"/>
        <w:ind w:firstLine="482" w:firstLineChars="200"/>
        <w:outlineLvl w:val="3"/>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30E9C71A">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4FEE6D78">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5"/>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C6A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2DD260D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2B5B2766">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ign w:val="center"/>
          </w:tcPr>
          <w:p w14:paraId="1365ED2E">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ign w:val="center"/>
          </w:tcPr>
          <w:p w14:paraId="52C0A6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ign w:val="center"/>
          </w:tcPr>
          <w:p w14:paraId="6E210B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6E86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2416BAC">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19FA8CCC">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tcPr>
          <w:p w14:paraId="62E8967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tcPr>
          <w:p w14:paraId="21D7B59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7CEE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256ABEB">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noWrap/>
          </w:tcPr>
          <w:p w14:paraId="59D150F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tcPr>
          <w:p w14:paraId="3704EAC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tcPr>
          <w:p w14:paraId="59EDA51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631D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B24B883">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noWrap/>
          </w:tcPr>
          <w:p w14:paraId="5A6B2E21">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tcPr>
          <w:p w14:paraId="68AA1FB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tcPr>
          <w:p w14:paraId="3739A01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7CE1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7EE6B1A">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noWrap/>
          </w:tcPr>
          <w:p w14:paraId="3D0AFB3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tcPr>
          <w:p w14:paraId="53992AE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tcPr>
          <w:p w14:paraId="5775092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170B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206F1CE">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75B41B3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tcPr>
          <w:p w14:paraId="031AE01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tcPr>
          <w:p w14:paraId="209B222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7E0C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9728D6D">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noWrap/>
          </w:tcPr>
          <w:p w14:paraId="66F5063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tcPr>
          <w:p w14:paraId="1D82ABA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tcPr>
          <w:p w14:paraId="4E30998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945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BD493C4">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noWrap/>
          </w:tcPr>
          <w:p w14:paraId="52C33F7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tcPr>
          <w:p w14:paraId="07A82FD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tcPr>
          <w:p w14:paraId="274379C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5CE3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A5F8004">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noWrap/>
          </w:tcPr>
          <w:p w14:paraId="704925D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tcPr>
          <w:p w14:paraId="1212CF4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tcPr>
          <w:p w14:paraId="2401AE7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4376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CD27C20">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noWrap/>
          </w:tcPr>
          <w:p w14:paraId="0732E0E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tcPr>
          <w:p w14:paraId="0E54831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tcPr>
          <w:p w14:paraId="32E6723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459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D8E1D3A">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tcPr>
          <w:p w14:paraId="26E02EB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tcPr>
          <w:p w14:paraId="7723AB2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tcPr>
          <w:p w14:paraId="44439F7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135A1C73">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28E0EF0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7755930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414EB451">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5E6A3584">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27856488">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5EA3D79C">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7F261F79">
      <w:pPr>
        <w:spacing w:line="360" w:lineRule="auto"/>
        <w:ind w:firstLine="482" w:firstLineChars="200"/>
        <w:outlineLvl w:val="3"/>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389FCD8F">
      <w:pPr>
        <w:pStyle w:val="16"/>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5AF94C60">
      <w:pPr>
        <w:pStyle w:val="16"/>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7E1FED4B">
      <w:pPr>
        <w:pStyle w:val="16"/>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9AE0CEB">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869B337">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16DCFE9F">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E542E6D">
      <w:pPr>
        <w:pStyle w:val="16"/>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66759A8">
      <w:pPr>
        <w:pStyle w:val="16"/>
        <w:spacing w:line="360" w:lineRule="auto"/>
        <w:ind w:firstLine="420" w:firstLineChars="200"/>
        <w:textAlignment w:val="center"/>
        <w:rPr>
          <w:b/>
          <w:bCs/>
          <w:color w:val="auto"/>
          <w:sz w:val="18"/>
          <w:szCs w:val="18"/>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r>
        <w:rPr>
          <w:rFonts w:hAnsi="宋体"/>
          <w:b/>
          <w:color w:val="auto"/>
          <w:highlight w:val="none"/>
        </w:rPr>
        <w:br w:type="page"/>
      </w:r>
    </w:p>
    <w:p w14:paraId="6B439C34">
      <w:pPr>
        <w:pStyle w:val="16"/>
        <w:snapToGrid w:val="0"/>
        <w:spacing w:before="120" w:after="120"/>
        <w:rPr>
          <w:rFonts w:hAnsi="宋体"/>
          <w:color w:val="auto"/>
          <w:highlight w:val="none"/>
        </w:rPr>
      </w:pPr>
    </w:p>
    <w:p w14:paraId="731E3DA1">
      <w:pPr>
        <w:jc w:val="left"/>
        <w:rPr>
          <w:rFonts w:hAnsi="宋体"/>
          <w:b/>
          <w:color w:val="auto"/>
          <w:sz w:val="32"/>
          <w:szCs w:val="32"/>
          <w:highlight w:val="none"/>
        </w:rPr>
      </w:pPr>
    </w:p>
    <w:p w14:paraId="18ABE350">
      <w:pPr>
        <w:pStyle w:val="3"/>
        <w:jc w:val="center"/>
        <w:rPr>
          <w:color w:val="auto"/>
          <w:highlight w:val="none"/>
        </w:rPr>
      </w:pPr>
      <w:bookmarkStart w:id="69" w:name="_Toc74323458"/>
      <w:r>
        <w:rPr>
          <w:rFonts w:hint="eastAsia"/>
          <w:color w:val="auto"/>
          <w:highlight w:val="none"/>
        </w:rPr>
        <w:t>第三章 采购需求</w:t>
      </w:r>
      <w:bookmarkEnd w:id="69"/>
    </w:p>
    <w:p w14:paraId="2092054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0985EF9F">
      <w:pPr>
        <w:numPr>
          <w:ilvl w:val="0"/>
          <w:numId w:val="1"/>
        </w:numPr>
        <w:spacing w:line="360" w:lineRule="auto"/>
        <w:ind w:firstLine="420" w:firstLineChars="200"/>
        <w:jc w:val="left"/>
        <w:rPr>
          <w:color w:val="auto"/>
          <w:highlight w:val="none"/>
        </w:rPr>
      </w:pPr>
      <w:r>
        <w:rPr>
          <w:rFonts w:hint="eastAsia"/>
          <w:color w:val="auto"/>
          <w:highlight w:val="none"/>
        </w:rPr>
        <w:t>为落实政府采购政策需满足的要求</w:t>
      </w:r>
    </w:p>
    <w:p w14:paraId="4D96543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422702B2">
      <w:pPr>
        <w:spacing w:line="360" w:lineRule="auto"/>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2. “实质性要求”是指采购需求中带“▲”的条款或者不能负偏离的条款或者已经指明不满足按响应文件按无效处理的条款。</w:t>
      </w:r>
    </w:p>
    <w:p w14:paraId="20841E6E">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bCs/>
          <w:color w:val="auto"/>
          <w:szCs w:val="21"/>
          <w:highlight w:val="none"/>
        </w:rPr>
        <w:t>标记“●”的条款是指采购需求中的重要技术参数，作为评分标准依据。</w:t>
      </w:r>
    </w:p>
    <w:p w14:paraId="3B6655F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46A1D5E3">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.供应商必须自行为其竞标产品侵犯他人的知识产权或者专利成果的行为承担相应法律责任。</w:t>
      </w:r>
    </w:p>
    <w:p w14:paraId="149938A2">
      <w:pPr>
        <w:spacing w:line="360" w:lineRule="auto"/>
        <w:ind w:firstLine="426" w:firstLineChars="202"/>
        <w:jc w:val="left"/>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6.本项目采购标的所属行业为“租赁和商务服务业”。</w:t>
      </w:r>
    </w:p>
    <w:p w14:paraId="653365B3">
      <w:pPr>
        <w:spacing w:line="360" w:lineRule="auto"/>
        <w:ind w:firstLine="310" w:firstLineChars="147"/>
        <w:jc w:val="left"/>
        <w:rPr>
          <w:rFonts w:hint="eastAsia" w:ascii="宋体" w:hAnsi="宋体"/>
          <w:b/>
          <w:color w:val="auto"/>
          <w:szCs w:val="21"/>
          <w:highlight w:val="none"/>
          <w:u w:val="single"/>
          <w:lang w:eastAsia="zh-CN"/>
        </w:rPr>
      </w:pPr>
      <w:r>
        <w:rPr>
          <w:rFonts w:hint="eastAsia" w:ascii="宋体" w:hAnsi="宋体"/>
          <w:b/>
          <w:color w:val="auto"/>
          <w:szCs w:val="21"/>
          <w:highlight w:val="none"/>
        </w:rPr>
        <w:t>采购预算：</w:t>
      </w:r>
      <w:r>
        <w:rPr>
          <w:rFonts w:hint="eastAsia" w:ascii="宋体" w:hAnsi="宋体"/>
          <w:b/>
          <w:color w:val="auto"/>
          <w:szCs w:val="21"/>
          <w:highlight w:val="none"/>
          <w:u w:val="single"/>
          <w:lang w:eastAsia="zh-CN"/>
        </w:rPr>
        <w:t>70.00万元</w:t>
      </w:r>
    </w:p>
    <w:tbl>
      <w:tblPr>
        <w:tblStyle w:val="26"/>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29"/>
        <w:gridCol w:w="810"/>
        <w:gridCol w:w="7266"/>
      </w:tblGrid>
      <w:tr w14:paraId="7350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14:paraId="18ED8D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b/>
                <w:bCs w:val="0"/>
                <w:color w:val="auto"/>
                <w:kern w:val="2"/>
                <w:sz w:val="21"/>
                <w:szCs w:val="21"/>
                <w:highlight w:val="none"/>
                <w:u w:val="none"/>
                <w:vertAlign w:val="baseline"/>
                <w:lang w:val="en-US" w:eastAsia="zh-CN" w:bidi="ar-SA"/>
              </w:rPr>
              <w:t>序号</w:t>
            </w:r>
          </w:p>
        </w:tc>
        <w:tc>
          <w:tcPr>
            <w:tcW w:w="1029" w:type="dxa"/>
            <w:noWrap w:val="0"/>
            <w:vAlign w:val="center"/>
          </w:tcPr>
          <w:p w14:paraId="6A22BD0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b/>
                <w:bCs w:val="0"/>
                <w:color w:val="auto"/>
                <w:kern w:val="2"/>
                <w:sz w:val="21"/>
                <w:szCs w:val="21"/>
                <w:highlight w:val="none"/>
                <w:u w:val="none"/>
                <w:vertAlign w:val="baseline"/>
                <w:lang w:val="en-US" w:eastAsia="zh-CN" w:bidi="ar-SA"/>
              </w:rPr>
              <w:t>标的名称</w:t>
            </w:r>
          </w:p>
        </w:tc>
        <w:tc>
          <w:tcPr>
            <w:tcW w:w="810" w:type="dxa"/>
            <w:noWrap w:val="0"/>
            <w:vAlign w:val="center"/>
          </w:tcPr>
          <w:p w14:paraId="3508EB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b/>
                <w:bCs w:val="0"/>
                <w:color w:val="auto"/>
                <w:kern w:val="2"/>
                <w:sz w:val="21"/>
                <w:szCs w:val="21"/>
                <w:highlight w:val="none"/>
                <w:u w:val="none"/>
                <w:vertAlign w:val="baseline"/>
                <w:lang w:val="en-US" w:eastAsia="zh-CN" w:bidi="ar-SA"/>
              </w:rPr>
              <w:t>数量及单位</w:t>
            </w:r>
          </w:p>
        </w:tc>
        <w:tc>
          <w:tcPr>
            <w:tcW w:w="7266" w:type="dxa"/>
            <w:noWrap w:val="0"/>
            <w:vAlign w:val="center"/>
          </w:tcPr>
          <w:p w14:paraId="39AC6E6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b/>
                <w:bCs w:val="0"/>
                <w:color w:val="auto"/>
                <w:kern w:val="2"/>
                <w:sz w:val="21"/>
                <w:szCs w:val="21"/>
                <w:highlight w:val="none"/>
                <w:u w:val="none"/>
                <w:vertAlign w:val="baseline"/>
                <w:lang w:val="en-US" w:eastAsia="zh-CN" w:bidi="ar-SA"/>
              </w:rPr>
              <w:t>技术要求</w:t>
            </w:r>
          </w:p>
        </w:tc>
      </w:tr>
      <w:tr w14:paraId="1D54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14:paraId="178F86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1</w:t>
            </w:r>
          </w:p>
        </w:tc>
        <w:tc>
          <w:tcPr>
            <w:tcW w:w="1029" w:type="dxa"/>
            <w:noWrap w:val="0"/>
            <w:vAlign w:val="center"/>
          </w:tcPr>
          <w:p w14:paraId="46AFBDB5">
            <w:pPr>
              <w:keepNext w:val="0"/>
              <w:keepLines w:val="0"/>
              <w:pageBreakBefore w:val="0"/>
              <w:widowControl w:val="0"/>
              <w:shd w:val="clear" w:color="auto" w:fill="auto"/>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蒙山县人民法院移动办公办案专用通信租赁服务项目</w:t>
            </w:r>
          </w:p>
        </w:tc>
        <w:tc>
          <w:tcPr>
            <w:tcW w:w="810" w:type="dxa"/>
            <w:noWrap w:val="0"/>
            <w:vAlign w:val="center"/>
          </w:tcPr>
          <w:p w14:paraId="2D54099E">
            <w:pPr>
              <w:keepNext w:val="0"/>
              <w:keepLines w:val="0"/>
              <w:pageBreakBefore w:val="0"/>
              <w:widowControl w:val="0"/>
              <w:shd w:val="clear" w:color="auto" w:fill="auto"/>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sz w:val="21"/>
                <w:szCs w:val="21"/>
                <w:highlight w:val="none"/>
              </w:rPr>
              <w:t>1项</w:t>
            </w:r>
          </w:p>
        </w:tc>
        <w:tc>
          <w:tcPr>
            <w:tcW w:w="7266" w:type="dxa"/>
            <w:noWrap w:val="0"/>
            <w:vAlign w:val="center"/>
          </w:tcPr>
          <w:p w14:paraId="246CE92B">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提供专用网络接入和移动应用平台，保障内外网络安全互联，供应商需提供共110套5G移动办公网络服务及71套移动办公系统服务，运维服务期为24个月，具体包含如下服务内容</w:t>
            </w:r>
            <w:r>
              <w:rPr>
                <w:rFonts w:hint="eastAsia" w:ascii="宋体" w:hAnsi="宋体" w:eastAsia="宋体" w:cs="宋体"/>
                <w:color w:val="auto"/>
                <w:sz w:val="21"/>
                <w:szCs w:val="21"/>
                <w:highlight w:val="none"/>
              </w:rPr>
              <w:t>：</w:t>
            </w:r>
          </w:p>
          <w:p w14:paraId="3A6FC47D">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一、移动办公网络要求</w:t>
            </w:r>
          </w:p>
          <w:p w14:paraId="3A639359">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每月提供内容：（1）每月提供国内高速流量≥60GB(超出后不限速，3元/GB/号计收)；</w:t>
            </w:r>
          </w:p>
          <w:p w14:paraId="362DE3FF">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（2）每月提供≥1000分钟国内主叫通话，≥3000分钟法院网内互打通话，国内接听免费，国内通话:当月国内通话超出对应套餐档位所包含分钟数后，按国内0.15元/分钟计收；</w:t>
            </w:r>
          </w:p>
          <w:p w14:paraId="16E1A3AE">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（3）每月提供国内短信200条，国内短/彩信超出0.1元/条；</w:t>
            </w:r>
          </w:p>
          <w:p w14:paraId="4525C0FA">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（4）提供≥1000M宽带+高清电视机顶盒；</w:t>
            </w:r>
          </w:p>
          <w:p w14:paraId="60F5D313">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●（5）提供定制加密通信功能服务，并提供安全加密 SIM 卡；其中</w:t>
            </w:r>
            <w:r>
              <w:rPr>
                <w:rFonts w:hint="eastAsia" w:ascii="宋体" w:hAnsi="宋体" w:cs="宋体"/>
                <w:bCs/>
                <w:color w:val="auto"/>
                <w:sz w:val="21"/>
                <w:szCs w:val="21"/>
                <w:highlight w:val="none"/>
                <w:lang w:val="en-US" w:eastAsia="zh-CN"/>
              </w:rPr>
              <w:t>26</w:t>
            </w:r>
            <w:r>
              <w:rPr>
                <w:rFonts w:hint="eastAsia" w:ascii="宋体" w:hAnsi="宋体" w:eastAsia="宋体" w:cs="宋体"/>
                <w:bCs/>
                <w:color w:val="auto"/>
                <w:sz w:val="21"/>
                <w:szCs w:val="21"/>
                <w:highlight w:val="none"/>
              </w:rPr>
              <w:t>套</w:t>
            </w:r>
            <w:r>
              <w:rPr>
                <w:rFonts w:hint="eastAsia" w:ascii="宋体" w:hAnsi="宋体" w:eastAsia="宋体" w:cs="宋体"/>
                <w:bCs/>
                <w:color w:val="auto"/>
                <w:sz w:val="21"/>
                <w:szCs w:val="21"/>
                <w:highlight w:val="none"/>
              </w:rPr>
              <w:t>提供云办公服务；</w:t>
            </w:r>
          </w:p>
          <w:p w14:paraId="5A902342">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以上五项服务超出部分费用另外计收。</w:t>
            </w:r>
          </w:p>
          <w:p w14:paraId="01B3639A">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2.运维服务期24个月。</w:t>
            </w:r>
          </w:p>
          <w:p w14:paraId="05C49EBA">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二、</w:t>
            </w:r>
            <w:r>
              <w:rPr>
                <w:rFonts w:hint="eastAsia" w:ascii="宋体" w:hAnsi="宋体" w:cs="宋体"/>
                <w:bCs/>
                <w:color w:val="auto"/>
                <w:sz w:val="21"/>
                <w:szCs w:val="21"/>
                <w:highlight w:val="none"/>
                <w:lang w:val="en-US" w:eastAsia="zh-CN"/>
              </w:rPr>
              <w:t>71</w:t>
            </w:r>
            <w:r>
              <w:rPr>
                <w:rFonts w:hint="eastAsia" w:ascii="宋体" w:hAnsi="宋体" w:eastAsia="宋体" w:cs="宋体"/>
                <w:bCs/>
                <w:color w:val="auto"/>
                <w:sz w:val="21"/>
                <w:szCs w:val="21"/>
                <w:highlight w:val="none"/>
              </w:rPr>
              <w:t>套移动办公系统</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参数要</w:t>
            </w:r>
            <w:r>
              <w:rPr>
                <w:rFonts w:hint="eastAsia" w:ascii="宋体" w:hAnsi="宋体" w:eastAsia="宋体" w:cs="宋体"/>
                <w:color w:val="auto"/>
                <w:kern w:val="0"/>
                <w:sz w:val="21"/>
                <w:szCs w:val="21"/>
                <w:highlight w:val="none"/>
              </w:rPr>
              <w:t>求如下：</w:t>
            </w:r>
          </w:p>
          <w:p w14:paraId="0185C94D">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操作系统：</w:t>
            </w:r>
            <w:r>
              <w:rPr>
                <w:rFonts w:hint="eastAsia" w:ascii="宋体" w:hAnsi="宋体" w:eastAsia="宋体" w:cs="宋体"/>
                <w:color w:val="auto"/>
                <w:kern w:val="0"/>
                <w:sz w:val="21"/>
                <w:szCs w:val="21"/>
                <w:highlight w:val="none"/>
                <w:lang w:eastAsia="zh-CN"/>
              </w:rPr>
              <w:t>相当于或优于</w:t>
            </w:r>
            <w:r>
              <w:rPr>
                <w:rFonts w:hint="eastAsia" w:ascii="宋体" w:hAnsi="宋体" w:eastAsia="宋体" w:cs="宋体"/>
                <w:color w:val="auto"/>
                <w:kern w:val="0"/>
                <w:sz w:val="21"/>
                <w:szCs w:val="21"/>
                <w:highlight w:val="none"/>
              </w:rPr>
              <w:t>HarmonyOS 4.</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，运行内存≥1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GB，机身内存≥</w:t>
            </w:r>
            <w:r>
              <w:rPr>
                <w:rFonts w:hint="eastAsia" w:ascii="宋体" w:hAnsi="宋体" w:eastAsia="宋体" w:cs="宋体"/>
                <w:color w:val="auto"/>
                <w:kern w:val="0"/>
                <w:sz w:val="21"/>
                <w:szCs w:val="21"/>
                <w:highlight w:val="none"/>
                <w:lang w:val="en-US" w:eastAsia="zh-CN"/>
              </w:rPr>
              <w:t>512GB</w:t>
            </w:r>
            <w:r>
              <w:rPr>
                <w:rFonts w:hint="eastAsia" w:ascii="宋体" w:hAnsi="宋体" w:eastAsia="宋体" w:cs="宋体"/>
                <w:color w:val="auto"/>
                <w:kern w:val="0"/>
                <w:sz w:val="21"/>
                <w:szCs w:val="21"/>
                <w:highlight w:val="none"/>
              </w:rPr>
              <w:t>。</w:t>
            </w:r>
          </w:p>
          <w:p w14:paraId="066AC1A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屏幕：屏幕尺寸≥6.</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英寸，屏幕色彩≥10.7亿色，P3广色域，分辨率≥FHD+</w:t>
            </w:r>
            <w:r>
              <w:rPr>
                <w:rFonts w:hint="eastAsia" w:ascii="宋体" w:hAnsi="宋体" w:eastAsia="宋体" w:cs="宋体"/>
                <w:bCs/>
                <w:color w:val="auto"/>
                <w:sz w:val="21"/>
                <w:szCs w:val="21"/>
                <w:highlight w:val="none"/>
                <w:lang w:val="en-US" w:eastAsia="zh-CN"/>
              </w:rPr>
              <w:t>2832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1316</w:t>
            </w:r>
            <w:r>
              <w:rPr>
                <w:rFonts w:hint="eastAsia" w:ascii="宋体" w:hAnsi="宋体" w:eastAsia="宋体" w:cs="宋体"/>
                <w:bCs/>
                <w:color w:val="auto"/>
                <w:sz w:val="21"/>
                <w:szCs w:val="21"/>
                <w:highlight w:val="none"/>
              </w:rPr>
              <w:t>像素</w:t>
            </w:r>
          </w:p>
          <w:p w14:paraId="3FAE67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拍摄功能：后置摄像头≥5000万像素超聚光摄像头（F1.4~F4.0光圈，OIS光学防抖）+4000万像素超广角摄像头（F2.2光圈）+4800万像素超聚光微距长焦摄像头（F2.1光圈，OIS光学防抖）+150万多光谱通道</w:t>
            </w:r>
          </w:p>
          <w:p w14:paraId="3B6CB8F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SIM卡类型：SIM卡1：nano SIM卡，SIM卡2：nano SIM卡</w:t>
            </w:r>
          </w:p>
          <w:p w14:paraId="6F54B6B3">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WLAN功能：802.11 a/b/g/n/ac/ax,2x2 MIMO,HE160,1024QAM,8 Spatial-stream Sounding MU-MIMO</w:t>
            </w:r>
          </w:p>
          <w:p w14:paraId="7CACD7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电池容量：≥</w:t>
            </w:r>
            <w:r>
              <w:rPr>
                <w:rFonts w:hint="eastAsia" w:ascii="宋体" w:hAnsi="宋体" w:eastAsia="宋体" w:cs="宋体"/>
                <w:bCs/>
                <w:color w:val="auto"/>
                <w:sz w:val="21"/>
                <w:szCs w:val="21"/>
                <w:highlight w:val="none"/>
                <w:lang w:val="en-US" w:eastAsia="zh-CN"/>
              </w:rPr>
              <w:t>5500</w:t>
            </w:r>
            <w:r>
              <w:rPr>
                <w:rFonts w:hint="eastAsia" w:ascii="宋体" w:hAnsi="宋体" w:eastAsia="宋体" w:cs="宋体"/>
                <w:bCs/>
                <w:color w:val="auto"/>
                <w:sz w:val="21"/>
                <w:szCs w:val="21"/>
                <w:highlight w:val="none"/>
              </w:rPr>
              <w:t>mAh</w:t>
            </w:r>
          </w:p>
          <w:p w14:paraId="0B9AACB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支持NFC、wifi、蓝牙、双向北斗卫星消息、双卡双待功能</w:t>
            </w:r>
          </w:p>
          <w:p w14:paraId="2017CBA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定位：支持 GPS（L1 + L5 双频）/AGPS/GLONASS/北斗（B1I+B1C+B2a+B2b四频）/GALILEO（E1+E5a+E5b三频）/QZSS（L1+L5双频）/NavIC</w:t>
            </w:r>
          </w:p>
        </w:tc>
      </w:tr>
      <w:tr w14:paraId="0764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52" w:type="dxa"/>
            <w:gridSpan w:val="4"/>
            <w:noWrap w:val="0"/>
            <w:vAlign w:val="center"/>
          </w:tcPr>
          <w:p w14:paraId="2C414D9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b/>
                <w:bCs/>
                <w:color w:val="auto"/>
                <w:sz w:val="21"/>
                <w:szCs w:val="21"/>
                <w:highlight w:val="none"/>
                <w:lang w:val="en-US" w:eastAsia="zh-CN"/>
              </w:rPr>
              <w:t>▲一、商务要求</w:t>
            </w:r>
          </w:p>
        </w:tc>
      </w:tr>
      <w:tr w14:paraId="0511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6" w:type="dxa"/>
            <w:gridSpan w:val="2"/>
            <w:noWrap w:val="0"/>
            <w:vAlign w:val="center"/>
          </w:tcPr>
          <w:p w14:paraId="5D5FE0C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color w:val="auto"/>
                <w:sz w:val="21"/>
                <w:szCs w:val="21"/>
                <w:highlight w:val="none"/>
                <w:lang w:val="en-US" w:eastAsia="zh-CN"/>
              </w:rPr>
              <w:t>合同履行期限、交付时间及地点</w:t>
            </w:r>
          </w:p>
        </w:tc>
        <w:tc>
          <w:tcPr>
            <w:tcW w:w="8076" w:type="dxa"/>
            <w:gridSpan w:val="2"/>
            <w:noWrap w:val="0"/>
            <w:vAlign w:val="center"/>
          </w:tcPr>
          <w:p w14:paraId="13933CF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1、合同履行期限（运维服务期）：自验收合格之日起24个月。</w:t>
            </w:r>
          </w:p>
          <w:p w14:paraId="62E6F62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2、交付时间：自签订合同之日起60个日历日内。</w:t>
            </w:r>
          </w:p>
          <w:p w14:paraId="4BDC431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color w:val="auto"/>
                <w:sz w:val="21"/>
                <w:szCs w:val="21"/>
                <w:highlight w:val="none"/>
                <w:lang w:val="en-US" w:eastAsia="zh-CN"/>
              </w:rPr>
              <w:t>3、交付地点：</w:t>
            </w:r>
            <w:r>
              <w:rPr>
                <w:rFonts w:hint="eastAsia" w:ascii="宋体" w:hAnsi="宋体" w:eastAsia="宋体" w:cs="宋体"/>
                <w:color w:val="auto"/>
                <w:sz w:val="21"/>
                <w:szCs w:val="21"/>
                <w:highlight w:val="none"/>
                <w:lang w:val="en-US" w:eastAsia="zh-CN"/>
              </w:rPr>
              <w:t>蒙山镇湄江中路西蒙山县人民法院</w:t>
            </w:r>
            <w:r>
              <w:rPr>
                <w:rFonts w:hint="eastAsia" w:ascii="宋体" w:hAnsi="宋体" w:eastAsia="宋体" w:cs="宋体"/>
                <w:color w:val="auto"/>
                <w:sz w:val="21"/>
                <w:szCs w:val="21"/>
                <w:highlight w:val="none"/>
                <w:lang w:val="en-US" w:eastAsia="zh-CN"/>
              </w:rPr>
              <w:t>。</w:t>
            </w:r>
          </w:p>
        </w:tc>
      </w:tr>
      <w:tr w14:paraId="315B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6" w:type="dxa"/>
            <w:gridSpan w:val="2"/>
            <w:noWrap w:val="0"/>
            <w:vAlign w:val="center"/>
          </w:tcPr>
          <w:p w14:paraId="4BD9BB36">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color w:val="auto"/>
                <w:sz w:val="21"/>
                <w:szCs w:val="21"/>
                <w:highlight w:val="none"/>
              </w:rPr>
              <w:t>合同签订时间</w:t>
            </w:r>
          </w:p>
        </w:tc>
        <w:tc>
          <w:tcPr>
            <w:tcW w:w="8076" w:type="dxa"/>
            <w:gridSpan w:val="2"/>
            <w:noWrap w:val="0"/>
            <w:vAlign w:val="center"/>
          </w:tcPr>
          <w:p w14:paraId="0CC2291A">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自成交通知书发出之日起</w:t>
            </w:r>
            <w:r>
              <w:rPr>
                <w:rFonts w:hint="eastAsia" w:ascii="宋体" w:hAnsi="宋体" w:eastAsia="宋体" w:cs="宋体"/>
                <w:b w:val="0"/>
                <w:bCs/>
                <w:color w:val="auto"/>
                <w:kern w:val="2"/>
                <w:sz w:val="21"/>
                <w:szCs w:val="21"/>
                <w:highlight w:val="none"/>
                <w:u w:val="none"/>
                <w:vertAlign w:val="baseline"/>
                <w:lang w:val="en-US" w:eastAsia="zh-CN" w:bidi="ar-SA"/>
              </w:rPr>
              <w:t>7日</w:t>
            </w:r>
            <w:r>
              <w:rPr>
                <w:rFonts w:hint="eastAsia" w:ascii="宋体" w:hAnsi="宋体" w:eastAsia="宋体" w:cs="宋体"/>
                <w:b w:val="0"/>
                <w:bCs/>
                <w:color w:val="auto"/>
                <w:kern w:val="2"/>
                <w:sz w:val="21"/>
                <w:szCs w:val="21"/>
                <w:highlight w:val="none"/>
                <w:u w:val="none"/>
                <w:vertAlign w:val="baseline"/>
                <w:lang w:val="en-US" w:eastAsia="zh-CN" w:bidi="ar-SA"/>
              </w:rPr>
              <w:t>内</w:t>
            </w:r>
          </w:p>
        </w:tc>
      </w:tr>
      <w:tr w14:paraId="5411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6" w:type="dxa"/>
            <w:gridSpan w:val="2"/>
            <w:noWrap w:val="0"/>
            <w:vAlign w:val="center"/>
          </w:tcPr>
          <w:p w14:paraId="0400638A">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color w:val="auto"/>
                <w:sz w:val="21"/>
                <w:szCs w:val="21"/>
                <w:highlight w:val="none"/>
              </w:rPr>
              <w:t>付款条件</w:t>
            </w:r>
          </w:p>
        </w:tc>
        <w:tc>
          <w:tcPr>
            <w:tcW w:w="8076" w:type="dxa"/>
            <w:gridSpan w:val="2"/>
            <w:noWrap w:val="0"/>
            <w:vAlign w:val="center"/>
          </w:tcPr>
          <w:p w14:paraId="4536FC1A">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b w:val="0"/>
                <w:bCs/>
                <w:color w:val="auto"/>
                <w:sz w:val="21"/>
                <w:szCs w:val="21"/>
                <w:highlight w:val="none"/>
                <w:lang w:val="en-US" w:eastAsia="zh-Hans"/>
              </w:rPr>
              <w:t>项目验收</w:t>
            </w:r>
            <w:r>
              <w:rPr>
                <w:rFonts w:hint="eastAsia" w:ascii="宋体" w:hAnsi="宋体" w:cs="宋体"/>
                <w:b w:val="0"/>
                <w:bCs/>
                <w:color w:val="auto"/>
                <w:sz w:val="21"/>
                <w:szCs w:val="21"/>
                <w:highlight w:val="none"/>
                <w:lang w:val="en-US" w:eastAsia="zh-CN"/>
              </w:rPr>
              <w:t>完成并收到发票后10个工作日内一次性</w:t>
            </w:r>
            <w:r>
              <w:rPr>
                <w:rFonts w:hint="eastAsia" w:ascii="宋体" w:hAnsi="宋体" w:eastAsia="宋体" w:cs="宋体"/>
                <w:b w:val="0"/>
                <w:bCs/>
                <w:color w:val="auto"/>
                <w:sz w:val="21"/>
                <w:szCs w:val="21"/>
                <w:highlight w:val="none"/>
                <w:lang w:val="en-US" w:eastAsia="zh-Hans"/>
              </w:rPr>
              <w:t>支付</w:t>
            </w:r>
            <w:r>
              <w:rPr>
                <w:rFonts w:hint="eastAsia" w:ascii="宋体" w:hAnsi="宋体" w:eastAsia="宋体" w:cs="宋体"/>
                <w:color w:val="auto"/>
                <w:sz w:val="21"/>
                <w:szCs w:val="21"/>
                <w:highlight w:val="none"/>
                <w:lang w:val="en-US" w:eastAsia="zh-CN"/>
              </w:rPr>
              <w:t>合同总金额的100%费用</w:t>
            </w:r>
            <w:r>
              <w:rPr>
                <w:rFonts w:hint="eastAsia" w:ascii="宋体" w:hAnsi="宋体" w:eastAsia="宋体" w:cs="宋体"/>
                <w:b w:val="0"/>
                <w:bCs/>
                <w:color w:val="auto"/>
                <w:sz w:val="21"/>
                <w:szCs w:val="21"/>
                <w:highlight w:val="none"/>
                <w:lang w:val="en-US" w:eastAsia="zh-Hans"/>
              </w:rPr>
              <w:t>给成交供应商。</w:t>
            </w:r>
          </w:p>
        </w:tc>
      </w:tr>
      <w:tr w14:paraId="1BB2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6" w:type="dxa"/>
            <w:gridSpan w:val="2"/>
            <w:noWrap w:val="0"/>
            <w:vAlign w:val="center"/>
          </w:tcPr>
          <w:p w14:paraId="5F7324F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contextualSpacing/>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val="0"/>
                <w:color w:val="auto"/>
                <w:sz w:val="21"/>
                <w:szCs w:val="21"/>
                <w:highlight w:val="none"/>
                <w:lang w:val="en-US" w:eastAsia="zh-CN"/>
              </w:rPr>
              <w:t>售后服务及保障</w:t>
            </w:r>
          </w:p>
        </w:tc>
        <w:tc>
          <w:tcPr>
            <w:tcW w:w="8076" w:type="dxa"/>
            <w:gridSpan w:val="2"/>
            <w:noWrap w:val="0"/>
            <w:vAlign w:val="center"/>
          </w:tcPr>
          <w:p w14:paraId="5925D150">
            <w:pPr>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line="360" w:lineRule="auto"/>
              <w:contextualSpacing/>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要求至少包含产品部分及定制开发部分原厂1年维保服务</w:t>
            </w:r>
          </w:p>
          <w:p w14:paraId="1F1EAC5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contextualSpacing/>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运维服务期间，能够提供7×24小时热线电话服务，并提供多个故障申告途径及绿色通道，并指定专人负责上门受理调试日常维护及平时协助采购人维护检测等工作；提供365×24小时的售后服务响应；成交供应商对用户故障排除、系统运行提供全年7×24小时业务配合；</w:t>
            </w:r>
          </w:p>
          <w:p w14:paraId="12631CB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contextualSpacing/>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供应商必须</w:t>
            </w:r>
            <w:r>
              <w:rPr>
                <w:rFonts w:hint="eastAsia" w:ascii="宋体" w:hAnsi="宋体" w:eastAsia="宋体" w:cs="宋体"/>
                <w:b/>
                <w:bCs w:val="0"/>
                <w:color w:val="auto"/>
                <w:sz w:val="21"/>
                <w:szCs w:val="21"/>
                <w:highlight w:val="none"/>
                <w:lang w:val="en-US" w:eastAsia="zh-CN"/>
              </w:rPr>
              <w:t>在响应文件中</w:t>
            </w:r>
            <w:r>
              <w:rPr>
                <w:rFonts w:hint="eastAsia" w:ascii="宋体" w:hAnsi="宋体" w:eastAsia="宋体" w:cs="宋体"/>
                <w:b/>
                <w:bCs w:val="0"/>
                <w:color w:val="auto"/>
                <w:sz w:val="21"/>
                <w:szCs w:val="21"/>
                <w:highlight w:val="none"/>
                <w:lang w:val="en-US" w:eastAsia="zh-CN"/>
              </w:rPr>
              <w:t>提供保密承诺、廉洁承诺和售后服务承诺</w:t>
            </w:r>
            <w:r>
              <w:rPr>
                <w:rFonts w:hint="eastAsia" w:ascii="宋体" w:hAnsi="宋体" w:eastAsia="宋体" w:cs="宋体"/>
                <w:b w:val="0"/>
                <w:bCs/>
                <w:color w:val="auto"/>
                <w:sz w:val="21"/>
                <w:szCs w:val="21"/>
                <w:highlight w:val="none"/>
                <w:lang w:val="en-US" w:eastAsia="zh-CN"/>
              </w:rPr>
              <w:t>。</w:t>
            </w:r>
          </w:p>
        </w:tc>
      </w:tr>
      <w:tr w14:paraId="4326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2" w:type="dxa"/>
            <w:gridSpan w:val="4"/>
            <w:noWrap w:val="0"/>
            <w:vAlign w:val="center"/>
          </w:tcPr>
          <w:p w14:paraId="78BBD67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b/>
                <w:bCs/>
                <w:color w:val="auto"/>
                <w:kern w:val="2"/>
                <w:sz w:val="21"/>
                <w:szCs w:val="21"/>
                <w:highlight w:val="none"/>
                <w:lang w:val="en-US" w:eastAsia="zh-CN" w:bidi="ar-SA"/>
              </w:rPr>
              <w:t>二、与实现项目目标相关的其他要求</w:t>
            </w:r>
          </w:p>
        </w:tc>
      </w:tr>
      <w:tr w14:paraId="63EE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52" w:type="dxa"/>
            <w:gridSpan w:val="4"/>
            <w:noWrap w:val="0"/>
            <w:vAlign w:val="center"/>
          </w:tcPr>
          <w:p w14:paraId="10587275">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b/>
                <w:bCs w:val="0"/>
                <w:color w:val="auto"/>
                <w:kern w:val="2"/>
                <w:sz w:val="21"/>
                <w:szCs w:val="21"/>
                <w:highlight w:val="none"/>
                <w:u w:val="none"/>
                <w:vertAlign w:val="baseline"/>
                <w:lang w:val="en-US" w:eastAsia="zh-CN" w:bidi="ar-SA"/>
              </w:rPr>
              <w:t>（一）验收标准</w:t>
            </w:r>
          </w:p>
        </w:tc>
      </w:tr>
      <w:tr w14:paraId="4009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52" w:type="dxa"/>
            <w:gridSpan w:val="4"/>
            <w:noWrap w:val="0"/>
            <w:vAlign w:val="center"/>
          </w:tcPr>
          <w:p w14:paraId="31A6CF4D">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验收标准：符合现行国家相关标准、行业标准、地方标准或者其他标准、规范。</w:t>
            </w:r>
          </w:p>
          <w:p w14:paraId="3D705E68">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2、成交供应商在项目交付验收时，由验收小组对照竞争性磋商文件的项目要求及技术需求，全面核对检验。如不符合竞争性磋商文件的技术需求及要求以及提供虚假承诺的，按相关规定做违约处理，成交供应商承担所有责任和费用，采购人保留进一步追究责任的权利。</w:t>
            </w:r>
          </w:p>
          <w:p w14:paraId="0EBF10A4">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3、验收时间: 采购人收到成交供应商验收申请之日起5个工作日进行验收（如有特殊情况，按采购人指定的时间，另行验收）。</w:t>
            </w:r>
          </w:p>
          <w:p w14:paraId="1C20C2C7">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4、验收地点：广西蒙山县采购人指定地点。</w:t>
            </w:r>
          </w:p>
          <w:p w14:paraId="3DD99158">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5、验收方式：</w:t>
            </w:r>
          </w:p>
          <w:p w14:paraId="35D01A1A">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1）成交供应商完成服务后书面向采购人提交验收申请。</w:t>
            </w:r>
          </w:p>
          <w:p w14:paraId="0D6C6AF4">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2）本项目验收由验收小组按照采购合同约定对每一项技术和商务要求的履约情况进行确认，作为验收依据；</w:t>
            </w:r>
          </w:p>
          <w:p w14:paraId="1EAC6DCE">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3）验收结束后，验收小组出具采购验收书，验收书应当包括每一项技术和商务要求的履约情况，并列明项目总体评价，由验收小组、采购人和成交供应商共同签署。</w:t>
            </w:r>
          </w:p>
          <w:p w14:paraId="786E39CF">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4）验收过程中所产生的一切费用均由成交供应商承担。</w:t>
            </w:r>
          </w:p>
          <w:p w14:paraId="07BD22CF">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 xml:space="preserve">5）验收书一式肆份，双方各执两份。 </w:t>
            </w:r>
          </w:p>
          <w:p w14:paraId="36FA9E6B">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6）验收结论不合格的，成交供应商应自收到验收书后5日内及时予以解决。经成交供应商对验收结论不合格的货物进行整改后，仍然达不到要求的，经双方协商，可按以下办法处理：</w:t>
            </w:r>
          </w:p>
          <w:p w14:paraId="781B7A06">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（1）更换：由成交供应商承担所发生的全部费用；</w:t>
            </w:r>
          </w:p>
          <w:p w14:paraId="61D01572">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（2）退货处理：成交供应商应退还采购人支付的合同款，同时应承担与该货物相关的直接费用（运输、保险、检验、合同款利息及银行手续费等）。</w:t>
            </w:r>
          </w:p>
        </w:tc>
      </w:tr>
      <w:tr w14:paraId="14EF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52" w:type="dxa"/>
            <w:gridSpan w:val="4"/>
            <w:noWrap w:val="0"/>
            <w:vAlign w:val="center"/>
          </w:tcPr>
          <w:p w14:paraId="5E15B547">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bCs w:val="0"/>
                <w:color w:val="auto"/>
                <w:kern w:val="2"/>
                <w:sz w:val="21"/>
                <w:szCs w:val="21"/>
                <w:highlight w:val="none"/>
                <w:u w:val="none"/>
                <w:vertAlign w:val="baseline"/>
                <w:lang w:val="en-US" w:eastAsia="zh-CN" w:bidi="ar-SA"/>
              </w:rPr>
              <w:t>（二）其他</w:t>
            </w:r>
          </w:p>
        </w:tc>
      </w:tr>
      <w:tr w14:paraId="6477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52" w:type="dxa"/>
            <w:gridSpan w:val="4"/>
            <w:noWrap w:val="0"/>
            <w:vAlign w:val="center"/>
          </w:tcPr>
          <w:p w14:paraId="1D848EC9">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2"/>
                <w:sz w:val="21"/>
                <w:szCs w:val="21"/>
                <w:highlight w:val="none"/>
                <w:u w:val="none"/>
                <w:vertAlign w:val="baseline"/>
                <w:lang w:val="en-US" w:eastAsia="zh-CN" w:bidi="ar-SA"/>
              </w:rPr>
            </w:pPr>
            <w:r>
              <w:rPr>
                <w:rFonts w:hint="eastAsia" w:ascii="宋体" w:hAnsi="宋体" w:eastAsia="宋体" w:cs="宋体"/>
                <w:b w:val="0"/>
                <w:bCs/>
                <w:color w:val="auto"/>
                <w:kern w:val="2"/>
                <w:sz w:val="21"/>
                <w:szCs w:val="21"/>
                <w:highlight w:val="none"/>
                <w:u w:val="none"/>
                <w:vertAlign w:val="baseline"/>
                <w:lang w:val="en-US" w:eastAsia="zh-CN" w:bidi="ar-SA"/>
              </w:rPr>
              <w:t>为保证项目顺利实施，供应商可根据自身情况在响应文件中提供项目实施方案、运维服务方案、售后服务方案等内容。</w:t>
            </w:r>
          </w:p>
        </w:tc>
      </w:tr>
    </w:tbl>
    <w:p w14:paraId="7202B478">
      <w:pPr>
        <w:snapToGrid w:val="0"/>
        <w:spacing w:line="520" w:lineRule="exact"/>
        <w:outlineLvl w:val="9"/>
        <w:rPr>
          <w:rFonts w:ascii="黑体" w:hAnsi="黑体" w:eastAsia="黑体" w:cs="黑体"/>
          <w:color w:val="auto"/>
          <w:sz w:val="32"/>
          <w:szCs w:val="32"/>
          <w:highlight w:val="none"/>
        </w:rPr>
      </w:pPr>
      <w:r>
        <w:rPr>
          <w:rFonts w:hint="eastAsia" w:ascii="宋体" w:hAnsi="宋体" w:cs="宋体"/>
          <w:color w:val="auto"/>
          <w:szCs w:val="21"/>
          <w:highlight w:val="none"/>
        </w:rPr>
        <w:br w:type="page"/>
      </w:r>
      <w:r>
        <w:rPr>
          <w:rFonts w:hint="eastAsia" w:ascii="黑体" w:hAnsi="黑体" w:eastAsia="黑体" w:cs="黑体"/>
          <w:color w:val="auto"/>
          <w:sz w:val="32"/>
          <w:szCs w:val="32"/>
          <w:highlight w:val="none"/>
        </w:rPr>
        <w:t>附件1：</w:t>
      </w:r>
    </w:p>
    <w:p w14:paraId="4271388C">
      <w:pPr>
        <w:pStyle w:val="2"/>
        <w:jc w:val="center"/>
        <w:rPr>
          <w:b/>
          <w:color w:val="auto"/>
          <w:sz w:val="28"/>
          <w:szCs w:val="28"/>
          <w:highlight w:val="none"/>
        </w:rPr>
      </w:pPr>
      <w:r>
        <w:rPr>
          <w:rFonts w:hint="eastAsia"/>
          <w:b/>
          <w:color w:val="auto"/>
          <w:sz w:val="28"/>
          <w:szCs w:val="28"/>
          <w:highlight w:val="none"/>
        </w:rPr>
        <w:t>中小企业划型标准规定</w:t>
      </w:r>
    </w:p>
    <w:p w14:paraId="1324C086">
      <w:pPr>
        <w:pStyle w:val="2"/>
        <w:jc w:val="center"/>
        <w:rPr>
          <w:rFonts w:ascii="宋体" w:hAnsi="宋体"/>
          <w:color w:val="auto"/>
          <w:szCs w:val="21"/>
          <w:highlight w:val="none"/>
        </w:rPr>
      </w:pPr>
      <w:r>
        <w:rPr>
          <w:rFonts w:hint="eastAsia" w:ascii="宋体" w:hAnsi="宋体"/>
          <w:color w:val="auto"/>
          <w:szCs w:val="21"/>
          <w:highlight w:val="none"/>
        </w:rPr>
        <w:t>工信部联企业〔2011〕300号</w:t>
      </w:r>
    </w:p>
    <w:p w14:paraId="0AEF50E6">
      <w:pPr>
        <w:pStyle w:val="2"/>
        <w:rPr>
          <w:color w:val="auto"/>
          <w:sz w:val="24"/>
          <w:szCs w:val="21"/>
          <w:highlight w:val="none"/>
        </w:rPr>
      </w:pPr>
    </w:p>
    <w:p w14:paraId="270BE99B">
      <w:pPr>
        <w:pStyle w:val="2"/>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rFonts w:hint="eastAsia" w:ascii="宋体" w:hAnsi="宋体"/>
          <w:color w:val="auto"/>
          <w:szCs w:val="21"/>
          <w:highlight w:val="none"/>
        </w:rPr>
        <w:t>〔2009〕36号</w:t>
      </w:r>
      <w:r>
        <w:rPr>
          <w:color w:val="auto"/>
          <w:szCs w:val="21"/>
          <w:highlight w:val="none"/>
        </w:rPr>
        <w:t>)</w:t>
      </w:r>
      <w:r>
        <w:rPr>
          <w:rFonts w:hint="eastAsia"/>
          <w:color w:val="auto"/>
          <w:szCs w:val="21"/>
          <w:highlight w:val="none"/>
        </w:rPr>
        <w:t>，制定本规定。</w:t>
      </w:r>
    </w:p>
    <w:p w14:paraId="498D65C0">
      <w:pPr>
        <w:pStyle w:val="2"/>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06468177">
      <w:pPr>
        <w:pStyle w:val="2"/>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702720">
      <w:pPr>
        <w:pStyle w:val="2"/>
        <w:rPr>
          <w:color w:val="auto"/>
          <w:szCs w:val="21"/>
          <w:highlight w:val="none"/>
        </w:rPr>
      </w:pPr>
      <w:r>
        <w:rPr>
          <w:rFonts w:hint="eastAsia"/>
          <w:color w:val="auto"/>
          <w:szCs w:val="21"/>
          <w:highlight w:val="none"/>
        </w:rPr>
        <w:t>　　四、各行业划型标准为：</w:t>
      </w:r>
    </w:p>
    <w:p w14:paraId="69FC1A9A">
      <w:pPr>
        <w:pStyle w:val="2"/>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0DEACA19">
      <w:pPr>
        <w:pStyle w:val="2"/>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48365E30">
      <w:pPr>
        <w:pStyle w:val="2"/>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63D29E0B">
      <w:pPr>
        <w:pStyle w:val="2"/>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52CA7905">
      <w:pPr>
        <w:pStyle w:val="2"/>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49C1FD7">
      <w:pPr>
        <w:pStyle w:val="2"/>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46325674">
      <w:pPr>
        <w:pStyle w:val="2"/>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0DC61C7">
      <w:pPr>
        <w:pStyle w:val="2"/>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0657F54B">
      <w:pPr>
        <w:pStyle w:val="2"/>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EF5209C">
      <w:pPr>
        <w:pStyle w:val="2"/>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CF1843E">
      <w:pPr>
        <w:pStyle w:val="2"/>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19FED2B">
      <w:pPr>
        <w:pStyle w:val="2"/>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25CFC405">
      <w:pPr>
        <w:pStyle w:val="2"/>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1276F79A">
      <w:pPr>
        <w:pStyle w:val="2"/>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7DDDDB31">
      <w:pPr>
        <w:pStyle w:val="2"/>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301A1172">
      <w:pPr>
        <w:pStyle w:val="2"/>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58FA5546">
      <w:pPr>
        <w:pStyle w:val="2"/>
        <w:rPr>
          <w:color w:val="auto"/>
          <w:szCs w:val="21"/>
          <w:highlight w:val="none"/>
        </w:rPr>
      </w:pPr>
      <w:r>
        <w:rPr>
          <w:rFonts w:hint="eastAsia"/>
          <w:color w:val="auto"/>
          <w:szCs w:val="21"/>
          <w:highlight w:val="none"/>
        </w:rPr>
        <w:t>　　五、企业类型的划分以统计部门的统计数据为依据。</w:t>
      </w:r>
    </w:p>
    <w:p w14:paraId="3BEB8061">
      <w:pPr>
        <w:pStyle w:val="2"/>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19A98BDF">
      <w:pPr>
        <w:pStyle w:val="2"/>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B40CF79">
      <w:pPr>
        <w:pStyle w:val="2"/>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58C23B86">
      <w:pPr>
        <w:pStyle w:val="2"/>
        <w:rPr>
          <w:color w:val="auto"/>
          <w:szCs w:val="21"/>
          <w:highlight w:val="none"/>
        </w:rPr>
      </w:pPr>
      <w:r>
        <w:rPr>
          <w:rFonts w:hint="eastAsia"/>
          <w:color w:val="auto"/>
          <w:szCs w:val="21"/>
          <w:highlight w:val="none"/>
        </w:rPr>
        <w:t>　　九、本规定由工业和信息化部、国家统计局会同有关部门负责解释。</w:t>
      </w:r>
    </w:p>
    <w:p w14:paraId="6E05806E">
      <w:pPr>
        <w:pStyle w:val="2"/>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14A4775F">
      <w:pPr>
        <w:tabs>
          <w:tab w:val="left" w:pos="180"/>
          <w:tab w:val="left" w:pos="1620"/>
        </w:tabs>
        <w:spacing w:line="360" w:lineRule="auto"/>
        <w:ind w:firstLine="422" w:firstLineChars="200"/>
        <w:rPr>
          <w:rFonts w:ascii="宋体" w:hAnsi="宋体" w:cs="宋体"/>
          <w:b/>
          <w:bCs/>
          <w:color w:val="auto"/>
          <w:szCs w:val="21"/>
          <w:highlight w:val="none"/>
        </w:rPr>
      </w:pPr>
    </w:p>
    <w:p w14:paraId="30198743">
      <w:pPr>
        <w:rPr>
          <w:rFonts w:hint="eastAsia"/>
          <w:color w:val="auto"/>
          <w:highlight w:val="none"/>
        </w:rPr>
      </w:pPr>
      <w:bookmarkStart w:id="70" w:name="_Toc74323459"/>
      <w:r>
        <w:rPr>
          <w:rFonts w:hint="eastAsia"/>
          <w:color w:val="auto"/>
          <w:highlight w:val="none"/>
        </w:rPr>
        <w:br w:type="page"/>
      </w:r>
    </w:p>
    <w:p w14:paraId="435DA592">
      <w:pPr>
        <w:pStyle w:val="3"/>
        <w:jc w:val="center"/>
        <w:outlineLvl w:val="0"/>
        <w:rPr>
          <w:color w:val="auto"/>
          <w:highlight w:val="none"/>
        </w:rPr>
      </w:pPr>
      <w:r>
        <w:rPr>
          <w:rFonts w:hint="eastAsia"/>
          <w:color w:val="auto"/>
          <w:highlight w:val="none"/>
        </w:rPr>
        <w:t>第四章  评审程序、评审方法和评审标准</w:t>
      </w:r>
      <w:bookmarkEnd w:id="70"/>
    </w:p>
    <w:p w14:paraId="286A57A2">
      <w:pPr>
        <w:spacing w:line="360" w:lineRule="auto"/>
        <w:jc w:val="center"/>
        <w:outlineLvl w:val="1"/>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3833B58D">
      <w:pPr>
        <w:spacing w:line="360" w:lineRule="auto"/>
        <w:ind w:firstLine="482" w:firstLineChars="200"/>
        <w:outlineLvl w:val="2"/>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5D91765B">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4E0204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7A47F9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 “信用中国”网站(www.creditchina.gov.cn)、中国政府采购网(www.ccgp.gov.cn)。</w:t>
      </w:r>
    </w:p>
    <w:p w14:paraId="6B56B59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96ABA7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7ACD00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5B8611C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75E6812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468C91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010C4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5FB8A7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149867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517C43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w:t>
      </w:r>
      <w:r>
        <w:rPr>
          <w:rFonts w:hint="eastAsia"/>
          <w:color w:val="auto"/>
          <w:highlight w:val="none"/>
          <w:lang w:val="en-US" w:eastAsia="zh-CN"/>
        </w:rPr>
        <w:t>不</w:t>
      </w:r>
      <w:r>
        <w:rPr>
          <w:rFonts w:hint="eastAsia" w:ascii="宋体" w:hAnsi="宋体" w:cs="宋体"/>
          <w:color w:val="auto"/>
          <w:szCs w:val="21"/>
          <w:highlight w:val="none"/>
        </w:rPr>
        <w:t>再参加该采购项目的其他采购活动的。</w:t>
      </w:r>
    </w:p>
    <w:p w14:paraId="7207D12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4D33758F">
      <w:pPr>
        <w:spacing w:line="360" w:lineRule="auto"/>
        <w:ind w:firstLine="482" w:firstLineChars="200"/>
        <w:outlineLvl w:val="2"/>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25F7CFCC">
      <w:pPr>
        <w:spacing w:line="360" w:lineRule="auto"/>
        <w:ind w:firstLine="420" w:firstLineChars="200"/>
        <w:rPr>
          <w:rFonts w:ascii="宋体" w:hAnsi="宋体" w:cs="宋体"/>
          <w:color w:val="auto"/>
          <w:szCs w:val="21"/>
          <w:highlight w:val="none"/>
        </w:rPr>
      </w:pPr>
      <w:bookmarkStart w:id="71"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1"/>
    <w:p w14:paraId="5E7DB50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1036CEC">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52806D62">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136F545">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328BC0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DF5B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02409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79FB8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F5F89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15F899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93D6A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1B76C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102F6B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39972E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20D253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76E92A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E8326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5）商务、技术要求允许负偏离的条款数超过“供应商须知前附表”规定项数的；</w:t>
      </w:r>
    </w:p>
    <w:p w14:paraId="4B59EA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5C4AE8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412ED1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0DCF3E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5A981B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73CA072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1）虚假竞标，或者出现其他情形而导致被磋商小组认定无效；</w:t>
      </w:r>
    </w:p>
    <w:p w14:paraId="04943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bookmarkStart w:id="72"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72"/>
    </w:p>
    <w:p w14:paraId="5BB45FD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3）响应文件标注的项目名称或者项目编号与磋商文件标注的项目名称或者项目编号不一致的；</w:t>
      </w:r>
    </w:p>
    <w:p w14:paraId="32532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olor w:val="auto"/>
          <w:szCs w:val="21"/>
          <w:highlight w:val="none"/>
        </w:rPr>
        <w:t>竞争性磋商文件明确不允许分包，响应文件拟分包的；</w:t>
      </w:r>
    </w:p>
    <w:p w14:paraId="25F4F58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5）未响应磋商文件实质性要求；</w:t>
      </w:r>
    </w:p>
    <w:p w14:paraId="35A4F1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76E08F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3E72A7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w:t>
      </w:r>
    </w:p>
    <w:p w14:paraId="4E535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01CFB8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B6C66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73" w:name="_Hlk42596405"/>
      <w:r>
        <w:rPr>
          <w:rFonts w:hint="eastAsia" w:ascii="宋体" w:hAnsi="宋体" w:cs="宋体"/>
          <w:color w:val="auto"/>
          <w:szCs w:val="21"/>
          <w:highlight w:val="none"/>
        </w:rPr>
        <w:t>分项竞标报价（包含首次报价、最后报价）</w:t>
      </w:r>
      <w:bookmarkEnd w:id="73"/>
      <w:bookmarkStart w:id="74" w:name="_Hlk42596276"/>
      <w:r>
        <w:rPr>
          <w:rFonts w:hint="eastAsia" w:ascii="宋体" w:hAnsi="宋体" w:cs="宋体"/>
          <w:color w:val="auto"/>
          <w:szCs w:val="21"/>
          <w:highlight w:val="none"/>
        </w:rPr>
        <w:t>超过磋商文件分项采购预算金额或者最高限价的</w:t>
      </w:r>
      <w:bookmarkEnd w:id="74"/>
      <w:r>
        <w:rPr>
          <w:rFonts w:hint="eastAsia" w:ascii="宋体" w:hAnsi="宋体" w:cs="宋体"/>
          <w:color w:val="auto"/>
          <w:szCs w:val="21"/>
          <w:highlight w:val="none"/>
        </w:rPr>
        <w:t>（如本项目公布了最高限价）；</w:t>
      </w:r>
    </w:p>
    <w:p w14:paraId="5F7B06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6FADC9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2DDB8E6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5E1672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13329766">
      <w:pPr>
        <w:spacing w:line="360" w:lineRule="auto"/>
        <w:ind w:firstLine="482" w:firstLineChars="200"/>
        <w:outlineLvl w:val="2"/>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0430782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w:t>
      </w:r>
      <w:r>
        <w:rPr>
          <w:color w:val="auto"/>
          <w:highlight w:val="none"/>
        </w:rPr>
        <w:t>在规定时间内在广西政府采购云平台上参加</w:t>
      </w:r>
      <w:r>
        <w:rPr>
          <w:rFonts w:hint="eastAsia"/>
          <w:color w:val="auto"/>
          <w:highlight w:val="none"/>
        </w:rPr>
        <w:t>磋商</w:t>
      </w:r>
      <w:r>
        <w:rPr>
          <w:rFonts w:hint="eastAsia" w:ascii="宋体" w:hAnsi="宋体" w:cs="宋体"/>
          <w:color w:val="auto"/>
          <w:szCs w:val="21"/>
          <w:highlight w:val="none"/>
        </w:rPr>
        <w:t>，未在规定时间内参加磋商的视同放弃参加磋商权利，其响应文件按无效响应处理。</w:t>
      </w:r>
    </w:p>
    <w:p w14:paraId="7AB600A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0E80C7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0F21B82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EEE95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72CF37D0">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657D7B0B">
      <w:pPr>
        <w:tabs>
          <w:tab w:val="left" w:pos="2835"/>
        </w:tabs>
        <w:spacing w:line="360" w:lineRule="auto"/>
        <w:ind w:firstLine="420" w:firstLineChars="200"/>
        <w:rPr>
          <w:color w:val="auto"/>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1979059">
      <w:pPr>
        <w:tabs>
          <w:tab w:val="left" w:pos="2835"/>
        </w:tabs>
        <w:spacing w:line="360" w:lineRule="auto"/>
        <w:ind w:firstLine="420" w:firstLineChars="200"/>
        <w:rPr>
          <w:rFonts w:ascii="宋体" w:hAnsi="宋体" w:cs="宋体"/>
          <w:color w:val="auto"/>
          <w:szCs w:val="21"/>
          <w:highlight w:val="none"/>
        </w:rPr>
      </w:pPr>
      <w:r>
        <w:rPr>
          <w:color w:val="auto"/>
          <w:highlight w:val="none"/>
        </w:rPr>
        <w:t>3.8除本章第3.7条情形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01CE13BA">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10FC5C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0D41BF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4D92E58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w:t>
      </w:r>
      <w:r>
        <w:rPr>
          <w:rFonts w:ascii="宋体" w:hAnsi="宋体" w:cs="宋体"/>
          <w:color w:val="auto"/>
          <w:szCs w:val="21"/>
          <w:highlight w:val="none"/>
        </w:rPr>
        <w:t>章第3.7条情</w:t>
      </w:r>
      <w:r>
        <w:rPr>
          <w:color w:val="auto"/>
          <w:highlight w:val="none"/>
        </w:rPr>
        <w:t>形的，</w:t>
      </w:r>
      <w:r>
        <w:rPr>
          <w:rFonts w:hint="eastAsia" w:ascii="宋体" w:hAnsi="宋体" w:cs="宋体"/>
          <w:color w:val="auto"/>
          <w:szCs w:val="21"/>
          <w:highlight w:val="none"/>
        </w:rPr>
        <w:t>提交最后报价的供应商可以为2家。</w:t>
      </w:r>
    </w:p>
    <w:p w14:paraId="7512C39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49EE920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53EF907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203A75F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21C4FA7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201CB7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21B71D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18DA6C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4599264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711C1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44552C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131B65C9">
      <w:pPr>
        <w:spacing w:line="360" w:lineRule="auto"/>
        <w:ind w:firstLine="482" w:firstLineChars="200"/>
        <w:outlineLvl w:val="2"/>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71891ED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35DEF4F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E119EF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6EEA7C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06ACFA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2793B90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294279DB">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5D855BEC">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A3E52A">
      <w:pPr>
        <w:spacing w:line="360" w:lineRule="auto"/>
        <w:jc w:val="center"/>
        <w:outlineLvl w:val="1"/>
        <w:rPr>
          <w:rFonts w:ascii="宋体" w:hAnsi="宋体"/>
          <w:b/>
          <w:color w:val="auto"/>
          <w:sz w:val="32"/>
          <w:szCs w:val="32"/>
          <w:highlight w:val="none"/>
        </w:rPr>
      </w:pPr>
      <w:r>
        <w:rPr>
          <w:rFonts w:hint="eastAsia" w:ascii="宋体" w:hAnsi="宋体"/>
          <w:b/>
          <w:color w:val="auto"/>
          <w:sz w:val="32"/>
          <w:szCs w:val="32"/>
          <w:highlight w:val="none"/>
        </w:rPr>
        <w:t>二、评审标准</w:t>
      </w:r>
    </w:p>
    <w:p w14:paraId="4F70702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p w14:paraId="586E2CBB">
      <w:pPr>
        <w:pStyle w:val="19"/>
        <w:rPr>
          <w:rFonts w:hint="eastAsia" w:ascii="宋体" w:hAnsi="宋体"/>
          <w:bCs/>
          <w:color w:val="auto"/>
          <w:szCs w:val="21"/>
          <w:highlight w:val="none"/>
        </w:rPr>
      </w:pPr>
    </w:p>
    <w:tbl>
      <w:tblPr>
        <w:tblStyle w:val="25"/>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30"/>
        <w:gridCol w:w="6917"/>
      </w:tblGrid>
      <w:tr w14:paraId="3B82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1" w:type="dxa"/>
            <w:noWrap w:val="0"/>
            <w:vAlign w:val="center"/>
          </w:tcPr>
          <w:p w14:paraId="638A3E00">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30" w:type="dxa"/>
            <w:noWrap w:val="0"/>
            <w:vAlign w:val="center"/>
          </w:tcPr>
          <w:p w14:paraId="751A90CB">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917" w:type="dxa"/>
            <w:noWrap w:val="0"/>
            <w:vAlign w:val="center"/>
          </w:tcPr>
          <w:p w14:paraId="042A96C5">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r>
      <w:tr w14:paraId="66C7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1" w:type="dxa"/>
            <w:noWrap w:val="0"/>
            <w:vAlign w:val="center"/>
          </w:tcPr>
          <w:p w14:paraId="326D1683">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30" w:type="dxa"/>
            <w:noWrap w:val="0"/>
            <w:vAlign w:val="center"/>
          </w:tcPr>
          <w:p w14:paraId="5A80CE97">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p w14:paraId="338716BD">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满分</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6917" w:type="dxa"/>
            <w:noWrap w:val="0"/>
            <w:vAlign w:val="top"/>
          </w:tcPr>
          <w:p w14:paraId="5D88EE9D">
            <w:pPr>
              <w:keepNext w:val="0"/>
              <w:keepLines w:val="0"/>
              <w:pageBreakBefore w:val="0"/>
              <w:shd w:val="clear" w:color="auto" w:fill="auto"/>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评审价为供应商的最后报价进行政策性扣除后的价格，评审价只是作为评审时使用。最终成交供应商的成交金额等于最后报价（如有修正，以确认修正后的最后报价为准）。</w:t>
            </w:r>
          </w:p>
          <w:p w14:paraId="587A7697">
            <w:pPr>
              <w:pStyle w:val="16"/>
              <w:keepNext w:val="0"/>
              <w:keepLines w:val="0"/>
              <w:pageBreakBefore w:val="0"/>
              <w:shd w:val="clear" w:color="auto" w:fill="auto"/>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（2）采购政策性扣除计算方法</w:t>
            </w:r>
          </w:p>
          <w:p w14:paraId="313F66BD">
            <w:pPr>
              <w:keepNext w:val="0"/>
              <w:keepLines w:val="0"/>
              <w:pageBreakBefore w:val="0"/>
              <w:shd w:val="clear" w:color="auto" w:fill="auto"/>
              <w:kinsoku/>
              <w:wordWrap/>
              <w:overflowPunct/>
              <w:topLinePunct w:val="0"/>
              <w:autoSpaceDE/>
              <w:autoSpaceDN/>
              <w:bidi w:val="0"/>
              <w:spacing w:line="360" w:lineRule="auto"/>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《政府采购促进中小企业发展管理办法》（财库〔2020〕46号）</w:t>
            </w:r>
            <w:r>
              <w:rPr>
                <w:rFonts w:hint="eastAsia" w:ascii="宋体" w:hAnsi="宋体" w:eastAsia="宋体" w:cs="宋体"/>
                <w:bCs/>
                <w:color w:val="auto"/>
                <w:sz w:val="21"/>
                <w:szCs w:val="21"/>
                <w:highlight w:val="none"/>
              </w:rPr>
              <w:t>和</w:t>
            </w:r>
            <w:r>
              <w:rPr>
                <w:rFonts w:hint="eastAsia" w:ascii="宋体" w:hAnsi="宋体" w:eastAsia="宋体" w:cs="宋体"/>
                <w:bCs/>
                <w:color w:val="auto"/>
                <w:sz w:val="21"/>
                <w:szCs w:val="21"/>
                <w:highlight w:val="none"/>
                <w:lang w:eastAsia="zh-CN"/>
              </w:rPr>
              <w:t>《广西壮族自治区财政厅关于持续优化政府采购营商环境推动高质量发展的通知》（桂财采（2024）55号）</w:t>
            </w:r>
            <w:r>
              <w:rPr>
                <w:rFonts w:hint="eastAsia" w:ascii="宋体" w:hAnsi="宋体" w:eastAsia="宋体" w:cs="宋体"/>
                <w:color w:val="auto"/>
                <w:sz w:val="21"/>
                <w:szCs w:val="21"/>
                <w:highlight w:val="none"/>
              </w:rPr>
              <w:t>的规定，供应商在其响应文件中提供《中小企业声明函》，</w:t>
            </w:r>
            <w:r>
              <w:rPr>
                <w:rFonts w:hint="eastAsia" w:ascii="宋体" w:hAnsi="宋体" w:eastAsia="宋体" w:cs="宋体"/>
                <w:bCs/>
                <w:color w:val="auto"/>
                <w:sz w:val="21"/>
                <w:szCs w:val="21"/>
                <w:highlight w:val="none"/>
              </w:rPr>
              <w:t>且服务全部由小微企业承接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对供应商的竞标报价给予</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0%的扣除，扣除后的价格为评审价，即评审价=竞标报价×（1-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 w:val="21"/>
                <w:szCs w:val="21"/>
                <w:highlight w:val="none"/>
                <w:u w:val="single"/>
              </w:rPr>
              <w:t xml:space="preserve"> 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的扣除，用扣除后的价格参加评审，扣除后的价格为评审价，即评审价=竞标报价×（1-</w:t>
            </w:r>
            <w:r>
              <w:rPr>
                <w:rFonts w:hint="eastAsia" w:ascii="宋体" w:hAnsi="宋体" w:eastAsia="宋体" w:cs="宋体"/>
                <w:bCs/>
                <w:color w:val="auto"/>
                <w:sz w:val="21"/>
                <w:szCs w:val="21"/>
                <w:highlight w:val="none"/>
                <w:u w:val="single"/>
              </w:rPr>
              <w:t xml:space="preserve"> 4 </w:t>
            </w:r>
            <w:r>
              <w:rPr>
                <w:rFonts w:hint="eastAsia" w:ascii="宋体" w:hAnsi="宋体" w:eastAsia="宋体" w:cs="宋体"/>
                <w:bCs/>
                <w:color w:val="auto"/>
                <w:sz w:val="21"/>
                <w:szCs w:val="21"/>
                <w:highlight w:val="none"/>
              </w:rPr>
              <w:t>%）。除上述情况外，评审价=竞标报价。</w:t>
            </w:r>
          </w:p>
          <w:p w14:paraId="6F9A4671">
            <w:pPr>
              <w:keepNext w:val="0"/>
              <w:keepLines w:val="0"/>
              <w:pageBreakBefore w:val="0"/>
              <w:shd w:val="clear" w:color="auto" w:fill="auto"/>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422C391">
            <w:pPr>
              <w:keepNext w:val="0"/>
              <w:keepLines w:val="0"/>
              <w:pageBreakBefore w:val="0"/>
              <w:shd w:val="clear" w:color="auto" w:fill="auto"/>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A614603">
            <w:pPr>
              <w:pStyle w:val="16"/>
              <w:keepNext w:val="0"/>
              <w:keepLines w:val="0"/>
              <w:pageBreakBefore w:val="0"/>
              <w:shd w:val="clear" w:color="auto" w:fill="auto"/>
              <w:kinsoku/>
              <w:wordWrap/>
              <w:overflowPunct/>
              <w:topLinePunct w:val="0"/>
              <w:autoSpaceDE/>
              <w:autoSpaceDN/>
              <w:bidi w:val="0"/>
              <w:spacing w:line="36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（5）以进入比较与评价环节的最低的评审价为基准价，基准价得分为</w:t>
            </w:r>
            <w:r>
              <w:rPr>
                <w:rFonts w:hint="eastAsia" w:ascii="宋体" w:hAnsi="宋体" w:eastAsia="宋体" w:cs="宋体"/>
                <w:bCs/>
                <w:color w:val="auto"/>
                <w:kern w:val="2"/>
                <w:sz w:val="21"/>
                <w:szCs w:val="21"/>
                <w:highlight w:val="none"/>
                <w:u w:val="single"/>
                <w:lang w:val="en-US" w:eastAsia="zh-CN"/>
              </w:rPr>
              <w:t>10</w:t>
            </w:r>
            <w:r>
              <w:rPr>
                <w:rFonts w:hint="eastAsia" w:ascii="宋体" w:hAnsi="宋体" w:eastAsia="宋体" w:cs="宋体"/>
                <w:bCs/>
                <w:color w:val="auto"/>
                <w:kern w:val="2"/>
                <w:sz w:val="21"/>
                <w:szCs w:val="21"/>
                <w:highlight w:val="none"/>
                <w:u w:val="single"/>
              </w:rPr>
              <w:t>分</w:t>
            </w:r>
            <w:r>
              <w:rPr>
                <w:rFonts w:hint="eastAsia" w:ascii="宋体" w:hAnsi="宋体" w:eastAsia="宋体" w:cs="宋体"/>
                <w:bCs/>
                <w:color w:val="auto"/>
                <w:kern w:val="2"/>
                <w:sz w:val="21"/>
                <w:szCs w:val="21"/>
                <w:highlight w:val="none"/>
              </w:rPr>
              <w:t>。</w:t>
            </w:r>
          </w:p>
          <w:p w14:paraId="4EFCCC95">
            <w:pPr>
              <w:pStyle w:val="16"/>
              <w:keepNext w:val="0"/>
              <w:keepLines w:val="0"/>
              <w:pageBreakBefore w:val="0"/>
              <w:shd w:val="clear" w:color="auto" w:fill="auto"/>
              <w:kinsoku/>
              <w:wordWrap/>
              <w:overflowPunct/>
              <w:topLinePunct w:val="0"/>
              <w:autoSpaceDE/>
              <w:autoSpaceDN/>
              <w:bidi w:val="0"/>
              <w:spacing w:line="36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（6）价格分计算公式：</w:t>
            </w:r>
          </w:p>
          <w:p w14:paraId="59DF0D85">
            <w:pPr>
              <w:pStyle w:val="16"/>
              <w:keepNext w:val="0"/>
              <w:keepLines w:val="0"/>
              <w:pageBreakBefore w:val="0"/>
              <w:shd w:val="clear" w:color="auto" w:fill="auto"/>
              <w:kinsoku/>
              <w:wordWrap/>
              <w:overflowPunct/>
              <w:topLinePunct w:val="0"/>
              <w:autoSpaceDE/>
              <w:autoSpaceDN/>
              <w:bidi w:val="0"/>
              <w:spacing w:line="360" w:lineRule="auto"/>
              <w:ind w:firstLine="422" w:firstLineChars="200"/>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rPr>
              <w:t>报价得分=（基准价/最后报价）×</w:t>
            </w:r>
            <w:r>
              <w:rPr>
                <w:rFonts w:hint="eastAsia" w:ascii="宋体" w:hAnsi="宋体" w:eastAsia="宋体" w:cs="宋体"/>
                <w:b/>
                <w:bCs w:val="0"/>
                <w:color w:val="auto"/>
                <w:kern w:val="2"/>
                <w:sz w:val="21"/>
                <w:szCs w:val="21"/>
                <w:highlight w:val="none"/>
                <w:u w:val="single"/>
                <w:lang w:val="en-US" w:eastAsia="zh-CN"/>
              </w:rPr>
              <w:t>10</w:t>
            </w:r>
            <w:r>
              <w:rPr>
                <w:rFonts w:hint="eastAsia" w:ascii="宋体" w:hAnsi="宋体" w:eastAsia="宋体" w:cs="宋体"/>
                <w:b/>
                <w:bCs w:val="0"/>
                <w:color w:val="auto"/>
                <w:kern w:val="2"/>
                <w:sz w:val="21"/>
                <w:szCs w:val="21"/>
                <w:highlight w:val="none"/>
                <w:u w:val="single"/>
              </w:rPr>
              <w:t>分</w:t>
            </w:r>
          </w:p>
        </w:tc>
      </w:tr>
      <w:tr w14:paraId="618A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1" w:type="dxa"/>
            <w:noWrap w:val="0"/>
            <w:vAlign w:val="center"/>
          </w:tcPr>
          <w:p w14:paraId="04AE4635">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230" w:type="dxa"/>
            <w:noWrap w:val="0"/>
            <w:vAlign w:val="center"/>
          </w:tcPr>
          <w:p w14:paraId="72CAD7C3">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6917" w:type="dxa"/>
            <w:noWrap w:val="0"/>
            <w:vAlign w:val="top"/>
          </w:tcPr>
          <w:p w14:paraId="066D5EB4">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14:paraId="7EF8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1" w:type="dxa"/>
            <w:noWrap w:val="0"/>
            <w:vAlign w:val="center"/>
          </w:tcPr>
          <w:p w14:paraId="585E3DF1">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2.1</w:t>
            </w:r>
          </w:p>
        </w:tc>
        <w:tc>
          <w:tcPr>
            <w:tcW w:w="1230" w:type="dxa"/>
            <w:noWrap w:val="0"/>
            <w:vAlign w:val="center"/>
          </w:tcPr>
          <w:p w14:paraId="0AA93E78">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服务性能分（满分20分）</w:t>
            </w:r>
          </w:p>
        </w:tc>
        <w:tc>
          <w:tcPr>
            <w:tcW w:w="6917" w:type="dxa"/>
            <w:noWrap w:val="0"/>
            <w:vAlign w:val="top"/>
          </w:tcPr>
          <w:p w14:paraId="17C893D7">
            <w:pPr>
              <w:pStyle w:val="2"/>
              <w:keepNext w:val="0"/>
              <w:keepLines w:val="0"/>
              <w:pageBreakBefore w:val="0"/>
              <w:shd w:val="clear" w:color="auto" w:fill="auto"/>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1.通过资格审查和符合性审查的得15分，每负偏离1项（允许负偏离的项数为</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项），扣</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分，最多扣6分。</w:t>
            </w:r>
          </w:p>
          <w:p w14:paraId="4CBD7D1F">
            <w:pPr>
              <w:pStyle w:val="2"/>
              <w:keepNext w:val="0"/>
              <w:keepLines w:val="0"/>
              <w:pageBreakBefore w:val="0"/>
              <w:shd w:val="clear" w:color="auto" w:fill="auto"/>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2.满足采购文件采购需求一览表中带“●”技术参数且提供证明材料（产品彩页、功能截图或国家认可的有资质的第三方检测机构出具的检测报告等</w:t>
            </w:r>
            <w:r>
              <w:rPr>
                <w:rFonts w:hint="eastAsia" w:ascii="宋体" w:hAnsi="宋体" w:cs="宋体"/>
                <w:b w:val="0"/>
                <w:bCs w:val="0"/>
                <w:color w:val="auto"/>
                <w:sz w:val="21"/>
                <w:szCs w:val="21"/>
                <w:highlight w:val="none"/>
                <w:lang w:val="en-US" w:eastAsia="zh-CN"/>
              </w:rPr>
              <w:t>其中一种</w:t>
            </w:r>
            <w:r>
              <w:rPr>
                <w:rFonts w:hint="eastAsia" w:ascii="宋体" w:hAnsi="宋体" w:eastAsia="宋体" w:cs="宋体"/>
                <w:b w:val="0"/>
                <w:bCs w:val="0"/>
                <w:color w:val="auto"/>
                <w:sz w:val="21"/>
                <w:szCs w:val="21"/>
                <w:highlight w:val="none"/>
                <w:lang w:val="en-US" w:eastAsia="zh-CN"/>
              </w:rPr>
              <w:t>）的得5分，不满足的得0分。</w:t>
            </w:r>
          </w:p>
        </w:tc>
      </w:tr>
      <w:tr w14:paraId="08BD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1" w:type="dxa"/>
            <w:noWrap w:val="0"/>
            <w:vAlign w:val="center"/>
          </w:tcPr>
          <w:p w14:paraId="5DD31D38">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lang w:val="en-US" w:eastAsia="zh-CN"/>
              </w:rPr>
              <w:t>2</w:t>
            </w:r>
          </w:p>
        </w:tc>
        <w:tc>
          <w:tcPr>
            <w:tcW w:w="1230" w:type="dxa"/>
            <w:noWrap w:val="0"/>
            <w:vAlign w:val="center"/>
          </w:tcPr>
          <w:p w14:paraId="1BCB38A5">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服务实施方案（</w:t>
            </w:r>
            <w:r>
              <w:rPr>
                <w:rFonts w:hint="eastAsia" w:ascii="宋体" w:hAnsi="宋体" w:eastAsia="宋体" w:cs="宋体"/>
                <w:bCs/>
                <w:color w:val="auto"/>
                <w:kern w:val="0"/>
                <w:sz w:val="21"/>
                <w:szCs w:val="21"/>
                <w:highlight w:val="none"/>
                <w:lang w:val="en-US" w:eastAsia="zh-CN"/>
              </w:rPr>
              <w:t>满分24分</w:t>
            </w:r>
            <w:r>
              <w:rPr>
                <w:rFonts w:hint="eastAsia" w:ascii="宋体" w:hAnsi="宋体" w:eastAsia="宋体" w:cs="宋体"/>
                <w:bCs/>
                <w:color w:val="auto"/>
                <w:kern w:val="0"/>
                <w:sz w:val="21"/>
                <w:szCs w:val="21"/>
                <w:highlight w:val="none"/>
                <w:lang w:eastAsia="zh-CN"/>
              </w:rPr>
              <w:t>）</w:t>
            </w:r>
          </w:p>
        </w:tc>
        <w:tc>
          <w:tcPr>
            <w:tcW w:w="6917" w:type="dxa"/>
            <w:noWrap w:val="0"/>
            <w:vAlign w:val="top"/>
          </w:tcPr>
          <w:p w14:paraId="5ACA6A73">
            <w:pPr>
              <w:pStyle w:val="2"/>
              <w:keepNext w:val="0"/>
              <w:keepLines w:val="0"/>
              <w:pageBreakBefore w:val="0"/>
              <w:shd w:val="clear" w:color="auto" w:fill="auto"/>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由磋商小组根据供应商提供的</w:t>
            </w:r>
            <w:r>
              <w:rPr>
                <w:rFonts w:hint="eastAsia" w:ascii="宋体" w:hAnsi="宋体" w:eastAsia="宋体" w:cs="宋体"/>
                <w:bCs/>
                <w:color w:val="auto"/>
                <w:kern w:val="0"/>
                <w:sz w:val="21"/>
                <w:szCs w:val="21"/>
                <w:highlight w:val="none"/>
                <w:lang w:eastAsia="zh-CN"/>
              </w:rPr>
              <w:t>服务实施方案</w:t>
            </w:r>
            <w:r>
              <w:rPr>
                <w:rFonts w:hint="eastAsia" w:ascii="宋体" w:hAnsi="宋体" w:eastAsia="宋体" w:cs="宋体"/>
                <w:color w:val="auto"/>
                <w:sz w:val="21"/>
                <w:szCs w:val="21"/>
                <w:highlight w:val="none"/>
                <w:lang w:val="en-US" w:eastAsia="zh-CN"/>
              </w:rPr>
              <w:t>独立评分，未提供相关内容或不满足以下评分项的按0分计：</w:t>
            </w:r>
          </w:p>
          <w:p w14:paraId="56E73962">
            <w:pPr>
              <w:pStyle w:val="2"/>
              <w:keepNext w:val="0"/>
              <w:keepLines w:val="0"/>
              <w:pageBreakBefore w:val="0"/>
              <w:shd w:val="clear" w:color="auto" w:fill="auto"/>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①对项目的总体工作思路和工作量的理解和认识</w:t>
            </w:r>
          </w:p>
          <w:p w14:paraId="50194C9F">
            <w:pPr>
              <w:pStyle w:val="2"/>
              <w:keepNext w:val="0"/>
              <w:keepLines w:val="0"/>
              <w:pageBreakBefore w:val="0"/>
              <w:shd w:val="clear" w:color="auto" w:fill="auto"/>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②工作技术方案；</w:t>
            </w:r>
          </w:p>
          <w:p w14:paraId="68626896">
            <w:pPr>
              <w:pStyle w:val="2"/>
              <w:keepNext w:val="0"/>
              <w:keepLines w:val="0"/>
              <w:pageBreakBefore w:val="0"/>
              <w:shd w:val="clear" w:color="auto" w:fill="auto"/>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③对采购项目特点及关键性技术问题分析的；</w:t>
            </w:r>
          </w:p>
          <w:p w14:paraId="41F8B986">
            <w:pPr>
              <w:pStyle w:val="2"/>
              <w:keepNext w:val="0"/>
              <w:keepLines w:val="0"/>
              <w:pageBreakBefore w:val="0"/>
              <w:shd w:val="clear" w:color="auto" w:fill="auto"/>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④对项目实施的保障措施；</w:t>
            </w:r>
          </w:p>
          <w:p w14:paraId="2BC10B4D">
            <w:pPr>
              <w:pStyle w:val="2"/>
              <w:keepNext w:val="0"/>
              <w:keepLines w:val="0"/>
              <w:pageBreakBefore w:val="0"/>
              <w:shd w:val="clear" w:color="auto" w:fill="auto"/>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 ①-④每项的内容为评分标准，每项最高得6分，其中：完整全面（2分）、关键技术点描述清晰(2分)、按照采购人实际需求制定（2分）、缺项（0分），满分24分。</w:t>
            </w:r>
          </w:p>
        </w:tc>
      </w:tr>
      <w:tr w14:paraId="01E6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1" w:type="dxa"/>
            <w:noWrap w:val="0"/>
            <w:vAlign w:val="center"/>
          </w:tcPr>
          <w:p w14:paraId="5309C2DF">
            <w:pPr>
              <w:keepNext w:val="0"/>
              <w:keepLines w:val="0"/>
              <w:pageBreakBefore w:val="0"/>
              <w:shd w:val="clear" w:color="auto" w:fill="auto"/>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3</w:t>
            </w:r>
          </w:p>
        </w:tc>
        <w:tc>
          <w:tcPr>
            <w:tcW w:w="1230" w:type="dxa"/>
            <w:noWrap w:val="0"/>
            <w:vAlign w:val="center"/>
          </w:tcPr>
          <w:p w14:paraId="14A1789B">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sz w:val="21"/>
                <w:szCs w:val="21"/>
                <w:highlight w:val="none"/>
                <w:lang w:val="en-US" w:eastAsia="zh-CN"/>
              </w:rPr>
              <w:t>运维服务方案</w:t>
            </w:r>
            <w:r>
              <w:rPr>
                <w:rFonts w:hint="eastAsia" w:ascii="宋体" w:hAnsi="宋体" w:eastAsia="宋体" w:cs="宋体"/>
                <w:bCs/>
                <w:color w:val="auto"/>
                <w:sz w:val="21"/>
                <w:szCs w:val="21"/>
                <w:highlight w:val="none"/>
                <w:lang w:eastAsia="zh-CN"/>
              </w:rPr>
              <w:t>（满分</w:t>
            </w:r>
            <w:r>
              <w:rPr>
                <w:rFonts w:hint="eastAsia" w:ascii="宋体" w:hAnsi="宋体" w:cs="宋体"/>
                <w:bCs/>
                <w:color w:val="auto"/>
                <w:sz w:val="21"/>
                <w:szCs w:val="21"/>
                <w:highlight w:val="none"/>
                <w:lang w:val="en-US" w:eastAsia="zh-CN"/>
              </w:rPr>
              <w:t>20</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w:t>
            </w:r>
          </w:p>
        </w:tc>
        <w:tc>
          <w:tcPr>
            <w:tcW w:w="6917" w:type="dxa"/>
            <w:noWrap w:val="0"/>
            <w:vAlign w:val="top"/>
          </w:tcPr>
          <w:p w14:paraId="0CE72F80">
            <w:pPr>
              <w:pStyle w:val="2"/>
              <w:keepNext w:val="0"/>
              <w:keepLines w:val="0"/>
              <w:pageBreakBefore w:val="0"/>
              <w:shd w:val="clear" w:color="auto" w:fill="auto"/>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由磋商小组根据供应商提供的</w:t>
            </w:r>
            <w:r>
              <w:rPr>
                <w:rFonts w:hint="eastAsia" w:ascii="宋体" w:hAnsi="宋体" w:eastAsia="宋体" w:cs="宋体"/>
                <w:bCs/>
                <w:color w:val="auto"/>
                <w:sz w:val="21"/>
                <w:szCs w:val="21"/>
                <w:highlight w:val="none"/>
                <w:lang w:val="en-US" w:eastAsia="zh-CN"/>
              </w:rPr>
              <w:t>运维服务方案</w:t>
            </w:r>
            <w:r>
              <w:rPr>
                <w:rFonts w:hint="eastAsia" w:ascii="宋体" w:hAnsi="宋体" w:eastAsia="宋体" w:cs="宋体"/>
                <w:color w:val="auto"/>
                <w:sz w:val="21"/>
                <w:szCs w:val="21"/>
                <w:highlight w:val="none"/>
                <w:lang w:val="en-US" w:eastAsia="zh-CN"/>
              </w:rPr>
              <w:t>独立评分，未提供相关内容或不满足以下评分项的按0分计：</w:t>
            </w:r>
          </w:p>
          <w:p w14:paraId="24738628">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420" w:firstLineChars="200"/>
              <w:contextualSpacing/>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①运维服务承诺、维护组织架构；</w:t>
            </w:r>
          </w:p>
          <w:p w14:paraId="5BE29334">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420" w:firstLineChars="200"/>
              <w:contextualSpacing/>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②故障处理流程；</w:t>
            </w:r>
          </w:p>
          <w:p w14:paraId="2FE13330">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420" w:firstLineChars="200"/>
              <w:contextualSpacing/>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③维护服务方式；</w:t>
            </w:r>
          </w:p>
          <w:p w14:paraId="0EC64053">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420" w:firstLineChars="200"/>
              <w:contextualSpacing/>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④网络及设备巡检。</w:t>
            </w:r>
          </w:p>
          <w:p w14:paraId="365BAF04">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422" w:firstLineChars="200"/>
              <w:contextualSpacing/>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注：①-④每项的内容为评分标准，每项最高得</w:t>
            </w:r>
            <w:r>
              <w:rPr>
                <w:rFonts w:hint="eastAsia" w:ascii="宋体" w:hAnsi="宋体" w:cs="宋体"/>
                <w:b/>
                <w:bCs/>
                <w:color w:val="auto"/>
                <w:kern w:val="0"/>
                <w:sz w:val="21"/>
                <w:szCs w:val="21"/>
                <w:highlight w:val="none"/>
                <w:lang w:val="en-US" w:eastAsia="zh-CN" w:bidi="ar-SA"/>
              </w:rPr>
              <w:t>5</w:t>
            </w:r>
            <w:r>
              <w:rPr>
                <w:rFonts w:hint="eastAsia" w:ascii="宋体" w:hAnsi="宋体" w:eastAsia="宋体" w:cs="宋体"/>
                <w:b/>
                <w:bCs/>
                <w:color w:val="auto"/>
                <w:kern w:val="0"/>
                <w:sz w:val="21"/>
                <w:szCs w:val="21"/>
                <w:highlight w:val="none"/>
                <w:lang w:val="en-US" w:eastAsia="zh-CN" w:bidi="ar-SA"/>
              </w:rPr>
              <w:t>分，其中：完整全面（2分）、关键技术点描述清晰（2分）、按照采购人实际需求制定（</w:t>
            </w:r>
            <w:r>
              <w:rPr>
                <w:rFonts w:hint="eastAsia" w:ascii="宋体" w:hAnsi="宋体" w:cs="宋体"/>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val="en-US" w:eastAsia="zh-CN" w:bidi="ar-SA"/>
              </w:rPr>
              <w:t>分）缺项（0分），满分2</w:t>
            </w:r>
            <w:r>
              <w:rPr>
                <w:rFonts w:hint="eastAsia" w:ascii="宋体" w:hAnsi="宋体" w:cs="宋体"/>
                <w:b/>
                <w:bCs/>
                <w:color w:val="auto"/>
                <w:kern w:val="0"/>
                <w:sz w:val="21"/>
                <w:szCs w:val="21"/>
                <w:highlight w:val="none"/>
                <w:lang w:val="en-US" w:eastAsia="zh-CN" w:bidi="ar-SA"/>
              </w:rPr>
              <w:t>0</w:t>
            </w:r>
            <w:r>
              <w:rPr>
                <w:rFonts w:hint="eastAsia" w:ascii="宋体" w:hAnsi="宋体" w:eastAsia="宋体" w:cs="宋体"/>
                <w:b/>
                <w:bCs/>
                <w:color w:val="auto"/>
                <w:kern w:val="0"/>
                <w:sz w:val="21"/>
                <w:szCs w:val="21"/>
                <w:highlight w:val="none"/>
                <w:lang w:val="en-US" w:eastAsia="zh-CN" w:bidi="ar-SA"/>
              </w:rPr>
              <w:t>分。</w:t>
            </w:r>
          </w:p>
        </w:tc>
      </w:tr>
      <w:tr w14:paraId="566C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1" w:type="dxa"/>
            <w:noWrap w:val="0"/>
            <w:vAlign w:val="center"/>
          </w:tcPr>
          <w:p w14:paraId="383A3F12">
            <w:pPr>
              <w:keepNext w:val="0"/>
              <w:keepLines w:val="0"/>
              <w:pageBreakBefore w:val="0"/>
              <w:shd w:val="clear" w:color="auto" w:fill="auto"/>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4</w:t>
            </w:r>
          </w:p>
        </w:tc>
        <w:tc>
          <w:tcPr>
            <w:tcW w:w="1230" w:type="dxa"/>
            <w:noWrap w:val="0"/>
            <w:vAlign w:val="center"/>
          </w:tcPr>
          <w:p w14:paraId="39E3E14D">
            <w:pPr>
              <w:keepNext w:val="0"/>
              <w:keepLines w:val="0"/>
              <w:pageBreakBefore w:val="0"/>
              <w:shd w:val="clear" w:color="auto" w:fill="auto"/>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color w:val="auto"/>
                <w:sz w:val="21"/>
                <w:szCs w:val="21"/>
                <w:highlight w:val="none"/>
                <w:lang w:eastAsia="zh-CN"/>
              </w:rPr>
              <w:t>售后服务方案（满分</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6917" w:type="dxa"/>
            <w:noWrap w:val="0"/>
            <w:vAlign w:val="top"/>
          </w:tcPr>
          <w:p w14:paraId="3C136251">
            <w:pPr>
              <w:pStyle w:val="2"/>
              <w:keepNext w:val="0"/>
              <w:keepLines w:val="0"/>
              <w:pageBreakBefore w:val="0"/>
              <w:shd w:val="clear" w:color="auto" w:fill="auto"/>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由磋商小组根据供应商提供的</w:t>
            </w:r>
            <w:r>
              <w:rPr>
                <w:rFonts w:hint="eastAsia" w:ascii="宋体" w:hAnsi="宋体" w:eastAsia="宋体" w:cs="宋体"/>
                <w:color w:val="auto"/>
                <w:sz w:val="21"/>
                <w:szCs w:val="21"/>
                <w:highlight w:val="none"/>
                <w:lang w:eastAsia="zh-CN"/>
              </w:rPr>
              <w:t>售后服务方案</w:t>
            </w:r>
            <w:r>
              <w:rPr>
                <w:rFonts w:hint="eastAsia" w:ascii="宋体" w:hAnsi="宋体" w:eastAsia="宋体" w:cs="宋体"/>
                <w:color w:val="auto"/>
                <w:sz w:val="21"/>
                <w:szCs w:val="21"/>
                <w:highlight w:val="none"/>
                <w:lang w:val="en-US" w:eastAsia="zh-CN"/>
              </w:rPr>
              <w:t>独立评分，未提供相关内容或不满足以下评分项的按0分计：</w:t>
            </w:r>
          </w:p>
          <w:p w14:paraId="346DA926">
            <w:pPr>
              <w:keepNext w:val="0"/>
              <w:keepLines w:val="0"/>
              <w:pageBreakBefore w:val="0"/>
              <w:shd w:val="clear" w:color="auto" w:fill="auto"/>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①保证措施及应急预案措施；</w:t>
            </w:r>
          </w:p>
          <w:p w14:paraId="14CDD1DA">
            <w:pPr>
              <w:keepNext w:val="0"/>
              <w:keepLines w:val="0"/>
              <w:pageBreakBefore w:val="0"/>
              <w:shd w:val="clear" w:color="auto" w:fill="auto"/>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②服务期内响应服务的联系人和联系电话；</w:t>
            </w:r>
          </w:p>
          <w:p w14:paraId="2AC14BB5">
            <w:pPr>
              <w:keepNext w:val="0"/>
              <w:keepLines w:val="0"/>
              <w:pageBreakBefore w:val="0"/>
              <w:shd w:val="clear" w:color="auto" w:fill="auto"/>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③出现服务问题解决时间的时间优于采购文件；</w:t>
            </w:r>
          </w:p>
          <w:p w14:paraId="357448D1">
            <w:pPr>
              <w:keepNext w:val="0"/>
              <w:keepLines w:val="0"/>
              <w:pageBreakBefore w:val="0"/>
              <w:shd w:val="clear" w:color="auto" w:fill="auto"/>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④服务产品出现质量问题承诺更换或其它优惠条件。</w:t>
            </w:r>
          </w:p>
          <w:p w14:paraId="6243F77F">
            <w:pPr>
              <w:keepNext w:val="0"/>
              <w:keepLines w:val="0"/>
              <w:pageBreakBefore w:val="0"/>
              <w:shd w:val="clear" w:color="auto" w:fill="auto"/>
              <w:kinsoku/>
              <w:wordWrap/>
              <w:overflowPunct/>
              <w:topLinePunct w:val="0"/>
              <w:autoSpaceDE/>
              <w:autoSpaceDN/>
              <w:bidi w:val="0"/>
              <w:snapToGrid/>
              <w:spacing w:line="360" w:lineRule="auto"/>
              <w:ind w:left="0" w:leftChars="0" w:right="0" w:rightChars="0" w:firstLine="422"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注：①-④每项的内容为评分标准，①-③每项最高得</w:t>
            </w:r>
            <w:r>
              <w:rPr>
                <w:rFonts w:hint="eastAsia" w:ascii="宋体" w:hAnsi="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lang w:val="en-US" w:eastAsia="zh-CN"/>
              </w:rPr>
              <w:t>分，④</w:t>
            </w:r>
            <w:r>
              <w:rPr>
                <w:rFonts w:hint="eastAsia" w:ascii="宋体" w:hAnsi="宋体" w:cs="宋体"/>
                <w:b/>
                <w:bCs w:val="0"/>
                <w:color w:val="auto"/>
                <w:sz w:val="21"/>
                <w:szCs w:val="21"/>
                <w:highlight w:val="none"/>
                <w:lang w:val="en-US" w:eastAsia="zh-CN"/>
              </w:rPr>
              <w:t>项最高得2分，</w:t>
            </w:r>
            <w:r>
              <w:rPr>
                <w:rFonts w:hint="eastAsia" w:ascii="宋体" w:hAnsi="宋体" w:eastAsia="宋体" w:cs="宋体"/>
                <w:b/>
                <w:bCs w:val="0"/>
                <w:color w:val="auto"/>
                <w:sz w:val="21"/>
                <w:szCs w:val="21"/>
                <w:highlight w:val="none"/>
                <w:lang w:val="en-US" w:eastAsia="zh-CN"/>
              </w:rPr>
              <w:t>其中：完整全面（2分）、关键技术点描述清晰（2分）、按照采购人实际需求制定（</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en-US" w:eastAsia="zh-CN"/>
              </w:rPr>
              <w:t>分）、缺项（0分），满分</w:t>
            </w:r>
            <w:r>
              <w:rPr>
                <w:rFonts w:hint="eastAsia" w:ascii="宋体" w:hAnsi="宋体" w:cs="宋体"/>
                <w:b/>
                <w:bCs w:val="0"/>
                <w:color w:val="auto"/>
                <w:sz w:val="21"/>
                <w:szCs w:val="21"/>
                <w:highlight w:val="none"/>
                <w:lang w:val="en-US" w:eastAsia="zh-CN"/>
              </w:rPr>
              <w:t>14</w:t>
            </w:r>
            <w:r>
              <w:rPr>
                <w:rFonts w:hint="eastAsia" w:ascii="宋体" w:hAnsi="宋体" w:eastAsia="宋体" w:cs="宋体"/>
                <w:b/>
                <w:bCs w:val="0"/>
                <w:color w:val="auto"/>
                <w:sz w:val="21"/>
                <w:szCs w:val="21"/>
                <w:highlight w:val="none"/>
                <w:lang w:val="en-US" w:eastAsia="zh-CN"/>
              </w:rPr>
              <w:t>分。</w:t>
            </w:r>
          </w:p>
        </w:tc>
      </w:tr>
      <w:tr w14:paraId="6EEA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1" w:type="dxa"/>
            <w:noWrap w:val="0"/>
            <w:vAlign w:val="center"/>
          </w:tcPr>
          <w:p w14:paraId="288ED439">
            <w:pPr>
              <w:keepNext w:val="0"/>
              <w:keepLines w:val="0"/>
              <w:pageBreakBefore w:val="0"/>
              <w:widowControl/>
              <w:shd w:val="clear" w:color="auto" w:fill="auto"/>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30" w:type="dxa"/>
            <w:noWrap w:val="0"/>
            <w:vAlign w:val="center"/>
          </w:tcPr>
          <w:p w14:paraId="34181C5A">
            <w:pPr>
              <w:keepNext w:val="0"/>
              <w:keepLines w:val="0"/>
              <w:pageBreakBefore w:val="0"/>
              <w:widowControl/>
              <w:shd w:val="clear" w:color="auto" w:fill="auto"/>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商务分</w:t>
            </w:r>
          </w:p>
        </w:tc>
        <w:tc>
          <w:tcPr>
            <w:tcW w:w="6917" w:type="dxa"/>
            <w:noWrap w:val="0"/>
            <w:vAlign w:val="center"/>
          </w:tcPr>
          <w:p w14:paraId="6383739A">
            <w:pPr>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14:paraId="6B68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1" w:type="dxa"/>
            <w:noWrap w:val="0"/>
            <w:vAlign w:val="center"/>
          </w:tcPr>
          <w:p w14:paraId="54492DA6">
            <w:pPr>
              <w:keepNext w:val="0"/>
              <w:keepLines w:val="0"/>
              <w:pageBreakBefore w:val="0"/>
              <w:widowControl/>
              <w:shd w:val="clear" w:color="auto" w:fill="auto"/>
              <w:kinsoku/>
              <w:wordWrap/>
              <w:overflowPunct/>
              <w:topLinePunct w:val="0"/>
              <w:autoSpaceDE/>
              <w:autoSpaceDN/>
              <w:bidi w:val="0"/>
              <w:snapToGrid/>
              <w:spacing w:line="360" w:lineRule="auto"/>
              <w:ind w:left="0" w:leftChars="0" w:right="0" w:rightChars="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3.1</w:t>
            </w:r>
          </w:p>
        </w:tc>
        <w:tc>
          <w:tcPr>
            <w:tcW w:w="1230" w:type="dxa"/>
            <w:noWrap w:val="0"/>
            <w:vAlign w:val="center"/>
          </w:tcPr>
          <w:p w14:paraId="683D8D83">
            <w:pPr>
              <w:keepNext w:val="0"/>
              <w:keepLines w:val="0"/>
              <w:pageBreakBefore w:val="0"/>
              <w:widowControl/>
              <w:shd w:val="clear" w:color="auto" w:fill="auto"/>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资信实力分（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tc>
        <w:tc>
          <w:tcPr>
            <w:tcW w:w="6917" w:type="dxa"/>
            <w:noWrap w:val="0"/>
            <w:vAlign w:val="top"/>
          </w:tcPr>
          <w:p w14:paraId="712B92B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供应商或其上级公司提供如下管理体系认证证书或证明材料的，每项得2分，满分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14:paraId="2FDEE53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①</w:t>
            </w:r>
            <w:r>
              <w:rPr>
                <w:rFonts w:hint="eastAsia" w:ascii="宋体" w:hAnsi="宋体" w:cs="宋体"/>
                <w:bCs/>
                <w:color w:val="auto"/>
                <w:sz w:val="21"/>
                <w:szCs w:val="21"/>
                <w:highlight w:val="none"/>
                <w:lang w:val="en-US" w:eastAsia="zh-CN"/>
              </w:rPr>
              <w:t>提供</w:t>
            </w:r>
            <w:r>
              <w:rPr>
                <w:rFonts w:hint="eastAsia" w:ascii="宋体" w:hAnsi="宋体" w:eastAsia="宋体" w:cs="宋体"/>
                <w:bCs/>
                <w:color w:val="auto"/>
                <w:sz w:val="21"/>
                <w:szCs w:val="21"/>
                <w:highlight w:val="none"/>
                <w:lang w:val="en-US" w:eastAsia="zh-CN"/>
              </w:rPr>
              <w:t>ISO10006质量管理体系认证证书的得2分；</w:t>
            </w:r>
          </w:p>
          <w:p w14:paraId="5C5FFC2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w:t>
            </w:r>
            <w:r>
              <w:rPr>
                <w:rFonts w:hint="eastAsia" w:ascii="宋体" w:hAnsi="宋体" w:cs="宋体"/>
                <w:bCs/>
                <w:color w:val="auto"/>
                <w:sz w:val="21"/>
                <w:szCs w:val="21"/>
                <w:highlight w:val="none"/>
                <w:lang w:val="en-US" w:eastAsia="zh-CN"/>
              </w:rPr>
              <w:t>提供</w:t>
            </w:r>
            <w:r>
              <w:rPr>
                <w:rFonts w:hint="eastAsia" w:ascii="宋体" w:hAnsi="宋体" w:eastAsia="宋体" w:cs="宋体"/>
                <w:bCs/>
                <w:color w:val="auto"/>
                <w:sz w:val="21"/>
                <w:szCs w:val="21"/>
                <w:highlight w:val="none"/>
                <w:lang w:val="en-US" w:eastAsia="zh-CN"/>
              </w:rPr>
              <w:t>ISO22301业务连续性管理体系认证证书的得2分；</w:t>
            </w:r>
          </w:p>
          <w:p w14:paraId="2F8D1B7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③</w:t>
            </w:r>
            <w:r>
              <w:rPr>
                <w:rFonts w:hint="eastAsia" w:ascii="宋体" w:hAnsi="宋体" w:cs="宋体"/>
                <w:bCs/>
                <w:color w:val="auto"/>
                <w:sz w:val="21"/>
                <w:szCs w:val="21"/>
                <w:highlight w:val="none"/>
                <w:lang w:val="en-US" w:eastAsia="zh-CN"/>
              </w:rPr>
              <w:t>提供</w:t>
            </w:r>
            <w:r>
              <w:rPr>
                <w:rFonts w:hint="eastAsia" w:ascii="宋体" w:hAnsi="宋体" w:eastAsia="宋体" w:cs="宋体"/>
                <w:bCs/>
                <w:color w:val="auto"/>
                <w:sz w:val="21"/>
                <w:szCs w:val="21"/>
                <w:highlight w:val="none"/>
                <w:lang w:val="en-US" w:eastAsia="zh-CN"/>
              </w:rPr>
              <w:t>履约能力评价服务认证证书五星证书的得2分</w:t>
            </w:r>
            <w:r>
              <w:rPr>
                <w:rFonts w:hint="eastAsia" w:ascii="宋体" w:hAnsi="宋体" w:cs="宋体"/>
                <w:bCs/>
                <w:color w:val="auto"/>
                <w:sz w:val="21"/>
                <w:szCs w:val="21"/>
                <w:highlight w:val="none"/>
                <w:lang w:val="en-US" w:eastAsia="zh-CN"/>
              </w:rPr>
              <w:t>。</w:t>
            </w:r>
          </w:p>
          <w:p w14:paraId="761CD2D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注：在响应文件内提供相关证书复印件，要求证书清晰、完整显示投标人名称，并加盖投标人单位公章，否则不得分。</w:t>
            </w:r>
          </w:p>
        </w:tc>
      </w:tr>
      <w:tr w14:paraId="4678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1" w:type="dxa"/>
            <w:noWrap w:val="0"/>
            <w:vAlign w:val="center"/>
          </w:tcPr>
          <w:p w14:paraId="4E3147BC">
            <w:pPr>
              <w:keepNext w:val="0"/>
              <w:keepLines w:val="0"/>
              <w:pageBreakBefore w:val="0"/>
              <w:widowControl/>
              <w:shd w:val="clear" w:color="auto" w:fill="auto"/>
              <w:kinsoku/>
              <w:wordWrap/>
              <w:overflowPunct/>
              <w:topLinePunct w:val="0"/>
              <w:autoSpaceDE/>
              <w:autoSpaceDN/>
              <w:bidi w:val="0"/>
              <w:snapToGrid/>
              <w:spacing w:line="360" w:lineRule="auto"/>
              <w:ind w:left="0" w:leftChars="0" w:right="0" w:rightChars="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2</w:t>
            </w:r>
          </w:p>
        </w:tc>
        <w:tc>
          <w:tcPr>
            <w:tcW w:w="1230" w:type="dxa"/>
            <w:noWrap w:val="0"/>
            <w:vAlign w:val="center"/>
          </w:tcPr>
          <w:p w14:paraId="075EFBC4">
            <w:pPr>
              <w:keepNext w:val="0"/>
              <w:keepLines w:val="0"/>
              <w:pageBreakBefore w:val="0"/>
              <w:widowControl/>
              <w:shd w:val="clear" w:color="auto" w:fill="auto"/>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类似业绩（满分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tc>
        <w:tc>
          <w:tcPr>
            <w:tcW w:w="6917" w:type="dxa"/>
            <w:noWrap w:val="0"/>
            <w:vAlign w:val="top"/>
          </w:tcPr>
          <w:p w14:paraId="47C50D2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供应商或其上级公司自2021年1月1日以来至响应文件提交截止之日止，有完成同类项目业绩，每项得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分，满分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
                <w:bCs w:val="0"/>
                <w:color w:val="auto"/>
                <w:sz w:val="21"/>
                <w:szCs w:val="21"/>
                <w:highlight w:val="none"/>
                <w:lang w:val="en-US" w:eastAsia="zh-CN"/>
              </w:rPr>
              <w:t>（以合同签订日期为准，需提供成交通知书或合同关键页等复印件材料核对，并加盖供应商的公章，不提供或资料不符不得分）</w:t>
            </w:r>
          </w:p>
        </w:tc>
      </w:tr>
      <w:tr w14:paraId="0C07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8" w:type="dxa"/>
            <w:gridSpan w:val="3"/>
            <w:noWrap w:val="0"/>
            <w:vAlign w:val="top"/>
          </w:tcPr>
          <w:p w14:paraId="27E1FBA2">
            <w:pPr>
              <w:pStyle w:val="16"/>
              <w:keepNext w:val="0"/>
              <w:keepLines w:val="0"/>
              <w:pageBreakBefore w:val="0"/>
              <w:shd w:val="clear" w:color="auto" w:fill="auto"/>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总得分为以上各项评审因素得分合计。</w:t>
            </w:r>
          </w:p>
        </w:tc>
      </w:tr>
    </w:tbl>
    <w:p w14:paraId="065743E4">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CB15A10">
      <w:pPr>
        <w:jc w:val="center"/>
        <w:outlineLvl w:val="9"/>
        <w:rPr>
          <w:color w:val="auto"/>
          <w:highlight w:val="none"/>
        </w:rPr>
      </w:pPr>
      <w:r>
        <w:rPr>
          <w:color w:val="auto"/>
          <w:highlight w:val="none"/>
        </w:rPr>
        <w:br w:type="page"/>
      </w:r>
    </w:p>
    <w:p w14:paraId="48BEF59B">
      <w:pPr>
        <w:rPr>
          <w:color w:val="auto"/>
          <w:highlight w:val="none"/>
        </w:rPr>
      </w:pPr>
    </w:p>
    <w:p w14:paraId="0135B19D">
      <w:pPr>
        <w:rPr>
          <w:color w:val="auto"/>
          <w:highlight w:val="none"/>
        </w:rPr>
      </w:pPr>
    </w:p>
    <w:p w14:paraId="0F47F741">
      <w:pPr>
        <w:rPr>
          <w:color w:val="auto"/>
          <w:highlight w:val="none"/>
        </w:rPr>
      </w:pPr>
    </w:p>
    <w:p w14:paraId="462BDE39">
      <w:pPr>
        <w:rPr>
          <w:color w:val="auto"/>
          <w:highlight w:val="none"/>
        </w:rPr>
      </w:pPr>
    </w:p>
    <w:p w14:paraId="0089A9B0">
      <w:pPr>
        <w:rPr>
          <w:color w:val="auto"/>
          <w:highlight w:val="none"/>
        </w:rPr>
      </w:pPr>
    </w:p>
    <w:p w14:paraId="5A074866">
      <w:pPr>
        <w:rPr>
          <w:color w:val="auto"/>
          <w:highlight w:val="none"/>
        </w:rPr>
      </w:pPr>
    </w:p>
    <w:p w14:paraId="0C246723">
      <w:pPr>
        <w:rPr>
          <w:color w:val="auto"/>
          <w:highlight w:val="none"/>
        </w:rPr>
      </w:pPr>
    </w:p>
    <w:p w14:paraId="6837FA86">
      <w:pPr>
        <w:rPr>
          <w:color w:val="auto"/>
          <w:highlight w:val="none"/>
        </w:rPr>
      </w:pPr>
    </w:p>
    <w:p w14:paraId="21242464">
      <w:pPr>
        <w:rPr>
          <w:color w:val="auto"/>
          <w:highlight w:val="none"/>
        </w:rPr>
      </w:pPr>
    </w:p>
    <w:p w14:paraId="3F032943">
      <w:pPr>
        <w:rPr>
          <w:color w:val="auto"/>
          <w:highlight w:val="none"/>
        </w:rPr>
      </w:pPr>
    </w:p>
    <w:p w14:paraId="3CFA06FC">
      <w:pPr>
        <w:rPr>
          <w:color w:val="auto"/>
          <w:highlight w:val="none"/>
        </w:rPr>
      </w:pPr>
    </w:p>
    <w:p w14:paraId="6C9683DB">
      <w:pPr>
        <w:rPr>
          <w:color w:val="auto"/>
          <w:highlight w:val="none"/>
        </w:rPr>
      </w:pPr>
    </w:p>
    <w:p w14:paraId="0338F155">
      <w:pPr>
        <w:rPr>
          <w:color w:val="auto"/>
          <w:highlight w:val="none"/>
        </w:rPr>
      </w:pPr>
    </w:p>
    <w:p w14:paraId="6DA1CE2F">
      <w:pPr>
        <w:pStyle w:val="3"/>
        <w:jc w:val="center"/>
        <w:rPr>
          <w:color w:val="auto"/>
          <w:highlight w:val="none"/>
        </w:rPr>
      </w:pPr>
      <w:bookmarkStart w:id="75" w:name="_Toc74323460"/>
      <w:r>
        <w:rPr>
          <w:rFonts w:hint="eastAsia"/>
          <w:color w:val="auto"/>
          <w:highlight w:val="none"/>
        </w:rPr>
        <w:t>第五章 响应文件格式</w:t>
      </w:r>
      <w:bookmarkEnd w:id="75"/>
    </w:p>
    <w:p w14:paraId="10ECF504">
      <w:pPr>
        <w:spacing w:line="240" w:lineRule="atLeast"/>
        <w:rPr>
          <w:rFonts w:ascii="宋体" w:hAnsi="宋体"/>
          <w:b/>
          <w:color w:val="auto"/>
          <w:sz w:val="32"/>
          <w:szCs w:val="32"/>
          <w:highlight w:val="none"/>
        </w:rPr>
      </w:pPr>
    </w:p>
    <w:p w14:paraId="0B956B4D">
      <w:pPr>
        <w:spacing w:line="240" w:lineRule="atLeast"/>
        <w:rPr>
          <w:rFonts w:ascii="宋体" w:hAnsi="宋体"/>
          <w:b/>
          <w:color w:val="auto"/>
          <w:sz w:val="32"/>
          <w:szCs w:val="32"/>
          <w:highlight w:val="none"/>
        </w:rPr>
      </w:pPr>
    </w:p>
    <w:p w14:paraId="7ABC7067">
      <w:pPr>
        <w:spacing w:line="240" w:lineRule="atLeast"/>
        <w:rPr>
          <w:rFonts w:ascii="宋体" w:hAnsi="宋体"/>
          <w:b/>
          <w:color w:val="auto"/>
          <w:sz w:val="32"/>
          <w:szCs w:val="32"/>
          <w:highlight w:val="none"/>
        </w:rPr>
      </w:pPr>
    </w:p>
    <w:p w14:paraId="1E613B65">
      <w:pPr>
        <w:spacing w:line="240" w:lineRule="atLeast"/>
        <w:rPr>
          <w:rFonts w:ascii="宋体" w:hAnsi="宋体"/>
          <w:b/>
          <w:color w:val="auto"/>
          <w:sz w:val="32"/>
          <w:szCs w:val="32"/>
          <w:highlight w:val="none"/>
        </w:rPr>
      </w:pPr>
    </w:p>
    <w:p w14:paraId="1560701D">
      <w:pPr>
        <w:spacing w:line="240" w:lineRule="atLeast"/>
        <w:rPr>
          <w:rFonts w:ascii="宋体" w:hAnsi="宋体"/>
          <w:b/>
          <w:color w:val="auto"/>
          <w:sz w:val="32"/>
          <w:szCs w:val="32"/>
          <w:highlight w:val="none"/>
        </w:rPr>
      </w:pPr>
    </w:p>
    <w:p w14:paraId="490B431D">
      <w:pPr>
        <w:spacing w:line="240" w:lineRule="atLeast"/>
        <w:rPr>
          <w:rFonts w:ascii="宋体" w:hAnsi="宋体"/>
          <w:b/>
          <w:color w:val="auto"/>
          <w:sz w:val="32"/>
          <w:szCs w:val="32"/>
          <w:highlight w:val="none"/>
        </w:rPr>
      </w:pPr>
    </w:p>
    <w:p w14:paraId="59B4803C">
      <w:pPr>
        <w:spacing w:line="240" w:lineRule="atLeast"/>
        <w:rPr>
          <w:rFonts w:ascii="宋体" w:hAnsi="宋体"/>
          <w:b/>
          <w:color w:val="auto"/>
          <w:sz w:val="32"/>
          <w:szCs w:val="32"/>
          <w:highlight w:val="none"/>
        </w:rPr>
      </w:pPr>
    </w:p>
    <w:p w14:paraId="22AFED11">
      <w:pPr>
        <w:spacing w:line="240" w:lineRule="atLeast"/>
        <w:rPr>
          <w:rFonts w:ascii="宋体" w:hAnsi="宋体"/>
          <w:b/>
          <w:color w:val="auto"/>
          <w:sz w:val="32"/>
          <w:szCs w:val="32"/>
          <w:highlight w:val="none"/>
        </w:rPr>
      </w:pPr>
    </w:p>
    <w:p w14:paraId="4A38A3E2">
      <w:pPr>
        <w:spacing w:line="240" w:lineRule="atLeast"/>
        <w:rPr>
          <w:rFonts w:ascii="宋体" w:hAnsi="宋体"/>
          <w:b/>
          <w:color w:val="auto"/>
          <w:sz w:val="32"/>
          <w:szCs w:val="32"/>
          <w:highlight w:val="none"/>
        </w:rPr>
      </w:pPr>
    </w:p>
    <w:p w14:paraId="3EEA2378">
      <w:pPr>
        <w:spacing w:line="240" w:lineRule="atLeast"/>
        <w:rPr>
          <w:rFonts w:ascii="宋体" w:hAnsi="宋体"/>
          <w:b/>
          <w:color w:val="auto"/>
          <w:sz w:val="32"/>
          <w:szCs w:val="32"/>
          <w:highlight w:val="none"/>
        </w:rPr>
      </w:pPr>
    </w:p>
    <w:p w14:paraId="301FB25B">
      <w:pPr>
        <w:spacing w:line="240" w:lineRule="atLeast"/>
        <w:rPr>
          <w:rFonts w:ascii="宋体" w:hAnsi="宋体"/>
          <w:b/>
          <w:color w:val="auto"/>
          <w:sz w:val="32"/>
          <w:szCs w:val="32"/>
          <w:highlight w:val="none"/>
        </w:rPr>
      </w:pPr>
    </w:p>
    <w:p w14:paraId="4229E915">
      <w:pPr>
        <w:snapToGrid w:val="0"/>
        <w:spacing w:before="50" w:after="50"/>
        <w:outlineLvl w:val="9"/>
        <w:rPr>
          <w:rFonts w:ascii="宋体" w:hAnsi="宋体"/>
          <w:b/>
          <w:bCs/>
          <w:color w:val="auto"/>
          <w:sz w:val="24"/>
          <w:highlight w:val="none"/>
        </w:rPr>
      </w:pPr>
    </w:p>
    <w:p w14:paraId="704E9392">
      <w:pPr>
        <w:snapToGrid w:val="0"/>
        <w:spacing w:beforeLines="50" w:after="50"/>
        <w:jc w:val="center"/>
        <w:rPr>
          <w:rFonts w:ascii="仿宋_GB2312" w:hAnsi="仿宋_GB2312" w:eastAsia="仿宋_GB2312" w:cs="仿宋_GB2312"/>
          <w:bCs/>
          <w:color w:val="auto"/>
          <w:sz w:val="32"/>
          <w:szCs w:val="32"/>
          <w:highlight w:val="none"/>
        </w:rPr>
      </w:pPr>
    </w:p>
    <w:p w14:paraId="3C5AF30C">
      <w:pPr>
        <w:outlineLvl w:val="1"/>
        <w:rPr>
          <w:b/>
          <w:color w:val="auto"/>
          <w:sz w:val="32"/>
          <w:szCs w:val="32"/>
          <w:highlight w:val="none"/>
        </w:rPr>
      </w:pPr>
      <w:bookmarkStart w:id="76" w:name="_Toc31728084"/>
      <w:bookmarkStart w:id="77" w:name="_Toc35611438"/>
      <w:bookmarkStart w:id="78" w:name="_Toc35611516"/>
      <w:bookmarkStart w:id="79" w:name="_Toc44229899"/>
      <w:bookmarkStart w:id="80" w:name="_Toc31723070"/>
      <w:bookmarkStart w:id="81" w:name="_Toc71366186"/>
      <w:r>
        <w:rPr>
          <w:b/>
          <w:color w:val="auto"/>
          <w:sz w:val="32"/>
          <w:szCs w:val="32"/>
          <w:highlight w:val="none"/>
        </w:rPr>
        <w:br w:type="page"/>
      </w:r>
      <w:r>
        <w:rPr>
          <w:rFonts w:hint="eastAsia"/>
          <w:b/>
          <w:color w:val="auto"/>
          <w:sz w:val="32"/>
          <w:szCs w:val="32"/>
          <w:highlight w:val="none"/>
        </w:rPr>
        <w:t>一、资格证明文件格式</w:t>
      </w:r>
      <w:bookmarkEnd w:id="76"/>
      <w:bookmarkEnd w:id="77"/>
      <w:bookmarkEnd w:id="78"/>
      <w:bookmarkEnd w:id="79"/>
      <w:bookmarkEnd w:id="80"/>
      <w:bookmarkEnd w:id="81"/>
    </w:p>
    <w:p w14:paraId="7F7FC205">
      <w:pPr>
        <w:snapToGrid w:val="0"/>
        <w:spacing w:beforeLines="50" w:after="50" w:line="360" w:lineRule="auto"/>
        <w:jc w:val="left"/>
        <w:outlineLvl w:val="2"/>
        <w:rPr>
          <w:rFonts w:ascii="宋体" w:hAnsi="宋体"/>
          <w:b/>
          <w:color w:val="auto"/>
          <w:sz w:val="24"/>
          <w:highlight w:val="none"/>
        </w:rPr>
      </w:pPr>
      <w:r>
        <w:rPr>
          <w:rFonts w:hint="eastAsia" w:ascii="宋体" w:hAnsi="宋体"/>
          <w:b/>
          <w:color w:val="auto"/>
          <w:sz w:val="32"/>
          <w:szCs w:val="32"/>
          <w:highlight w:val="none"/>
        </w:rPr>
        <w:t>1.资格证明文件封面格式：</w:t>
      </w:r>
    </w:p>
    <w:p w14:paraId="68A95818">
      <w:pPr>
        <w:snapToGrid w:val="0"/>
        <w:spacing w:beforeLines="50" w:after="50"/>
        <w:jc w:val="center"/>
        <w:rPr>
          <w:rFonts w:ascii="宋体" w:hAnsi="宋体"/>
          <w:color w:val="auto"/>
          <w:sz w:val="44"/>
          <w:szCs w:val="44"/>
          <w:highlight w:val="none"/>
        </w:rPr>
      </w:pPr>
    </w:p>
    <w:p w14:paraId="1A76DF1A">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655A6578">
      <w:pPr>
        <w:snapToGrid w:val="0"/>
        <w:spacing w:beforeLines="50" w:after="50"/>
        <w:rPr>
          <w:rFonts w:ascii="宋体" w:hAnsi="宋体"/>
          <w:color w:val="auto"/>
          <w:sz w:val="24"/>
          <w:szCs w:val="20"/>
          <w:highlight w:val="none"/>
        </w:rPr>
      </w:pPr>
    </w:p>
    <w:p w14:paraId="2D720DBA">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8AD4A00">
      <w:pPr>
        <w:snapToGrid w:val="0"/>
        <w:spacing w:beforeLines="50" w:after="50"/>
        <w:rPr>
          <w:rFonts w:ascii="宋体" w:hAnsi="宋体"/>
          <w:bCs/>
          <w:color w:val="auto"/>
          <w:sz w:val="24"/>
          <w:szCs w:val="20"/>
          <w:highlight w:val="none"/>
        </w:rPr>
      </w:pPr>
    </w:p>
    <w:p w14:paraId="030F445C">
      <w:pPr>
        <w:snapToGrid w:val="0"/>
        <w:spacing w:beforeLines="50" w:after="50"/>
        <w:rPr>
          <w:rFonts w:ascii="宋体" w:hAnsi="宋体"/>
          <w:bCs/>
          <w:color w:val="auto"/>
          <w:sz w:val="24"/>
          <w:szCs w:val="20"/>
          <w:highlight w:val="none"/>
        </w:rPr>
      </w:pPr>
    </w:p>
    <w:p w14:paraId="4146D2D4">
      <w:pPr>
        <w:snapToGrid w:val="0"/>
        <w:spacing w:beforeLines="50" w:after="50"/>
        <w:rPr>
          <w:rFonts w:ascii="宋体" w:hAnsi="宋体"/>
          <w:bCs/>
          <w:color w:val="auto"/>
          <w:sz w:val="24"/>
          <w:szCs w:val="20"/>
          <w:highlight w:val="none"/>
        </w:rPr>
      </w:pPr>
    </w:p>
    <w:p w14:paraId="31D0A402">
      <w:pPr>
        <w:snapToGrid w:val="0"/>
        <w:spacing w:beforeLines="50" w:after="50"/>
        <w:rPr>
          <w:rFonts w:ascii="宋体" w:hAnsi="宋体"/>
          <w:bCs/>
          <w:color w:val="auto"/>
          <w:sz w:val="24"/>
          <w:szCs w:val="20"/>
          <w:highlight w:val="none"/>
        </w:rPr>
      </w:pPr>
    </w:p>
    <w:p w14:paraId="09C9F041">
      <w:pPr>
        <w:snapToGrid w:val="0"/>
        <w:spacing w:beforeLines="50" w:after="50"/>
        <w:rPr>
          <w:rFonts w:ascii="宋体" w:hAnsi="宋体"/>
          <w:bCs/>
          <w:color w:val="auto"/>
          <w:sz w:val="24"/>
          <w:szCs w:val="20"/>
          <w:highlight w:val="none"/>
        </w:rPr>
      </w:pPr>
    </w:p>
    <w:p w14:paraId="1B87D90A">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3BD0390">
      <w:pPr>
        <w:snapToGrid w:val="0"/>
        <w:spacing w:beforeLines="50" w:after="50"/>
        <w:ind w:firstLine="720" w:firstLineChars="225"/>
        <w:rPr>
          <w:rFonts w:ascii="宋体" w:hAnsi="宋体" w:cs="仿宋_GB2312"/>
          <w:bCs/>
          <w:color w:val="auto"/>
          <w:sz w:val="32"/>
          <w:szCs w:val="32"/>
          <w:highlight w:val="none"/>
        </w:rPr>
      </w:pPr>
    </w:p>
    <w:p w14:paraId="5AEDCCD8">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7EB34B5">
      <w:pPr>
        <w:snapToGrid w:val="0"/>
        <w:spacing w:beforeLines="50" w:after="50"/>
        <w:ind w:firstLine="720" w:firstLineChars="225"/>
        <w:rPr>
          <w:rFonts w:ascii="宋体" w:hAnsi="宋体" w:cs="仿宋_GB2312"/>
          <w:bCs/>
          <w:color w:val="auto"/>
          <w:sz w:val="32"/>
          <w:szCs w:val="32"/>
          <w:highlight w:val="none"/>
        </w:rPr>
      </w:pPr>
    </w:p>
    <w:p w14:paraId="12EACA5D">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8F492F2">
      <w:pPr>
        <w:snapToGrid w:val="0"/>
        <w:spacing w:beforeLines="50" w:after="50"/>
        <w:ind w:firstLine="720" w:firstLineChars="225"/>
        <w:rPr>
          <w:rFonts w:ascii="宋体" w:hAnsi="宋体" w:cs="仿宋_GB2312"/>
          <w:bCs/>
          <w:color w:val="auto"/>
          <w:sz w:val="32"/>
          <w:szCs w:val="32"/>
          <w:highlight w:val="none"/>
        </w:rPr>
      </w:pPr>
    </w:p>
    <w:p w14:paraId="2CCD549C">
      <w:pPr>
        <w:pStyle w:val="7"/>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A042E67">
      <w:pPr>
        <w:snapToGrid w:val="0"/>
        <w:spacing w:beforeLines="50" w:after="50"/>
        <w:ind w:firstLine="640" w:firstLineChars="200"/>
        <w:rPr>
          <w:rFonts w:ascii="宋体" w:hAnsi="宋体" w:cs="仿宋_GB2312"/>
          <w:bCs/>
          <w:color w:val="auto"/>
          <w:sz w:val="32"/>
          <w:szCs w:val="32"/>
          <w:highlight w:val="none"/>
        </w:rPr>
      </w:pPr>
    </w:p>
    <w:p w14:paraId="3F295FA7">
      <w:pPr>
        <w:pStyle w:val="7"/>
        <w:snapToGrid w:val="0"/>
        <w:spacing w:before="50" w:after="50"/>
        <w:ind w:firstLine="720" w:firstLineChars="225"/>
        <w:rPr>
          <w:rFonts w:ascii="宋体" w:hAnsi="宋体" w:cs="仿宋_GB2312"/>
          <w:bCs/>
          <w:color w:val="auto"/>
          <w:sz w:val="32"/>
          <w:szCs w:val="32"/>
          <w:highlight w:val="none"/>
        </w:rPr>
      </w:pPr>
    </w:p>
    <w:p w14:paraId="4F112505">
      <w:pPr>
        <w:pStyle w:val="7"/>
        <w:snapToGrid w:val="0"/>
        <w:spacing w:before="50" w:after="50"/>
        <w:ind w:firstLine="720" w:firstLineChars="225"/>
        <w:rPr>
          <w:rFonts w:ascii="宋体" w:hAnsi="宋体" w:cs="仿宋_GB2312"/>
          <w:bCs/>
          <w:color w:val="auto"/>
          <w:sz w:val="32"/>
          <w:szCs w:val="32"/>
          <w:highlight w:val="none"/>
        </w:rPr>
      </w:pPr>
    </w:p>
    <w:p w14:paraId="3024BB4A">
      <w:pPr>
        <w:pStyle w:val="7"/>
        <w:snapToGrid w:val="0"/>
        <w:spacing w:before="50" w:after="50"/>
        <w:ind w:firstLine="1280" w:firstLineChars="400"/>
        <w:rPr>
          <w:rFonts w:ascii="宋体" w:hAnsi="宋体" w:cs="仿宋_GB2312"/>
          <w:bCs/>
          <w:color w:val="auto"/>
          <w:sz w:val="32"/>
          <w:szCs w:val="32"/>
          <w:highlight w:val="none"/>
        </w:rPr>
      </w:pPr>
    </w:p>
    <w:p w14:paraId="70E04541">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7C68417">
      <w:pPr>
        <w:snapToGrid w:val="0"/>
        <w:spacing w:beforeLines="50" w:after="50" w:line="360" w:lineRule="auto"/>
        <w:ind w:left="142"/>
        <w:jc w:val="left"/>
        <w:outlineLvl w:val="2"/>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DF04D55">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AA39898">
      <w:pPr>
        <w:snapToGrid w:val="0"/>
        <w:spacing w:beforeLines="50" w:after="50"/>
        <w:rPr>
          <w:rFonts w:ascii="宋体" w:hAnsi="宋体"/>
          <w:color w:val="auto"/>
          <w:sz w:val="24"/>
          <w:szCs w:val="20"/>
          <w:highlight w:val="none"/>
        </w:rPr>
      </w:pPr>
    </w:p>
    <w:p w14:paraId="1EC09F4A">
      <w:pPr>
        <w:spacing w:line="300" w:lineRule="auto"/>
        <w:rPr>
          <w:rFonts w:ascii="宋体" w:hAnsi="宋体"/>
          <w:color w:val="auto"/>
          <w:szCs w:val="21"/>
          <w:highlight w:val="none"/>
        </w:rPr>
      </w:pPr>
    </w:p>
    <w:p w14:paraId="369BFE27">
      <w:pPr>
        <w:spacing w:line="300" w:lineRule="auto"/>
        <w:rPr>
          <w:rFonts w:ascii="宋体" w:hAnsi="宋体"/>
          <w:color w:val="auto"/>
          <w:szCs w:val="21"/>
          <w:highlight w:val="none"/>
        </w:rPr>
      </w:pPr>
    </w:p>
    <w:p w14:paraId="30F31315">
      <w:pPr>
        <w:spacing w:line="300" w:lineRule="auto"/>
        <w:rPr>
          <w:rFonts w:ascii="宋体" w:hAnsi="宋体"/>
          <w:color w:val="auto"/>
          <w:szCs w:val="21"/>
          <w:highlight w:val="none"/>
        </w:rPr>
      </w:pPr>
    </w:p>
    <w:p w14:paraId="7EBA7523">
      <w:pPr>
        <w:spacing w:line="300" w:lineRule="auto"/>
        <w:rPr>
          <w:rFonts w:ascii="宋体" w:hAnsi="宋体"/>
          <w:color w:val="auto"/>
          <w:szCs w:val="21"/>
          <w:highlight w:val="none"/>
        </w:rPr>
      </w:pPr>
    </w:p>
    <w:p w14:paraId="05090E19">
      <w:pPr>
        <w:spacing w:line="300" w:lineRule="auto"/>
        <w:rPr>
          <w:rFonts w:ascii="宋体" w:hAnsi="宋体"/>
          <w:color w:val="auto"/>
          <w:szCs w:val="21"/>
          <w:highlight w:val="none"/>
        </w:rPr>
      </w:pPr>
    </w:p>
    <w:p w14:paraId="73F5745A">
      <w:pPr>
        <w:spacing w:line="300" w:lineRule="auto"/>
        <w:rPr>
          <w:rFonts w:ascii="宋体" w:hAnsi="宋体"/>
          <w:color w:val="auto"/>
          <w:szCs w:val="21"/>
          <w:highlight w:val="none"/>
        </w:rPr>
      </w:pPr>
    </w:p>
    <w:p w14:paraId="5F6E395C">
      <w:pPr>
        <w:spacing w:line="300" w:lineRule="auto"/>
        <w:rPr>
          <w:rFonts w:ascii="宋体" w:hAnsi="宋体"/>
          <w:color w:val="auto"/>
          <w:szCs w:val="21"/>
          <w:highlight w:val="none"/>
        </w:rPr>
      </w:pPr>
    </w:p>
    <w:p w14:paraId="59410464">
      <w:pPr>
        <w:spacing w:line="300" w:lineRule="auto"/>
        <w:rPr>
          <w:rFonts w:ascii="宋体" w:hAnsi="宋体"/>
          <w:color w:val="auto"/>
          <w:szCs w:val="21"/>
          <w:highlight w:val="none"/>
        </w:rPr>
      </w:pPr>
    </w:p>
    <w:p w14:paraId="6F2C5F7D">
      <w:pPr>
        <w:spacing w:line="300" w:lineRule="auto"/>
        <w:rPr>
          <w:rFonts w:ascii="宋体" w:hAnsi="宋体"/>
          <w:color w:val="auto"/>
          <w:szCs w:val="21"/>
          <w:highlight w:val="none"/>
        </w:rPr>
      </w:pPr>
    </w:p>
    <w:p w14:paraId="32A110A1">
      <w:pPr>
        <w:spacing w:line="300" w:lineRule="auto"/>
        <w:rPr>
          <w:rFonts w:ascii="宋体" w:hAnsi="宋体"/>
          <w:color w:val="auto"/>
          <w:szCs w:val="21"/>
          <w:highlight w:val="none"/>
        </w:rPr>
      </w:pPr>
    </w:p>
    <w:p w14:paraId="17D03BDE">
      <w:pPr>
        <w:spacing w:line="300" w:lineRule="auto"/>
        <w:rPr>
          <w:rFonts w:ascii="宋体" w:hAnsi="宋体"/>
          <w:color w:val="auto"/>
          <w:szCs w:val="21"/>
          <w:highlight w:val="none"/>
        </w:rPr>
      </w:pPr>
    </w:p>
    <w:p w14:paraId="75A6ECAB">
      <w:pPr>
        <w:spacing w:line="300" w:lineRule="auto"/>
        <w:rPr>
          <w:rFonts w:ascii="宋体" w:hAnsi="宋体"/>
          <w:color w:val="auto"/>
          <w:szCs w:val="21"/>
          <w:highlight w:val="none"/>
        </w:rPr>
      </w:pPr>
    </w:p>
    <w:p w14:paraId="3A4C4494">
      <w:pPr>
        <w:spacing w:line="300" w:lineRule="auto"/>
        <w:rPr>
          <w:rFonts w:ascii="宋体" w:hAnsi="宋体"/>
          <w:color w:val="auto"/>
          <w:szCs w:val="21"/>
          <w:highlight w:val="none"/>
        </w:rPr>
      </w:pPr>
    </w:p>
    <w:p w14:paraId="618A0B57">
      <w:pPr>
        <w:spacing w:line="300" w:lineRule="auto"/>
        <w:rPr>
          <w:rFonts w:ascii="宋体" w:hAnsi="宋体"/>
          <w:color w:val="auto"/>
          <w:szCs w:val="21"/>
          <w:highlight w:val="none"/>
        </w:rPr>
      </w:pPr>
    </w:p>
    <w:p w14:paraId="58EDE237">
      <w:pPr>
        <w:spacing w:line="300" w:lineRule="auto"/>
        <w:rPr>
          <w:rFonts w:ascii="宋体" w:hAnsi="宋体"/>
          <w:color w:val="auto"/>
          <w:szCs w:val="21"/>
          <w:highlight w:val="none"/>
        </w:rPr>
      </w:pPr>
    </w:p>
    <w:p w14:paraId="6A0CF881">
      <w:pPr>
        <w:spacing w:line="320" w:lineRule="exact"/>
        <w:jc w:val="left"/>
        <w:outlineLvl w:val="2"/>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供应商直接控股股东信息表</w:t>
      </w:r>
    </w:p>
    <w:p w14:paraId="35487428">
      <w:pPr>
        <w:snapToGrid w:val="0"/>
        <w:spacing w:before="50" w:afterLines="50"/>
        <w:jc w:val="center"/>
        <w:rPr>
          <w:rFonts w:ascii="宋体" w:hAnsi="宋体"/>
          <w:b/>
          <w:color w:val="auto"/>
          <w:sz w:val="28"/>
          <w:szCs w:val="28"/>
          <w:highlight w:val="none"/>
        </w:rPr>
      </w:pPr>
    </w:p>
    <w:p w14:paraId="31317B96">
      <w:pPr>
        <w:snapToGrid w:val="0"/>
        <w:spacing w:before="5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5"/>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8FAD1FE">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2E8F69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F266D0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21B76E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FB0DA7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CE9710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D7D5C2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4CA3BE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FC6FE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E72B43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8AF563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D98A56C">
            <w:pPr>
              <w:spacing w:line="360" w:lineRule="auto"/>
              <w:jc w:val="center"/>
              <w:rPr>
                <w:rFonts w:ascii="宋体" w:hAnsi="宋体" w:cs="宋体"/>
                <w:color w:val="auto"/>
                <w:kern w:val="0"/>
                <w:sz w:val="24"/>
                <w:highlight w:val="none"/>
              </w:rPr>
            </w:pPr>
          </w:p>
        </w:tc>
      </w:tr>
      <w:tr w14:paraId="4A252F6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DF3597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36E17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C61820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5EBB195">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19003B1">
            <w:pPr>
              <w:spacing w:line="360" w:lineRule="auto"/>
              <w:jc w:val="center"/>
              <w:rPr>
                <w:rFonts w:ascii="宋体" w:hAnsi="宋体" w:cs="宋体"/>
                <w:color w:val="auto"/>
                <w:kern w:val="0"/>
                <w:sz w:val="24"/>
                <w:highlight w:val="none"/>
              </w:rPr>
            </w:pPr>
          </w:p>
        </w:tc>
      </w:tr>
      <w:tr w14:paraId="7A49D8A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4ECF5D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4EF6F7D">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71E75B0">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8AFA28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2710B7">
            <w:pPr>
              <w:spacing w:line="360" w:lineRule="auto"/>
              <w:jc w:val="center"/>
              <w:rPr>
                <w:rFonts w:ascii="宋体" w:hAnsi="宋体" w:cs="宋体"/>
                <w:color w:val="auto"/>
                <w:kern w:val="0"/>
                <w:sz w:val="24"/>
                <w:highlight w:val="none"/>
              </w:rPr>
            </w:pPr>
          </w:p>
        </w:tc>
      </w:tr>
      <w:tr w14:paraId="50FF87A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4F6C7F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8AA87F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B7C2759">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8E0A0B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379E48">
            <w:pPr>
              <w:spacing w:line="360" w:lineRule="auto"/>
              <w:jc w:val="center"/>
              <w:rPr>
                <w:rFonts w:ascii="宋体" w:hAnsi="宋体" w:cs="宋体"/>
                <w:color w:val="auto"/>
                <w:kern w:val="0"/>
                <w:sz w:val="24"/>
                <w:highlight w:val="none"/>
              </w:rPr>
            </w:pPr>
          </w:p>
        </w:tc>
      </w:tr>
    </w:tbl>
    <w:p w14:paraId="4EF23284">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5DC62BB3">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D577F3">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8408B39">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4DF2EB4C">
      <w:pPr>
        <w:snapToGrid w:val="0"/>
        <w:spacing w:line="360" w:lineRule="auto"/>
        <w:jc w:val="left"/>
        <w:rPr>
          <w:rFonts w:ascii="宋体" w:hAnsi="宋体"/>
          <w:color w:val="auto"/>
          <w:sz w:val="24"/>
          <w:highlight w:val="none"/>
        </w:rPr>
      </w:pPr>
    </w:p>
    <w:p w14:paraId="021DA062">
      <w:pPr>
        <w:snapToGrid w:val="0"/>
        <w:spacing w:line="360" w:lineRule="auto"/>
        <w:jc w:val="left"/>
        <w:rPr>
          <w:rFonts w:ascii="宋体" w:hAnsi="宋体"/>
          <w:color w:val="auto"/>
          <w:sz w:val="24"/>
          <w:highlight w:val="none"/>
        </w:rPr>
      </w:pPr>
    </w:p>
    <w:p w14:paraId="77FBFAA7">
      <w:pPr>
        <w:snapToGrid w:val="0"/>
        <w:spacing w:line="360" w:lineRule="auto"/>
        <w:jc w:val="left"/>
        <w:rPr>
          <w:rFonts w:ascii="宋体" w:hAnsi="宋体"/>
          <w:color w:val="auto"/>
          <w:sz w:val="24"/>
          <w:highlight w:val="none"/>
        </w:rPr>
      </w:pPr>
    </w:p>
    <w:p w14:paraId="29ECD6F2">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5D3FB3A2">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44AB0C7C">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16CB2014">
      <w:pPr>
        <w:snapToGrid w:val="0"/>
        <w:jc w:val="center"/>
        <w:rPr>
          <w:rFonts w:ascii="宋体" w:hAnsi="宋体"/>
          <w:b/>
          <w:color w:val="auto"/>
          <w:sz w:val="28"/>
          <w:szCs w:val="28"/>
          <w:highlight w:val="none"/>
        </w:rPr>
      </w:pPr>
    </w:p>
    <w:p w14:paraId="7D98A123">
      <w:pPr>
        <w:snapToGrid w:val="0"/>
        <w:spacing w:line="360" w:lineRule="auto"/>
        <w:jc w:val="left"/>
        <w:outlineLvl w:val="2"/>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4.</w:t>
      </w:r>
      <w:r>
        <w:rPr>
          <w:rFonts w:hint="eastAsia" w:ascii="宋体" w:hAnsi="宋体"/>
          <w:b/>
          <w:color w:val="auto"/>
          <w:sz w:val="28"/>
          <w:szCs w:val="28"/>
          <w:highlight w:val="none"/>
        </w:rPr>
        <w:t>供应商直接管理关系信息表</w:t>
      </w:r>
    </w:p>
    <w:p w14:paraId="15854D53">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5"/>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51FA7D3">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364333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FD325E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36A34A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DCA81C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C1E36E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316058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771DB2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0674C4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DB2493">
            <w:pPr>
              <w:spacing w:line="360" w:lineRule="auto"/>
              <w:jc w:val="center"/>
              <w:rPr>
                <w:rFonts w:ascii="宋体" w:hAnsi="宋体" w:cs="宋体"/>
                <w:color w:val="auto"/>
                <w:kern w:val="0"/>
                <w:sz w:val="24"/>
                <w:highlight w:val="none"/>
              </w:rPr>
            </w:pPr>
          </w:p>
        </w:tc>
      </w:tr>
      <w:tr w14:paraId="1C48155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7A34D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8AD21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51D002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87BD208">
            <w:pPr>
              <w:spacing w:line="360" w:lineRule="auto"/>
              <w:jc w:val="center"/>
              <w:rPr>
                <w:rFonts w:ascii="宋体" w:hAnsi="宋体" w:cs="宋体"/>
                <w:color w:val="auto"/>
                <w:kern w:val="0"/>
                <w:sz w:val="24"/>
                <w:highlight w:val="none"/>
              </w:rPr>
            </w:pPr>
          </w:p>
        </w:tc>
      </w:tr>
      <w:tr w14:paraId="490B1F4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2B88C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B59A60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3DEF31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0895618">
            <w:pPr>
              <w:spacing w:line="360" w:lineRule="auto"/>
              <w:jc w:val="center"/>
              <w:rPr>
                <w:rFonts w:ascii="宋体" w:hAnsi="宋体" w:cs="宋体"/>
                <w:color w:val="auto"/>
                <w:kern w:val="0"/>
                <w:sz w:val="24"/>
                <w:highlight w:val="none"/>
              </w:rPr>
            </w:pPr>
          </w:p>
        </w:tc>
      </w:tr>
      <w:tr w14:paraId="25A7E67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16FFCB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231099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17C4E1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D91DAB">
            <w:pPr>
              <w:spacing w:line="360" w:lineRule="auto"/>
              <w:jc w:val="center"/>
              <w:rPr>
                <w:rFonts w:ascii="宋体" w:hAnsi="宋体" w:cs="宋体"/>
                <w:color w:val="auto"/>
                <w:kern w:val="0"/>
                <w:sz w:val="24"/>
                <w:highlight w:val="none"/>
              </w:rPr>
            </w:pPr>
          </w:p>
        </w:tc>
      </w:tr>
    </w:tbl>
    <w:p w14:paraId="75F8D4FC">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6F58BD1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29BE18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AD4365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15698076">
      <w:pPr>
        <w:snapToGrid w:val="0"/>
        <w:spacing w:line="360" w:lineRule="auto"/>
        <w:jc w:val="left"/>
        <w:rPr>
          <w:rFonts w:ascii="宋体" w:hAnsi="宋体"/>
          <w:color w:val="auto"/>
          <w:sz w:val="24"/>
          <w:highlight w:val="none"/>
        </w:rPr>
      </w:pPr>
    </w:p>
    <w:p w14:paraId="6C0F4F0D">
      <w:pPr>
        <w:snapToGrid w:val="0"/>
        <w:spacing w:line="360" w:lineRule="auto"/>
        <w:jc w:val="left"/>
        <w:rPr>
          <w:rFonts w:ascii="宋体" w:hAnsi="宋体"/>
          <w:color w:val="auto"/>
          <w:sz w:val="24"/>
          <w:highlight w:val="none"/>
        </w:rPr>
      </w:pPr>
    </w:p>
    <w:p w14:paraId="5858741A">
      <w:pPr>
        <w:snapToGrid w:val="0"/>
        <w:spacing w:line="360" w:lineRule="auto"/>
        <w:jc w:val="left"/>
        <w:rPr>
          <w:rFonts w:ascii="宋体" w:hAnsi="宋体"/>
          <w:color w:val="auto"/>
          <w:sz w:val="24"/>
          <w:highlight w:val="none"/>
        </w:rPr>
      </w:pPr>
    </w:p>
    <w:p w14:paraId="50AB40B3">
      <w:pPr>
        <w:snapToGrid w:val="0"/>
        <w:spacing w:line="360" w:lineRule="auto"/>
        <w:jc w:val="left"/>
        <w:rPr>
          <w:color w:val="auto"/>
          <w:sz w:val="24"/>
          <w:highlight w:val="none"/>
        </w:rPr>
      </w:pPr>
    </w:p>
    <w:p w14:paraId="0D40DA8A">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66098DB9">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059B7C52">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4896F5BE">
      <w:pPr>
        <w:snapToGrid w:val="0"/>
        <w:spacing w:beforeLines="50" w:after="50"/>
        <w:jc w:val="left"/>
        <w:rPr>
          <w:rFonts w:ascii="宋体" w:hAnsi="宋体"/>
          <w:color w:val="auto"/>
          <w:sz w:val="24"/>
          <w:highlight w:val="none"/>
        </w:rPr>
      </w:pPr>
    </w:p>
    <w:p w14:paraId="118095B7">
      <w:pPr>
        <w:snapToGrid w:val="0"/>
        <w:spacing w:before="50" w:afterLines="50"/>
        <w:jc w:val="left"/>
        <w:rPr>
          <w:rFonts w:ascii="宋体" w:hAnsi="宋体"/>
          <w:color w:val="auto"/>
          <w:szCs w:val="21"/>
          <w:highlight w:val="none"/>
        </w:rPr>
      </w:pPr>
    </w:p>
    <w:p w14:paraId="48886AAA">
      <w:pPr>
        <w:snapToGrid w:val="0"/>
        <w:spacing w:beforeLines="50" w:after="50"/>
        <w:jc w:val="left"/>
        <w:rPr>
          <w:rFonts w:ascii="宋体" w:hAnsi="宋体"/>
          <w:b/>
          <w:color w:val="auto"/>
          <w:sz w:val="24"/>
          <w:szCs w:val="20"/>
          <w:highlight w:val="none"/>
        </w:rPr>
      </w:pPr>
    </w:p>
    <w:p w14:paraId="2065062C">
      <w:pPr>
        <w:snapToGrid w:val="0"/>
        <w:spacing w:beforeLines="50" w:after="50"/>
        <w:ind w:left="142"/>
        <w:jc w:val="left"/>
        <w:rPr>
          <w:rFonts w:ascii="宋体" w:hAnsi="宋体"/>
          <w:b/>
          <w:color w:val="auto"/>
          <w:sz w:val="24"/>
          <w:highlight w:val="none"/>
        </w:rPr>
      </w:pPr>
    </w:p>
    <w:p w14:paraId="4759A0E6">
      <w:pPr>
        <w:snapToGrid w:val="0"/>
        <w:spacing w:beforeLines="50" w:after="50"/>
        <w:ind w:left="142"/>
        <w:jc w:val="left"/>
        <w:rPr>
          <w:rFonts w:ascii="宋体" w:hAnsi="宋体"/>
          <w:b/>
          <w:color w:val="auto"/>
          <w:sz w:val="24"/>
          <w:highlight w:val="none"/>
        </w:rPr>
      </w:pPr>
    </w:p>
    <w:p w14:paraId="6C5D48B7">
      <w:pPr>
        <w:snapToGrid w:val="0"/>
        <w:spacing w:beforeLines="50" w:after="50"/>
        <w:ind w:left="142"/>
        <w:jc w:val="left"/>
        <w:rPr>
          <w:rFonts w:ascii="宋体" w:hAnsi="宋体"/>
          <w:b/>
          <w:color w:val="auto"/>
          <w:sz w:val="24"/>
          <w:highlight w:val="none"/>
        </w:rPr>
      </w:pPr>
    </w:p>
    <w:p w14:paraId="03F0B682">
      <w:pPr>
        <w:snapToGrid w:val="0"/>
        <w:spacing w:beforeLines="50" w:after="50"/>
        <w:ind w:left="142"/>
        <w:jc w:val="left"/>
        <w:rPr>
          <w:rFonts w:ascii="宋体" w:hAnsi="宋体"/>
          <w:b/>
          <w:color w:val="auto"/>
          <w:sz w:val="24"/>
          <w:highlight w:val="none"/>
        </w:rPr>
      </w:pPr>
    </w:p>
    <w:p w14:paraId="78B4EF48">
      <w:pPr>
        <w:snapToGrid w:val="0"/>
        <w:spacing w:beforeLines="50" w:after="50"/>
        <w:ind w:left="142"/>
        <w:jc w:val="left"/>
        <w:rPr>
          <w:rFonts w:ascii="宋体" w:hAnsi="宋体"/>
          <w:b/>
          <w:color w:val="auto"/>
          <w:sz w:val="24"/>
          <w:highlight w:val="none"/>
        </w:rPr>
      </w:pPr>
    </w:p>
    <w:p w14:paraId="1B9E149B">
      <w:pPr>
        <w:rPr>
          <w:rFonts w:hint="eastAsia" w:ascii="宋体" w:hAnsi="宋体"/>
          <w:b/>
          <w:color w:val="auto"/>
          <w:sz w:val="24"/>
          <w:highlight w:val="none"/>
        </w:rPr>
      </w:pPr>
      <w:r>
        <w:rPr>
          <w:rFonts w:hint="eastAsia" w:ascii="宋体" w:hAnsi="宋体"/>
          <w:b/>
          <w:color w:val="auto"/>
          <w:sz w:val="24"/>
          <w:highlight w:val="none"/>
        </w:rPr>
        <w:br w:type="page"/>
      </w:r>
    </w:p>
    <w:p w14:paraId="20180A46">
      <w:pPr>
        <w:snapToGrid w:val="0"/>
        <w:spacing w:beforeLines="50" w:after="50"/>
        <w:ind w:left="142"/>
        <w:jc w:val="left"/>
        <w:outlineLvl w:val="2"/>
        <w:rPr>
          <w:rFonts w:ascii="宋体" w:hAnsi="宋体"/>
          <w:b/>
          <w:color w:val="auto"/>
          <w:sz w:val="24"/>
          <w:szCs w:val="20"/>
          <w:highlight w:val="none"/>
        </w:rPr>
      </w:pPr>
      <w:r>
        <w:rPr>
          <w:rFonts w:hint="eastAsia" w:ascii="宋体" w:hAnsi="宋体"/>
          <w:b/>
          <w:color w:val="auto"/>
          <w:sz w:val="24"/>
          <w:highlight w:val="none"/>
        </w:rPr>
        <w:t>5.竞标声明</w:t>
      </w:r>
    </w:p>
    <w:p w14:paraId="6BCCCF22">
      <w:pPr>
        <w:spacing w:line="320" w:lineRule="exact"/>
        <w:jc w:val="center"/>
        <w:rPr>
          <w:rFonts w:ascii="宋体" w:hAnsi="宋体"/>
          <w:color w:val="auto"/>
          <w:sz w:val="28"/>
          <w:szCs w:val="28"/>
          <w:highlight w:val="none"/>
        </w:rPr>
      </w:pPr>
    </w:p>
    <w:p w14:paraId="727A4859">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4F44D3DF">
      <w:pPr>
        <w:spacing w:line="320" w:lineRule="exact"/>
        <w:jc w:val="center"/>
        <w:rPr>
          <w:rFonts w:ascii="宋体" w:hAnsi="宋体"/>
          <w:color w:val="auto"/>
          <w:sz w:val="24"/>
          <w:szCs w:val="20"/>
          <w:highlight w:val="none"/>
        </w:rPr>
      </w:pPr>
    </w:p>
    <w:p w14:paraId="27E28D6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0286DBD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6C562E7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03F2538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C60727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73D8176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50ECAA7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28CF411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317F2A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6D62038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45B0B2C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ECBDC6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72B7D7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D0A90D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500436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0C121E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4F75B3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58ED85B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9F7C3E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F604A7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7E54E7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71CF23A">
      <w:pPr>
        <w:pStyle w:val="16"/>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1264E658">
      <w:pPr>
        <w:pStyle w:val="16"/>
        <w:spacing w:line="360" w:lineRule="auto"/>
        <w:ind w:firstLine="480" w:firstLineChars="200"/>
        <w:contextualSpacing/>
        <w:rPr>
          <w:rFonts w:hint="eastAsia" w:ascii="宋体" w:hAnsi="宋体" w:cs="宋体"/>
          <w:color w:val="auto"/>
          <w:sz w:val="24"/>
          <w:highlight w:val="none"/>
          <w:u w:val="single"/>
          <w:lang w:val="en-US" w:eastAsia="zh-CN"/>
        </w:rPr>
      </w:pPr>
      <w:r>
        <w:rPr>
          <w:rFonts w:hint="eastAsia" w:hAnsi="宋体" w:cs="宋体"/>
          <w:color w:val="auto"/>
          <w:sz w:val="24"/>
          <w:szCs w:val="24"/>
          <w:highlight w:val="none"/>
        </w:rPr>
        <w:t>电话/传真：</w:t>
      </w:r>
      <w:r>
        <w:rPr>
          <w:rFonts w:hint="eastAsia" w:ascii="宋体" w:hAnsi="宋体" w:cs="宋体"/>
          <w:color w:val="auto"/>
          <w:sz w:val="24"/>
          <w:highlight w:val="none"/>
          <w:u w:val="single"/>
          <w:lang w:val="en-US" w:eastAsia="zh-CN"/>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电子邮箱：</w:t>
      </w:r>
      <w:r>
        <w:rPr>
          <w:rFonts w:hint="eastAsia" w:ascii="宋体" w:hAnsi="宋体" w:cs="宋体"/>
          <w:color w:val="auto"/>
          <w:sz w:val="24"/>
          <w:highlight w:val="none"/>
          <w:u w:val="single"/>
          <w:lang w:val="en-US" w:eastAsia="zh-CN"/>
        </w:rPr>
        <w:t xml:space="preserve">                </w:t>
      </w:r>
    </w:p>
    <w:p w14:paraId="4BDA4BF5">
      <w:pPr>
        <w:pStyle w:val="16"/>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lang w:val="en-US" w:eastAsia="zh-CN"/>
        </w:rPr>
        <w:t xml:space="preserve">                </w:t>
      </w:r>
    </w:p>
    <w:p w14:paraId="35199FDC">
      <w:pPr>
        <w:pStyle w:val="15"/>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41C4964">
      <w:pPr>
        <w:pStyle w:val="1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19566D93">
      <w:pPr>
        <w:spacing w:line="360" w:lineRule="auto"/>
        <w:contextualSpacing/>
        <w:jc w:val="left"/>
        <w:rPr>
          <w:rFonts w:ascii="宋体" w:hAnsi="宋体" w:cs="宋体"/>
          <w:color w:val="auto"/>
          <w:szCs w:val="21"/>
          <w:highlight w:val="none"/>
        </w:rPr>
      </w:pPr>
    </w:p>
    <w:p w14:paraId="3D3E8F37">
      <w:pPr>
        <w:spacing w:line="360" w:lineRule="auto"/>
        <w:ind w:firstLine="1575" w:firstLineChars="750"/>
        <w:contextualSpacing/>
        <w:rPr>
          <w:color w:val="auto"/>
          <w:highlight w:val="none"/>
        </w:rPr>
      </w:pPr>
      <w:r>
        <w:rPr>
          <w:rFonts w:hint="eastAsia"/>
          <w:color w:val="auto"/>
          <w:highlight w:val="none"/>
        </w:rPr>
        <w:t>法定代表人或者委托代理人（签字或者电子签名）：</w:t>
      </w:r>
    </w:p>
    <w:p w14:paraId="3B8E038F">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供应商名称（电子签章）：</w:t>
      </w:r>
    </w:p>
    <w:p w14:paraId="4CC68DB8">
      <w:pPr>
        <w:pStyle w:val="15"/>
        <w:tabs>
          <w:tab w:val="left" w:pos="939"/>
        </w:tabs>
        <w:spacing w:line="360" w:lineRule="auto"/>
        <w:ind w:left="0" w:leftChars="0" w:firstLine="420" w:firstLineChars="200"/>
        <w:jc w:val="right"/>
        <w:rPr>
          <w:color w:val="auto"/>
          <w:sz w:val="24"/>
          <w:highlight w:val="none"/>
        </w:rPr>
      </w:pPr>
      <w:r>
        <w:rPr>
          <w:rFonts w:hint="eastAsia"/>
          <w:color w:val="auto"/>
          <w:highlight w:val="none"/>
        </w:rPr>
        <w:t xml:space="preserve"> 年    月    日</w:t>
      </w:r>
    </w:p>
    <w:p w14:paraId="2AB1A3AA">
      <w:pPr>
        <w:spacing w:line="360" w:lineRule="auto"/>
        <w:ind w:right="480" w:firstLine="240" w:firstLineChars="100"/>
        <w:contextualSpacing/>
        <w:jc w:val="center"/>
        <w:outlineLvl w:val="1"/>
        <w:rPr>
          <w:rFonts w:ascii="宋体" w:hAnsi="宋体"/>
          <w:b/>
          <w:color w:val="auto"/>
          <w:sz w:val="32"/>
          <w:szCs w:val="32"/>
          <w:highlight w:val="none"/>
        </w:rPr>
      </w:pPr>
      <w:r>
        <w:rPr>
          <w:rFonts w:hint="eastAsia"/>
          <w:color w:val="auto"/>
          <w:sz w:val="24"/>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06A406BF">
      <w:pPr>
        <w:snapToGrid w:val="0"/>
        <w:spacing w:beforeLines="50" w:after="50" w:line="360" w:lineRule="auto"/>
        <w:jc w:val="left"/>
        <w:outlineLvl w:val="2"/>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3FCD0856">
      <w:pPr>
        <w:snapToGrid w:val="0"/>
        <w:spacing w:beforeLines="50" w:after="50"/>
        <w:rPr>
          <w:rFonts w:ascii="宋体" w:hAnsi="宋体"/>
          <w:bCs/>
          <w:color w:val="auto"/>
          <w:sz w:val="32"/>
          <w:szCs w:val="20"/>
          <w:highlight w:val="none"/>
        </w:rPr>
      </w:pPr>
    </w:p>
    <w:p w14:paraId="5662FF4C">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247334FF">
      <w:pPr>
        <w:snapToGrid w:val="0"/>
        <w:spacing w:beforeLines="50" w:after="50"/>
        <w:rPr>
          <w:rFonts w:ascii="宋体" w:hAnsi="宋体"/>
          <w:color w:val="auto"/>
          <w:sz w:val="24"/>
          <w:szCs w:val="20"/>
          <w:highlight w:val="none"/>
        </w:rPr>
      </w:pPr>
    </w:p>
    <w:p w14:paraId="3DE5A8F3">
      <w:pPr>
        <w:snapToGrid w:val="0"/>
        <w:spacing w:beforeLines="50" w:after="50"/>
        <w:rPr>
          <w:rFonts w:ascii="宋体" w:hAnsi="宋体"/>
          <w:color w:val="auto"/>
          <w:sz w:val="24"/>
          <w:szCs w:val="20"/>
          <w:highlight w:val="none"/>
        </w:rPr>
      </w:pPr>
    </w:p>
    <w:p w14:paraId="7BAF50C3">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1E0C3F27">
      <w:pPr>
        <w:snapToGrid w:val="0"/>
        <w:spacing w:beforeLines="50" w:after="50"/>
        <w:rPr>
          <w:rFonts w:ascii="宋体" w:hAnsi="宋体"/>
          <w:bCs/>
          <w:color w:val="auto"/>
          <w:sz w:val="24"/>
          <w:szCs w:val="20"/>
          <w:highlight w:val="none"/>
        </w:rPr>
      </w:pPr>
    </w:p>
    <w:p w14:paraId="7735E1D8">
      <w:pPr>
        <w:snapToGrid w:val="0"/>
        <w:spacing w:beforeLines="50" w:after="50"/>
        <w:rPr>
          <w:rFonts w:ascii="宋体" w:hAnsi="宋体"/>
          <w:bCs/>
          <w:color w:val="auto"/>
          <w:sz w:val="24"/>
          <w:szCs w:val="20"/>
          <w:highlight w:val="none"/>
        </w:rPr>
      </w:pPr>
    </w:p>
    <w:p w14:paraId="5902C613">
      <w:pPr>
        <w:snapToGrid w:val="0"/>
        <w:spacing w:beforeLines="50" w:after="50"/>
        <w:rPr>
          <w:rFonts w:ascii="宋体" w:hAnsi="宋体"/>
          <w:bCs/>
          <w:color w:val="auto"/>
          <w:sz w:val="24"/>
          <w:szCs w:val="20"/>
          <w:highlight w:val="none"/>
        </w:rPr>
      </w:pPr>
    </w:p>
    <w:p w14:paraId="67CD80E3">
      <w:pPr>
        <w:snapToGrid w:val="0"/>
        <w:spacing w:beforeLines="50" w:after="50"/>
        <w:rPr>
          <w:rFonts w:ascii="宋体" w:hAnsi="宋体"/>
          <w:bCs/>
          <w:color w:val="auto"/>
          <w:sz w:val="24"/>
          <w:szCs w:val="20"/>
          <w:highlight w:val="none"/>
        </w:rPr>
      </w:pPr>
    </w:p>
    <w:p w14:paraId="2CBD5494">
      <w:pPr>
        <w:snapToGrid w:val="0"/>
        <w:spacing w:beforeLines="50" w:after="50"/>
        <w:rPr>
          <w:rFonts w:ascii="宋体" w:hAnsi="宋体"/>
          <w:bCs/>
          <w:color w:val="auto"/>
          <w:sz w:val="24"/>
          <w:szCs w:val="20"/>
          <w:highlight w:val="none"/>
        </w:rPr>
      </w:pPr>
    </w:p>
    <w:p w14:paraId="263FACF9">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5EEBDD8">
      <w:pPr>
        <w:snapToGrid w:val="0"/>
        <w:spacing w:beforeLines="50" w:after="50"/>
        <w:ind w:firstLine="720" w:firstLineChars="225"/>
        <w:rPr>
          <w:rFonts w:ascii="宋体" w:hAnsi="宋体" w:cs="仿宋_GB2312"/>
          <w:bCs/>
          <w:color w:val="auto"/>
          <w:sz w:val="32"/>
          <w:szCs w:val="32"/>
          <w:highlight w:val="none"/>
        </w:rPr>
      </w:pPr>
    </w:p>
    <w:p w14:paraId="292F2F0D">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434D136">
      <w:pPr>
        <w:snapToGrid w:val="0"/>
        <w:spacing w:beforeLines="50" w:after="50"/>
        <w:ind w:firstLine="720" w:firstLineChars="225"/>
        <w:rPr>
          <w:rFonts w:ascii="宋体" w:hAnsi="宋体" w:cs="仿宋_GB2312"/>
          <w:bCs/>
          <w:color w:val="auto"/>
          <w:sz w:val="32"/>
          <w:szCs w:val="32"/>
          <w:highlight w:val="none"/>
        </w:rPr>
      </w:pPr>
    </w:p>
    <w:p w14:paraId="7F1CAAF8">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C983011">
      <w:pPr>
        <w:snapToGrid w:val="0"/>
        <w:spacing w:beforeLines="50" w:after="50"/>
        <w:ind w:firstLine="720" w:firstLineChars="225"/>
        <w:rPr>
          <w:rFonts w:ascii="宋体" w:hAnsi="宋体" w:cs="仿宋_GB2312"/>
          <w:bCs/>
          <w:color w:val="auto"/>
          <w:sz w:val="32"/>
          <w:szCs w:val="32"/>
          <w:highlight w:val="none"/>
        </w:rPr>
      </w:pPr>
    </w:p>
    <w:p w14:paraId="6C6C8D4F">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AB6228B">
      <w:pPr>
        <w:pStyle w:val="7"/>
        <w:snapToGrid w:val="0"/>
        <w:spacing w:before="50" w:after="50"/>
        <w:ind w:firstLine="640" w:firstLineChars="200"/>
        <w:rPr>
          <w:rFonts w:ascii="宋体" w:hAnsi="宋体" w:cs="仿宋_GB2312"/>
          <w:bCs/>
          <w:color w:val="auto"/>
          <w:sz w:val="32"/>
          <w:szCs w:val="32"/>
          <w:highlight w:val="none"/>
        </w:rPr>
      </w:pPr>
    </w:p>
    <w:p w14:paraId="2AA97280">
      <w:pPr>
        <w:pStyle w:val="7"/>
        <w:snapToGrid w:val="0"/>
        <w:spacing w:before="50" w:after="50"/>
        <w:ind w:firstLine="720" w:firstLineChars="225"/>
        <w:rPr>
          <w:rFonts w:ascii="宋体" w:hAnsi="宋体" w:cs="仿宋_GB2312"/>
          <w:bCs/>
          <w:color w:val="auto"/>
          <w:sz w:val="32"/>
          <w:szCs w:val="32"/>
          <w:highlight w:val="none"/>
        </w:rPr>
      </w:pPr>
    </w:p>
    <w:p w14:paraId="1B03B2EA">
      <w:pPr>
        <w:pStyle w:val="7"/>
        <w:snapToGrid w:val="0"/>
        <w:spacing w:before="50" w:after="50"/>
        <w:ind w:firstLine="0"/>
        <w:rPr>
          <w:rFonts w:ascii="宋体" w:hAnsi="宋体" w:cs="仿宋_GB2312"/>
          <w:bCs/>
          <w:color w:val="auto"/>
          <w:sz w:val="32"/>
          <w:szCs w:val="32"/>
          <w:highlight w:val="none"/>
        </w:rPr>
      </w:pPr>
    </w:p>
    <w:p w14:paraId="5B603C6E">
      <w:pPr>
        <w:pStyle w:val="7"/>
        <w:snapToGrid w:val="0"/>
        <w:spacing w:before="50" w:after="50"/>
        <w:ind w:firstLine="1280" w:firstLineChars="400"/>
        <w:rPr>
          <w:rFonts w:ascii="宋体" w:hAnsi="宋体" w:cs="仿宋_GB2312"/>
          <w:bCs/>
          <w:color w:val="auto"/>
          <w:sz w:val="32"/>
          <w:szCs w:val="32"/>
          <w:highlight w:val="none"/>
        </w:rPr>
      </w:pPr>
    </w:p>
    <w:p w14:paraId="5B6CD208">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75CC515">
      <w:pPr>
        <w:snapToGrid w:val="0"/>
        <w:spacing w:beforeLines="50" w:after="50" w:line="360" w:lineRule="auto"/>
        <w:ind w:left="142"/>
        <w:jc w:val="left"/>
        <w:outlineLvl w:val="2"/>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5E8428BA">
      <w:pPr>
        <w:spacing w:line="520" w:lineRule="exact"/>
        <w:jc w:val="center"/>
        <w:outlineLvl w:val="2"/>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2BCA5A08">
      <w:pPr>
        <w:spacing w:line="440" w:lineRule="exact"/>
        <w:jc w:val="center"/>
        <w:rPr>
          <w:rFonts w:ascii="方正小标宋简体" w:hAnsi="方正小标宋简体" w:eastAsia="方正小标宋简体" w:cs="方正小标宋简体"/>
          <w:bCs/>
          <w:color w:val="auto"/>
          <w:sz w:val="32"/>
          <w:szCs w:val="32"/>
          <w:highlight w:val="none"/>
        </w:rPr>
      </w:pPr>
    </w:p>
    <w:p w14:paraId="72C9132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9E446A0">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6982EB5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77AD32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单位：元</w:t>
      </w:r>
      <w:r>
        <w:rPr>
          <w:rFonts w:hint="eastAsia" w:ascii="宋体" w:hAnsi="宋体" w:cs="仿宋_GB2312"/>
          <w:color w:val="auto"/>
          <w:sz w:val="24"/>
          <w:highlight w:val="none"/>
        </w:rPr>
        <w:t xml:space="preserve">                                               </w:t>
      </w:r>
    </w:p>
    <w:tbl>
      <w:tblPr>
        <w:tblStyle w:val="25"/>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446"/>
        <w:gridCol w:w="1095"/>
        <w:gridCol w:w="945"/>
        <w:gridCol w:w="2160"/>
        <w:gridCol w:w="862"/>
      </w:tblGrid>
      <w:tr w14:paraId="75CC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0B9CB0A1">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3446" w:type="dxa"/>
            <w:tcBorders>
              <w:top w:val="single" w:color="auto" w:sz="4" w:space="0"/>
              <w:left w:val="single" w:color="auto" w:sz="4" w:space="0"/>
              <w:bottom w:val="single" w:color="auto" w:sz="4" w:space="0"/>
              <w:right w:val="single" w:color="auto" w:sz="4" w:space="0"/>
            </w:tcBorders>
            <w:noWrap/>
            <w:vAlign w:val="center"/>
          </w:tcPr>
          <w:p w14:paraId="1FE0AE35">
            <w:pPr>
              <w:spacing w:line="360"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标的的名称</w:t>
            </w:r>
          </w:p>
        </w:tc>
        <w:tc>
          <w:tcPr>
            <w:tcW w:w="1095" w:type="dxa"/>
            <w:tcBorders>
              <w:top w:val="single" w:color="auto" w:sz="4" w:space="0"/>
              <w:left w:val="single" w:color="auto" w:sz="4" w:space="0"/>
              <w:bottom w:val="single" w:color="auto" w:sz="4" w:space="0"/>
              <w:right w:val="single" w:color="auto" w:sz="4" w:space="0"/>
            </w:tcBorders>
            <w:noWrap/>
            <w:vAlign w:val="center"/>
          </w:tcPr>
          <w:p w14:paraId="0DCCC5A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945" w:type="dxa"/>
            <w:tcBorders>
              <w:top w:val="single" w:color="auto" w:sz="4" w:space="0"/>
              <w:left w:val="single" w:color="auto" w:sz="4" w:space="0"/>
              <w:bottom w:val="single" w:color="auto" w:sz="4" w:space="0"/>
              <w:right w:val="single" w:color="auto" w:sz="4" w:space="0"/>
            </w:tcBorders>
            <w:noWrap/>
            <w:vAlign w:val="center"/>
          </w:tcPr>
          <w:p w14:paraId="4666878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2160" w:type="dxa"/>
            <w:tcBorders>
              <w:top w:val="single" w:color="auto" w:sz="4" w:space="0"/>
              <w:left w:val="single" w:color="auto" w:sz="4" w:space="0"/>
              <w:bottom w:val="single" w:color="auto" w:sz="4" w:space="0"/>
              <w:right w:val="single" w:color="auto" w:sz="4" w:space="0"/>
            </w:tcBorders>
            <w:noWrap/>
            <w:vAlign w:val="center"/>
          </w:tcPr>
          <w:p w14:paraId="73F4666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862" w:type="dxa"/>
            <w:tcBorders>
              <w:top w:val="single" w:color="auto" w:sz="4" w:space="0"/>
              <w:left w:val="single" w:color="auto" w:sz="4" w:space="0"/>
              <w:bottom w:val="single" w:color="auto" w:sz="4" w:space="0"/>
              <w:right w:val="single" w:color="auto" w:sz="4" w:space="0"/>
            </w:tcBorders>
            <w:noWrap/>
            <w:vAlign w:val="center"/>
          </w:tcPr>
          <w:p w14:paraId="17F1336E">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2848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08E1416F">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3446" w:type="dxa"/>
            <w:tcBorders>
              <w:top w:val="single" w:color="auto" w:sz="4" w:space="0"/>
              <w:left w:val="single" w:color="auto" w:sz="4" w:space="0"/>
              <w:bottom w:val="single" w:color="auto" w:sz="4" w:space="0"/>
              <w:right w:val="single" w:color="auto" w:sz="4" w:space="0"/>
            </w:tcBorders>
            <w:noWrap/>
            <w:vAlign w:val="center"/>
          </w:tcPr>
          <w:p w14:paraId="663116B3">
            <w:pPr>
              <w:spacing w:line="360" w:lineRule="auto"/>
              <w:contextualSpacing/>
              <w:jc w:val="center"/>
              <w:rPr>
                <w:rFonts w:hint="eastAsia" w:ascii="宋体" w:hAnsi="宋体" w:eastAsia="宋体" w:cs="仿宋_GB2312"/>
                <w:color w:val="auto"/>
                <w:sz w:val="24"/>
                <w:highlight w:val="none"/>
                <w:lang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313650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945" w:type="dxa"/>
            <w:tcBorders>
              <w:top w:val="single" w:color="auto" w:sz="4" w:space="0"/>
              <w:left w:val="single" w:color="auto" w:sz="4" w:space="0"/>
              <w:bottom w:val="single" w:color="auto" w:sz="4" w:space="0"/>
              <w:right w:val="single" w:color="auto" w:sz="4" w:space="0"/>
            </w:tcBorders>
            <w:noWrap/>
            <w:vAlign w:val="center"/>
          </w:tcPr>
          <w:p w14:paraId="79FEC4F0">
            <w:pPr>
              <w:spacing w:line="360" w:lineRule="auto"/>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项</w:t>
            </w:r>
          </w:p>
        </w:tc>
        <w:tc>
          <w:tcPr>
            <w:tcW w:w="2160" w:type="dxa"/>
            <w:tcBorders>
              <w:top w:val="single" w:color="auto" w:sz="4" w:space="0"/>
              <w:left w:val="single" w:color="auto" w:sz="4" w:space="0"/>
              <w:bottom w:val="single" w:color="auto" w:sz="4" w:space="0"/>
              <w:right w:val="single" w:color="auto" w:sz="4" w:space="0"/>
            </w:tcBorders>
            <w:noWrap/>
            <w:vAlign w:val="center"/>
          </w:tcPr>
          <w:p w14:paraId="2C46AA99">
            <w:pPr>
              <w:spacing w:line="360" w:lineRule="auto"/>
              <w:contextualSpacing/>
              <w:jc w:val="center"/>
              <w:rPr>
                <w:rFonts w:ascii="宋体" w:hAnsi="宋体" w:cs="仿宋_GB2312"/>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5715D380">
            <w:pPr>
              <w:spacing w:line="360" w:lineRule="auto"/>
              <w:contextualSpacing/>
              <w:jc w:val="center"/>
              <w:rPr>
                <w:rFonts w:ascii="宋体" w:hAnsi="宋体" w:cs="仿宋_GB2312"/>
                <w:color w:val="auto"/>
                <w:sz w:val="24"/>
                <w:highlight w:val="none"/>
              </w:rPr>
            </w:pPr>
          </w:p>
        </w:tc>
      </w:tr>
      <w:tr w14:paraId="4D6B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right"/>
        </w:trPr>
        <w:tc>
          <w:tcPr>
            <w:tcW w:w="9095" w:type="dxa"/>
            <w:gridSpan w:val="6"/>
            <w:tcBorders>
              <w:top w:val="single" w:color="auto" w:sz="4" w:space="0"/>
              <w:left w:val="single" w:color="auto" w:sz="4" w:space="0"/>
              <w:bottom w:val="single" w:color="auto" w:sz="4" w:space="0"/>
              <w:right w:val="single" w:color="auto" w:sz="4" w:space="0"/>
            </w:tcBorders>
            <w:noWrap/>
            <w:vAlign w:val="center"/>
          </w:tcPr>
          <w:p w14:paraId="5510F40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合计金额大写：</w:t>
            </w:r>
            <w:r>
              <w:rPr>
                <w:rFonts w:hint="eastAsia" w:ascii="宋体" w:hAnsi="宋体" w:cs="仿宋_GB2312"/>
                <w:color w:val="auto"/>
                <w:sz w:val="24"/>
                <w:highlight w:val="none"/>
              </w:rPr>
              <w:t>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219D05D0">
      <w:pPr>
        <w:spacing w:line="360" w:lineRule="auto"/>
        <w:contextualSpacing/>
        <w:jc w:val="left"/>
        <w:rPr>
          <w:rFonts w:hint="eastAsia" w:ascii="宋体" w:hAnsi="宋体" w:cs="仿宋_GB2312"/>
          <w:color w:val="auto"/>
          <w:sz w:val="24"/>
          <w:highlight w:val="none"/>
        </w:rPr>
      </w:pPr>
    </w:p>
    <w:p w14:paraId="060D40B2">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353CFB79">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350DEB52">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6ABCAACD">
      <w:pPr>
        <w:spacing w:line="360" w:lineRule="auto"/>
        <w:ind w:right="-817" w:rightChars="-389"/>
        <w:contextualSpacing/>
        <w:rPr>
          <w:rFonts w:ascii="宋体" w:hAnsi="宋体" w:cs="仿宋_GB2312"/>
          <w:color w:val="auto"/>
          <w:sz w:val="24"/>
          <w:highlight w:val="none"/>
        </w:rPr>
      </w:pPr>
    </w:p>
    <w:p w14:paraId="200357D1">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545D7512">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68350B40">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142489F8">
      <w:pPr>
        <w:spacing w:line="360" w:lineRule="auto"/>
        <w:ind w:right="-817" w:rightChars="-389" w:firstLine="5461" w:firstLineChars="1700"/>
        <w:contextualSpacing/>
        <w:rPr>
          <w:rFonts w:ascii="宋体" w:hAnsi="宋体" w:cs="仿宋_GB2312"/>
          <w:b/>
          <w:color w:val="auto"/>
          <w:sz w:val="24"/>
          <w:highlight w:val="none"/>
        </w:rPr>
      </w:pPr>
      <w:r>
        <w:rPr>
          <w:rFonts w:ascii="宋体" w:hAnsi="宋体"/>
          <w:b/>
          <w:bCs/>
          <w:color w:val="auto"/>
          <w:sz w:val="32"/>
          <w:szCs w:val="32"/>
          <w:highlight w:val="none"/>
        </w:rPr>
        <w:br w:type="page"/>
      </w:r>
    </w:p>
    <w:p w14:paraId="34542570">
      <w:pPr>
        <w:spacing w:line="360" w:lineRule="auto"/>
        <w:ind w:firstLine="643" w:firstLineChars="200"/>
        <w:contextualSpacing/>
        <w:jc w:val="left"/>
        <w:outlineLvl w:val="1"/>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0D1366A4">
      <w:pPr>
        <w:snapToGrid w:val="0"/>
        <w:spacing w:beforeLines="50" w:after="50" w:line="360" w:lineRule="auto"/>
        <w:jc w:val="left"/>
        <w:outlineLvl w:val="2"/>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6BB7E305">
      <w:pPr>
        <w:snapToGrid w:val="0"/>
        <w:spacing w:beforeLines="50" w:after="50"/>
        <w:rPr>
          <w:rFonts w:ascii="宋体" w:hAnsi="宋体"/>
          <w:bCs/>
          <w:color w:val="auto"/>
          <w:sz w:val="32"/>
          <w:szCs w:val="20"/>
          <w:highlight w:val="none"/>
        </w:rPr>
      </w:pPr>
    </w:p>
    <w:p w14:paraId="28A4C010">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014FDC9F">
      <w:pPr>
        <w:snapToGrid w:val="0"/>
        <w:spacing w:beforeLines="50" w:after="50"/>
        <w:rPr>
          <w:rFonts w:ascii="宋体" w:hAnsi="宋体"/>
          <w:color w:val="auto"/>
          <w:sz w:val="24"/>
          <w:szCs w:val="20"/>
          <w:highlight w:val="none"/>
        </w:rPr>
      </w:pPr>
    </w:p>
    <w:p w14:paraId="7D823482">
      <w:pPr>
        <w:snapToGrid w:val="0"/>
        <w:spacing w:beforeLines="50" w:after="50"/>
        <w:rPr>
          <w:rFonts w:ascii="宋体" w:hAnsi="宋体"/>
          <w:color w:val="auto"/>
          <w:sz w:val="24"/>
          <w:szCs w:val="20"/>
          <w:highlight w:val="none"/>
        </w:rPr>
      </w:pPr>
    </w:p>
    <w:p w14:paraId="783B9546">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6855BD69">
      <w:pPr>
        <w:snapToGrid w:val="0"/>
        <w:spacing w:beforeLines="50" w:after="50"/>
        <w:rPr>
          <w:rFonts w:ascii="宋体" w:hAnsi="宋体"/>
          <w:bCs/>
          <w:color w:val="auto"/>
          <w:sz w:val="24"/>
          <w:szCs w:val="20"/>
          <w:highlight w:val="none"/>
        </w:rPr>
      </w:pPr>
    </w:p>
    <w:p w14:paraId="62B41FFB">
      <w:pPr>
        <w:snapToGrid w:val="0"/>
        <w:spacing w:beforeLines="50" w:after="50"/>
        <w:rPr>
          <w:rFonts w:ascii="宋体" w:hAnsi="宋体"/>
          <w:bCs/>
          <w:color w:val="auto"/>
          <w:sz w:val="24"/>
          <w:szCs w:val="20"/>
          <w:highlight w:val="none"/>
        </w:rPr>
      </w:pPr>
    </w:p>
    <w:p w14:paraId="5DB5630F">
      <w:pPr>
        <w:snapToGrid w:val="0"/>
        <w:spacing w:beforeLines="50" w:after="50"/>
        <w:rPr>
          <w:rFonts w:ascii="宋体" w:hAnsi="宋体"/>
          <w:bCs/>
          <w:color w:val="auto"/>
          <w:sz w:val="24"/>
          <w:szCs w:val="20"/>
          <w:highlight w:val="none"/>
        </w:rPr>
      </w:pPr>
    </w:p>
    <w:p w14:paraId="5A5FD4E5">
      <w:pPr>
        <w:snapToGrid w:val="0"/>
        <w:spacing w:beforeLines="50" w:after="50"/>
        <w:rPr>
          <w:rFonts w:ascii="宋体" w:hAnsi="宋体"/>
          <w:bCs/>
          <w:color w:val="auto"/>
          <w:sz w:val="24"/>
          <w:szCs w:val="20"/>
          <w:highlight w:val="none"/>
        </w:rPr>
      </w:pPr>
    </w:p>
    <w:p w14:paraId="3FEFC3F5">
      <w:pPr>
        <w:snapToGrid w:val="0"/>
        <w:spacing w:beforeLines="50" w:after="50"/>
        <w:rPr>
          <w:rFonts w:ascii="宋体" w:hAnsi="宋体"/>
          <w:bCs/>
          <w:color w:val="auto"/>
          <w:sz w:val="24"/>
          <w:szCs w:val="20"/>
          <w:highlight w:val="none"/>
        </w:rPr>
      </w:pPr>
    </w:p>
    <w:p w14:paraId="73E57B5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3975B57">
      <w:pPr>
        <w:snapToGrid w:val="0"/>
        <w:spacing w:beforeLines="50" w:after="50"/>
        <w:ind w:firstLine="720" w:firstLineChars="225"/>
        <w:rPr>
          <w:rFonts w:ascii="宋体" w:hAnsi="宋体" w:cs="仿宋_GB2312"/>
          <w:bCs/>
          <w:color w:val="auto"/>
          <w:sz w:val="32"/>
          <w:szCs w:val="32"/>
          <w:highlight w:val="none"/>
        </w:rPr>
      </w:pPr>
    </w:p>
    <w:p w14:paraId="60308319">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2FE4196">
      <w:pPr>
        <w:snapToGrid w:val="0"/>
        <w:spacing w:beforeLines="50" w:after="50"/>
        <w:ind w:firstLine="720" w:firstLineChars="225"/>
        <w:rPr>
          <w:rFonts w:ascii="宋体" w:hAnsi="宋体" w:cs="仿宋_GB2312"/>
          <w:bCs/>
          <w:color w:val="auto"/>
          <w:sz w:val="32"/>
          <w:szCs w:val="32"/>
          <w:highlight w:val="none"/>
        </w:rPr>
      </w:pPr>
    </w:p>
    <w:p w14:paraId="451DCEAF">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DC7F0A3">
      <w:pPr>
        <w:snapToGrid w:val="0"/>
        <w:spacing w:beforeLines="50" w:after="50"/>
        <w:ind w:firstLine="720" w:firstLineChars="225"/>
        <w:rPr>
          <w:rFonts w:ascii="宋体" w:hAnsi="宋体" w:cs="仿宋_GB2312"/>
          <w:bCs/>
          <w:color w:val="auto"/>
          <w:sz w:val="32"/>
          <w:szCs w:val="32"/>
          <w:highlight w:val="none"/>
        </w:rPr>
      </w:pPr>
    </w:p>
    <w:p w14:paraId="087459FD">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C71BC9F">
      <w:pPr>
        <w:pStyle w:val="7"/>
        <w:snapToGrid w:val="0"/>
        <w:spacing w:before="50" w:after="50"/>
        <w:ind w:firstLine="640" w:firstLineChars="200"/>
        <w:rPr>
          <w:rFonts w:ascii="宋体" w:hAnsi="宋体" w:cs="仿宋_GB2312"/>
          <w:bCs/>
          <w:color w:val="auto"/>
          <w:sz w:val="32"/>
          <w:szCs w:val="32"/>
          <w:highlight w:val="none"/>
        </w:rPr>
      </w:pPr>
    </w:p>
    <w:p w14:paraId="0E688F2C">
      <w:pPr>
        <w:pStyle w:val="7"/>
        <w:snapToGrid w:val="0"/>
        <w:spacing w:before="50" w:after="50"/>
        <w:ind w:firstLine="720" w:firstLineChars="225"/>
        <w:rPr>
          <w:rFonts w:ascii="宋体" w:hAnsi="宋体" w:cs="仿宋_GB2312"/>
          <w:bCs/>
          <w:color w:val="auto"/>
          <w:sz w:val="32"/>
          <w:szCs w:val="32"/>
          <w:highlight w:val="none"/>
        </w:rPr>
      </w:pPr>
    </w:p>
    <w:p w14:paraId="4BE3AC77">
      <w:pPr>
        <w:pStyle w:val="7"/>
        <w:snapToGrid w:val="0"/>
        <w:spacing w:before="50" w:after="50"/>
        <w:ind w:firstLine="0"/>
        <w:rPr>
          <w:rFonts w:ascii="宋体" w:hAnsi="宋体" w:cs="仿宋_GB2312"/>
          <w:bCs/>
          <w:color w:val="auto"/>
          <w:sz w:val="32"/>
          <w:szCs w:val="32"/>
          <w:highlight w:val="none"/>
        </w:rPr>
      </w:pPr>
    </w:p>
    <w:p w14:paraId="6C74A001">
      <w:pPr>
        <w:pStyle w:val="7"/>
        <w:snapToGrid w:val="0"/>
        <w:spacing w:before="50" w:after="50"/>
        <w:ind w:firstLine="1280" w:firstLineChars="400"/>
        <w:rPr>
          <w:rFonts w:ascii="宋体" w:hAnsi="宋体" w:cs="仿宋_GB2312"/>
          <w:bCs/>
          <w:color w:val="auto"/>
          <w:sz w:val="32"/>
          <w:szCs w:val="32"/>
          <w:highlight w:val="none"/>
        </w:rPr>
      </w:pPr>
    </w:p>
    <w:p w14:paraId="41486AE8">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64F83F3">
      <w:pPr>
        <w:snapToGrid w:val="0"/>
        <w:spacing w:beforeLines="50" w:after="50" w:line="360" w:lineRule="auto"/>
        <w:ind w:right="480" w:firstLine="240" w:firstLineChars="100"/>
        <w:jc w:val="left"/>
        <w:outlineLvl w:val="2"/>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17029FE1">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C3BD0CF">
      <w:pPr>
        <w:spacing w:line="400" w:lineRule="exact"/>
        <w:rPr>
          <w:rFonts w:ascii="仿宋_GB2312" w:hAnsi="仿宋_GB2312" w:eastAsia="仿宋_GB2312" w:cs="仿宋_GB2312"/>
          <w:color w:val="auto"/>
          <w:sz w:val="32"/>
          <w:szCs w:val="32"/>
          <w:highlight w:val="none"/>
        </w:rPr>
      </w:pPr>
    </w:p>
    <w:p w14:paraId="1854AE17">
      <w:pPr>
        <w:spacing w:line="520" w:lineRule="exact"/>
        <w:jc w:val="center"/>
        <w:outlineLvl w:val="2"/>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26950278">
      <w:pPr>
        <w:spacing w:line="360" w:lineRule="auto"/>
        <w:ind w:firstLine="640" w:firstLineChars="200"/>
        <w:contextualSpacing/>
        <w:rPr>
          <w:rFonts w:ascii="仿宋_GB2312" w:hAnsi="仿宋_GB2312" w:eastAsia="仿宋_GB2312" w:cs="仿宋_GB2312"/>
          <w:color w:val="auto"/>
          <w:sz w:val="32"/>
          <w:szCs w:val="32"/>
          <w:highlight w:val="none"/>
        </w:rPr>
      </w:pPr>
    </w:p>
    <w:p w14:paraId="3B7F8D5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1A216DC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87B92E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E7D20D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729FF0F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0C577E7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19765DA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0C4FADCF">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1AA2D37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38BE166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D1595C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14D7690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68C40A5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0491DF7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80FB7A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5914E9FD">
      <w:pPr>
        <w:spacing w:line="360" w:lineRule="auto"/>
        <w:ind w:firstLine="480" w:firstLineChars="200"/>
        <w:contextualSpacing/>
        <w:rPr>
          <w:rFonts w:ascii="宋体" w:hAnsi="宋体" w:cs="仿宋_GB2312"/>
          <w:color w:val="auto"/>
          <w:sz w:val="24"/>
          <w:highlight w:val="none"/>
        </w:rPr>
      </w:pPr>
    </w:p>
    <w:p w14:paraId="77623F72">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51A41BD5">
      <w:pPr>
        <w:spacing w:line="360" w:lineRule="auto"/>
        <w:contextualSpacing/>
        <w:rPr>
          <w:rFonts w:ascii="宋体" w:hAnsi="宋体" w:cs="仿宋_GB2312"/>
          <w:color w:val="auto"/>
          <w:sz w:val="24"/>
          <w:highlight w:val="none"/>
        </w:rPr>
      </w:pPr>
    </w:p>
    <w:p w14:paraId="1E0285E6">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771AFA4B">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664C3690">
      <w:pPr>
        <w:spacing w:line="520" w:lineRule="exact"/>
        <w:jc w:val="center"/>
        <w:outlineLvl w:val="2"/>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174ABD7A">
      <w:pPr>
        <w:spacing w:line="360" w:lineRule="auto"/>
        <w:ind w:left="540"/>
        <w:contextualSpacing/>
        <w:rPr>
          <w:rFonts w:hint="eastAsia" w:ascii="仿宋_GB2312" w:hAnsi="仿宋_GB2312" w:eastAsia="仿宋_GB2312" w:cs="仿宋_GB2312"/>
          <w:color w:val="auto"/>
          <w:sz w:val="32"/>
          <w:szCs w:val="32"/>
          <w:highlight w:val="none"/>
        </w:rPr>
      </w:pPr>
    </w:p>
    <w:p w14:paraId="21E8880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220492B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722B2D0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71DAD52E">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0A23038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4E58615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1E72450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5DE03371">
      <w:pPr>
        <w:spacing w:line="360" w:lineRule="auto"/>
        <w:ind w:left="540"/>
        <w:contextualSpacing/>
        <w:rPr>
          <w:rFonts w:hint="eastAsia" w:ascii="宋体" w:hAnsi="宋体" w:cs="仿宋_GB2312"/>
          <w:color w:val="auto"/>
          <w:sz w:val="24"/>
          <w:highlight w:val="none"/>
        </w:rPr>
      </w:pPr>
    </w:p>
    <w:p w14:paraId="18E2E690">
      <w:pPr>
        <w:spacing w:line="360" w:lineRule="auto"/>
        <w:ind w:left="540"/>
        <w:contextualSpacing/>
        <w:rPr>
          <w:rFonts w:hint="eastAsia" w:ascii="宋体" w:hAnsi="宋体" w:cs="仿宋_GB2312"/>
          <w:color w:val="auto"/>
          <w:sz w:val="24"/>
          <w:highlight w:val="none"/>
        </w:rPr>
      </w:pPr>
    </w:p>
    <w:p w14:paraId="47CE30BD">
      <w:pPr>
        <w:spacing w:line="360" w:lineRule="auto"/>
        <w:ind w:left="540"/>
        <w:contextualSpacing/>
        <w:rPr>
          <w:rFonts w:hint="eastAsia" w:ascii="宋体" w:hAnsi="宋体" w:cs="仿宋_GB2312"/>
          <w:color w:val="auto"/>
          <w:sz w:val="24"/>
          <w:highlight w:val="none"/>
        </w:rPr>
      </w:pPr>
    </w:p>
    <w:p w14:paraId="20767D4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E0BF574">
      <w:pPr>
        <w:spacing w:line="360" w:lineRule="auto"/>
        <w:ind w:left="540"/>
        <w:contextualSpacing/>
        <w:rPr>
          <w:rFonts w:hint="eastAsia" w:ascii="宋体" w:hAnsi="宋体" w:cs="仿宋_GB2312"/>
          <w:color w:val="auto"/>
          <w:sz w:val="24"/>
          <w:highlight w:val="none"/>
        </w:rPr>
      </w:pPr>
    </w:p>
    <w:p w14:paraId="52E037E3">
      <w:pPr>
        <w:spacing w:line="360" w:lineRule="auto"/>
        <w:ind w:left="540" w:leftChars="257" w:right="480" w:firstLine="2280" w:firstLineChars="95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0B9C9102">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50854FEF">
      <w:pPr>
        <w:spacing w:line="360" w:lineRule="auto"/>
        <w:contextualSpacing/>
        <w:jc w:val="center"/>
        <w:rPr>
          <w:rFonts w:hint="eastAsia" w:ascii="宋体" w:hAnsi="宋体" w:cs="仿宋_GB2312"/>
          <w:b/>
          <w:color w:val="auto"/>
          <w:sz w:val="24"/>
          <w:highlight w:val="none"/>
        </w:rPr>
      </w:pPr>
    </w:p>
    <w:p w14:paraId="1C4F34A8">
      <w:pPr>
        <w:spacing w:line="360" w:lineRule="auto"/>
        <w:contextualSpacing/>
        <w:jc w:val="left"/>
        <w:rPr>
          <w:rFonts w:hint="eastAsia" w:ascii="宋体" w:hAnsi="宋体" w:cs="仿宋_GB2312"/>
          <w:color w:val="auto"/>
          <w:sz w:val="24"/>
          <w:highlight w:val="none"/>
        </w:rPr>
      </w:pPr>
    </w:p>
    <w:p w14:paraId="3D31A817">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07382E67">
      <w:pPr>
        <w:adjustRightInd w:val="0"/>
        <w:snapToGrid w:val="0"/>
        <w:spacing w:line="300" w:lineRule="auto"/>
        <w:jc w:val="left"/>
        <w:rPr>
          <w:rFonts w:ascii="宋体" w:hAnsi="宋体"/>
          <w:b/>
          <w:color w:val="auto"/>
          <w:szCs w:val="21"/>
          <w:highlight w:val="none"/>
        </w:rPr>
      </w:pPr>
    </w:p>
    <w:p w14:paraId="73C2D336">
      <w:pPr>
        <w:spacing w:line="500" w:lineRule="exact"/>
        <w:jc w:val="center"/>
        <w:outlineLvl w:val="2"/>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82" w:name="_Hlk65853643"/>
      <w:r>
        <w:rPr>
          <w:rFonts w:hint="eastAsia" w:ascii="方正小标宋简体" w:hAnsi="方正小标宋简体" w:eastAsia="方正小标宋简体" w:cs="方正小标宋简体"/>
          <w:color w:val="auto"/>
          <w:sz w:val="44"/>
          <w:szCs w:val="44"/>
          <w:highlight w:val="none"/>
        </w:rPr>
        <w:t>授权委托书</w:t>
      </w:r>
    </w:p>
    <w:p w14:paraId="1B2DFE4B">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041EDBFE">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40A916B6">
      <w:pPr>
        <w:spacing w:line="520" w:lineRule="exact"/>
        <w:rPr>
          <w:rFonts w:ascii="仿宋_GB2312" w:hAnsi="仿宋_GB2312" w:eastAsia="仿宋_GB2312" w:cs="仿宋_GB2312"/>
          <w:color w:val="auto"/>
          <w:sz w:val="32"/>
          <w:szCs w:val="32"/>
          <w:highlight w:val="none"/>
        </w:rPr>
      </w:pPr>
    </w:p>
    <w:p w14:paraId="716FAFF9">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476AA9B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00956EA0">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735C8EE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0F46B97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342F6EC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1F87CFC1">
      <w:pPr>
        <w:spacing w:line="360" w:lineRule="auto"/>
        <w:rPr>
          <w:rFonts w:ascii="宋体" w:hAnsi="宋体" w:cs="仿宋_GB2312"/>
          <w:color w:val="auto"/>
          <w:sz w:val="24"/>
          <w:highlight w:val="none"/>
        </w:rPr>
      </w:pPr>
    </w:p>
    <w:p w14:paraId="792A490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7A06ADC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14484DA4">
      <w:pPr>
        <w:spacing w:line="360" w:lineRule="auto"/>
        <w:contextualSpacing/>
        <w:rPr>
          <w:rFonts w:ascii="宋体" w:hAnsi="宋体" w:cs="仿宋_GB2312"/>
          <w:color w:val="auto"/>
          <w:sz w:val="24"/>
          <w:highlight w:val="none"/>
        </w:rPr>
      </w:pPr>
    </w:p>
    <w:p w14:paraId="403E78D8">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61557BB5">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544F8245">
      <w:pPr>
        <w:spacing w:line="360" w:lineRule="auto"/>
        <w:rPr>
          <w:rFonts w:ascii="宋体" w:hAnsi="宋体" w:cs="仿宋_GB2312"/>
          <w:color w:val="auto"/>
          <w:sz w:val="24"/>
          <w:highlight w:val="none"/>
        </w:rPr>
      </w:pPr>
    </w:p>
    <w:p w14:paraId="3ECF6CB6">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402FD30F">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83" w:name="_Hlk65853109"/>
      <w:bookmarkStart w:id="84" w:name="_Hlk65853542"/>
      <w:r>
        <w:rPr>
          <w:rFonts w:hint="eastAsia" w:ascii="宋体" w:hAnsi="宋体" w:cs="仿宋_GB2312"/>
          <w:color w:val="auto"/>
          <w:sz w:val="24"/>
          <w:highlight w:val="none"/>
        </w:rPr>
        <w:t>法人、其他组织竞标时“我方”是指“我单位”，自然人竞标时“我方”是指“本人”。</w:t>
      </w:r>
      <w:bookmarkEnd w:id="83"/>
    </w:p>
    <w:bookmarkEnd w:id="84"/>
    <w:p w14:paraId="4A9B0ED0">
      <w:pPr>
        <w:spacing w:line="360" w:lineRule="auto"/>
        <w:ind w:firstLine="420" w:firstLineChars="200"/>
        <w:jc w:val="left"/>
        <w:rPr>
          <w:rFonts w:ascii="仿宋_GB2312" w:hAnsi="仿宋_GB2312" w:eastAsia="仿宋_GB2312" w:cs="仿宋_GB2312"/>
          <w:color w:val="auto"/>
          <w:szCs w:val="21"/>
          <w:highlight w:val="none"/>
        </w:rPr>
      </w:pPr>
    </w:p>
    <w:p w14:paraId="39812DD2">
      <w:pPr>
        <w:spacing w:line="360" w:lineRule="auto"/>
        <w:ind w:firstLine="420" w:firstLineChars="200"/>
        <w:jc w:val="center"/>
        <w:outlineLvl w:val="2"/>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82"/>
      <w:r>
        <w:rPr>
          <w:rFonts w:hint="eastAsia" w:ascii="方正小标宋简体" w:hAnsi="方正小标宋简体" w:eastAsia="方正小标宋简体" w:cs="方正小标宋简体"/>
          <w:bCs/>
          <w:color w:val="auto"/>
          <w:sz w:val="44"/>
          <w:szCs w:val="44"/>
          <w:highlight w:val="none"/>
        </w:rPr>
        <w:t>商务要求偏离表格式</w:t>
      </w:r>
    </w:p>
    <w:p w14:paraId="238104C1">
      <w:pPr>
        <w:spacing w:line="500" w:lineRule="exact"/>
        <w:jc w:val="center"/>
        <w:rPr>
          <w:rFonts w:ascii="宋体" w:hAnsi="宋体"/>
          <w:b/>
          <w:i/>
          <w:color w:val="auto"/>
          <w:sz w:val="32"/>
          <w:szCs w:val="32"/>
          <w:highlight w:val="none"/>
        </w:rPr>
      </w:pPr>
    </w:p>
    <w:p w14:paraId="4622188A">
      <w:pPr>
        <w:spacing w:line="360" w:lineRule="auto"/>
        <w:contextualSpacing/>
        <w:jc w:val="left"/>
        <w:rPr>
          <w:rFonts w:ascii="宋体" w:hAnsi="宋体"/>
          <w:color w:val="auto"/>
          <w:sz w:val="24"/>
          <w:highlight w:val="none"/>
        </w:rPr>
      </w:pPr>
    </w:p>
    <w:p w14:paraId="71EA9763">
      <w:pPr>
        <w:pStyle w:val="16"/>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p>
    <w:p w14:paraId="039A7DA1">
      <w:pPr>
        <w:spacing w:line="360" w:lineRule="auto"/>
        <w:contextualSpacing/>
        <w:jc w:val="left"/>
        <w:rPr>
          <w:rFonts w:ascii="宋体" w:hAnsi="宋体" w:cs="仿宋_GB2312"/>
          <w:color w:val="auto"/>
          <w:sz w:val="24"/>
          <w:highlight w:val="none"/>
          <w:u w:val="single"/>
        </w:rPr>
      </w:pPr>
    </w:p>
    <w:tbl>
      <w:tblPr>
        <w:tblStyle w:val="25"/>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5AAA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7DFAE84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5BB7B8D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ign w:val="center"/>
          </w:tcPr>
          <w:p w14:paraId="46FA6878">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ign w:val="center"/>
          </w:tcPr>
          <w:p w14:paraId="4A220B4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13740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8933F14">
            <w:pPr>
              <w:jc w:val="center"/>
              <w:rPr>
                <w:rFonts w:ascii="宋体" w:hAnsi="宋体"/>
                <w:color w:val="auto"/>
                <w:sz w:val="24"/>
                <w:highlight w:val="none"/>
              </w:rPr>
            </w:pPr>
            <w:r>
              <w:rPr>
                <w:rFonts w:hint="eastAsia" w:ascii="宋体" w:hAnsi="宋体"/>
                <w:color w:val="auto"/>
                <w:sz w:val="24"/>
                <w:highlight w:val="none"/>
              </w:rPr>
              <w:t>服务期限和地点</w:t>
            </w:r>
          </w:p>
        </w:tc>
        <w:tc>
          <w:tcPr>
            <w:tcW w:w="2668" w:type="dxa"/>
            <w:tcBorders>
              <w:top w:val="single" w:color="auto" w:sz="4" w:space="0"/>
              <w:left w:val="single" w:color="auto" w:sz="4" w:space="0"/>
              <w:bottom w:val="single" w:color="auto" w:sz="4" w:space="0"/>
              <w:right w:val="single" w:color="auto" w:sz="4" w:space="0"/>
            </w:tcBorders>
            <w:noWrap/>
            <w:vAlign w:val="center"/>
          </w:tcPr>
          <w:p w14:paraId="299D552E">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5A259502">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32A768E8">
            <w:pPr>
              <w:spacing w:line="360" w:lineRule="auto"/>
              <w:contextualSpacing/>
              <w:jc w:val="center"/>
              <w:rPr>
                <w:rFonts w:ascii="宋体" w:hAnsi="宋体" w:cs="仿宋_GB2312"/>
                <w:color w:val="auto"/>
                <w:sz w:val="24"/>
                <w:highlight w:val="none"/>
              </w:rPr>
            </w:pPr>
          </w:p>
        </w:tc>
      </w:tr>
      <w:tr w14:paraId="1D0FD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F8F51DF">
            <w:pPr>
              <w:jc w:val="center"/>
              <w:rPr>
                <w:rFonts w:ascii="宋体" w:hAnsi="宋体"/>
                <w:color w:val="auto"/>
                <w:sz w:val="24"/>
                <w:highlight w:val="none"/>
              </w:rPr>
            </w:pPr>
            <w:r>
              <w:rPr>
                <w:rFonts w:hint="eastAsia" w:ascii="宋体" w:hAnsi="宋体"/>
                <w:color w:val="auto"/>
                <w:sz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noWrap/>
            <w:vAlign w:val="center"/>
          </w:tcPr>
          <w:p w14:paraId="289CA678">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019F9CA8">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06F98C77">
            <w:pPr>
              <w:spacing w:line="360" w:lineRule="auto"/>
              <w:ind w:left="43"/>
              <w:contextualSpacing/>
              <w:jc w:val="center"/>
              <w:rPr>
                <w:rFonts w:ascii="宋体" w:hAnsi="宋体" w:cs="仿宋_GB2312"/>
                <w:color w:val="auto"/>
                <w:sz w:val="24"/>
                <w:highlight w:val="none"/>
              </w:rPr>
            </w:pPr>
          </w:p>
        </w:tc>
      </w:tr>
      <w:tr w14:paraId="3EAE1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6A727AC9">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0551A3A8">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132366B0">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37EFC38B">
            <w:pPr>
              <w:spacing w:line="360" w:lineRule="auto"/>
              <w:contextualSpacing/>
              <w:jc w:val="center"/>
              <w:rPr>
                <w:rFonts w:ascii="宋体" w:hAnsi="宋体" w:cs="仿宋_GB2312"/>
                <w:color w:val="auto"/>
                <w:sz w:val="24"/>
                <w:highlight w:val="none"/>
              </w:rPr>
            </w:pPr>
          </w:p>
        </w:tc>
      </w:tr>
    </w:tbl>
    <w:p w14:paraId="662A7013">
      <w:pPr>
        <w:pStyle w:val="13"/>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42863E9A">
      <w:pPr>
        <w:pStyle w:val="13"/>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6A067F9B">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3264BFB7">
      <w:pPr>
        <w:spacing w:line="360" w:lineRule="auto"/>
        <w:ind w:right="-817" w:rightChars="-389"/>
        <w:contextualSpacing/>
        <w:rPr>
          <w:rFonts w:ascii="宋体" w:hAnsi="宋体" w:cs="仿宋_GB2312"/>
          <w:color w:val="auto"/>
          <w:sz w:val="24"/>
          <w:highlight w:val="none"/>
        </w:rPr>
      </w:pPr>
    </w:p>
    <w:p w14:paraId="2B88A5E1">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325E17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69A2A3DD">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7DD771E5">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86C8FE5">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1F9341B3">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761466AD">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26F9AD3">
      <w:pPr>
        <w:adjustRightInd w:val="0"/>
        <w:snapToGrid w:val="0"/>
        <w:spacing w:line="520" w:lineRule="exact"/>
        <w:rPr>
          <w:rFonts w:ascii="宋体" w:hAnsi="宋体"/>
          <w:color w:val="auto"/>
          <w:szCs w:val="21"/>
          <w:highlight w:val="none"/>
          <w:u w:val="single"/>
        </w:rPr>
      </w:pPr>
    </w:p>
    <w:p w14:paraId="3E9BE631">
      <w:pPr>
        <w:adjustRightInd w:val="0"/>
        <w:snapToGrid w:val="0"/>
        <w:spacing w:line="300" w:lineRule="auto"/>
        <w:jc w:val="center"/>
        <w:outlineLvl w:val="2"/>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3579BE5F">
      <w:pPr>
        <w:spacing w:line="520" w:lineRule="exact"/>
        <w:rPr>
          <w:rFonts w:ascii="仿宋_GB2312" w:hAnsi="仿宋_GB2312" w:eastAsia="仿宋_GB2312" w:cs="仿宋_GB2312"/>
          <w:color w:val="auto"/>
          <w:sz w:val="32"/>
          <w:szCs w:val="32"/>
          <w:highlight w:val="none"/>
        </w:rPr>
      </w:pPr>
    </w:p>
    <w:p w14:paraId="3C052FAC">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0FA8A8E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3540C5E2">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25"/>
        <w:tblW w:w="96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8"/>
        <w:gridCol w:w="968"/>
        <w:gridCol w:w="3212"/>
        <w:gridCol w:w="2891"/>
        <w:gridCol w:w="1577"/>
      </w:tblGrid>
      <w:tr w14:paraId="425571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8" w:type="dxa"/>
            <w:noWrap/>
            <w:vAlign w:val="center"/>
          </w:tcPr>
          <w:p w14:paraId="208AAE26">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85" w:name="_Toc383699906"/>
            <w:bookmarkStart w:id="86" w:name="_Toc254970588"/>
            <w:bookmarkStart w:id="87" w:name="_Toc301781611"/>
            <w:bookmarkStart w:id="88" w:name="_Toc173066401"/>
            <w:bookmarkStart w:id="89" w:name="_Toc254970729"/>
            <w:bookmarkStart w:id="90" w:name="_Toc373333689"/>
            <w:bookmarkStart w:id="91" w:name="_Toc297193185"/>
            <w:bookmarkStart w:id="92" w:name="_Toc295404981"/>
            <w:bookmarkStart w:id="93" w:name="_Toc173211900"/>
            <w:r>
              <w:rPr>
                <w:rFonts w:hint="eastAsia" w:ascii="宋体" w:hAnsi="宋体" w:eastAsia="宋体" w:cs="仿宋_GB2312"/>
                <w:color w:val="auto"/>
                <w:kern w:val="2"/>
                <w:sz w:val="24"/>
                <w:szCs w:val="24"/>
                <w:highlight w:val="none"/>
                <w:lang w:val="en-US" w:eastAsia="zh-CN"/>
              </w:rPr>
              <w:t>序号</w:t>
            </w:r>
            <w:bookmarkEnd w:id="85"/>
            <w:bookmarkEnd w:id="86"/>
            <w:bookmarkEnd w:id="87"/>
            <w:bookmarkEnd w:id="88"/>
            <w:bookmarkEnd w:id="89"/>
            <w:bookmarkEnd w:id="90"/>
            <w:bookmarkEnd w:id="91"/>
            <w:bookmarkEnd w:id="92"/>
            <w:bookmarkEnd w:id="93"/>
          </w:p>
        </w:tc>
        <w:tc>
          <w:tcPr>
            <w:tcW w:w="968" w:type="dxa"/>
            <w:tcBorders>
              <w:right w:val="single" w:color="auto" w:sz="4" w:space="0"/>
            </w:tcBorders>
            <w:noWrap/>
            <w:vAlign w:val="center"/>
          </w:tcPr>
          <w:p w14:paraId="6074778D">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3212" w:type="dxa"/>
            <w:tcBorders>
              <w:left w:val="single" w:color="auto" w:sz="4" w:space="0"/>
            </w:tcBorders>
            <w:noWrap/>
            <w:vAlign w:val="center"/>
          </w:tcPr>
          <w:p w14:paraId="71005E1B">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磋商文件技术要求</w:t>
            </w:r>
          </w:p>
        </w:tc>
        <w:tc>
          <w:tcPr>
            <w:tcW w:w="2891" w:type="dxa"/>
            <w:noWrap/>
            <w:vAlign w:val="center"/>
          </w:tcPr>
          <w:p w14:paraId="40053149">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94" w:name="_Toc173211902"/>
            <w:bookmarkStart w:id="95" w:name="_Toc295404983"/>
            <w:bookmarkStart w:id="96" w:name="_Toc301781613"/>
            <w:bookmarkStart w:id="97" w:name="_Toc173066403"/>
            <w:bookmarkStart w:id="98" w:name="_Toc383699908"/>
            <w:bookmarkStart w:id="99" w:name="_Toc373333691"/>
            <w:bookmarkStart w:id="100" w:name="_Toc254970590"/>
            <w:bookmarkStart w:id="101" w:name="_Toc297193187"/>
            <w:bookmarkStart w:id="102" w:name="_Toc254970731"/>
            <w:r>
              <w:rPr>
                <w:rFonts w:hint="eastAsia" w:ascii="宋体" w:hAnsi="宋体" w:eastAsia="宋体" w:cs="仿宋_GB2312"/>
                <w:color w:val="auto"/>
                <w:kern w:val="2"/>
                <w:sz w:val="24"/>
                <w:szCs w:val="24"/>
                <w:highlight w:val="none"/>
                <w:lang w:val="en-US" w:eastAsia="zh-CN"/>
              </w:rPr>
              <w:t>竞标响应</w:t>
            </w:r>
            <w:bookmarkEnd w:id="94"/>
            <w:bookmarkEnd w:id="95"/>
            <w:bookmarkEnd w:id="96"/>
            <w:bookmarkEnd w:id="97"/>
            <w:bookmarkEnd w:id="98"/>
            <w:bookmarkEnd w:id="99"/>
            <w:bookmarkEnd w:id="100"/>
            <w:bookmarkEnd w:id="101"/>
            <w:bookmarkEnd w:id="102"/>
          </w:p>
        </w:tc>
        <w:tc>
          <w:tcPr>
            <w:tcW w:w="1577" w:type="dxa"/>
            <w:noWrap/>
            <w:vAlign w:val="center"/>
          </w:tcPr>
          <w:p w14:paraId="07BDA372">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03" w:name="_Toc254970732"/>
            <w:bookmarkStart w:id="104" w:name="_Toc297193188"/>
            <w:bookmarkStart w:id="105" w:name="_Toc373333692"/>
            <w:bookmarkStart w:id="106" w:name="_Toc254970591"/>
            <w:bookmarkStart w:id="107" w:name="_Toc173066404"/>
            <w:bookmarkStart w:id="108" w:name="_Toc173211903"/>
            <w:bookmarkStart w:id="109" w:name="_Toc383699909"/>
            <w:bookmarkStart w:id="110" w:name="_Toc301781614"/>
            <w:bookmarkStart w:id="111" w:name="_Toc295404984"/>
            <w:r>
              <w:rPr>
                <w:rFonts w:hint="eastAsia" w:ascii="宋体" w:hAnsi="宋体" w:eastAsia="宋体" w:cs="仿宋_GB2312"/>
                <w:color w:val="auto"/>
                <w:kern w:val="2"/>
                <w:sz w:val="24"/>
                <w:szCs w:val="24"/>
                <w:highlight w:val="none"/>
                <w:lang w:val="en-US" w:eastAsia="zh-CN"/>
              </w:rPr>
              <w:t>偏离</w:t>
            </w:r>
            <w:bookmarkEnd w:id="103"/>
            <w:bookmarkEnd w:id="104"/>
            <w:bookmarkEnd w:id="105"/>
            <w:bookmarkEnd w:id="106"/>
            <w:bookmarkEnd w:id="107"/>
            <w:bookmarkEnd w:id="108"/>
            <w:bookmarkEnd w:id="109"/>
            <w:bookmarkEnd w:id="110"/>
            <w:bookmarkEnd w:id="111"/>
            <w:bookmarkStart w:id="112" w:name="_Toc173211904"/>
            <w:bookmarkStart w:id="113" w:name="_Toc254970733"/>
            <w:bookmarkStart w:id="114" w:name="_Toc297193189"/>
            <w:bookmarkStart w:id="115" w:name="_Toc383699910"/>
            <w:bookmarkStart w:id="116" w:name="_Toc295404985"/>
            <w:bookmarkStart w:id="117" w:name="_Toc254970592"/>
            <w:bookmarkStart w:id="118" w:name="_Toc173066405"/>
            <w:bookmarkStart w:id="119" w:name="_Toc373333693"/>
            <w:bookmarkStart w:id="120" w:name="_Toc301781615"/>
            <w:r>
              <w:rPr>
                <w:rFonts w:hint="eastAsia" w:ascii="宋体" w:hAnsi="宋体" w:eastAsia="宋体" w:cs="仿宋_GB2312"/>
                <w:color w:val="auto"/>
                <w:kern w:val="2"/>
                <w:sz w:val="24"/>
                <w:szCs w:val="24"/>
                <w:highlight w:val="none"/>
                <w:lang w:val="en-US" w:eastAsia="zh-CN"/>
              </w:rPr>
              <w:t>说明</w:t>
            </w:r>
            <w:bookmarkEnd w:id="112"/>
            <w:bookmarkEnd w:id="113"/>
            <w:bookmarkEnd w:id="114"/>
            <w:bookmarkEnd w:id="115"/>
            <w:bookmarkEnd w:id="116"/>
            <w:bookmarkEnd w:id="117"/>
            <w:bookmarkEnd w:id="118"/>
            <w:bookmarkEnd w:id="119"/>
            <w:bookmarkEnd w:id="120"/>
          </w:p>
        </w:tc>
      </w:tr>
      <w:tr w14:paraId="0DD847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8" w:type="dxa"/>
            <w:noWrap/>
            <w:vAlign w:val="center"/>
          </w:tcPr>
          <w:p w14:paraId="24A8A902">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21" w:name="_Toc373333694"/>
            <w:bookmarkStart w:id="122" w:name="_Toc297193190"/>
            <w:bookmarkStart w:id="123" w:name="_Toc254970593"/>
            <w:bookmarkStart w:id="124" w:name="_Toc295404986"/>
            <w:bookmarkStart w:id="125" w:name="_Toc173066406"/>
            <w:bookmarkStart w:id="126" w:name="_Toc173211905"/>
            <w:bookmarkStart w:id="127" w:name="_Toc254970734"/>
            <w:bookmarkStart w:id="128" w:name="_Toc301781616"/>
            <w:bookmarkStart w:id="129" w:name="_Toc383699911"/>
            <w:r>
              <w:rPr>
                <w:rFonts w:hint="eastAsia" w:ascii="宋体" w:hAnsi="宋体" w:eastAsia="宋体" w:cs="仿宋_GB2312"/>
                <w:color w:val="auto"/>
                <w:kern w:val="2"/>
                <w:sz w:val="24"/>
                <w:szCs w:val="24"/>
                <w:highlight w:val="none"/>
                <w:lang w:val="en-US" w:eastAsia="zh-CN"/>
              </w:rPr>
              <w:t>1</w:t>
            </w:r>
            <w:bookmarkEnd w:id="121"/>
            <w:bookmarkEnd w:id="122"/>
            <w:bookmarkEnd w:id="123"/>
            <w:bookmarkEnd w:id="124"/>
            <w:bookmarkEnd w:id="125"/>
            <w:bookmarkEnd w:id="126"/>
            <w:bookmarkEnd w:id="127"/>
            <w:bookmarkEnd w:id="128"/>
            <w:bookmarkEnd w:id="129"/>
          </w:p>
        </w:tc>
        <w:tc>
          <w:tcPr>
            <w:tcW w:w="968" w:type="dxa"/>
            <w:tcBorders>
              <w:right w:val="single" w:color="auto" w:sz="4" w:space="0"/>
            </w:tcBorders>
            <w:noWrap/>
            <w:vAlign w:val="center"/>
          </w:tcPr>
          <w:p w14:paraId="6891D57D">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3212" w:type="dxa"/>
            <w:tcBorders>
              <w:left w:val="single" w:color="auto" w:sz="4" w:space="0"/>
            </w:tcBorders>
            <w:noWrap/>
            <w:vAlign w:val="center"/>
          </w:tcPr>
          <w:p w14:paraId="67476628">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2891" w:type="dxa"/>
            <w:noWrap/>
            <w:vAlign w:val="center"/>
          </w:tcPr>
          <w:p w14:paraId="103AB0D5">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77" w:type="dxa"/>
            <w:noWrap/>
            <w:vAlign w:val="center"/>
          </w:tcPr>
          <w:p w14:paraId="0F93CA02">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1B9735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8" w:type="dxa"/>
            <w:noWrap/>
            <w:vAlign w:val="center"/>
          </w:tcPr>
          <w:p w14:paraId="26D6BE7F">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30" w:name="_Toc383699912"/>
            <w:bookmarkStart w:id="131" w:name="_Toc254970594"/>
            <w:bookmarkStart w:id="132" w:name="_Toc297193191"/>
            <w:bookmarkStart w:id="133" w:name="_Toc301781617"/>
            <w:bookmarkStart w:id="134" w:name="_Toc173211906"/>
            <w:bookmarkStart w:id="135" w:name="_Toc295404987"/>
            <w:bookmarkStart w:id="136" w:name="_Toc254970735"/>
            <w:bookmarkStart w:id="137" w:name="_Toc173066407"/>
            <w:bookmarkStart w:id="138" w:name="_Toc373333695"/>
            <w:r>
              <w:rPr>
                <w:rFonts w:hint="eastAsia" w:ascii="宋体" w:hAnsi="宋体" w:eastAsia="宋体" w:cs="仿宋_GB2312"/>
                <w:color w:val="auto"/>
                <w:kern w:val="2"/>
                <w:sz w:val="24"/>
                <w:szCs w:val="24"/>
                <w:highlight w:val="none"/>
                <w:lang w:val="en-US" w:eastAsia="zh-CN"/>
              </w:rPr>
              <w:t>2</w:t>
            </w:r>
            <w:bookmarkEnd w:id="130"/>
            <w:bookmarkEnd w:id="131"/>
            <w:bookmarkEnd w:id="132"/>
            <w:bookmarkEnd w:id="133"/>
            <w:bookmarkEnd w:id="134"/>
            <w:bookmarkEnd w:id="135"/>
            <w:bookmarkEnd w:id="136"/>
            <w:bookmarkEnd w:id="137"/>
            <w:bookmarkEnd w:id="138"/>
          </w:p>
        </w:tc>
        <w:tc>
          <w:tcPr>
            <w:tcW w:w="968" w:type="dxa"/>
            <w:tcBorders>
              <w:right w:val="single" w:color="auto" w:sz="4" w:space="0"/>
            </w:tcBorders>
            <w:noWrap/>
            <w:vAlign w:val="center"/>
          </w:tcPr>
          <w:p w14:paraId="21C634F9">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3212" w:type="dxa"/>
            <w:tcBorders>
              <w:left w:val="single" w:color="auto" w:sz="4" w:space="0"/>
            </w:tcBorders>
            <w:noWrap/>
            <w:vAlign w:val="center"/>
          </w:tcPr>
          <w:p w14:paraId="3932F187">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2891" w:type="dxa"/>
            <w:noWrap/>
            <w:vAlign w:val="center"/>
          </w:tcPr>
          <w:p w14:paraId="46F67FD4">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77" w:type="dxa"/>
            <w:noWrap/>
            <w:vAlign w:val="center"/>
          </w:tcPr>
          <w:p w14:paraId="1F306D30">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071A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8" w:type="dxa"/>
            <w:noWrap/>
            <w:vAlign w:val="center"/>
          </w:tcPr>
          <w:p w14:paraId="2539B43D">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39" w:name="_Toc295404988"/>
            <w:bookmarkStart w:id="140" w:name="_Toc254970736"/>
            <w:bookmarkStart w:id="141" w:name="_Toc373333696"/>
            <w:bookmarkStart w:id="142" w:name="_Toc254970595"/>
            <w:bookmarkStart w:id="143" w:name="_Toc173066408"/>
            <w:bookmarkStart w:id="144" w:name="_Toc383699913"/>
            <w:bookmarkStart w:id="145" w:name="_Toc301781618"/>
            <w:bookmarkStart w:id="146" w:name="_Toc297193192"/>
            <w:bookmarkStart w:id="147" w:name="_Toc173211907"/>
            <w:r>
              <w:rPr>
                <w:rFonts w:hint="eastAsia" w:ascii="宋体" w:hAnsi="宋体" w:eastAsia="宋体" w:cs="仿宋_GB2312"/>
                <w:color w:val="auto"/>
                <w:kern w:val="2"/>
                <w:sz w:val="24"/>
                <w:szCs w:val="24"/>
                <w:highlight w:val="none"/>
                <w:lang w:val="en-US" w:eastAsia="zh-CN"/>
              </w:rPr>
              <w:t>3</w:t>
            </w:r>
            <w:bookmarkEnd w:id="139"/>
            <w:bookmarkEnd w:id="140"/>
            <w:bookmarkEnd w:id="141"/>
            <w:bookmarkEnd w:id="142"/>
            <w:bookmarkEnd w:id="143"/>
            <w:bookmarkEnd w:id="144"/>
            <w:bookmarkEnd w:id="145"/>
            <w:bookmarkEnd w:id="146"/>
            <w:bookmarkEnd w:id="147"/>
          </w:p>
        </w:tc>
        <w:tc>
          <w:tcPr>
            <w:tcW w:w="968" w:type="dxa"/>
            <w:tcBorders>
              <w:right w:val="single" w:color="auto" w:sz="4" w:space="0"/>
            </w:tcBorders>
            <w:noWrap/>
            <w:vAlign w:val="center"/>
          </w:tcPr>
          <w:p w14:paraId="4202B5E5">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3212" w:type="dxa"/>
            <w:tcBorders>
              <w:left w:val="single" w:color="auto" w:sz="4" w:space="0"/>
            </w:tcBorders>
            <w:noWrap/>
            <w:vAlign w:val="center"/>
          </w:tcPr>
          <w:p w14:paraId="641D64D1">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2891" w:type="dxa"/>
            <w:noWrap/>
            <w:vAlign w:val="center"/>
          </w:tcPr>
          <w:p w14:paraId="32EACADA">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77" w:type="dxa"/>
            <w:noWrap/>
            <w:vAlign w:val="center"/>
          </w:tcPr>
          <w:p w14:paraId="1FC618AE">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59A984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8" w:type="dxa"/>
            <w:noWrap/>
            <w:vAlign w:val="center"/>
          </w:tcPr>
          <w:p w14:paraId="7880F607">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48" w:name="_Toc254970596"/>
            <w:bookmarkStart w:id="149" w:name="_Toc297193193"/>
            <w:bookmarkStart w:id="150" w:name="_Toc373333697"/>
            <w:bookmarkStart w:id="151" w:name="_Toc301781619"/>
            <w:bookmarkStart w:id="152" w:name="_Toc173211908"/>
            <w:bookmarkStart w:id="153" w:name="_Toc254970737"/>
            <w:bookmarkStart w:id="154" w:name="_Toc173066409"/>
            <w:bookmarkStart w:id="155" w:name="_Toc295404989"/>
            <w:bookmarkStart w:id="156" w:name="_Toc383699914"/>
            <w:r>
              <w:rPr>
                <w:rFonts w:hint="eastAsia" w:ascii="宋体" w:hAnsi="宋体" w:eastAsia="宋体" w:cs="仿宋_GB2312"/>
                <w:color w:val="auto"/>
                <w:kern w:val="2"/>
                <w:sz w:val="24"/>
                <w:szCs w:val="24"/>
                <w:highlight w:val="none"/>
                <w:lang w:val="en-US" w:eastAsia="zh-CN"/>
              </w:rPr>
              <w:t>4</w:t>
            </w:r>
            <w:bookmarkEnd w:id="148"/>
            <w:bookmarkEnd w:id="149"/>
            <w:bookmarkEnd w:id="150"/>
            <w:bookmarkEnd w:id="151"/>
            <w:bookmarkEnd w:id="152"/>
            <w:bookmarkEnd w:id="153"/>
            <w:bookmarkEnd w:id="154"/>
            <w:bookmarkEnd w:id="155"/>
            <w:bookmarkEnd w:id="156"/>
          </w:p>
        </w:tc>
        <w:tc>
          <w:tcPr>
            <w:tcW w:w="968" w:type="dxa"/>
            <w:tcBorders>
              <w:right w:val="single" w:color="auto" w:sz="4" w:space="0"/>
            </w:tcBorders>
            <w:noWrap/>
            <w:vAlign w:val="center"/>
          </w:tcPr>
          <w:p w14:paraId="4408D468">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3212" w:type="dxa"/>
            <w:tcBorders>
              <w:left w:val="single" w:color="auto" w:sz="4" w:space="0"/>
            </w:tcBorders>
            <w:noWrap/>
            <w:vAlign w:val="center"/>
          </w:tcPr>
          <w:p w14:paraId="241D80BC">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2891" w:type="dxa"/>
            <w:noWrap/>
            <w:vAlign w:val="center"/>
          </w:tcPr>
          <w:p w14:paraId="1965ED0E">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77" w:type="dxa"/>
            <w:noWrap/>
            <w:vAlign w:val="center"/>
          </w:tcPr>
          <w:p w14:paraId="1F71C8CC">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50A82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8" w:type="dxa"/>
            <w:noWrap/>
            <w:vAlign w:val="center"/>
          </w:tcPr>
          <w:p w14:paraId="226BB87A">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57" w:name="_Toc254970597"/>
            <w:bookmarkStart w:id="158" w:name="_Toc254970738"/>
            <w:bookmarkStart w:id="159" w:name="_Toc297193194"/>
            <w:bookmarkStart w:id="160" w:name="_Toc173211909"/>
            <w:bookmarkStart w:id="161" w:name="_Toc173066410"/>
            <w:bookmarkStart w:id="162" w:name="_Toc295404990"/>
            <w:bookmarkStart w:id="163" w:name="_Toc301781620"/>
            <w:bookmarkStart w:id="164" w:name="_Toc373333698"/>
            <w:bookmarkStart w:id="165" w:name="_Toc383699915"/>
            <w:r>
              <w:rPr>
                <w:rFonts w:hint="eastAsia" w:ascii="宋体" w:hAnsi="宋体" w:eastAsia="宋体" w:cs="仿宋_GB2312"/>
                <w:color w:val="auto"/>
                <w:kern w:val="2"/>
                <w:sz w:val="24"/>
                <w:szCs w:val="24"/>
                <w:highlight w:val="none"/>
                <w:lang w:val="en-US" w:eastAsia="zh-CN"/>
              </w:rPr>
              <w:t>5</w:t>
            </w:r>
            <w:bookmarkEnd w:id="157"/>
            <w:bookmarkEnd w:id="158"/>
            <w:bookmarkEnd w:id="159"/>
            <w:bookmarkEnd w:id="160"/>
            <w:bookmarkEnd w:id="161"/>
            <w:bookmarkEnd w:id="162"/>
            <w:bookmarkEnd w:id="163"/>
            <w:bookmarkEnd w:id="164"/>
            <w:bookmarkEnd w:id="165"/>
          </w:p>
        </w:tc>
        <w:tc>
          <w:tcPr>
            <w:tcW w:w="968" w:type="dxa"/>
            <w:tcBorders>
              <w:right w:val="single" w:color="auto" w:sz="4" w:space="0"/>
            </w:tcBorders>
            <w:noWrap/>
            <w:vAlign w:val="center"/>
          </w:tcPr>
          <w:p w14:paraId="0B2BB0F5">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3212" w:type="dxa"/>
            <w:tcBorders>
              <w:left w:val="single" w:color="auto" w:sz="4" w:space="0"/>
            </w:tcBorders>
            <w:noWrap/>
            <w:vAlign w:val="center"/>
          </w:tcPr>
          <w:p w14:paraId="45735AC5">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2891" w:type="dxa"/>
            <w:noWrap/>
            <w:vAlign w:val="center"/>
          </w:tcPr>
          <w:p w14:paraId="22F1CA22">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77" w:type="dxa"/>
            <w:noWrap/>
            <w:vAlign w:val="center"/>
          </w:tcPr>
          <w:p w14:paraId="7270864A">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5A2753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68" w:type="dxa"/>
            <w:noWrap/>
            <w:vAlign w:val="center"/>
          </w:tcPr>
          <w:p w14:paraId="1BAF8769">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66" w:name="_Toc383699916"/>
            <w:bookmarkStart w:id="167" w:name="_Toc254970602"/>
            <w:bookmarkStart w:id="168" w:name="_Toc373333699"/>
            <w:bookmarkStart w:id="169" w:name="_Toc254970743"/>
            <w:bookmarkStart w:id="170" w:name="_Toc173211914"/>
            <w:bookmarkStart w:id="171" w:name="_Toc297193195"/>
            <w:bookmarkStart w:id="172" w:name="_Toc301781621"/>
            <w:bookmarkStart w:id="173" w:name="_Toc295404991"/>
            <w:bookmarkStart w:id="174" w:name="_Toc173066415"/>
            <w:r>
              <w:rPr>
                <w:rFonts w:hint="eastAsia" w:ascii="宋体" w:hAnsi="宋体" w:eastAsia="宋体" w:cs="仿宋_GB2312"/>
                <w:color w:val="auto"/>
                <w:kern w:val="2"/>
                <w:sz w:val="24"/>
                <w:szCs w:val="24"/>
                <w:highlight w:val="none"/>
                <w:lang w:val="en-US" w:eastAsia="zh-CN"/>
              </w:rPr>
              <w:t>…</w:t>
            </w:r>
            <w:bookmarkEnd w:id="166"/>
            <w:bookmarkEnd w:id="167"/>
            <w:bookmarkEnd w:id="168"/>
            <w:bookmarkEnd w:id="169"/>
            <w:bookmarkEnd w:id="170"/>
            <w:bookmarkEnd w:id="171"/>
            <w:bookmarkEnd w:id="172"/>
            <w:bookmarkEnd w:id="173"/>
            <w:bookmarkEnd w:id="174"/>
          </w:p>
        </w:tc>
        <w:tc>
          <w:tcPr>
            <w:tcW w:w="968" w:type="dxa"/>
            <w:tcBorders>
              <w:right w:val="single" w:color="auto" w:sz="4" w:space="0"/>
            </w:tcBorders>
            <w:noWrap/>
            <w:vAlign w:val="center"/>
          </w:tcPr>
          <w:p w14:paraId="07C8A7E1">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3212" w:type="dxa"/>
            <w:tcBorders>
              <w:left w:val="single" w:color="auto" w:sz="4" w:space="0"/>
            </w:tcBorders>
            <w:noWrap/>
            <w:vAlign w:val="center"/>
          </w:tcPr>
          <w:p w14:paraId="4D088502">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2891" w:type="dxa"/>
            <w:noWrap/>
            <w:vAlign w:val="center"/>
          </w:tcPr>
          <w:p w14:paraId="0346C149">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77" w:type="dxa"/>
            <w:tcBorders>
              <w:right w:val="single" w:color="auto" w:sz="4" w:space="0"/>
            </w:tcBorders>
            <w:noWrap/>
            <w:vAlign w:val="center"/>
          </w:tcPr>
          <w:p w14:paraId="7E429069">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bl>
    <w:p w14:paraId="32CE53D7">
      <w:pPr>
        <w:adjustRightInd w:val="0"/>
        <w:spacing w:line="360" w:lineRule="auto"/>
        <w:contextualSpacing/>
        <w:rPr>
          <w:rFonts w:ascii="宋体" w:hAnsi="宋体" w:cs="仿宋_GB2312"/>
          <w:color w:val="auto"/>
          <w:sz w:val="24"/>
          <w:highlight w:val="none"/>
        </w:rPr>
      </w:pPr>
    </w:p>
    <w:p w14:paraId="70DDE4A6">
      <w:pPr>
        <w:pStyle w:val="1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50473839">
      <w:pPr>
        <w:pStyle w:val="1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21CA291D">
      <w:pPr>
        <w:pStyle w:val="1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71935139">
      <w:pPr>
        <w:spacing w:line="360" w:lineRule="auto"/>
        <w:ind w:right="-817" w:rightChars="-389"/>
        <w:contextualSpacing/>
        <w:rPr>
          <w:rFonts w:ascii="宋体" w:hAnsi="宋体" w:cs="仿宋_GB2312"/>
          <w:color w:val="auto"/>
          <w:sz w:val="24"/>
          <w:highlight w:val="none"/>
        </w:rPr>
      </w:pPr>
    </w:p>
    <w:p w14:paraId="617257BE">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BD33565">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1A982BA9">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2060285">
      <w:pPr>
        <w:snapToGrid w:val="0"/>
        <w:spacing w:beforeLines="50" w:after="50"/>
        <w:ind w:left="142"/>
        <w:jc w:val="left"/>
        <w:outlineLvl w:val="2"/>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7A8EBF7E">
      <w:pPr>
        <w:snapToGrid w:val="0"/>
        <w:spacing w:beforeLines="50" w:after="50"/>
        <w:ind w:left="142"/>
        <w:jc w:val="left"/>
        <w:rPr>
          <w:rFonts w:ascii="宋体" w:hAnsi="宋体"/>
          <w:b/>
          <w:color w:val="auto"/>
          <w:sz w:val="24"/>
          <w:highlight w:val="none"/>
        </w:rPr>
      </w:pPr>
    </w:p>
    <w:p w14:paraId="61B547FE">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C23CF48">
      <w:pPr>
        <w:pStyle w:val="16"/>
        <w:spacing w:line="360" w:lineRule="auto"/>
        <w:contextualSpacing/>
        <w:rPr>
          <w:color w:val="auto"/>
          <w:sz w:val="24"/>
          <w:szCs w:val="24"/>
          <w:highlight w:val="none"/>
        </w:rPr>
      </w:pPr>
      <w:r>
        <w:rPr>
          <w:rFonts w:hint="eastAsia"/>
          <w:color w:val="auto"/>
          <w:sz w:val="24"/>
          <w:szCs w:val="24"/>
          <w:highlight w:val="none"/>
        </w:rPr>
        <w:t>所竞分标：分标</w:t>
      </w:r>
    </w:p>
    <w:tbl>
      <w:tblPr>
        <w:tblStyle w:val="2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778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C8AEC31">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ign w:val="center"/>
          </w:tcPr>
          <w:p w14:paraId="0F074FF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ign w:val="center"/>
          </w:tcPr>
          <w:p w14:paraId="69D7C352">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ign w:val="center"/>
          </w:tcPr>
          <w:p w14:paraId="685EB481">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ign w:val="center"/>
          </w:tcPr>
          <w:p w14:paraId="01A7FD7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04EF4DC1">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ign w:val="center"/>
          </w:tcPr>
          <w:p w14:paraId="281877AF">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0FF3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97E8400">
            <w:pPr>
              <w:spacing w:line="360" w:lineRule="auto"/>
              <w:contextualSpacing/>
              <w:jc w:val="center"/>
              <w:rPr>
                <w:rFonts w:ascii="宋体" w:hAnsi="宋体"/>
                <w:color w:val="auto"/>
                <w:sz w:val="24"/>
                <w:szCs w:val="20"/>
                <w:highlight w:val="none"/>
              </w:rPr>
            </w:pPr>
          </w:p>
        </w:tc>
        <w:tc>
          <w:tcPr>
            <w:tcW w:w="709" w:type="dxa"/>
            <w:noWrap/>
            <w:vAlign w:val="center"/>
          </w:tcPr>
          <w:p w14:paraId="500B7FB4">
            <w:pPr>
              <w:spacing w:line="360" w:lineRule="auto"/>
              <w:contextualSpacing/>
              <w:jc w:val="center"/>
              <w:rPr>
                <w:rFonts w:ascii="宋体" w:hAnsi="宋体"/>
                <w:color w:val="auto"/>
                <w:sz w:val="24"/>
                <w:szCs w:val="20"/>
                <w:highlight w:val="none"/>
              </w:rPr>
            </w:pPr>
          </w:p>
        </w:tc>
        <w:tc>
          <w:tcPr>
            <w:tcW w:w="1701" w:type="dxa"/>
            <w:noWrap/>
            <w:vAlign w:val="center"/>
          </w:tcPr>
          <w:p w14:paraId="6B6D4920">
            <w:pPr>
              <w:spacing w:line="360" w:lineRule="auto"/>
              <w:contextualSpacing/>
              <w:jc w:val="center"/>
              <w:rPr>
                <w:rFonts w:ascii="宋体" w:hAnsi="宋体"/>
                <w:color w:val="auto"/>
                <w:sz w:val="24"/>
                <w:szCs w:val="20"/>
                <w:highlight w:val="none"/>
              </w:rPr>
            </w:pPr>
          </w:p>
        </w:tc>
        <w:tc>
          <w:tcPr>
            <w:tcW w:w="1420" w:type="dxa"/>
            <w:noWrap/>
            <w:vAlign w:val="center"/>
          </w:tcPr>
          <w:p w14:paraId="0BE73418">
            <w:pPr>
              <w:spacing w:line="360" w:lineRule="auto"/>
              <w:contextualSpacing/>
              <w:jc w:val="center"/>
              <w:rPr>
                <w:rFonts w:ascii="宋体" w:hAnsi="宋体"/>
                <w:color w:val="auto"/>
                <w:sz w:val="24"/>
                <w:szCs w:val="20"/>
                <w:highlight w:val="none"/>
              </w:rPr>
            </w:pPr>
          </w:p>
        </w:tc>
        <w:tc>
          <w:tcPr>
            <w:tcW w:w="1698" w:type="dxa"/>
            <w:noWrap/>
            <w:vAlign w:val="center"/>
          </w:tcPr>
          <w:p w14:paraId="63CC3D41">
            <w:pPr>
              <w:spacing w:line="360" w:lineRule="auto"/>
              <w:contextualSpacing/>
              <w:jc w:val="center"/>
              <w:rPr>
                <w:rFonts w:ascii="宋体" w:hAnsi="宋体"/>
                <w:color w:val="auto"/>
                <w:sz w:val="24"/>
                <w:szCs w:val="20"/>
                <w:highlight w:val="none"/>
              </w:rPr>
            </w:pPr>
          </w:p>
        </w:tc>
        <w:tc>
          <w:tcPr>
            <w:tcW w:w="1843" w:type="dxa"/>
            <w:noWrap/>
            <w:vAlign w:val="center"/>
          </w:tcPr>
          <w:p w14:paraId="4F4E6A2B">
            <w:pPr>
              <w:spacing w:line="360" w:lineRule="auto"/>
              <w:contextualSpacing/>
              <w:jc w:val="center"/>
              <w:rPr>
                <w:rFonts w:ascii="宋体" w:hAnsi="宋体"/>
                <w:color w:val="auto"/>
                <w:sz w:val="24"/>
                <w:szCs w:val="20"/>
                <w:highlight w:val="none"/>
              </w:rPr>
            </w:pPr>
          </w:p>
        </w:tc>
      </w:tr>
      <w:tr w14:paraId="5F38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11C32C7">
            <w:pPr>
              <w:spacing w:line="360" w:lineRule="auto"/>
              <w:contextualSpacing/>
              <w:jc w:val="center"/>
              <w:rPr>
                <w:rFonts w:ascii="宋体" w:hAnsi="宋体"/>
                <w:color w:val="auto"/>
                <w:sz w:val="24"/>
                <w:szCs w:val="20"/>
                <w:highlight w:val="none"/>
              </w:rPr>
            </w:pPr>
          </w:p>
        </w:tc>
        <w:tc>
          <w:tcPr>
            <w:tcW w:w="709" w:type="dxa"/>
            <w:noWrap/>
            <w:vAlign w:val="center"/>
          </w:tcPr>
          <w:p w14:paraId="77FDE79F">
            <w:pPr>
              <w:spacing w:line="360" w:lineRule="auto"/>
              <w:contextualSpacing/>
              <w:jc w:val="center"/>
              <w:rPr>
                <w:rFonts w:ascii="宋体" w:hAnsi="宋体"/>
                <w:color w:val="auto"/>
                <w:sz w:val="24"/>
                <w:szCs w:val="20"/>
                <w:highlight w:val="none"/>
              </w:rPr>
            </w:pPr>
          </w:p>
        </w:tc>
        <w:tc>
          <w:tcPr>
            <w:tcW w:w="1701" w:type="dxa"/>
            <w:noWrap/>
            <w:vAlign w:val="center"/>
          </w:tcPr>
          <w:p w14:paraId="62E0B248">
            <w:pPr>
              <w:spacing w:line="360" w:lineRule="auto"/>
              <w:contextualSpacing/>
              <w:jc w:val="center"/>
              <w:rPr>
                <w:rFonts w:ascii="宋体" w:hAnsi="宋体"/>
                <w:color w:val="auto"/>
                <w:sz w:val="24"/>
                <w:szCs w:val="20"/>
                <w:highlight w:val="none"/>
              </w:rPr>
            </w:pPr>
          </w:p>
        </w:tc>
        <w:tc>
          <w:tcPr>
            <w:tcW w:w="1420" w:type="dxa"/>
            <w:noWrap/>
            <w:vAlign w:val="center"/>
          </w:tcPr>
          <w:p w14:paraId="1A66C8DB">
            <w:pPr>
              <w:spacing w:line="360" w:lineRule="auto"/>
              <w:contextualSpacing/>
              <w:jc w:val="center"/>
              <w:rPr>
                <w:rFonts w:ascii="宋体" w:hAnsi="宋体"/>
                <w:color w:val="auto"/>
                <w:sz w:val="24"/>
                <w:szCs w:val="20"/>
                <w:highlight w:val="none"/>
              </w:rPr>
            </w:pPr>
          </w:p>
        </w:tc>
        <w:tc>
          <w:tcPr>
            <w:tcW w:w="1698" w:type="dxa"/>
            <w:noWrap/>
            <w:vAlign w:val="center"/>
          </w:tcPr>
          <w:p w14:paraId="62A79353">
            <w:pPr>
              <w:spacing w:line="360" w:lineRule="auto"/>
              <w:contextualSpacing/>
              <w:jc w:val="center"/>
              <w:rPr>
                <w:rFonts w:ascii="宋体" w:hAnsi="宋体"/>
                <w:color w:val="auto"/>
                <w:sz w:val="24"/>
                <w:szCs w:val="20"/>
                <w:highlight w:val="none"/>
              </w:rPr>
            </w:pPr>
          </w:p>
        </w:tc>
        <w:tc>
          <w:tcPr>
            <w:tcW w:w="1843" w:type="dxa"/>
            <w:noWrap/>
            <w:vAlign w:val="center"/>
          </w:tcPr>
          <w:p w14:paraId="0716D48C">
            <w:pPr>
              <w:spacing w:line="360" w:lineRule="auto"/>
              <w:contextualSpacing/>
              <w:jc w:val="center"/>
              <w:rPr>
                <w:rFonts w:ascii="宋体" w:hAnsi="宋体"/>
                <w:color w:val="auto"/>
                <w:sz w:val="24"/>
                <w:szCs w:val="20"/>
                <w:highlight w:val="none"/>
              </w:rPr>
            </w:pPr>
          </w:p>
        </w:tc>
      </w:tr>
      <w:tr w14:paraId="0F64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F5E33FB">
            <w:pPr>
              <w:spacing w:line="360" w:lineRule="auto"/>
              <w:contextualSpacing/>
              <w:jc w:val="center"/>
              <w:rPr>
                <w:rFonts w:ascii="宋体" w:hAnsi="宋体"/>
                <w:color w:val="auto"/>
                <w:sz w:val="24"/>
                <w:szCs w:val="20"/>
                <w:highlight w:val="none"/>
              </w:rPr>
            </w:pPr>
          </w:p>
        </w:tc>
        <w:tc>
          <w:tcPr>
            <w:tcW w:w="709" w:type="dxa"/>
            <w:noWrap/>
            <w:vAlign w:val="center"/>
          </w:tcPr>
          <w:p w14:paraId="14EAD566">
            <w:pPr>
              <w:spacing w:line="360" w:lineRule="auto"/>
              <w:contextualSpacing/>
              <w:jc w:val="center"/>
              <w:rPr>
                <w:rFonts w:ascii="宋体" w:hAnsi="宋体"/>
                <w:color w:val="auto"/>
                <w:sz w:val="24"/>
                <w:szCs w:val="20"/>
                <w:highlight w:val="none"/>
              </w:rPr>
            </w:pPr>
          </w:p>
        </w:tc>
        <w:tc>
          <w:tcPr>
            <w:tcW w:w="1701" w:type="dxa"/>
            <w:noWrap/>
            <w:vAlign w:val="center"/>
          </w:tcPr>
          <w:p w14:paraId="6F95E6E4">
            <w:pPr>
              <w:spacing w:line="360" w:lineRule="auto"/>
              <w:contextualSpacing/>
              <w:jc w:val="center"/>
              <w:rPr>
                <w:rFonts w:ascii="宋体" w:hAnsi="宋体"/>
                <w:color w:val="auto"/>
                <w:sz w:val="24"/>
                <w:szCs w:val="20"/>
                <w:highlight w:val="none"/>
              </w:rPr>
            </w:pPr>
          </w:p>
        </w:tc>
        <w:tc>
          <w:tcPr>
            <w:tcW w:w="1420" w:type="dxa"/>
            <w:noWrap/>
            <w:vAlign w:val="center"/>
          </w:tcPr>
          <w:p w14:paraId="7F2E5E61">
            <w:pPr>
              <w:spacing w:line="360" w:lineRule="auto"/>
              <w:contextualSpacing/>
              <w:jc w:val="center"/>
              <w:rPr>
                <w:rFonts w:ascii="宋体" w:hAnsi="宋体"/>
                <w:color w:val="auto"/>
                <w:sz w:val="24"/>
                <w:szCs w:val="20"/>
                <w:highlight w:val="none"/>
              </w:rPr>
            </w:pPr>
          </w:p>
        </w:tc>
        <w:tc>
          <w:tcPr>
            <w:tcW w:w="1698" w:type="dxa"/>
            <w:noWrap/>
            <w:vAlign w:val="center"/>
          </w:tcPr>
          <w:p w14:paraId="742E69D0">
            <w:pPr>
              <w:spacing w:line="360" w:lineRule="auto"/>
              <w:contextualSpacing/>
              <w:jc w:val="center"/>
              <w:rPr>
                <w:rFonts w:ascii="宋体" w:hAnsi="宋体"/>
                <w:color w:val="auto"/>
                <w:sz w:val="24"/>
                <w:szCs w:val="20"/>
                <w:highlight w:val="none"/>
              </w:rPr>
            </w:pPr>
          </w:p>
        </w:tc>
        <w:tc>
          <w:tcPr>
            <w:tcW w:w="1843" w:type="dxa"/>
            <w:noWrap/>
            <w:vAlign w:val="center"/>
          </w:tcPr>
          <w:p w14:paraId="42B43BC3">
            <w:pPr>
              <w:spacing w:line="360" w:lineRule="auto"/>
              <w:contextualSpacing/>
              <w:jc w:val="center"/>
              <w:rPr>
                <w:rFonts w:ascii="宋体" w:hAnsi="宋体"/>
                <w:color w:val="auto"/>
                <w:sz w:val="24"/>
                <w:szCs w:val="20"/>
                <w:highlight w:val="none"/>
              </w:rPr>
            </w:pPr>
          </w:p>
        </w:tc>
      </w:tr>
    </w:tbl>
    <w:p w14:paraId="105B84C1">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6839FBB9">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0351A25B">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1BA1FAA4">
      <w:pPr>
        <w:spacing w:line="360" w:lineRule="auto"/>
        <w:contextualSpacing/>
        <w:rPr>
          <w:rFonts w:ascii="宋体" w:hAnsi="宋体"/>
          <w:color w:val="auto"/>
          <w:sz w:val="24"/>
          <w:highlight w:val="none"/>
        </w:rPr>
      </w:pPr>
    </w:p>
    <w:p w14:paraId="49BF20C7">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734A28E3">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供应商名称（电子签章）：           日 期：</w:t>
      </w:r>
    </w:p>
    <w:p w14:paraId="6D13125D">
      <w:pPr>
        <w:snapToGrid w:val="0"/>
        <w:spacing w:beforeLines="50" w:after="50"/>
        <w:jc w:val="left"/>
        <w:rPr>
          <w:rFonts w:ascii="方正小标宋简体" w:hAnsi="方正小标宋简体" w:eastAsia="方正小标宋简体" w:cs="方正小标宋简体"/>
          <w:bCs/>
          <w:color w:val="auto"/>
          <w:szCs w:val="21"/>
          <w:highlight w:val="none"/>
        </w:rPr>
      </w:pPr>
      <w:r>
        <w:rPr>
          <w:rFonts w:ascii="宋体" w:hAnsi="宋体"/>
          <w:color w:val="auto"/>
          <w:sz w:val="24"/>
          <w:szCs w:val="20"/>
          <w:highlight w:val="none"/>
        </w:rPr>
        <w:br w:type="page"/>
      </w:r>
    </w:p>
    <w:p w14:paraId="1D07A52D">
      <w:pPr>
        <w:spacing w:line="300" w:lineRule="auto"/>
        <w:outlineLvl w:val="2"/>
        <w:rPr>
          <w:rFonts w:ascii="宋体" w:hAnsi="宋体"/>
          <w:color w:val="auto"/>
          <w:szCs w:val="21"/>
          <w:highlight w:val="none"/>
        </w:rPr>
      </w:pPr>
      <w:r>
        <w:rPr>
          <w:rFonts w:hint="eastAsia" w:ascii="宋体" w:hAnsi="宋体"/>
          <w:b/>
          <w:bCs/>
          <w:color w:val="auto"/>
          <w:sz w:val="24"/>
          <w:highlight w:val="none"/>
        </w:rPr>
        <w:t>其他文书、文件格式</w:t>
      </w:r>
    </w:p>
    <w:p w14:paraId="585418A3">
      <w:pPr>
        <w:jc w:val="center"/>
        <w:rPr>
          <w:rFonts w:ascii="方正小标宋简体" w:hAnsi="方正小标宋简体" w:eastAsia="方正小标宋简体" w:cs="方正小标宋简体"/>
          <w:color w:val="auto"/>
          <w:sz w:val="44"/>
          <w:szCs w:val="44"/>
          <w:highlight w:val="none"/>
        </w:rPr>
      </w:pPr>
      <w:bookmarkStart w:id="175" w:name="_Toc71365926"/>
      <w:r>
        <w:rPr>
          <w:rFonts w:hint="eastAsia" w:ascii="方正小标宋简体" w:hAnsi="方正小标宋简体" w:eastAsia="方正小标宋简体" w:cs="方正小标宋简体"/>
          <w:color w:val="auto"/>
          <w:sz w:val="44"/>
          <w:szCs w:val="44"/>
          <w:highlight w:val="none"/>
        </w:rPr>
        <w:t>中小企业声明函（服务）</w:t>
      </w:r>
      <w:bookmarkEnd w:id="175"/>
    </w:p>
    <w:p w14:paraId="166361A5">
      <w:pPr>
        <w:spacing w:before="2" w:line="500" w:lineRule="exact"/>
        <w:ind w:firstLine="708" w:firstLineChars="294"/>
        <w:rPr>
          <w:rFonts w:ascii="宋体" w:hAnsi="宋体" w:cs="宋体"/>
          <w:b/>
          <w:bCs/>
          <w:color w:val="auto"/>
          <w:sz w:val="24"/>
          <w:highlight w:val="none"/>
        </w:rPr>
      </w:pPr>
    </w:p>
    <w:p w14:paraId="39D292BF">
      <w:pPr>
        <w:pStyle w:val="2"/>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73527111">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0AEBF8F">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223FC9D6">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3E745607">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07990601">
      <w:pPr>
        <w:pStyle w:val="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55B089DB">
      <w:pPr>
        <w:pStyle w:val="2"/>
        <w:spacing w:before="56" w:line="500" w:lineRule="exact"/>
        <w:ind w:right="1808" w:firstLine="705" w:firstLineChars="294"/>
        <w:rPr>
          <w:rFonts w:ascii="宋体" w:hAnsi="宋体"/>
          <w:color w:val="auto"/>
          <w:sz w:val="24"/>
          <w:highlight w:val="none"/>
        </w:rPr>
      </w:pPr>
    </w:p>
    <w:p w14:paraId="07736E49">
      <w:pPr>
        <w:pStyle w:val="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772AA34A">
      <w:pPr>
        <w:pStyle w:val="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56058634">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7567D6C">
      <w:pPr>
        <w:spacing w:line="520" w:lineRule="exact"/>
        <w:jc w:val="center"/>
        <w:outlineLvl w:val="2"/>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58DA5E5A">
      <w:pPr>
        <w:spacing w:line="360" w:lineRule="auto"/>
        <w:contextualSpacing/>
        <w:rPr>
          <w:rFonts w:hint="eastAsia" w:ascii="仿宋_GB2312" w:hAnsi="仿宋_GB2312" w:eastAsia="仿宋_GB2312" w:cs="仿宋_GB2312"/>
          <w:color w:val="auto"/>
          <w:sz w:val="32"/>
          <w:szCs w:val="32"/>
          <w:highlight w:val="none"/>
        </w:rPr>
      </w:pPr>
    </w:p>
    <w:p w14:paraId="0E61DF7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45982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216D4A75">
      <w:pPr>
        <w:spacing w:line="360" w:lineRule="auto"/>
        <w:contextualSpacing/>
        <w:rPr>
          <w:rFonts w:hint="eastAsia" w:ascii="宋体" w:hAnsi="宋体" w:cs="仿宋_GB2312"/>
          <w:color w:val="auto"/>
          <w:sz w:val="24"/>
          <w:highlight w:val="none"/>
        </w:rPr>
      </w:pPr>
    </w:p>
    <w:p w14:paraId="1BD2CB26">
      <w:pPr>
        <w:spacing w:line="360" w:lineRule="auto"/>
        <w:contextualSpacing/>
        <w:rPr>
          <w:rFonts w:hint="eastAsia" w:ascii="宋体" w:hAnsi="宋体" w:cs="仿宋_GB2312"/>
          <w:color w:val="auto"/>
          <w:sz w:val="24"/>
          <w:highlight w:val="none"/>
        </w:rPr>
      </w:pPr>
    </w:p>
    <w:p w14:paraId="25CA8B31">
      <w:pPr>
        <w:spacing w:line="360" w:lineRule="auto"/>
        <w:contextualSpacing/>
        <w:rPr>
          <w:rFonts w:hint="eastAsia" w:ascii="宋体" w:hAnsi="宋体" w:cs="仿宋_GB2312"/>
          <w:color w:val="auto"/>
          <w:sz w:val="24"/>
          <w:highlight w:val="none"/>
        </w:rPr>
      </w:pPr>
    </w:p>
    <w:p w14:paraId="5F8A483B">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4E6D35C4">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1A8FAE3A">
      <w:pPr>
        <w:spacing w:line="360" w:lineRule="auto"/>
        <w:contextualSpacing/>
        <w:rPr>
          <w:rFonts w:hint="eastAsia" w:ascii="宋体" w:hAnsi="宋体" w:cs="仿宋_GB2312"/>
          <w:color w:val="auto"/>
          <w:sz w:val="24"/>
          <w:highlight w:val="none"/>
        </w:rPr>
      </w:pPr>
    </w:p>
    <w:p w14:paraId="62D69F3C">
      <w:pPr>
        <w:spacing w:line="360" w:lineRule="auto"/>
        <w:contextualSpacing/>
        <w:rPr>
          <w:rFonts w:hint="eastAsia" w:ascii="宋体" w:hAnsi="宋体" w:cs="仿宋_GB2312"/>
          <w:color w:val="auto"/>
          <w:sz w:val="24"/>
          <w:highlight w:val="none"/>
        </w:rPr>
      </w:pPr>
    </w:p>
    <w:p w14:paraId="1CB2DC3B">
      <w:pPr>
        <w:spacing w:line="360" w:lineRule="auto"/>
        <w:contextualSpacing/>
        <w:rPr>
          <w:rFonts w:hint="eastAsia" w:ascii="宋体" w:hAnsi="宋体" w:cs="仿宋_GB2312"/>
          <w:color w:val="auto"/>
          <w:sz w:val="24"/>
          <w:highlight w:val="none"/>
        </w:rPr>
      </w:pPr>
    </w:p>
    <w:p w14:paraId="1C2C366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4870B07">
      <w:pPr>
        <w:spacing w:line="360" w:lineRule="auto"/>
        <w:contextualSpacing/>
        <w:rPr>
          <w:rFonts w:ascii="宋体" w:hAnsi="宋体" w:cs="仿宋_GB2312"/>
          <w:color w:val="auto"/>
          <w:sz w:val="24"/>
          <w:highlight w:val="none"/>
        </w:rPr>
      </w:pPr>
    </w:p>
    <w:p w14:paraId="64D8C924">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6940F17B">
      <w:pPr>
        <w:spacing w:line="360" w:lineRule="auto"/>
        <w:jc w:val="center"/>
        <w:outlineLvl w:val="2"/>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22DF0C5E">
      <w:pPr>
        <w:pStyle w:val="16"/>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1385B23A">
      <w:pPr>
        <w:pStyle w:val="16"/>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BF27F5E">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29E5AB2">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9666B82">
      <w:pPr>
        <w:pStyle w:val="16"/>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47C451FE">
      <w:pPr>
        <w:pStyle w:val="16"/>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CDC6D36">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49B6D65">
      <w:pPr>
        <w:pStyle w:val="16"/>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6D90B397">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9E3F80A">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3F7C59B8">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BB6E3C0">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2ED7DCCA">
      <w:pPr>
        <w:pStyle w:val="16"/>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3927254F">
      <w:pPr>
        <w:pStyle w:val="16"/>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35B45A10">
      <w:pPr>
        <w:pStyle w:val="16"/>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4BA054CE">
      <w:pPr>
        <w:pStyle w:val="16"/>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43A13E47">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033BC822">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35190436">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2254B6E8">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10550ACF">
      <w:pPr>
        <w:pStyle w:val="16"/>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2B7739E8">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2B8B8B4B">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CE07EB2">
      <w:pPr>
        <w:pStyle w:val="16"/>
        <w:spacing w:line="360" w:lineRule="auto"/>
        <w:ind w:left="25" w:leftChars="12" w:firstLine="352" w:firstLineChars="147"/>
        <w:contextualSpacing/>
        <w:rPr>
          <w:rFonts w:hint="eastAsia" w:hAnsi="宋体"/>
          <w:color w:val="auto"/>
          <w:sz w:val="24"/>
          <w:szCs w:val="24"/>
          <w:highlight w:val="none"/>
        </w:rPr>
      </w:pPr>
    </w:p>
    <w:p w14:paraId="1EB73D83">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071C1C0F">
      <w:pPr>
        <w:pStyle w:val="16"/>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5832FD21">
      <w:pPr>
        <w:rPr>
          <w:rFonts w:hint="eastAsia" w:hAnsi="宋体"/>
          <w:b/>
          <w:color w:val="auto"/>
          <w:sz w:val="24"/>
          <w:szCs w:val="24"/>
          <w:highlight w:val="none"/>
        </w:rPr>
      </w:pPr>
      <w:r>
        <w:rPr>
          <w:rFonts w:hint="eastAsia" w:hAnsi="宋体"/>
          <w:b/>
          <w:color w:val="auto"/>
          <w:sz w:val="24"/>
          <w:szCs w:val="24"/>
          <w:highlight w:val="none"/>
        </w:rPr>
        <w:br w:type="page"/>
      </w:r>
    </w:p>
    <w:p w14:paraId="5478E001">
      <w:pPr>
        <w:pStyle w:val="16"/>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4A1B6481">
      <w:pPr>
        <w:pStyle w:val="16"/>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51406531">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C6F251">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0747661">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7AF77219">
      <w:pPr>
        <w:pStyle w:val="16"/>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4CB024E8">
      <w:pPr>
        <w:rPr>
          <w:rFonts w:hint="eastAsia" w:hAnsi="宋体"/>
          <w:b/>
          <w:color w:val="auto"/>
          <w:sz w:val="24"/>
          <w:szCs w:val="24"/>
          <w:highlight w:val="none"/>
        </w:rPr>
      </w:pPr>
      <w:r>
        <w:rPr>
          <w:rFonts w:hint="eastAsia" w:hAnsi="宋体"/>
          <w:b/>
          <w:color w:val="auto"/>
          <w:sz w:val="24"/>
          <w:szCs w:val="24"/>
          <w:highlight w:val="none"/>
        </w:rPr>
        <w:br w:type="page"/>
      </w:r>
    </w:p>
    <w:p w14:paraId="2FE5FDB8">
      <w:pPr>
        <w:spacing w:line="360" w:lineRule="auto"/>
        <w:jc w:val="center"/>
        <w:outlineLvl w:val="2"/>
        <w:rPr>
          <w:rFonts w:hint="eastAsia" w:ascii="方正小标宋简体" w:hAnsi="方正小标宋简体" w:eastAsia="方正小标宋简体" w:cs="方正小标宋简体"/>
          <w:color w:val="auto"/>
          <w:sz w:val="44"/>
          <w:szCs w:val="44"/>
          <w:highlight w:val="none"/>
        </w:rPr>
      </w:pPr>
      <w:bookmarkStart w:id="176" w:name="_Toc74323461"/>
      <w:r>
        <w:rPr>
          <w:rFonts w:hint="eastAsia" w:ascii="方正小标宋简体" w:hAnsi="方正小标宋简体" w:eastAsia="方正小标宋简体" w:cs="方正小标宋简体"/>
          <w:color w:val="auto"/>
          <w:sz w:val="44"/>
          <w:szCs w:val="44"/>
          <w:highlight w:val="none"/>
        </w:rPr>
        <w:t>投诉书（格式）</w:t>
      </w:r>
    </w:p>
    <w:p w14:paraId="4828B750">
      <w:pPr>
        <w:pStyle w:val="1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D65C3B7">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DECEB82">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D6A91FE">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11C018F3">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12BE4EF">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D2C4F01">
      <w:pPr>
        <w:pStyle w:val="16"/>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2B5AC06">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36CDECC">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0B051E41">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60C5E103">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91AE067">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A86F83B">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097E8679">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3EA985BC">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70A4429C">
      <w:pPr>
        <w:pStyle w:val="16"/>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7E51865">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913993C">
      <w:pPr>
        <w:pStyle w:val="16"/>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3FE6D29D">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65EE5B71">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91F97A9">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FE77295">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57DA3C3E">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BB183AE">
      <w:pPr>
        <w:pStyle w:val="16"/>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3C822E5">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45C2B256">
      <w:pPr>
        <w:pStyle w:val="1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4661252A">
      <w:pPr>
        <w:pStyle w:val="16"/>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0337C76">
      <w:pPr>
        <w:pStyle w:val="16"/>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49013DED">
      <w:pPr>
        <w:pStyle w:val="16"/>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CA7EED0">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654A2C82">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09C99B79">
      <w:pPr>
        <w:pStyle w:val="1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C79B4BB">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588BCFED">
      <w:pPr>
        <w:pStyle w:val="1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457F5CA">
      <w:pPr>
        <w:pStyle w:val="16"/>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F34015E">
      <w:pPr>
        <w:pStyle w:val="16"/>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E3304A3">
      <w:pPr>
        <w:pStyle w:val="16"/>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6D890C27">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3DEE737F">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05D3598">
      <w:pPr>
        <w:pStyle w:val="16"/>
        <w:spacing w:line="360" w:lineRule="auto"/>
        <w:ind w:left="25" w:leftChars="12" w:firstLine="352" w:firstLineChars="147"/>
        <w:rPr>
          <w:rFonts w:hint="eastAsia" w:hAnsi="宋体"/>
          <w:color w:val="auto"/>
          <w:sz w:val="24"/>
          <w:szCs w:val="24"/>
          <w:highlight w:val="none"/>
        </w:rPr>
      </w:pPr>
    </w:p>
    <w:p w14:paraId="00A3CE55">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62A89DC5">
      <w:pPr>
        <w:pStyle w:val="16"/>
        <w:spacing w:line="360" w:lineRule="auto"/>
        <w:ind w:left="25" w:leftChars="12" w:firstLine="352" w:firstLineChars="147"/>
        <w:rPr>
          <w:rFonts w:hint="eastAsia" w:hAnsi="宋体"/>
          <w:color w:val="auto"/>
          <w:sz w:val="24"/>
          <w:szCs w:val="24"/>
          <w:highlight w:val="none"/>
        </w:rPr>
      </w:pPr>
    </w:p>
    <w:p w14:paraId="44FB81D6">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5F4EDCA4">
      <w:pPr>
        <w:pStyle w:val="16"/>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1C1E7079">
      <w:pPr>
        <w:pStyle w:val="16"/>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4FF7D7C6">
      <w:pPr>
        <w:pStyle w:val="16"/>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B34A2BF">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93F1C41">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0BFF9613">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A2A1272">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234A7E16">
      <w:pPr>
        <w:pStyle w:val="16"/>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093178CB">
      <w:pPr>
        <w:jc w:val="center"/>
        <w:outlineLvl w:val="9"/>
        <w:rPr>
          <w:rFonts w:hint="eastAsia"/>
          <w:color w:val="auto"/>
          <w:highlight w:val="none"/>
        </w:rPr>
      </w:pPr>
    </w:p>
    <w:p w14:paraId="358CCFE3">
      <w:pPr>
        <w:jc w:val="center"/>
        <w:outlineLvl w:val="9"/>
        <w:rPr>
          <w:rFonts w:hint="eastAsia"/>
          <w:color w:val="auto"/>
          <w:highlight w:val="none"/>
        </w:rPr>
      </w:pPr>
    </w:p>
    <w:p w14:paraId="0DEA5E74">
      <w:pPr>
        <w:jc w:val="center"/>
        <w:outlineLvl w:val="9"/>
        <w:rPr>
          <w:rFonts w:hint="eastAsia"/>
          <w:color w:val="auto"/>
          <w:highlight w:val="none"/>
        </w:rPr>
      </w:pPr>
    </w:p>
    <w:p w14:paraId="7F0FF90F">
      <w:pPr>
        <w:jc w:val="center"/>
        <w:outlineLvl w:val="9"/>
        <w:rPr>
          <w:rFonts w:hint="eastAsia"/>
          <w:color w:val="auto"/>
          <w:highlight w:val="none"/>
        </w:rPr>
      </w:pPr>
    </w:p>
    <w:p w14:paraId="3112B4C3">
      <w:pPr>
        <w:jc w:val="center"/>
        <w:outlineLvl w:val="9"/>
        <w:rPr>
          <w:rFonts w:hint="eastAsia"/>
          <w:color w:val="auto"/>
          <w:highlight w:val="none"/>
        </w:rPr>
      </w:pPr>
    </w:p>
    <w:p w14:paraId="4D345403">
      <w:pPr>
        <w:jc w:val="center"/>
        <w:outlineLvl w:val="9"/>
        <w:rPr>
          <w:rFonts w:hint="eastAsia"/>
          <w:color w:val="auto"/>
          <w:highlight w:val="none"/>
        </w:rPr>
      </w:pPr>
    </w:p>
    <w:p w14:paraId="52DD61E9">
      <w:pPr>
        <w:pStyle w:val="3"/>
        <w:jc w:val="center"/>
        <w:outlineLvl w:val="0"/>
        <w:rPr>
          <w:rFonts w:hint="eastAsia"/>
          <w:color w:val="auto"/>
          <w:highlight w:val="none"/>
        </w:rPr>
      </w:pPr>
      <w:r>
        <w:rPr>
          <w:rFonts w:hint="eastAsia"/>
          <w:color w:val="auto"/>
          <w:highlight w:val="none"/>
        </w:rPr>
        <w:t>第六章 合同文本</w:t>
      </w:r>
      <w:bookmarkEnd w:id="176"/>
    </w:p>
    <w:p w14:paraId="6202E204">
      <w:pPr>
        <w:rPr>
          <w:rFonts w:hint="eastAsia"/>
          <w:color w:val="auto"/>
          <w:highlight w:val="none"/>
        </w:rPr>
      </w:pPr>
      <w:r>
        <w:rPr>
          <w:rFonts w:hint="eastAsia"/>
          <w:color w:val="auto"/>
          <w:highlight w:val="none"/>
        </w:rPr>
        <w:br w:type="page"/>
      </w:r>
    </w:p>
    <w:p w14:paraId="0A2A8643">
      <w:pPr>
        <w:snapToGrid w:val="0"/>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政府采购合同</w:t>
      </w:r>
    </w:p>
    <w:p w14:paraId="1CF97500">
      <w:pPr>
        <w:snapToGrid w:val="0"/>
        <w:spacing w:line="360" w:lineRule="auto"/>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28F11A4F">
      <w:pPr>
        <w:snapToGrid w:val="0"/>
        <w:spacing w:line="360" w:lineRule="auto"/>
        <w:rPr>
          <w:rFonts w:hint="eastAsia" w:ascii="宋体" w:hAnsi="宋体"/>
          <w:color w:val="auto"/>
          <w:szCs w:val="21"/>
          <w:highlight w:val="none"/>
        </w:rPr>
      </w:pPr>
    </w:p>
    <w:p w14:paraId="66F4EB00">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D0AE3B3">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p>
    <w:p w14:paraId="53C7806C">
      <w:pPr>
        <w:snapToGrid w:val="0"/>
        <w:spacing w:line="360" w:lineRule="auto"/>
        <w:rPr>
          <w:rFonts w:hint="eastAsia" w:ascii="宋体" w:hAnsi="宋体"/>
          <w:color w:val="auto"/>
          <w:szCs w:val="21"/>
          <w:highlight w:val="none"/>
        </w:rPr>
      </w:pP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3B5A4620">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p w14:paraId="36541F2A">
      <w:pPr>
        <w:snapToGrid w:val="0"/>
        <w:spacing w:line="360" w:lineRule="auto"/>
        <w:rPr>
          <w:rFonts w:hint="eastAsia" w:ascii="宋体" w:hAnsi="宋体"/>
          <w:color w:val="auto"/>
          <w:highlight w:val="none"/>
        </w:rPr>
      </w:pPr>
      <w:r>
        <w:rPr>
          <w:rFonts w:hint="eastAsia" w:ascii="宋体" w:hAnsi="宋体"/>
          <w:color w:val="auto"/>
          <w:szCs w:val="21"/>
          <w:highlight w:val="none"/>
        </w:rPr>
        <w:t>合同</w:t>
      </w:r>
      <w:r>
        <w:rPr>
          <w:rFonts w:hint="eastAsia" w:ascii="宋体" w:hAnsi="宋体"/>
          <w:color w:val="auto"/>
          <w:highlight w:val="none"/>
        </w:rPr>
        <w:t>类型：</w:t>
      </w:r>
      <w:r>
        <w:rPr>
          <w:rFonts w:hint="eastAsia" w:ascii="宋体" w:hAnsi="宋体"/>
          <w:color w:val="auto"/>
          <w:highlight w:val="none"/>
          <w:u w:val="single"/>
        </w:rPr>
        <w:t xml:space="preserve">      </w:t>
      </w:r>
      <w:r>
        <w:rPr>
          <w:rFonts w:hint="eastAsia" w:ascii="宋体" w:hAnsi="宋体"/>
          <w:color w:val="auto"/>
          <w:highlight w:val="none"/>
        </w:rPr>
        <w:t>合同</w:t>
      </w:r>
    </w:p>
    <w:p w14:paraId="2DADD1D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i/>
          <w:color w:val="auto"/>
          <w:szCs w:val="21"/>
          <w:highlight w:val="none"/>
          <w:u w:val="single"/>
          <w:lang w:val="en-US" w:eastAsia="zh-CN"/>
        </w:rPr>
        <w:t xml:space="preserve">     </w:t>
      </w:r>
      <w:r>
        <w:rPr>
          <w:rFonts w:hint="eastAsia" w:ascii="宋体" w:hAnsi="宋体" w:cs="宋体"/>
          <w:color w:val="auto"/>
          <w:szCs w:val="21"/>
          <w:highlight w:val="none"/>
        </w:rPr>
        <w:t>。</w:t>
      </w:r>
    </w:p>
    <w:p w14:paraId="73D6BA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14:paraId="4D1BB842">
      <w:pPr>
        <w:spacing w:line="360" w:lineRule="auto"/>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tbl>
      <w:tblPr>
        <w:tblStyle w:val="2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47E4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CCEA3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E1B1EB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4BDDB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52826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6AC8F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0214C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14:paraId="5B197E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664B17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  价</w:t>
            </w:r>
          </w:p>
          <w:p w14:paraId="2ABC00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14:paraId="7605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E7FB09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3FF70D1">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DE39838">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57FEA45">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85B0DE6">
            <w:pPr>
              <w:spacing w:line="360" w:lineRule="auto"/>
              <w:jc w:val="center"/>
              <w:rPr>
                <w:rFonts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01D6F16">
            <w:pPr>
              <w:spacing w:line="360" w:lineRule="auto"/>
              <w:jc w:val="center"/>
              <w:rPr>
                <w:rFonts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2F9A2076">
            <w:pPr>
              <w:spacing w:line="360" w:lineRule="auto"/>
              <w:jc w:val="center"/>
              <w:rPr>
                <w:rFonts w:ascii="宋体" w:hAnsi="宋体" w:cs="宋体"/>
                <w:color w:val="auto"/>
                <w:szCs w:val="21"/>
                <w:highlight w:val="none"/>
              </w:rPr>
            </w:pPr>
          </w:p>
        </w:tc>
      </w:tr>
      <w:tr w14:paraId="3D80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2047254F">
            <w:pPr>
              <w:spacing w:line="360" w:lineRule="auto"/>
              <w:rPr>
                <w:rFonts w:ascii="宋体" w:hAnsi="宋体" w:cs="宋体"/>
                <w:color w:val="auto"/>
                <w:szCs w:val="21"/>
                <w:highlight w:val="none"/>
              </w:rPr>
            </w:pPr>
            <w:r>
              <w:rPr>
                <w:rFonts w:hint="eastAsia" w:ascii="宋体" w:hAnsi="宋体" w:cs="宋体"/>
                <w:color w:val="auto"/>
                <w:szCs w:val="21"/>
                <w:highlight w:val="none"/>
              </w:rPr>
              <w:t>合计金额（人民币）：</w:t>
            </w:r>
            <w:r>
              <w:rPr>
                <w:rFonts w:hint="eastAsia" w:ascii="宋体" w:hAnsi="宋体" w:cs="宋体"/>
                <w:color w:val="auto"/>
                <w:szCs w:val="21"/>
                <w:highlight w:val="none"/>
                <w:u w:val="single"/>
              </w:rPr>
              <w:t xml:space="preserve">（大写）                          （小写）                   </w:t>
            </w:r>
            <w:r>
              <w:rPr>
                <w:rFonts w:hint="eastAsia" w:ascii="宋体" w:hAnsi="宋体" w:cs="宋体"/>
                <w:color w:val="auto"/>
                <w:szCs w:val="21"/>
                <w:highlight w:val="none"/>
              </w:rPr>
              <w:t xml:space="preserve">             </w:t>
            </w:r>
          </w:p>
        </w:tc>
      </w:tr>
    </w:tbl>
    <w:p w14:paraId="067DDFB3">
      <w:pPr>
        <w:spacing w:line="360" w:lineRule="auto"/>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047404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w:t>
      </w:r>
      <w:r>
        <w:rPr>
          <w:rFonts w:hint="eastAsia" w:ascii="宋体" w:hAnsi="宋体"/>
          <w:color w:val="auto"/>
          <w:szCs w:val="21"/>
          <w:highlight w:val="none"/>
        </w:rPr>
        <w:t>响应</w:t>
      </w:r>
      <w:r>
        <w:rPr>
          <w:rFonts w:hint="eastAsia" w:ascii="宋体" w:hAnsi="宋体" w:cs="宋体"/>
          <w:color w:val="auto"/>
          <w:szCs w:val="21"/>
          <w:highlight w:val="none"/>
        </w:rPr>
        <w:t>承诺相一致，</w:t>
      </w:r>
      <w:r>
        <w:rPr>
          <w:rFonts w:hint="eastAsia" w:ascii="宋体" w:hAnsi="宋体"/>
          <w:color w:val="auto"/>
          <w:szCs w:val="21"/>
          <w:highlight w:val="none"/>
        </w:rPr>
        <w:t>且满足项目实施要求，</w:t>
      </w:r>
      <w:r>
        <w:rPr>
          <w:rFonts w:hint="eastAsia" w:ascii="宋体" w:hAnsi="宋体" w:cs="宋体"/>
          <w:color w:val="auto"/>
          <w:szCs w:val="21"/>
          <w:highlight w:val="none"/>
        </w:rPr>
        <w:t>有国家强制性标准的，还必须符合国家强制性标准的规定，没有国家强制性标准但有其他强制性标准的，必须符合其他强制性标准的规定。</w:t>
      </w:r>
    </w:p>
    <w:p w14:paraId="421EF083">
      <w:pPr>
        <w:snapToGrid w:val="0"/>
        <w:spacing w:line="360" w:lineRule="auto"/>
        <w:ind w:firstLine="422" w:firstLineChars="200"/>
        <w:outlineLvl w:val="1"/>
        <w:rPr>
          <w:rFonts w:ascii="宋体" w:hAnsi="宋体"/>
          <w:color w:val="auto"/>
          <w:szCs w:val="21"/>
          <w:highlight w:val="none"/>
        </w:rPr>
      </w:pPr>
      <w:r>
        <w:rPr>
          <w:rFonts w:hint="eastAsia" w:ascii="宋体" w:hAnsi="宋体" w:cs="宋体"/>
          <w:b/>
          <w:color w:val="auto"/>
          <w:szCs w:val="21"/>
          <w:highlight w:val="none"/>
        </w:rPr>
        <w:t>第三条  合同履行期限（运维服务期）、地点</w:t>
      </w:r>
    </w:p>
    <w:p w14:paraId="1A49A25F">
      <w:pPr>
        <w:snapToGrid w:val="0"/>
        <w:spacing w:line="360" w:lineRule="auto"/>
        <w:ind w:firstLine="420" w:firstLineChars="200"/>
        <w:rPr>
          <w:rFonts w:hint="eastAsia" w:ascii="宋体" w:hAnsi="宋体"/>
          <w:i/>
          <w:color w:val="auto"/>
          <w:szCs w:val="21"/>
          <w:highlight w:val="none"/>
          <w:u w:val="single"/>
          <w:lang w:val="en-US" w:eastAsia="zh-CN"/>
        </w:rPr>
      </w:pPr>
      <w:r>
        <w:rPr>
          <w:rFonts w:hint="eastAsia" w:ascii="宋体" w:hAnsi="宋体" w:cs="宋体"/>
          <w:color w:val="auto"/>
          <w:szCs w:val="21"/>
          <w:highlight w:val="none"/>
        </w:rPr>
        <w:t>1.合同履行期限（运维服务期）：</w:t>
      </w:r>
      <w:r>
        <w:rPr>
          <w:rFonts w:hint="eastAsia" w:ascii="宋体" w:hAnsi="宋体" w:cs="宋体"/>
          <w:color w:val="auto"/>
          <w:szCs w:val="21"/>
          <w:highlight w:val="none"/>
          <w:u w:val="single"/>
        </w:rPr>
        <w:t>自验收合格之日起24个月</w:t>
      </w:r>
    </w:p>
    <w:p w14:paraId="6F1920C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交付时间：</w:t>
      </w:r>
      <w:r>
        <w:rPr>
          <w:rFonts w:hint="eastAsia" w:ascii="宋体" w:hAnsi="宋体" w:cs="宋体"/>
          <w:color w:val="auto"/>
          <w:szCs w:val="21"/>
          <w:highlight w:val="none"/>
          <w:u w:val="single"/>
        </w:rPr>
        <w:t>自签订合同之日起60个日历日内</w:t>
      </w:r>
    </w:p>
    <w:p w14:paraId="3BD319F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交付</w:t>
      </w:r>
      <w:r>
        <w:rPr>
          <w:rFonts w:hint="eastAsia" w:ascii="宋体" w:hAnsi="宋体" w:cs="宋体"/>
          <w:color w:val="auto"/>
          <w:szCs w:val="21"/>
          <w:highlight w:val="none"/>
        </w:rPr>
        <w:t>地点：</w:t>
      </w:r>
      <w:r>
        <w:rPr>
          <w:rFonts w:hint="eastAsia" w:ascii="宋体" w:hAnsi="宋体" w:cs="宋体"/>
          <w:color w:val="auto"/>
          <w:szCs w:val="21"/>
          <w:highlight w:val="none"/>
          <w:u w:val="single"/>
        </w:rPr>
        <w:t>蒙山县内（</w:t>
      </w:r>
      <w:r>
        <w:rPr>
          <w:rFonts w:hint="eastAsia" w:ascii="宋体" w:hAnsi="宋体" w:cs="宋体"/>
          <w:color w:val="auto"/>
          <w:szCs w:val="21"/>
          <w:highlight w:val="none"/>
          <w:u w:val="single"/>
          <w:lang w:val="en-US" w:eastAsia="zh-CN"/>
        </w:rPr>
        <w:t>甲方</w:t>
      </w:r>
      <w:r>
        <w:rPr>
          <w:rFonts w:hint="eastAsia" w:ascii="宋体" w:hAnsi="宋体" w:cs="宋体"/>
          <w:color w:val="auto"/>
          <w:szCs w:val="21"/>
          <w:highlight w:val="none"/>
          <w:u w:val="single"/>
        </w:rPr>
        <w:t xml:space="preserve">指定地点）交付 </w:t>
      </w:r>
    </w:p>
    <w:p w14:paraId="4BA7157C">
      <w:pPr>
        <w:snapToGrid w:val="0"/>
        <w:spacing w:line="360" w:lineRule="auto"/>
        <w:ind w:firstLine="422" w:firstLineChars="200"/>
        <w:outlineLvl w:val="1"/>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四</w:t>
      </w:r>
      <w:r>
        <w:rPr>
          <w:rFonts w:hint="eastAsia" w:ascii="宋体" w:hAnsi="宋体"/>
          <w:b/>
          <w:color w:val="auto"/>
          <w:szCs w:val="21"/>
          <w:highlight w:val="none"/>
        </w:rPr>
        <w:t>条　合同价款及支付</w:t>
      </w:r>
    </w:p>
    <w:p w14:paraId="2C4ED7F8">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1.本合同以人民币付款。</w:t>
      </w:r>
    </w:p>
    <w:p w14:paraId="793602DF">
      <w:pPr>
        <w:pStyle w:val="16"/>
        <w:snapToGrid w:val="0"/>
        <w:spacing w:line="360" w:lineRule="auto"/>
        <w:ind w:firstLine="420" w:firstLineChars="200"/>
        <w:rPr>
          <w:rFonts w:hint="eastAsia" w:hAnsi="宋体"/>
          <w:color w:val="auto"/>
          <w:highlight w:val="none"/>
        </w:rPr>
      </w:pPr>
      <w:r>
        <w:rPr>
          <w:rFonts w:hint="eastAsia" w:hAnsi="宋体"/>
          <w:color w:val="auto"/>
          <w:sz w:val="21"/>
          <w:highlight w:val="none"/>
        </w:rPr>
        <w:t>2.合同价款（或者报酬）：</w:t>
      </w:r>
      <w:r>
        <w:rPr>
          <w:rFonts w:hint="eastAsia" w:hAnsi="宋体"/>
          <w:color w:val="auto"/>
          <w:highlight w:val="none"/>
          <w:u w:val="single"/>
        </w:rPr>
        <w:t xml:space="preserve">                     </w:t>
      </w:r>
      <w:r>
        <w:rPr>
          <w:rFonts w:hint="eastAsia" w:hAnsi="宋体"/>
          <w:color w:val="auto"/>
          <w:highlight w:val="none"/>
        </w:rPr>
        <w:t>。</w:t>
      </w:r>
    </w:p>
    <w:p w14:paraId="609673A6">
      <w:pPr>
        <w:snapToGrid w:val="0"/>
        <w:spacing w:line="360" w:lineRule="auto"/>
        <w:ind w:firstLine="420" w:firstLineChars="200"/>
        <w:rPr>
          <w:rFonts w:hint="eastAsia" w:ascii="宋体" w:hAnsi="宋体" w:eastAsia="宋体"/>
          <w:i w:val="0"/>
          <w:iCs w:val="0"/>
          <w:color w:val="auto"/>
          <w:szCs w:val="21"/>
          <w:highlight w:val="none"/>
          <w:lang w:eastAsia="zh-CN"/>
        </w:rPr>
      </w:pPr>
      <w:r>
        <w:rPr>
          <w:rFonts w:hint="eastAsia" w:ascii="宋体" w:hAnsi="宋体"/>
          <w:color w:val="auto"/>
          <w:szCs w:val="21"/>
          <w:highlight w:val="none"/>
        </w:rPr>
        <w:t>3.</w:t>
      </w:r>
      <w:r>
        <w:rPr>
          <w:rFonts w:hint="eastAsia" w:ascii="宋体" w:hAnsi="宋体"/>
          <w:i w:val="0"/>
          <w:iCs w:val="0"/>
          <w:color w:val="auto"/>
          <w:szCs w:val="21"/>
          <w:highlight w:val="none"/>
        </w:rPr>
        <w:t>合同价款</w:t>
      </w:r>
      <w:r>
        <w:rPr>
          <w:rFonts w:hint="eastAsia" w:ascii="宋体" w:hAnsi="宋体" w:cs="宋体"/>
          <w:i w:val="0"/>
          <w:iCs w:val="0"/>
          <w:color w:val="auto"/>
          <w:szCs w:val="21"/>
          <w:highlight w:val="none"/>
          <w:u w:val="none"/>
        </w:rPr>
        <w:t>包括但不限于竞</w:t>
      </w:r>
      <w:r>
        <w:rPr>
          <w:rFonts w:hint="eastAsia" w:ascii="宋体" w:hAnsi="宋体" w:cs="宋体"/>
          <w:i w:val="0"/>
          <w:iCs w:val="0"/>
          <w:color w:val="auto"/>
          <w:szCs w:val="21"/>
          <w:highlight w:val="none"/>
        </w:rPr>
        <w:t>标服务的成本、运输（含保险）（如有）、技术服务、培训、税费等所有费用</w:t>
      </w:r>
      <w:r>
        <w:rPr>
          <w:rFonts w:hint="eastAsia" w:ascii="宋体" w:hAnsi="宋体" w:cs="宋体"/>
          <w:i w:val="0"/>
          <w:iCs w:val="0"/>
          <w:color w:val="auto"/>
          <w:szCs w:val="21"/>
          <w:highlight w:val="none"/>
          <w:lang w:eastAsia="zh-CN"/>
        </w:rPr>
        <w:t>。</w:t>
      </w:r>
    </w:p>
    <w:p w14:paraId="46064201">
      <w:pPr>
        <w:spacing w:line="360" w:lineRule="auto"/>
        <w:ind w:firstLine="420" w:firstLineChars="200"/>
        <w:rPr>
          <w:rFonts w:hint="eastAsia" w:ascii="宋体" w:hAnsi="宋体"/>
          <w:color w:val="auto"/>
          <w:szCs w:val="21"/>
          <w:highlight w:val="none"/>
        </w:rPr>
      </w:pPr>
      <w:r>
        <w:rPr>
          <w:rFonts w:hint="eastAsia" w:hAnsi="宋体"/>
          <w:bCs/>
          <w:color w:val="auto"/>
          <w:highlight w:val="none"/>
          <w:lang w:val="en-US" w:eastAsia="zh-CN"/>
        </w:rPr>
        <w:t>4</w:t>
      </w:r>
      <w:r>
        <w:rPr>
          <w:rFonts w:hAnsi="宋体"/>
          <w:bCs/>
          <w:color w:val="auto"/>
          <w:highlight w:val="none"/>
        </w:rPr>
        <w:t>.</w:t>
      </w:r>
      <w:r>
        <w:rPr>
          <w:rFonts w:hint="eastAsia" w:hAnsi="宋体"/>
          <w:color w:val="auto"/>
          <w:highlight w:val="none"/>
        </w:rPr>
        <w:t>付款进度安排</w:t>
      </w:r>
      <w:r>
        <w:rPr>
          <w:rFonts w:hint="eastAsia" w:hAnsi="宋体"/>
          <w:i/>
          <w:color w:val="auto"/>
          <w:highlight w:val="none"/>
        </w:rPr>
        <w:t>：</w:t>
      </w:r>
      <w:r>
        <w:rPr>
          <w:rFonts w:hint="eastAsia" w:ascii="宋体" w:hAnsi="宋体"/>
          <w:color w:val="auto"/>
          <w:szCs w:val="21"/>
          <w:highlight w:val="none"/>
        </w:rPr>
        <w:t>本合同价款的支付按以下第</w:t>
      </w:r>
      <w:r>
        <w:rPr>
          <w:rFonts w:hint="eastAsia" w:ascii="宋体" w:hAnsi="宋体"/>
          <w:color w:val="auto"/>
          <w:szCs w:val="21"/>
          <w:highlight w:val="none"/>
          <w:u w:val="single"/>
        </w:rPr>
        <w:t xml:space="preserve">    </w:t>
      </w:r>
      <w:r>
        <w:rPr>
          <w:rFonts w:hint="eastAsia" w:ascii="宋体" w:hAnsi="宋体"/>
          <w:color w:val="auto"/>
          <w:szCs w:val="21"/>
          <w:highlight w:val="none"/>
        </w:rPr>
        <w:t>项约定执行：</w:t>
      </w:r>
    </w:p>
    <w:p w14:paraId="5A72C6E0">
      <w:pPr>
        <w:spacing w:line="360" w:lineRule="auto"/>
        <w:ind w:firstLine="420" w:firstLineChars="200"/>
        <w:rPr>
          <w:rFonts w:hint="eastAsia" w:ascii="宋体" w:hAnsi="宋体" w:eastAsia="宋体"/>
          <w:i w:val="0"/>
          <w:iCs w:val="0"/>
          <w:color w:val="auto"/>
          <w:szCs w:val="21"/>
          <w:highlight w:val="none"/>
          <w:u w:val="single"/>
          <w:lang w:eastAsia="zh-CN"/>
        </w:rPr>
      </w:pPr>
      <w:r>
        <w:rPr>
          <w:rFonts w:hint="eastAsia" w:ascii="宋体" w:hAnsi="宋体"/>
          <w:i w:val="0"/>
          <w:iCs w:val="0"/>
          <w:color w:val="auto"/>
          <w:szCs w:val="21"/>
          <w:highlight w:val="none"/>
          <w:u w:val="none"/>
        </w:rPr>
        <w:t>（1）一次性支付：项目验收完成并收到发票后10个工作日内一次性支付合同总金额的100%费用给</w:t>
      </w:r>
      <w:r>
        <w:rPr>
          <w:rFonts w:hint="eastAsia" w:ascii="宋体" w:hAnsi="宋体"/>
          <w:i w:val="0"/>
          <w:iCs w:val="0"/>
          <w:color w:val="auto"/>
          <w:szCs w:val="21"/>
          <w:highlight w:val="none"/>
          <w:u w:val="none"/>
          <w:lang w:eastAsia="zh-CN"/>
        </w:rPr>
        <w:t>乙方。</w:t>
      </w:r>
    </w:p>
    <w:p w14:paraId="76B008C3">
      <w:pPr>
        <w:spacing w:line="360" w:lineRule="auto"/>
        <w:ind w:firstLine="420" w:firstLineChars="200"/>
        <w:rPr>
          <w:rFonts w:hint="eastAsia" w:ascii="宋体" w:hAnsi="宋体"/>
          <w:i w:val="0"/>
          <w:iCs w:val="0"/>
          <w:color w:val="auto"/>
          <w:szCs w:val="21"/>
          <w:highlight w:val="none"/>
          <w:u w:val="none"/>
        </w:rPr>
      </w:pPr>
      <w:r>
        <w:rPr>
          <w:rFonts w:hint="eastAsia" w:ascii="宋体" w:hAnsi="宋体"/>
          <w:i w:val="0"/>
          <w:iCs w:val="0"/>
          <w:color w:val="auto"/>
          <w:szCs w:val="21"/>
          <w:highlight w:val="none"/>
          <w:u w:val="none"/>
        </w:rPr>
        <w:t>（2）分期支付：</w:t>
      </w:r>
      <w:r>
        <w:rPr>
          <w:rFonts w:hint="eastAsia" w:ascii="宋体" w:hAnsi="宋体"/>
          <w:i w:val="0"/>
          <w:iCs w:val="0"/>
          <w:color w:val="auto"/>
          <w:szCs w:val="21"/>
          <w:highlight w:val="none"/>
          <w:u w:val="single"/>
        </w:rPr>
        <w:t xml:space="preserve">                    </w:t>
      </w:r>
      <w:r>
        <w:rPr>
          <w:rFonts w:hint="eastAsia" w:ascii="宋体" w:hAnsi="宋体"/>
          <w:i w:val="0"/>
          <w:iCs w:val="0"/>
          <w:color w:val="auto"/>
          <w:szCs w:val="21"/>
          <w:highlight w:val="none"/>
          <w:u w:val="none"/>
        </w:rPr>
        <w:t>。</w:t>
      </w:r>
    </w:p>
    <w:p w14:paraId="1FE09694">
      <w:pPr>
        <w:snapToGrid w:val="0"/>
        <w:spacing w:line="360" w:lineRule="auto"/>
        <w:ind w:firstLine="420" w:firstLineChars="200"/>
        <w:rPr>
          <w:rFonts w:hint="eastAsia" w:ascii="宋体" w:hAnsi="宋体"/>
          <w:b/>
          <w:color w:val="auto"/>
          <w:szCs w:val="21"/>
          <w:highlight w:val="none"/>
        </w:rPr>
      </w:pPr>
      <w:r>
        <w:rPr>
          <w:rFonts w:hint="eastAsia" w:hAnsi="宋体"/>
          <w:color w:val="auto"/>
          <w:highlight w:val="none"/>
          <w:lang w:val="en-US" w:eastAsia="zh-CN"/>
        </w:rPr>
        <w:t>5</w:t>
      </w:r>
      <w:r>
        <w:rPr>
          <w:rFonts w:hAnsi="宋体"/>
          <w:color w:val="auto"/>
          <w:highlight w:val="none"/>
        </w:rPr>
        <w:t>.</w:t>
      </w:r>
      <w:r>
        <w:rPr>
          <w:rFonts w:hint="eastAsia" w:hAnsi="宋体"/>
          <w:color w:val="auto"/>
          <w:highlight w:val="none"/>
        </w:rPr>
        <w:t>资金支付方式：</w:t>
      </w:r>
      <w:r>
        <w:rPr>
          <w:rFonts w:hint="eastAsia" w:hAnsi="宋体"/>
          <w:i w:val="0"/>
          <w:iCs w:val="0"/>
          <w:color w:val="auto"/>
          <w:highlight w:val="none"/>
          <w:u w:val="single"/>
        </w:rPr>
        <w:t>银行转账</w:t>
      </w:r>
      <w:r>
        <w:rPr>
          <w:rFonts w:hint="eastAsia" w:hAnsi="宋体"/>
          <w:color w:val="auto"/>
          <w:highlight w:val="none"/>
        </w:rPr>
        <w:t>。</w:t>
      </w:r>
    </w:p>
    <w:p w14:paraId="0B29AE46">
      <w:pPr>
        <w:snapToGrid w:val="0"/>
        <w:spacing w:line="360" w:lineRule="auto"/>
        <w:ind w:firstLine="422" w:firstLineChars="200"/>
        <w:outlineLvl w:val="1"/>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五</w:t>
      </w:r>
      <w:r>
        <w:rPr>
          <w:rFonts w:hint="eastAsia" w:ascii="宋体" w:hAnsi="宋体"/>
          <w:b/>
          <w:color w:val="auto"/>
          <w:szCs w:val="21"/>
          <w:highlight w:val="none"/>
        </w:rPr>
        <w:t>条　验收、交付标准和方法</w:t>
      </w:r>
    </w:p>
    <w:p w14:paraId="269FE8C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1.验收标准和方法</w:t>
      </w:r>
    </w:p>
    <w:p w14:paraId="46988B6A">
      <w:pPr>
        <w:snapToGrid w:val="0"/>
        <w:spacing w:line="360" w:lineRule="auto"/>
        <w:ind w:firstLine="420" w:firstLineChars="200"/>
        <w:rPr>
          <w:rFonts w:hint="eastAsia" w:ascii="宋体" w:hAnsi="宋体"/>
          <w:i w:val="0"/>
          <w:iCs w:val="0"/>
          <w:color w:val="auto"/>
          <w:szCs w:val="21"/>
          <w:highlight w:val="none"/>
        </w:rPr>
      </w:pPr>
      <w:r>
        <w:rPr>
          <w:rFonts w:hint="eastAsia" w:ascii="宋体" w:hAnsi="宋体"/>
          <w:i w:val="0"/>
          <w:iCs w:val="0"/>
          <w:color w:val="auto"/>
          <w:szCs w:val="21"/>
          <w:highlight w:val="none"/>
        </w:rPr>
        <w:t>（1）验收标准：服务验收标准，伴随货物、工程验收标准（符合现行国家相关标准、行业标准、地方标准或者其他标准、规范）</w:t>
      </w:r>
    </w:p>
    <w:p w14:paraId="6AF8658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（2）验收程序及方法：</w:t>
      </w:r>
    </w:p>
    <w:p w14:paraId="0EC6D8F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1）乙方完成服务实施和培训后，向甲方提交验收书面申请。</w:t>
      </w:r>
    </w:p>
    <w:p w14:paraId="2E54065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2）甲方收到乙方验收申请之日起</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个工作日内组织开展履约验收。甲方委托第三方机构组织项目验收的，其验收时间以该项目验收方案确定的验收时间为准。</w:t>
      </w:r>
    </w:p>
    <w:p w14:paraId="7A753EA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3）负责本项目验收的单位按下列</w:t>
      </w:r>
      <w:r>
        <w:rPr>
          <w:rFonts w:hint="eastAsia" w:ascii="宋体" w:hAnsi="宋体"/>
          <w:color w:val="auto"/>
          <w:szCs w:val="21"/>
          <w:highlight w:val="none"/>
          <w:u w:val="single"/>
        </w:rPr>
        <w:t xml:space="preserve">    </w:t>
      </w:r>
      <w:r>
        <w:rPr>
          <w:rFonts w:hint="eastAsia" w:ascii="宋体" w:hAnsi="宋体"/>
          <w:color w:val="auto"/>
          <w:szCs w:val="21"/>
          <w:highlight w:val="none"/>
        </w:rPr>
        <w:t>方式确定：</w:t>
      </w:r>
    </w:p>
    <w:p w14:paraId="456E4A8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①甲方自行组织；</w:t>
      </w:r>
    </w:p>
    <w:p w14:paraId="19DBB55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②甲方委托的第三方机构组织；</w:t>
      </w:r>
    </w:p>
    <w:p w14:paraId="1662A50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4）本项目验收由验收小组按照采购合同约定对每一项技术和商务要求的履约情况进行确认。</w:t>
      </w:r>
    </w:p>
    <w:p w14:paraId="264A42FC">
      <w:pPr>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1224FB2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color w:val="auto"/>
          <w:szCs w:val="21"/>
          <w:highlight w:val="none"/>
        </w:rPr>
        <w:t>验收书一式</w:t>
      </w:r>
      <w:r>
        <w:rPr>
          <w:color w:val="auto"/>
          <w:szCs w:val="21"/>
          <w:highlight w:val="none"/>
          <w:u w:val="single"/>
        </w:rPr>
        <w:t xml:space="preserve">   </w:t>
      </w:r>
      <w:r>
        <w:rPr>
          <w:rFonts w:hint="eastAsia"/>
          <w:color w:val="auto"/>
          <w:szCs w:val="21"/>
          <w:highlight w:val="none"/>
        </w:rPr>
        <w:t>份，甲乙双方各执</w:t>
      </w:r>
      <w:r>
        <w:rPr>
          <w:color w:val="auto"/>
          <w:szCs w:val="21"/>
          <w:highlight w:val="none"/>
          <w:u w:val="single"/>
        </w:rPr>
        <w:t xml:space="preserve">   </w:t>
      </w:r>
      <w:r>
        <w:rPr>
          <w:rFonts w:hint="eastAsia"/>
          <w:color w:val="auto"/>
          <w:szCs w:val="21"/>
          <w:highlight w:val="none"/>
        </w:rPr>
        <w:t>份、受托第三方机构一份（如有）</w:t>
      </w:r>
      <w:r>
        <w:rPr>
          <w:rFonts w:hint="eastAsia" w:ascii="宋体" w:hAnsi="宋体"/>
          <w:color w:val="auto"/>
          <w:szCs w:val="21"/>
          <w:highlight w:val="none"/>
        </w:rPr>
        <w:t xml:space="preserve">。 </w:t>
      </w:r>
    </w:p>
    <w:p w14:paraId="7434529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7）验收结论不合格的，乙方应自收到验收书后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日内及时予以解决。经乙方对验收结论不合格的货物进行整改后，仍然达不到要求的，经双方协商，可按以下办法处理：</w:t>
      </w:r>
    </w:p>
    <w:p w14:paraId="72B7F6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①更换：由乙方承担所发生的全部费用。</w:t>
      </w:r>
    </w:p>
    <w:p w14:paraId="708039D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②贬值处理：由甲乙双方合议定价。</w:t>
      </w:r>
    </w:p>
    <w:p w14:paraId="54EE060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w:t>
      </w:r>
      <w:r>
        <w:rPr>
          <w:rFonts w:hint="eastAsia"/>
          <w:color w:val="auto"/>
          <w:highlight w:val="none"/>
        </w:rPr>
        <w:t>验收费用</w:t>
      </w:r>
      <w:r>
        <w:rPr>
          <w:rFonts w:hint="eastAsia" w:ascii="宋体" w:hAnsi="宋体"/>
          <w:color w:val="auto"/>
          <w:szCs w:val="21"/>
          <w:highlight w:val="none"/>
        </w:rPr>
        <w:t>按下列</w:t>
      </w:r>
      <w:r>
        <w:rPr>
          <w:rFonts w:hint="eastAsia" w:ascii="宋体" w:hAnsi="宋体"/>
          <w:color w:val="auto"/>
          <w:szCs w:val="21"/>
          <w:highlight w:val="none"/>
          <w:u w:val="single"/>
        </w:rPr>
        <w:t xml:space="preserve"> ② </w:t>
      </w:r>
      <w:r>
        <w:rPr>
          <w:rFonts w:hint="eastAsia" w:ascii="宋体" w:hAnsi="宋体"/>
          <w:color w:val="auto"/>
          <w:szCs w:val="21"/>
          <w:highlight w:val="none"/>
        </w:rPr>
        <w:t>方式确定：</w:t>
      </w:r>
    </w:p>
    <w:p w14:paraId="0AEDA5A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①甲方支付；</w:t>
      </w:r>
    </w:p>
    <w:p w14:paraId="6C7BA3B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②乙方支付；</w:t>
      </w:r>
    </w:p>
    <w:p w14:paraId="7C36765D">
      <w:pPr>
        <w:spacing w:line="360" w:lineRule="auto"/>
        <w:ind w:firstLine="420" w:firstLineChars="200"/>
        <w:rPr>
          <w:rFonts w:hint="eastAsia" w:ascii="宋体" w:hAnsi="宋体"/>
          <w:color w:val="auto"/>
          <w:highlight w:val="none"/>
        </w:rPr>
      </w:pPr>
      <w:r>
        <w:rPr>
          <w:rFonts w:hint="eastAsia" w:ascii="宋体" w:hAnsi="宋体"/>
          <w:color w:val="auto"/>
          <w:highlight w:val="none"/>
        </w:rPr>
        <w:t>2.交付标准和方法</w:t>
      </w:r>
    </w:p>
    <w:p w14:paraId="1E3FA7E1">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（1）除售后服务验收外，</w:t>
      </w:r>
      <w:r>
        <w:rPr>
          <w:rFonts w:hint="eastAsia" w:ascii="宋体" w:hAnsi="宋体"/>
          <w:color w:val="auto"/>
          <w:szCs w:val="21"/>
          <w:highlight w:val="none"/>
        </w:rPr>
        <w:t>验收结论合格的，乙方应自收到验收书/报告后</w:t>
      </w:r>
      <w:r>
        <w:rPr>
          <w:rFonts w:hint="eastAsia" w:ascii="宋体" w:hAnsi="宋体"/>
          <w:color w:val="auto"/>
          <w:szCs w:val="21"/>
          <w:highlight w:val="none"/>
          <w:u w:val="single"/>
        </w:rPr>
        <w:t xml:space="preserve">   </w:t>
      </w:r>
      <w:r>
        <w:rPr>
          <w:rFonts w:hint="eastAsia" w:ascii="宋体" w:hAnsi="宋体"/>
          <w:color w:val="auto"/>
          <w:szCs w:val="21"/>
          <w:highlight w:val="none"/>
        </w:rPr>
        <w:t>日内向甲方交付使用。</w:t>
      </w:r>
    </w:p>
    <w:p w14:paraId="091B86DA">
      <w:pPr>
        <w:spacing w:line="360" w:lineRule="auto"/>
        <w:ind w:firstLine="420" w:firstLineChars="200"/>
        <w:rPr>
          <w:rFonts w:hint="eastAsia" w:ascii="宋体" w:hAnsi="宋体"/>
          <w:color w:val="auto"/>
          <w:highlight w:val="none"/>
        </w:rPr>
      </w:pPr>
      <w:r>
        <w:rPr>
          <w:rFonts w:hint="eastAsia" w:ascii="宋体" w:hAnsi="宋体"/>
          <w:color w:val="auto"/>
          <w:highlight w:val="none"/>
        </w:rPr>
        <w:t>（2）甲方在初步验收或者最终验收过程中如发现乙方提供的服务成果不满足响应文件及本合同规定的，暂停向乙方付款，直到乙方及时完善并提交相应的服务成果且经甲方验收合格后，方可办理付款。</w:t>
      </w:r>
    </w:p>
    <w:p w14:paraId="03A4BD09">
      <w:pPr>
        <w:snapToGrid w:val="0"/>
        <w:spacing w:line="360" w:lineRule="auto"/>
        <w:ind w:left="-61" w:leftChars="-29" w:firstLine="517" w:firstLineChars="245"/>
        <w:outlineLvl w:val="1"/>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六</w:t>
      </w:r>
      <w:r>
        <w:rPr>
          <w:rFonts w:hint="eastAsia" w:ascii="宋体" w:hAnsi="宋体"/>
          <w:b/>
          <w:color w:val="auto"/>
          <w:szCs w:val="21"/>
          <w:highlight w:val="none"/>
        </w:rPr>
        <w:t>条　履约保证金</w:t>
      </w:r>
    </w:p>
    <w:p w14:paraId="11DB138B">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lang w:val="en-US" w:eastAsia="zh-CN"/>
        </w:rPr>
        <w:t>不收取履约保证金</w:t>
      </w:r>
      <w:r>
        <w:rPr>
          <w:rFonts w:hint="eastAsia" w:ascii="宋体" w:hAnsi="宋体" w:cs="宋体"/>
          <w:color w:val="auto"/>
          <w:szCs w:val="21"/>
          <w:highlight w:val="none"/>
        </w:rPr>
        <w:t>。</w:t>
      </w:r>
    </w:p>
    <w:p w14:paraId="1FBC77C5">
      <w:pPr>
        <w:snapToGrid w:val="0"/>
        <w:spacing w:line="360" w:lineRule="auto"/>
        <w:ind w:firstLine="422" w:firstLineChars="200"/>
        <w:outlineLvl w:val="1"/>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七</w:t>
      </w:r>
      <w:r>
        <w:rPr>
          <w:rFonts w:hint="eastAsia" w:ascii="宋体" w:hAnsi="宋体"/>
          <w:b/>
          <w:color w:val="auto"/>
          <w:szCs w:val="21"/>
          <w:highlight w:val="none"/>
        </w:rPr>
        <w:t>条　违约责任</w:t>
      </w:r>
    </w:p>
    <w:p w14:paraId="22B805D1">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1.合同一方不履行合同义务、履行合同义务不符合约定或者违反合同项下所作保证的， 应向对方承担继续履行、采取修理、更换、退货等补救措施或者赔偿损失等违约责任。</w:t>
      </w:r>
    </w:p>
    <w:p w14:paraId="35702819">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2.乙方未能按时交付服务的，应向甲方支付迟延交付违约金。迟延交付违约金的计算方法如下：</w:t>
      </w:r>
    </w:p>
    <w:p w14:paraId="3F1312C6">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（1）从迟交的第一周到第四周，每周迟延交付违约金为合同价款（报酬）的</w:t>
      </w:r>
      <w:r>
        <w:rPr>
          <w:rFonts w:hint="eastAsia" w:hAnsi="宋体"/>
          <w:i w:val="0"/>
          <w:iCs/>
          <w:color w:val="auto"/>
          <w:sz w:val="21"/>
          <w:highlight w:val="none"/>
          <w:u w:val="single"/>
        </w:rPr>
        <w:t xml:space="preserve"> 0.5%</w:t>
      </w:r>
      <w:r>
        <w:rPr>
          <w:rFonts w:hint="eastAsia" w:hAnsi="宋体"/>
          <w:i w:val="0"/>
          <w:iCs/>
          <w:color w:val="auto"/>
          <w:sz w:val="21"/>
          <w:highlight w:val="none"/>
        </w:rPr>
        <w:t>；</w:t>
      </w:r>
    </w:p>
    <w:p w14:paraId="0550233D">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（2）从迟交的第五周到第八周，每周迟延交付违约金为合同价款（报酬）的</w:t>
      </w:r>
      <w:r>
        <w:rPr>
          <w:rFonts w:hint="eastAsia" w:hAnsi="宋体"/>
          <w:i w:val="0"/>
          <w:iCs/>
          <w:color w:val="auto"/>
          <w:sz w:val="21"/>
          <w:highlight w:val="none"/>
          <w:u w:val="single"/>
        </w:rPr>
        <w:t xml:space="preserve"> 1%</w:t>
      </w:r>
      <w:r>
        <w:rPr>
          <w:rFonts w:hint="eastAsia" w:hAnsi="宋体"/>
          <w:i w:val="0"/>
          <w:iCs/>
          <w:color w:val="auto"/>
          <w:sz w:val="21"/>
          <w:highlight w:val="none"/>
        </w:rPr>
        <w:t>；</w:t>
      </w:r>
    </w:p>
    <w:p w14:paraId="045F9A43">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（3）从迟交第九周起，每周迟延交付违约金为合同价款（报酬）的</w:t>
      </w:r>
      <w:r>
        <w:rPr>
          <w:rFonts w:hint="eastAsia" w:hAnsi="宋体"/>
          <w:i/>
          <w:color w:val="auto"/>
          <w:sz w:val="21"/>
          <w:highlight w:val="none"/>
          <w:u w:val="single"/>
        </w:rPr>
        <w:t xml:space="preserve"> </w:t>
      </w:r>
      <w:r>
        <w:rPr>
          <w:rFonts w:hint="eastAsia" w:hAnsi="宋体"/>
          <w:i w:val="0"/>
          <w:iCs/>
          <w:color w:val="auto"/>
          <w:sz w:val="21"/>
          <w:highlight w:val="none"/>
          <w:u w:val="single"/>
        </w:rPr>
        <w:t>1.5%</w:t>
      </w:r>
      <w:r>
        <w:rPr>
          <w:rFonts w:hint="eastAsia" w:hAnsi="宋体"/>
          <w:color w:val="auto"/>
          <w:sz w:val="21"/>
          <w:highlight w:val="none"/>
        </w:rPr>
        <w:t>。在计算迟延交付违约金时，迟交不足一周的按一周计算。迟延交付违约金的总额不得超过合同价款（报酬）的</w:t>
      </w:r>
      <w:r>
        <w:rPr>
          <w:rFonts w:hint="eastAsia" w:hAnsi="宋体"/>
          <w:color w:val="auto"/>
          <w:sz w:val="21"/>
          <w:highlight w:val="none"/>
          <w:u w:val="single"/>
        </w:rPr>
        <w:t xml:space="preserve"> 10%</w:t>
      </w:r>
      <w:r>
        <w:rPr>
          <w:rFonts w:hint="eastAsia" w:hAnsi="宋体"/>
          <w:color w:val="auto"/>
          <w:sz w:val="21"/>
          <w:highlight w:val="none"/>
        </w:rPr>
        <w:t>。迟延交付违约金的支付不能免除乙方继续交付相关合同服务的义务，但如迟延交付必然导致合同服务实施、调试、验收等工作推迟的，相关工作应相应顺延。</w:t>
      </w:r>
    </w:p>
    <w:p w14:paraId="65803994">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3.甲方未能按合同约定支付合同价款的，应向乙方支付延迟付款违约金。迟延付款违约金的计算方法如下：</w:t>
      </w:r>
    </w:p>
    <w:p w14:paraId="52D1C29B">
      <w:pPr>
        <w:pStyle w:val="16"/>
        <w:snapToGrid w:val="0"/>
        <w:spacing w:line="360" w:lineRule="auto"/>
        <w:ind w:firstLine="420" w:firstLineChars="200"/>
        <w:rPr>
          <w:rFonts w:hint="eastAsia" w:hAnsi="宋体"/>
          <w:i w:val="0"/>
          <w:iCs w:val="0"/>
          <w:color w:val="auto"/>
          <w:sz w:val="21"/>
          <w:highlight w:val="none"/>
        </w:rPr>
      </w:pPr>
      <w:r>
        <w:rPr>
          <w:rFonts w:hint="eastAsia" w:hAnsi="宋体"/>
          <w:i w:val="0"/>
          <w:iCs w:val="0"/>
          <w:color w:val="auto"/>
          <w:sz w:val="21"/>
          <w:highlight w:val="none"/>
        </w:rPr>
        <w:t>（1）从迟付的第一周到第四周，每周迟延付款违约金为迟延付款金额的</w:t>
      </w:r>
      <w:r>
        <w:rPr>
          <w:rFonts w:hint="eastAsia" w:hAnsi="宋体"/>
          <w:i w:val="0"/>
          <w:iCs w:val="0"/>
          <w:color w:val="auto"/>
          <w:sz w:val="21"/>
          <w:highlight w:val="none"/>
          <w:u w:val="single"/>
        </w:rPr>
        <w:t xml:space="preserve"> 0.5%</w:t>
      </w:r>
      <w:r>
        <w:rPr>
          <w:rFonts w:hint="eastAsia" w:hAnsi="宋体"/>
          <w:i w:val="0"/>
          <w:iCs w:val="0"/>
          <w:color w:val="auto"/>
          <w:sz w:val="21"/>
          <w:highlight w:val="none"/>
        </w:rPr>
        <w:t>；</w:t>
      </w:r>
    </w:p>
    <w:p w14:paraId="070650EF">
      <w:pPr>
        <w:pStyle w:val="16"/>
        <w:snapToGrid w:val="0"/>
        <w:spacing w:line="360" w:lineRule="auto"/>
        <w:ind w:firstLine="420" w:firstLineChars="200"/>
        <w:rPr>
          <w:rFonts w:hint="eastAsia" w:hAnsi="宋体"/>
          <w:i w:val="0"/>
          <w:iCs w:val="0"/>
          <w:color w:val="auto"/>
          <w:sz w:val="21"/>
          <w:highlight w:val="none"/>
        </w:rPr>
      </w:pPr>
      <w:r>
        <w:rPr>
          <w:rFonts w:hint="eastAsia" w:hAnsi="宋体"/>
          <w:i w:val="0"/>
          <w:iCs w:val="0"/>
          <w:color w:val="auto"/>
          <w:sz w:val="21"/>
          <w:highlight w:val="none"/>
        </w:rPr>
        <w:t>（2）从迟付的第五周到第八周，每周迟延付款违约金为迟延付款金额的</w:t>
      </w:r>
      <w:r>
        <w:rPr>
          <w:rFonts w:hint="eastAsia" w:hAnsi="宋体"/>
          <w:i w:val="0"/>
          <w:iCs w:val="0"/>
          <w:color w:val="auto"/>
          <w:sz w:val="21"/>
          <w:highlight w:val="none"/>
          <w:u w:val="single"/>
        </w:rPr>
        <w:t xml:space="preserve"> 1%</w:t>
      </w:r>
      <w:r>
        <w:rPr>
          <w:rFonts w:hint="eastAsia" w:hAnsi="宋体"/>
          <w:i w:val="0"/>
          <w:iCs w:val="0"/>
          <w:color w:val="auto"/>
          <w:sz w:val="21"/>
          <w:highlight w:val="none"/>
        </w:rPr>
        <w:t>；</w:t>
      </w:r>
    </w:p>
    <w:p w14:paraId="7EDCF1CA">
      <w:pPr>
        <w:pStyle w:val="16"/>
        <w:snapToGrid w:val="0"/>
        <w:spacing w:line="360" w:lineRule="auto"/>
        <w:ind w:firstLine="420" w:firstLineChars="200"/>
        <w:rPr>
          <w:rFonts w:hint="eastAsia" w:hAnsi="宋体"/>
          <w:color w:val="auto"/>
          <w:sz w:val="21"/>
          <w:highlight w:val="none"/>
        </w:rPr>
      </w:pPr>
      <w:r>
        <w:rPr>
          <w:rFonts w:hint="eastAsia" w:hAnsi="宋体"/>
          <w:i w:val="0"/>
          <w:iCs w:val="0"/>
          <w:color w:val="auto"/>
          <w:sz w:val="21"/>
          <w:highlight w:val="none"/>
        </w:rPr>
        <w:t>（3）从迟付第九周起，每周迟延付款违约金为迟延付款金额的</w:t>
      </w:r>
      <w:r>
        <w:rPr>
          <w:rFonts w:hint="eastAsia" w:hAnsi="宋体"/>
          <w:i w:val="0"/>
          <w:iCs w:val="0"/>
          <w:color w:val="auto"/>
          <w:sz w:val="21"/>
          <w:highlight w:val="none"/>
          <w:u w:val="single"/>
        </w:rPr>
        <w:t xml:space="preserve"> 1.5%</w:t>
      </w:r>
      <w:r>
        <w:rPr>
          <w:rFonts w:hint="eastAsia" w:hAnsi="宋体"/>
          <w:i w:val="0"/>
          <w:iCs w:val="0"/>
          <w:color w:val="auto"/>
          <w:sz w:val="21"/>
          <w:highlight w:val="none"/>
        </w:rPr>
        <w:t>。在计算迟延付款违约金时，</w:t>
      </w:r>
      <w:r>
        <w:rPr>
          <w:rFonts w:hint="eastAsia" w:hAnsi="宋体"/>
          <w:color w:val="auto"/>
          <w:sz w:val="21"/>
          <w:highlight w:val="none"/>
        </w:rPr>
        <w:t>迟付不足一周的按一周计算。迟延付款违约金的总额不得超过合同价格的</w:t>
      </w:r>
      <w:r>
        <w:rPr>
          <w:rFonts w:hint="eastAsia" w:hAnsi="宋体"/>
          <w:color w:val="auto"/>
          <w:sz w:val="21"/>
          <w:highlight w:val="none"/>
          <w:u w:val="single"/>
        </w:rPr>
        <w:t xml:space="preserve"> 10%</w:t>
      </w:r>
      <w:r>
        <w:rPr>
          <w:rFonts w:hint="eastAsia" w:hAnsi="宋体"/>
          <w:color w:val="auto"/>
          <w:sz w:val="21"/>
          <w:highlight w:val="none"/>
        </w:rPr>
        <w:t>。</w:t>
      </w:r>
    </w:p>
    <w:p w14:paraId="4E397AB2">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4.乙方未按本合同和</w:t>
      </w:r>
      <w:r>
        <w:rPr>
          <w:rFonts w:hint="eastAsia" w:hAnsi="宋体"/>
          <w:color w:val="auto"/>
          <w:sz w:val="21"/>
          <w:highlight w:val="none"/>
          <w:lang w:eastAsia="zh-CN"/>
        </w:rPr>
        <w:t>响应文件</w:t>
      </w:r>
      <w:r>
        <w:rPr>
          <w:rFonts w:hint="eastAsia" w:hAnsi="宋体"/>
          <w:color w:val="auto"/>
          <w:sz w:val="21"/>
          <w:highlight w:val="none"/>
        </w:rPr>
        <w:t xml:space="preserve">承诺提供售后服务的，乙方应按本合同价款（报酬）的 </w:t>
      </w:r>
      <w:r>
        <w:rPr>
          <w:rFonts w:hint="eastAsia" w:hAnsi="宋体"/>
          <w:color w:val="auto"/>
          <w:sz w:val="21"/>
          <w:highlight w:val="none"/>
          <w:u w:val="single"/>
        </w:rPr>
        <w:t xml:space="preserve">   </w:t>
      </w:r>
      <w:r>
        <w:rPr>
          <w:rFonts w:hint="eastAsia" w:hAnsi="宋体"/>
          <w:color w:val="auto"/>
          <w:sz w:val="21"/>
          <w:highlight w:val="none"/>
        </w:rPr>
        <w:t>%向甲方支付违约金。</w:t>
      </w:r>
    </w:p>
    <w:p w14:paraId="68ABA1A2">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5.因某一方原因导致变更、中止或者终止政府采购合同的，该方应当对另一方受到的损失予以赔偿或者补偿。</w:t>
      </w:r>
    </w:p>
    <w:p w14:paraId="208570D3">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6.</w:t>
      </w:r>
      <w:r>
        <w:rPr>
          <w:rFonts w:hint="eastAsia" w:hAnsi="宋体"/>
          <w:color w:val="auto"/>
          <w:sz w:val="21"/>
          <w:highlight w:val="none"/>
          <w:lang w:eastAsia="zh-CN"/>
        </w:rPr>
        <w:t>其他</w:t>
      </w:r>
      <w:r>
        <w:rPr>
          <w:rFonts w:hint="eastAsia" w:hAnsi="宋体"/>
          <w:color w:val="auto"/>
          <w:sz w:val="21"/>
          <w:highlight w:val="none"/>
        </w:rPr>
        <w:t>违</w:t>
      </w:r>
      <w:r>
        <w:rPr>
          <w:rFonts w:hint="eastAsia" w:hAnsi="宋体"/>
          <w:color w:val="auto"/>
          <w:sz w:val="21"/>
          <w:highlight w:val="none"/>
        </w:rPr>
        <w:t>约责任按《中华人民共和国民法典》处理。</w:t>
      </w:r>
    </w:p>
    <w:p w14:paraId="02CF6758">
      <w:pPr>
        <w:pStyle w:val="16"/>
        <w:snapToGrid w:val="0"/>
        <w:spacing w:line="360" w:lineRule="auto"/>
        <w:ind w:firstLine="413" w:firstLineChars="196"/>
        <w:outlineLvl w:val="1"/>
        <w:rPr>
          <w:rFonts w:hint="eastAsia" w:hAnsi="宋体"/>
          <w:b/>
          <w:color w:val="auto"/>
          <w:sz w:val="21"/>
          <w:highlight w:val="none"/>
        </w:rPr>
      </w:pPr>
      <w:r>
        <w:rPr>
          <w:rFonts w:hint="eastAsia" w:hAnsi="宋体"/>
          <w:b/>
          <w:color w:val="auto"/>
          <w:sz w:val="21"/>
          <w:highlight w:val="none"/>
        </w:rPr>
        <w:t>第</w:t>
      </w:r>
      <w:r>
        <w:rPr>
          <w:rFonts w:hint="eastAsia" w:hAnsi="宋体"/>
          <w:b/>
          <w:color w:val="auto"/>
          <w:sz w:val="21"/>
          <w:highlight w:val="none"/>
          <w:lang w:val="en-US" w:eastAsia="zh-CN"/>
        </w:rPr>
        <w:t>八</w:t>
      </w:r>
      <w:r>
        <w:rPr>
          <w:rFonts w:hint="eastAsia" w:hAnsi="宋体"/>
          <w:b/>
          <w:color w:val="auto"/>
          <w:sz w:val="21"/>
          <w:highlight w:val="none"/>
        </w:rPr>
        <w:t>条  不可抗力事件处理</w:t>
      </w:r>
    </w:p>
    <w:p w14:paraId="50ED2E8F">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2B60AAC3">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w:t>
      </w:r>
    </w:p>
    <w:p w14:paraId="10E2187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160A0E96">
      <w:pPr>
        <w:snapToGrid w:val="0"/>
        <w:spacing w:line="360" w:lineRule="auto"/>
        <w:ind w:firstLine="422" w:firstLineChars="200"/>
        <w:outlineLvl w:val="1"/>
        <w:rPr>
          <w:rFonts w:hint="eastAsia" w:ascii="宋体" w:hAnsi="宋体"/>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九</w:t>
      </w:r>
      <w:r>
        <w:rPr>
          <w:rFonts w:hint="eastAsia" w:ascii="宋体" w:hAnsi="宋体"/>
          <w:b/>
          <w:color w:val="auto"/>
          <w:szCs w:val="21"/>
          <w:highlight w:val="none"/>
        </w:rPr>
        <w:t>条  合同争议解决</w:t>
      </w:r>
    </w:p>
    <w:p w14:paraId="31CCC94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1.因服务质量问题发生争议的，应邀请国家认可的质量检测机构或专家组进行鉴定。服务符合标准的，鉴定费由甲方承担；服务不符合标准的，鉴定费由乙方承担。</w:t>
      </w:r>
    </w:p>
    <w:p w14:paraId="6B6A0B2E">
      <w:pPr>
        <w:autoSpaceDE w:val="0"/>
        <w:autoSpaceDN w:val="0"/>
        <w:adjustRightInd w:val="0"/>
        <w:spacing w:line="360" w:lineRule="auto"/>
        <w:ind w:left="100" w:right="42" w:firstLine="420"/>
        <w:rPr>
          <w:rFonts w:hint="eastAsia" w:ascii="宋体" w:hAnsi="宋体"/>
          <w:color w:val="auto"/>
          <w:szCs w:val="21"/>
          <w:highlight w:val="none"/>
        </w:rPr>
      </w:pPr>
      <w:r>
        <w:rPr>
          <w:rFonts w:hint="eastAsia" w:ascii="宋体" w:hAnsi="宋体"/>
          <w:color w:val="auto"/>
          <w:szCs w:val="21"/>
          <w:highlight w:val="none"/>
        </w:rPr>
        <w:t>2.因履行本合同引起的或者与本合同有关的争议，甲乙双方应首先通过友好协商解决，如果协商不能解决，按下列</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rPr>
        <w:t>方式解决：</w:t>
      </w:r>
    </w:p>
    <w:p w14:paraId="7BA3AC93">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2C11A32F">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（2）向有</w:t>
      </w:r>
      <w:r>
        <w:rPr>
          <w:rFonts w:hint="eastAsia" w:ascii="宋体" w:hAnsi="宋体"/>
          <w:color w:val="auto"/>
          <w:szCs w:val="21"/>
          <w:highlight w:val="none"/>
          <w:lang w:val="en-US" w:eastAsia="zh-CN"/>
        </w:rPr>
        <w:t>甲方所在地</w:t>
      </w:r>
      <w:r>
        <w:rPr>
          <w:rFonts w:hint="eastAsia" w:ascii="宋体" w:hAnsi="宋体"/>
          <w:color w:val="auto"/>
          <w:szCs w:val="21"/>
          <w:highlight w:val="none"/>
        </w:rPr>
        <w:t>的人民法院提起诉讼。</w:t>
      </w:r>
    </w:p>
    <w:p w14:paraId="6EE1D2CF">
      <w:pPr>
        <w:snapToGrid w:val="0"/>
        <w:spacing w:line="360" w:lineRule="auto"/>
        <w:ind w:firstLine="422" w:firstLineChars="200"/>
        <w:outlineLvl w:val="1"/>
        <w:rPr>
          <w:rFonts w:hint="eastAsia" w:ascii="宋体" w:hAnsi="宋体"/>
          <w:b/>
          <w:color w:val="auto"/>
          <w:szCs w:val="21"/>
          <w:highlight w:val="none"/>
        </w:rPr>
      </w:pPr>
      <w:r>
        <w:rPr>
          <w:rFonts w:hint="eastAsia" w:ascii="宋体" w:hAnsi="宋体"/>
          <w:b/>
          <w:color w:val="auto"/>
          <w:szCs w:val="21"/>
          <w:highlight w:val="none"/>
        </w:rPr>
        <w:t>第十条　合同的变更、中止或者终止</w:t>
      </w:r>
    </w:p>
    <w:p w14:paraId="111B80D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除《中华人民共和国政府采购法》第五十条规定的情形外，本合同一经签订，甲乙双方不得擅自变更、中止或者终止合同。</w:t>
      </w:r>
    </w:p>
    <w:p w14:paraId="7C50E84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14:paraId="5A3D0E7D">
      <w:pPr>
        <w:snapToGrid w:val="0"/>
        <w:spacing w:line="360" w:lineRule="auto"/>
        <w:ind w:firstLine="422" w:firstLineChars="200"/>
        <w:outlineLvl w:val="1"/>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一</w:t>
      </w:r>
      <w:r>
        <w:rPr>
          <w:rFonts w:hint="eastAsia" w:ascii="宋体" w:hAnsi="宋体"/>
          <w:b/>
          <w:color w:val="auto"/>
          <w:szCs w:val="21"/>
          <w:highlight w:val="none"/>
        </w:rPr>
        <w:t>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14:paraId="14A98781">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1.政府采购合同</w:t>
      </w:r>
    </w:p>
    <w:p w14:paraId="233D77B5">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2.成交通知书；</w:t>
      </w:r>
    </w:p>
    <w:p w14:paraId="46743326">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3.响应文件；</w:t>
      </w:r>
    </w:p>
    <w:p w14:paraId="4B5D5F9B">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4.采购文件及更正公告（澄清或补充通知）；</w:t>
      </w:r>
    </w:p>
    <w:p w14:paraId="35465500">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5.标准、规范及有关技术文件；</w:t>
      </w:r>
    </w:p>
    <w:p w14:paraId="008793F8">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6.双方约定的其他合同文件。</w:t>
      </w:r>
    </w:p>
    <w:p w14:paraId="0688E749">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14:paraId="014A3C03">
      <w:pPr>
        <w:snapToGrid w:val="0"/>
        <w:spacing w:line="360" w:lineRule="auto"/>
        <w:ind w:firstLine="422" w:firstLineChars="200"/>
        <w:outlineLvl w:val="1"/>
        <w:rPr>
          <w:rFonts w:hint="eastAsia" w:ascii="宋体" w:hAnsi="宋体"/>
          <w:color w:val="auto"/>
          <w:szCs w:val="21"/>
          <w:highlight w:val="none"/>
        </w:rPr>
      </w:pPr>
      <w:r>
        <w:rPr>
          <w:rFonts w:hint="eastAsia" w:ascii="宋体" w:hAnsi="宋体"/>
          <w:b/>
          <w:color w:val="auto"/>
          <w:szCs w:val="21"/>
          <w:highlight w:val="none"/>
        </w:rPr>
        <w:t>第</w:t>
      </w:r>
      <w:r>
        <w:rPr>
          <w:rFonts w:hint="eastAsia" w:hAnsi="宋体"/>
          <w:b/>
          <w:color w:val="auto"/>
          <w:highlight w:val="none"/>
        </w:rPr>
        <w:t>十</w:t>
      </w:r>
      <w:r>
        <w:rPr>
          <w:rFonts w:hint="eastAsia" w:hAnsi="宋体"/>
          <w:b/>
          <w:color w:val="auto"/>
          <w:highlight w:val="none"/>
          <w:lang w:val="en-US" w:eastAsia="zh-CN"/>
        </w:rPr>
        <w:t>二</w:t>
      </w:r>
      <w:r>
        <w:rPr>
          <w:rFonts w:hint="eastAsia" w:ascii="宋体" w:hAnsi="宋体"/>
          <w:b/>
          <w:color w:val="auto"/>
          <w:szCs w:val="21"/>
          <w:highlight w:val="none"/>
        </w:rPr>
        <w:t>条　知识产权和保密要求</w:t>
      </w:r>
    </w:p>
    <w:p w14:paraId="33F8218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1.甲方在履行合同过程中提供给乙方的全部图纸、文件和其他含有数据和信息的资料，其知识产权属于甲方。</w:t>
      </w:r>
    </w:p>
    <w:p w14:paraId="0B8C591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3BE4F53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乙方应保证所提供服务及货物在使用时不会侵犯任何第三方的知识产权或者其他权利。如合同服务或货物涉及知识产权，则乙方保证甲方在使用合同服务或货物过程中免于受到第三方提出的有关知识产权侵权的主张、索赔或诉讼的伤害。</w:t>
      </w:r>
    </w:p>
    <w:p w14:paraId="0962B92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3E76981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0C3E2C4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6.伴随货物的，乙方保证将要交付的货物的所有权完全属于乙方且无任何抵押、质押、查封等产权瑕疵。</w:t>
      </w:r>
    </w:p>
    <w:p w14:paraId="4173F479">
      <w:pPr>
        <w:pStyle w:val="16"/>
        <w:snapToGrid w:val="0"/>
        <w:spacing w:line="360" w:lineRule="auto"/>
        <w:ind w:firstLine="413" w:firstLineChars="196"/>
        <w:outlineLvl w:val="1"/>
        <w:rPr>
          <w:rFonts w:hint="eastAsia" w:hAnsi="宋体"/>
          <w:b/>
          <w:color w:val="auto"/>
          <w:sz w:val="21"/>
          <w:highlight w:val="none"/>
        </w:rPr>
      </w:pPr>
      <w:r>
        <w:rPr>
          <w:rFonts w:hint="eastAsia" w:hAnsi="宋体"/>
          <w:b/>
          <w:color w:val="auto"/>
          <w:sz w:val="21"/>
          <w:highlight w:val="none"/>
        </w:rPr>
        <w:t>第十</w:t>
      </w:r>
      <w:r>
        <w:rPr>
          <w:rFonts w:hint="eastAsia" w:hAnsi="宋体"/>
          <w:b/>
          <w:color w:val="auto"/>
          <w:sz w:val="21"/>
          <w:highlight w:val="none"/>
          <w:lang w:val="en-US" w:eastAsia="zh-CN"/>
        </w:rPr>
        <w:t>三</w:t>
      </w:r>
      <w:r>
        <w:rPr>
          <w:rFonts w:hint="eastAsia" w:hAnsi="宋体"/>
          <w:b/>
          <w:color w:val="auto"/>
          <w:sz w:val="21"/>
          <w:highlight w:val="none"/>
        </w:rPr>
        <w:t>条  合同生效</w:t>
      </w:r>
      <w:r>
        <w:rPr>
          <w:rFonts w:hint="eastAsia" w:hAnsi="宋体"/>
          <w:b/>
          <w:color w:val="auto"/>
          <w:sz w:val="21"/>
          <w:highlight w:val="none"/>
          <w:lang w:eastAsia="zh-CN"/>
        </w:rPr>
        <w:t>及其他</w:t>
      </w:r>
    </w:p>
    <w:p w14:paraId="7427EFA3">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14:paraId="53E11FFE">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2.合同执行中涉及采购资金和采购内容修改或者补充的，并签书面补充协议报财政部门备案，方可作为主合同不可分割的一部分。</w:t>
      </w:r>
    </w:p>
    <w:p w14:paraId="0BD57776">
      <w:pPr>
        <w:pStyle w:val="16"/>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3.合同生效后，甲乙双方不得因姓名、名称的变更或者法定代表人、负责人、承办人的变动而不履行合同义务。</w:t>
      </w:r>
    </w:p>
    <w:p w14:paraId="28F032A9">
      <w:pPr>
        <w:pStyle w:val="16"/>
        <w:snapToGrid w:val="0"/>
        <w:spacing w:line="360" w:lineRule="auto"/>
        <w:ind w:left="420" w:leftChars="200"/>
        <w:rPr>
          <w:rFonts w:hint="eastAsia" w:hAnsi="宋体"/>
          <w:color w:val="auto"/>
          <w:sz w:val="21"/>
          <w:highlight w:val="none"/>
        </w:rPr>
      </w:pPr>
      <w:r>
        <w:rPr>
          <w:rFonts w:hint="eastAsia" w:hAnsi="宋体"/>
          <w:color w:val="auto"/>
          <w:sz w:val="21"/>
          <w:highlight w:val="none"/>
        </w:rPr>
        <w:t>4.本合同未尽事宜，遵照《中华人民共和国民法典》有关条文执行。</w:t>
      </w:r>
    </w:p>
    <w:p w14:paraId="03732395">
      <w:pPr>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5.本合同一式</w:t>
      </w:r>
      <w:r>
        <w:rPr>
          <w:rFonts w:hint="eastAsia" w:ascii="宋体" w:hAnsi="宋体"/>
          <w:i w:val="0"/>
          <w:iCs/>
          <w:color w:val="auto"/>
          <w:szCs w:val="21"/>
          <w:highlight w:val="none"/>
          <w:u w:val="single"/>
          <w:lang w:val="en-US" w:eastAsia="zh-CN"/>
        </w:rPr>
        <w:t>三</w:t>
      </w:r>
      <w:r>
        <w:rPr>
          <w:rFonts w:hint="eastAsia" w:ascii="宋体" w:hAnsi="宋体"/>
          <w:color w:val="auto"/>
          <w:szCs w:val="21"/>
          <w:highlight w:val="none"/>
        </w:rPr>
        <w:t>份，具有同等法律效力，采购代理机构一份，甲乙双方各一份</w:t>
      </w:r>
      <w:r>
        <w:rPr>
          <w:rFonts w:hint="eastAsia" w:ascii="宋体" w:hAnsi="宋体"/>
          <w:color w:val="auto"/>
          <w:szCs w:val="21"/>
          <w:highlight w:val="none"/>
          <w:lang w:eastAsia="zh-CN"/>
        </w:rPr>
        <w:t>。</w:t>
      </w:r>
    </w:p>
    <w:p w14:paraId="1C414FB9">
      <w:pPr>
        <w:spacing w:line="360" w:lineRule="auto"/>
        <w:ind w:firstLine="422" w:firstLineChars="200"/>
        <w:rPr>
          <w:rFonts w:hint="eastAsia" w:ascii="宋体" w:hAnsi="宋体" w:cs="宋体"/>
          <w:b/>
          <w:color w:val="auto"/>
          <w:szCs w:val="21"/>
          <w:highlight w:val="none"/>
        </w:rPr>
      </w:pPr>
    </w:p>
    <w:p w14:paraId="13B3751A">
      <w:pPr>
        <w:tabs>
          <w:tab w:val="left" w:pos="4395"/>
        </w:tabs>
        <w:spacing w:line="360" w:lineRule="auto"/>
        <w:rPr>
          <w:rFonts w:hint="eastAsia" w:ascii="宋体" w:hAnsi="宋体"/>
          <w:b/>
          <w:color w:val="auto"/>
          <w:szCs w:val="21"/>
          <w:highlight w:val="none"/>
        </w:rPr>
      </w:pPr>
      <w:r>
        <w:rPr>
          <w:rFonts w:hint="eastAsia" w:ascii="宋体" w:hAnsi="宋体"/>
          <w:b/>
          <w:color w:val="auto"/>
          <w:szCs w:val="21"/>
          <w:highlight w:val="none"/>
        </w:rPr>
        <w:t>甲方（盖章）：</w:t>
      </w:r>
      <w:r>
        <w:rPr>
          <w:rFonts w:hint="eastAsia" w:ascii="宋体" w:hAnsi="宋体"/>
          <w:b/>
          <w:color w:val="auto"/>
          <w:szCs w:val="21"/>
          <w:highlight w:val="none"/>
        </w:rPr>
        <w:tab/>
      </w:r>
      <w:r>
        <w:rPr>
          <w:rFonts w:hint="eastAsia" w:ascii="宋体" w:hAnsi="宋体"/>
          <w:b/>
          <w:color w:val="auto"/>
          <w:szCs w:val="21"/>
          <w:highlight w:val="none"/>
        </w:rPr>
        <w:t>乙方（盖章）：</w:t>
      </w:r>
    </w:p>
    <w:p w14:paraId="14850933">
      <w:pPr>
        <w:tabs>
          <w:tab w:val="left" w:pos="4395"/>
        </w:tabs>
        <w:spacing w:line="360" w:lineRule="auto"/>
        <w:rPr>
          <w:rFonts w:hint="eastAsia" w:ascii="宋体" w:hAnsi="宋体"/>
          <w:b/>
          <w:color w:val="auto"/>
          <w:szCs w:val="21"/>
          <w:highlight w:val="none"/>
        </w:rPr>
      </w:pP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w:t>
      </w:r>
      <w:r>
        <w:rPr>
          <w:rFonts w:hint="eastAsia" w:ascii="宋体" w:hAnsi="宋体"/>
          <w:b/>
          <w:color w:val="auto"/>
          <w:szCs w:val="21"/>
          <w:highlight w:val="none"/>
        </w:rPr>
        <w:tab/>
      </w: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 xml:space="preserve">： </w:t>
      </w:r>
    </w:p>
    <w:p w14:paraId="0CF626E2">
      <w:pPr>
        <w:tabs>
          <w:tab w:val="left" w:pos="4395"/>
        </w:tabs>
        <w:spacing w:line="360" w:lineRule="auto"/>
        <w:rPr>
          <w:rFonts w:hint="eastAsia" w:ascii="宋体" w:hAnsi="宋体"/>
          <w:color w:val="auto"/>
          <w:szCs w:val="21"/>
          <w:highlight w:val="none"/>
        </w:rPr>
      </w:pPr>
    </w:p>
    <w:p w14:paraId="6775A778">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签定日期：　　　年　　月　　日</w:t>
      </w:r>
      <w:r>
        <w:rPr>
          <w:rFonts w:hint="eastAsia" w:ascii="宋体" w:hAnsi="宋体"/>
          <w:color w:val="auto"/>
          <w:szCs w:val="21"/>
          <w:highlight w:val="none"/>
        </w:rPr>
        <w:tab/>
      </w:r>
      <w:r>
        <w:rPr>
          <w:rFonts w:hint="eastAsia" w:ascii="宋体" w:hAnsi="宋体"/>
          <w:color w:val="auto"/>
          <w:szCs w:val="21"/>
          <w:highlight w:val="none"/>
        </w:rPr>
        <w:t>签定日期：　　　年　　月　　日</w:t>
      </w:r>
    </w:p>
    <w:p w14:paraId="17E94889">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开户名称：</w:t>
      </w:r>
    </w:p>
    <w:p w14:paraId="5F1C58CF">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银</w:t>
      </w:r>
      <w:r>
        <w:rPr>
          <w:rFonts w:hint="eastAsia" w:ascii="宋体" w:hAnsi="宋体"/>
          <w:color w:val="auto"/>
          <w:szCs w:val="21"/>
          <w:highlight w:val="none"/>
        </w:rPr>
        <w:t>行账号</w:t>
      </w:r>
      <w:r>
        <w:rPr>
          <w:rFonts w:hint="eastAsia" w:ascii="宋体" w:hAnsi="宋体"/>
          <w:color w:val="auto"/>
          <w:szCs w:val="21"/>
          <w:highlight w:val="none"/>
        </w:rPr>
        <w:t>：</w:t>
      </w:r>
    </w:p>
    <w:p w14:paraId="6F23F49F">
      <w:pPr>
        <w:pStyle w:val="2"/>
        <w:spacing w:after="0"/>
        <w:rPr>
          <w:rFonts w:ascii="宋体" w:hAnsi="宋体" w:cs="宋体"/>
          <w:color w:val="auto"/>
          <w:sz w:val="6"/>
          <w:szCs w:val="6"/>
          <w:highlight w:val="none"/>
        </w:rPr>
      </w:pPr>
      <w:r>
        <w:rPr>
          <w:rFonts w:hint="eastAsia" w:ascii="宋体" w:hAnsi="宋体"/>
          <w:color w:val="auto"/>
          <w:szCs w:val="21"/>
          <w:highlight w:val="none"/>
        </w:rPr>
        <w:tab/>
      </w:r>
      <w:r>
        <w:rPr>
          <w:rFonts w:hint="eastAsia" w:ascii="宋体" w:hAnsi="宋体"/>
          <w:color w:val="auto"/>
          <w:szCs w:val="21"/>
          <w:highlight w:val="none"/>
        </w:rPr>
        <w:t>开 户 行：</w:t>
      </w:r>
    </w:p>
    <w:bookmarkEnd w:id="177"/>
    <w:sectPr>
      <w:footerReference r:id="rId8" w:type="first"/>
      <w:footerReference r:id="rId7" w:type="default"/>
      <w:pgSz w:w="11906" w:h="16838"/>
      <w:pgMar w:top="1327" w:right="1253" w:bottom="1327" w:left="12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A7C01F-EF31-4BCB-9928-C9D93758EFAA}"/>
  </w:font>
  <w:font w:name="黑体">
    <w:panose1 w:val="02010600030101010101"/>
    <w:charset w:val="86"/>
    <w:family w:val="auto"/>
    <w:pitch w:val="default"/>
    <w:sig w:usb0="800002BF" w:usb1="38CF7CFA" w:usb2="00000016" w:usb3="00000000" w:csb0="00040001" w:csb1="00000000"/>
    <w:embedRegular r:id="rId2" w:fontKey="{AA9F7283-8E10-4A6F-90CC-C0DE467FC219}"/>
  </w:font>
  <w:font w:name="Courier New">
    <w:panose1 w:val="02070309020205020404"/>
    <w:charset w:val="01"/>
    <w:family w:val="modern"/>
    <w:pitch w:val="default"/>
    <w:sig w:usb0="E0002EFF" w:usb1="C0007843" w:usb2="00000009" w:usb3="00000000" w:csb0="400001FF" w:csb1="FFFF0000"/>
    <w:embedRegular r:id="rId3" w:fontKey="{2504D79C-7FAC-4875-A16C-4CE05F9F6AE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BB8FEC2F-A5AB-4E71-97B3-1C1BE7B6A27C}"/>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5" w:fontKey="{9B6C8887-BB94-47A0-B606-6871739D9B49}"/>
  </w:font>
  <w:font w:name="华文新魏">
    <w:panose1 w:val="02010800040101010101"/>
    <w:charset w:val="86"/>
    <w:family w:val="auto"/>
    <w:pitch w:val="default"/>
    <w:sig w:usb0="00000001" w:usb1="080F0000" w:usb2="00000000" w:usb3="00000000" w:csb0="00040000" w:csb1="00000000"/>
    <w:embedRegular r:id="rId6" w:fontKey="{A6DFF228-E4C6-4294-9565-DBC1E98B0BCF}"/>
  </w:font>
  <w:font w:name="Wingdings 2">
    <w:panose1 w:val="05020102010507070707"/>
    <w:charset w:val="02"/>
    <w:family w:val="roman"/>
    <w:pitch w:val="default"/>
    <w:sig w:usb0="00000000" w:usb1="00000000" w:usb2="00000000" w:usb3="00000000" w:csb0="80000000" w:csb1="00000000"/>
    <w:embedRegular r:id="rId7" w:fontKey="{0C9A2BB3-F882-48A7-AB4E-5747AD8A4294}"/>
  </w:font>
  <w:font w:name="微软雅黑">
    <w:panose1 w:val="020B0503020204020204"/>
    <w:charset w:val="86"/>
    <w:family w:val="auto"/>
    <w:pitch w:val="default"/>
    <w:sig w:usb0="80000287" w:usb1="2ACF3C50" w:usb2="00000016" w:usb3="00000000" w:csb0="0004001F" w:csb1="00000000"/>
    <w:embedRegular r:id="rId8" w:fontKey="{CEA86CBA-2CED-4730-93B2-C8516CA6AA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330B8">
    <w:pPr>
      <w:pStyle w:val="19"/>
      <w:tabs>
        <w:tab w:val="center" w:pos="4439"/>
        <w:tab w:val="clear" w:pos="4153"/>
      </w:tabs>
      <w:jc w:val="both"/>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B841AA">
                          <w:pPr>
                            <w:pStyle w:val="19"/>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xfas8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PF9qzwEAAKoDAAAOAAAAAAAAAAEAIAAAAB4BAABkcnMv&#10;ZTJvRG9jLnhtbFBLBQYAAAAABgAGAFkBAABfBQAAAAA=&#10;">
              <v:fill on="f" focussize="0,0"/>
              <v:stroke on="f"/>
              <v:imagedata o:title=""/>
              <o:lock v:ext="edit" aspectratio="f"/>
              <v:textbox inset="0mm,0mm,0mm,0mm" style="mso-fit-shape-to-text:t;">
                <w:txbxContent>
                  <w:p w14:paraId="71B841AA">
                    <w:pPr>
                      <w:pStyle w:val="1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4EF51">
    <w:pPr>
      <w:pStyle w:val="19"/>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34A1A7"/>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ai988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pqL3zwEAAKoDAAAOAAAAAAAAAAEAIAAAAB4BAABkcnMv&#10;ZTJvRG9jLnhtbFBLBQYAAAAABgAGAFkBAABfBQAAAAA=&#10;">
              <v:fill on="f" focussize="0,0"/>
              <v:stroke on="f"/>
              <v:imagedata o:title=""/>
              <o:lock v:ext="edit" aspectratio="f"/>
              <v:textbox inset="0mm,0mm,0mm,0mm" style="mso-fit-shape-to-text:t;">
                <w:txbxContent>
                  <w:p w14:paraId="1634A1A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365B">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702127">
                          <w:pPr>
                            <w:pStyle w:val="19"/>
                            <w:jc w:val="center"/>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qSs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vl&#10;apkU6gNWVPgQqDQOd35I1VMcKZiIDy3Y9CVKjPKk7/mqrxoik+nSerVel5SSlJsdwikerwfA+FZ5&#10;y5JRc6AHzLqK03uMY+lckro5f6+NobiojPsrQJhjROUtmG4nJuPEyYrDfpho7H1zJnY9bULNHS0+&#10;Z+adI6HT0swGzMZ+No4B9KHLW5W6Y7g9RhopT5o6jLDEMDn0hJnrtG5pR/70c9Xj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cWmpKzwEAAKoDAAAOAAAAAAAAAAEAIAAAAB4BAABkcnMv&#10;ZTJvRG9jLnhtbFBLBQYAAAAABgAGAFkBAABfBQAAAAA=&#10;">
              <v:fill on="f" focussize="0,0"/>
              <v:stroke on="f"/>
              <v:imagedata o:title=""/>
              <o:lock v:ext="edit" aspectratio="f"/>
              <v:textbox inset="0mm,0mm,0mm,0mm" style="mso-fit-shape-to-text:t;">
                <w:txbxContent>
                  <w:p w14:paraId="76702127">
                    <w:pPr>
                      <w:pStyle w:val="19"/>
                      <w:jc w:val="center"/>
                    </w:pPr>
                    <w:r>
                      <w:fldChar w:fldCharType="begin"/>
                    </w:r>
                    <w:r>
                      <w:instrText xml:space="preserve"> PAGE  \* MERGEFORMAT </w:instrText>
                    </w:r>
                    <w:r>
                      <w:fldChar w:fldCharType="separate"/>
                    </w:r>
                    <w:r>
                      <w:t>78</w:t>
                    </w:r>
                    <w:r>
                      <w:fldChar w:fldCharType="end"/>
                    </w:r>
                  </w:p>
                </w:txbxContent>
              </v:textbox>
            </v:shape>
          </w:pict>
        </mc:Fallback>
      </mc:AlternateContent>
    </w:r>
  </w:p>
  <w:p w14:paraId="2E0BC076">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4DB3">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18BA8B">
                          <w:pPr>
                            <w:pStyle w:val="19"/>
                          </w:pPr>
                          <w:r>
                            <w:fldChar w:fldCharType="begin"/>
                          </w:r>
                          <w:r>
                            <w:instrText xml:space="preserve"> PAGE  \* MERGEFORMAT </w:instrText>
                          </w:r>
                          <w:r>
                            <w:fldChar w:fldCharType="separate"/>
                          </w:r>
                          <w:r>
                            <w:t>84</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z9l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DP2XzwEAAKoDAAAOAAAAAAAAAAEAIAAAAB4BAABkcnMv&#10;ZTJvRG9jLnhtbFBLBQYAAAAABgAGAFkBAABfBQAAAAA=&#10;">
              <v:fill on="f" focussize="0,0"/>
              <v:stroke on="f"/>
              <v:imagedata o:title=""/>
              <o:lock v:ext="edit" aspectratio="f"/>
              <v:textbox inset="0mm,0mm,0mm,0mm" style="mso-fit-shape-to-text:t;">
                <w:txbxContent>
                  <w:p w14:paraId="7E18BA8B">
                    <w:pPr>
                      <w:pStyle w:val="1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857B">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6533">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EB273"/>
    <w:multiLevelType w:val="singleLevel"/>
    <w:tmpl w:val="CEFEB273"/>
    <w:lvl w:ilvl="0" w:tentative="0">
      <w:start w:val="1"/>
      <w:numFmt w:val="decimal"/>
      <w:suff w:val="nothing"/>
      <w:lvlText w:val="%1、"/>
      <w:lvlJc w:val="left"/>
    </w:lvl>
  </w:abstractNum>
  <w:abstractNum w:abstractNumId="1">
    <w:nsid w:val="4B63EC45"/>
    <w:multiLevelType w:val="singleLevel"/>
    <w:tmpl w:val="4B63EC45"/>
    <w:lvl w:ilvl="0" w:tentative="0">
      <w:start w:val="1"/>
      <w:numFmt w:val="decimal"/>
      <w:suff w:val="space"/>
      <w:lvlText w:val="%1."/>
      <w:lvlJc w:val="left"/>
    </w:lvl>
  </w:abstractNum>
  <w:abstractNum w:abstractNumId="2">
    <w:nsid w:val="7E009AFE"/>
    <w:multiLevelType w:val="singleLevel"/>
    <w:tmpl w:val="7E009AF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N2UzMmE5M2M0ZmRjMGUxMjY2YmY5M2Q4YzU0OTcifQ=="/>
  </w:docVars>
  <w:rsids>
    <w:rsidRoot w:val="00F34B14"/>
    <w:rsid w:val="000002E0"/>
    <w:rsid w:val="00000672"/>
    <w:rsid w:val="00000F29"/>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CFB"/>
    <w:rsid w:val="001D1A0D"/>
    <w:rsid w:val="001D343C"/>
    <w:rsid w:val="001D4405"/>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1AEB"/>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0D9"/>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A6E"/>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5E2B"/>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56AC"/>
    <w:rsid w:val="0073792F"/>
    <w:rsid w:val="00737A15"/>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D7A3C"/>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2B44"/>
    <w:rsid w:val="008838AD"/>
    <w:rsid w:val="00885210"/>
    <w:rsid w:val="00885BC9"/>
    <w:rsid w:val="008864B3"/>
    <w:rsid w:val="008865E5"/>
    <w:rsid w:val="008871B0"/>
    <w:rsid w:val="00890B57"/>
    <w:rsid w:val="008916BA"/>
    <w:rsid w:val="00891795"/>
    <w:rsid w:val="0089217C"/>
    <w:rsid w:val="00892790"/>
    <w:rsid w:val="00893671"/>
    <w:rsid w:val="00895838"/>
    <w:rsid w:val="00895A1E"/>
    <w:rsid w:val="00895A72"/>
    <w:rsid w:val="00895CDF"/>
    <w:rsid w:val="00896679"/>
    <w:rsid w:val="008967E3"/>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309"/>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04F"/>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03C"/>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188"/>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6D4D"/>
    <w:rsid w:val="00A575B8"/>
    <w:rsid w:val="00A619BB"/>
    <w:rsid w:val="00A61C60"/>
    <w:rsid w:val="00A61ECB"/>
    <w:rsid w:val="00A6410C"/>
    <w:rsid w:val="00A647B1"/>
    <w:rsid w:val="00A64DEF"/>
    <w:rsid w:val="00A654D2"/>
    <w:rsid w:val="00A665DF"/>
    <w:rsid w:val="00A67FCC"/>
    <w:rsid w:val="00A705F5"/>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246D"/>
    <w:rsid w:val="00A92CCA"/>
    <w:rsid w:val="00A93BD0"/>
    <w:rsid w:val="00A93CC2"/>
    <w:rsid w:val="00A94D4B"/>
    <w:rsid w:val="00A974CC"/>
    <w:rsid w:val="00A97889"/>
    <w:rsid w:val="00AA05FB"/>
    <w:rsid w:val="00AA2001"/>
    <w:rsid w:val="00AA2B5C"/>
    <w:rsid w:val="00AA32D2"/>
    <w:rsid w:val="00AA3B8B"/>
    <w:rsid w:val="00AA4016"/>
    <w:rsid w:val="00AA4C1F"/>
    <w:rsid w:val="00AA5328"/>
    <w:rsid w:val="00AA5393"/>
    <w:rsid w:val="00AA63D4"/>
    <w:rsid w:val="00AA7A21"/>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A74"/>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909"/>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4BC"/>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75B6"/>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32D"/>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D7DB0"/>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06F1"/>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B54"/>
    <w:rsid w:val="00E6402D"/>
    <w:rsid w:val="00E6680A"/>
    <w:rsid w:val="00E66F0D"/>
    <w:rsid w:val="00E70615"/>
    <w:rsid w:val="00E7161E"/>
    <w:rsid w:val="00E7207B"/>
    <w:rsid w:val="00E72DCE"/>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DA4"/>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2F7"/>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221F"/>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78E5"/>
    <w:rsid w:val="012C5FAF"/>
    <w:rsid w:val="01551C3E"/>
    <w:rsid w:val="01AF3D99"/>
    <w:rsid w:val="02186FF2"/>
    <w:rsid w:val="02511F9D"/>
    <w:rsid w:val="02897931"/>
    <w:rsid w:val="03A314B8"/>
    <w:rsid w:val="03D82B98"/>
    <w:rsid w:val="03F83E8B"/>
    <w:rsid w:val="049C4157"/>
    <w:rsid w:val="05C56868"/>
    <w:rsid w:val="06013577"/>
    <w:rsid w:val="071A1E83"/>
    <w:rsid w:val="07A539BD"/>
    <w:rsid w:val="07B72767"/>
    <w:rsid w:val="08077E72"/>
    <w:rsid w:val="08882DD0"/>
    <w:rsid w:val="09CC2AAC"/>
    <w:rsid w:val="09CE712C"/>
    <w:rsid w:val="09E16F33"/>
    <w:rsid w:val="0A652D3E"/>
    <w:rsid w:val="0B326F2A"/>
    <w:rsid w:val="0B71018C"/>
    <w:rsid w:val="0B882945"/>
    <w:rsid w:val="0C1E2888"/>
    <w:rsid w:val="0C92213C"/>
    <w:rsid w:val="0CC2027E"/>
    <w:rsid w:val="0D84032B"/>
    <w:rsid w:val="0F2A74C4"/>
    <w:rsid w:val="0FD91C66"/>
    <w:rsid w:val="10A27F31"/>
    <w:rsid w:val="11927058"/>
    <w:rsid w:val="120E171E"/>
    <w:rsid w:val="122F7A1A"/>
    <w:rsid w:val="13AF4F03"/>
    <w:rsid w:val="14736E66"/>
    <w:rsid w:val="147F458F"/>
    <w:rsid w:val="14A1067C"/>
    <w:rsid w:val="1534169A"/>
    <w:rsid w:val="15B14D7D"/>
    <w:rsid w:val="15C03E03"/>
    <w:rsid w:val="15F946AE"/>
    <w:rsid w:val="162A25EB"/>
    <w:rsid w:val="16735895"/>
    <w:rsid w:val="16FD2A55"/>
    <w:rsid w:val="17067C1A"/>
    <w:rsid w:val="17366761"/>
    <w:rsid w:val="177C01F0"/>
    <w:rsid w:val="179E3EFA"/>
    <w:rsid w:val="17CE6630"/>
    <w:rsid w:val="19A3312C"/>
    <w:rsid w:val="1AFF0AFE"/>
    <w:rsid w:val="1B4F19F8"/>
    <w:rsid w:val="1C995450"/>
    <w:rsid w:val="1ECC44FA"/>
    <w:rsid w:val="1F063325"/>
    <w:rsid w:val="1F2255DF"/>
    <w:rsid w:val="1FBC5DF5"/>
    <w:rsid w:val="1FF90588"/>
    <w:rsid w:val="20C3623F"/>
    <w:rsid w:val="21781212"/>
    <w:rsid w:val="21B83F86"/>
    <w:rsid w:val="221178A8"/>
    <w:rsid w:val="221213CF"/>
    <w:rsid w:val="22327A92"/>
    <w:rsid w:val="22CB5F4B"/>
    <w:rsid w:val="231D53A2"/>
    <w:rsid w:val="236D5383"/>
    <w:rsid w:val="23B7504C"/>
    <w:rsid w:val="24571307"/>
    <w:rsid w:val="25110A2A"/>
    <w:rsid w:val="256C0944"/>
    <w:rsid w:val="25A33267"/>
    <w:rsid w:val="26446DE3"/>
    <w:rsid w:val="26877DFE"/>
    <w:rsid w:val="269669E7"/>
    <w:rsid w:val="26A270C1"/>
    <w:rsid w:val="26D7699F"/>
    <w:rsid w:val="276BB53D"/>
    <w:rsid w:val="27E171C2"/>
    <w:rsid w:val="27FC67EB"/>
    <w:rsid w:val="2803315A"/>
    <w:rsid w:val="29D75F7F"/>
    <w:rsid w:val="2A7B7A11"/>
    <w:rsid w:val="2B774624"/>
    <w:rsid w:val="2C7A72BE"/>
    <w:rsid w:val="2C9A7D75"/>
    <w:rsid w:val="2CC17412"/>
    <w:rsid w:val="2D7C1E99"/>
    <w:rsid w:val="2E9976CE"/>
    <w:rsid w:val="2EF01DEE"/>
    <w:rsid w:val="2F401D3C"/>
    <w:rsid w:val="2F5B24E1"/>
    <w:rsid w:val="2FA95C88"/>
    <w:rsid w:val="3041370F"/>
    <w:rsid w:val="30B87FED"/>
    <w:rsid w:val="312B50A3"/>
    <w:rsid w:val="31894FD2"/>
    <w:rsid w:val="32453A27"/>
    <w:rsid w:val="3263064A"/>
    <w:rsid w:val="32A43132"/>
    <w:rsid w:val="32AC0C06"/>
    <w:rsid w:val="33344EF5"/>
    <w:rsid w:val="3537750C"/>
    <w:rsid w:val="3537798C"/>
    <w:rsid w:val="35C13FC9"/>
    <w:rsid w:val="36372B05"/>
    <w:rsid w:val="364257B6"/>
    <w:rsid w:val="37EA5922"/>
    <w:rsid w:val="38276B93"/>
    <w:rsid w:val="382E58B8"/>
    <w:rsid w:val="38AC3431"/>
    <w:rsid w:val="392F2E16"/>
    <w:rsid w:val="39E00529"/>
    <w:rsid w:val="3A005F5D"/>
    <w:rsid w:val="3A0B64A7"/>
    <w:rsid w:val="3A574DDA"/>
    <w:rsid w:val="3A727CBB"/>
    <w:rsid w:val="3AD3075A"/>
    <w:rsid w:val="3AF74C02"/>
    <w:rsid w:val="3C0059A5"/>
    <w:rsid w:val="3C134E78"/>
    <w:rsid w:val="3DF6345D"/>
    <w:rsid w:val="3E052EE6"/>
    <w:rsid w:val="3E2B5515"/>
    <w:rsid w:val="3E4D4F28"/>
    <w:rsid w:val="3ED92EC4"/>
    <w:rsid w:val="3EE13701"/>
    <w:rsid w:val="3F1A4BB3"/>
    <w:rsid w:val="3F3F6B7E"/>
    <w:rsid w:val="40192BA6"/>
    <w:rsid w:val="41766EA9"/>
    <w:rsid w:val="41BE78C8"/>
    <w:rsid w:val="42550A18"/>
    <w:rsid w:val="426329EC"/>
    <w:rsid w:val="429D496A"/>
    <w:rsid w:val="42B10935"/>
    <w:rsid w:val="42F473A1"/>
    <w:rsid w:val="437217EA"/>
    <w:rsid w:val="43AB7156"/>
    <w:rsid w:val="441E62C0"/>
    <w:rsid w:val="45325D14"/>
    <w:rsid w:val="45811C7C"/>
    <w:rsid w:val="45906116"/>
    <w:rsid w:val="45931B8C"/>
    <w:rsid w:val="45EF2552"/>
    <w:rsid w:val="4623283E"/>
    <w:rsid w:val="468B3EFB"/>
    <w:rsid w:val="470A6193"/>
    <w:rsid w:val="47385210"/>
    <w:rsid w:val="475510F8"/>
    <w:rsid w:val="47DC4F5C"/>
    <w:rsid w:val="48B40671"/>
    <w:rsid w:val="48E02A3D"/>
    <w:rsid w:val="499B5738"/>
    <w:rsid w:val="499F244D"/>
    <w:rsid w:val="4A694411"/>
    <w:rsid w:val="4A973F3F"/>
    <w:rsid w:val="4AF96BC7"/>
    <w:rsid w:val="4B862A85"/>
    <w:rsid w:val="4BA86395"/>
    <w:rsid w:val="4CEF36E2"/>
    <w:rsid w:val="4CEF4DC5"/>
    <w:rsid w:val="4E257655"/>
    <w:rsid w:val="4F372380"/>
    <w:rsid w:val="4F372FFB"/>
    <w:rsid w:val="4F81606E"/>
    <w:rsid w:val="4FCE286B"/>
    <w:rsid w:val="5025116D"/>
    <w:rsid w:val="52395ECD"/>
    <w:rsid w:val="52C10D75"/>
    <w:rsid w:val="53C27FF8"/>
    <w:rsid w:val="54806794"/>
    <w:rsid w:val="549E1A80"/>
    <w:rsid w:val="54C658F4"/>
    <w:rsid w:val="550C4BD7"/>
    <w:rsid w:val="554C1D56"/>
    <w:rsid w:val="55572986"/>
    <w:rsid w:val="565340FA"/>
    <w:rsid w:val="56AD5F59"/>
    <w:rsid w:val="56C60774"/>
    <w:rsid w:val="57B12A52"/>
    <w:rsid w:val="58807091"/>
    <w:rsid w:val="58D00BF8"/>
    <w:rsid w:val="58FB010F"/>
    <w:rsid w:val="5A2F2CC8"/>
    <w:rsid w:val="5C10702D"/>
    <w:rsid w:val="5C152601"/>
    <w:rsid w:val="5C591F03"/>
    <w:rsid w:val="5C6471B6"/>
    <w:rsid w:val="5C8A1B2F"/>
    <w:rsid w:val="5E587A85"/>
    <w:rsid w:val="5F561B72"/>
    <w:rsid w:val="5FC36C32"/>
    <w:rsid w:val="606007BB"/>
    <w:rsid w:val="60AC7F66"/>
    <w:rsid w:val="60CC14D8"/>
    <w:rsid w:val="61BF10D9"/>
    <w:rsid w:val="61C40EDD"/>
    <w:rsid w:val="62AC22DC"/>
    <w:rsid w:val="638C0CD4"/>
    <w:rsid w:val="63A22BFD"/>
    <w:rsid w:val="64E45EF7"/>
    <w:rsid w:val="64F828B0"/>
    <w:rsid w:val="6691014E"/>
    <w:rsid w:val="669A2362"/>
    <w:rsid w:val="66C87CCE"/>
    <w:rsid w:val="677435B2"/>
    <w:rsid w:val="67EF75F1"/>
    <w:rsid w:val="682D323D"/>
    <w:rsid w:val="684F4F11"/>
    <w:rsid w:val="69124F16"/>
    <w:rsid w:val="691554E2"/>
    <w:rsid w:val="692E6308"/>
    <w:rsid w:val="69CD5C14"/>
    <w:rsid w:val="69CF0D33"/>
    <w:rsid w:val="6ACB27E3"/>
    <w:rsid w:val="6AFE6E8D"/>
    <w:rsid w:val="6B9946B3"/>
    <w:rsid w:val="6BE518DA"/>
    <w:rsid w:val="6C276F3A"/>
    <w:rsid w:val="6C7007C7"/>
    <w:rsid w:val="6D2F7198"/>
    <w:rsid w:val="6DAE47DB"/>
    <w:rsid w:val="6DE76850"/>
    <w:rsid w:val="6E5777D1"/>
    <w:rsid w:val="6FB20BD4"/>
    <w:rsid w:val="6FB27861"/>
    <w:rsid w:val="6FBA59BE"/>
    <w:rsid w:val="70296B3E"/>
    <w:rsid w:val="70611204"/>
    <w:rsid w:val="7165620F"/>
    <w:rsid w:val="717039F8"/>
    <w:rsid w:val="719C05EE"/>
    <w:rsid w:val="726B6263"/>
    <w:rsid w:val="73315426"/>
    <w:rsid w:val="748D6DC9"/>
    <w:rsid w:val="74D13AD5"/>
    <w:rsid w:val="74FA2C30"/>
    <w:rsid w:val="754D5C4B"/>
    <w:rsid w:val="76287800"/>
    <w:rsid w:val="767B19D2"/>
    <w:rsid w:val="76C240A7"/>
    <w:rsid w:val="76DA416A"/>
    <w:rsid w:val="775246B7"/>
    <w:rsid w:val="77746971"/>
    <w:rsid w:val="781E69D1"/>
    <w:rsid w:val="7901747F"/>
    <w:rsid w:val="79C32FEF"/>
    <w:rsid w:val="7A263B6B"/>
    <w:rsid w:val="7A3A2CC5"/>
    <w:rsid w:val="7AF46346"/>
    <w:rsid w:val="7B0F5EBF"/>
    <w:rsid w:val="7B130FB9"/>
    <w:rsid w:val="7B182257"/>
    <w:rsid w:val="7BD71E38"/>
    <w:rsid w:val="7BDC35EE"/>
    <w:rsid w:val="7BF64EDE"/>
    <w:rsid w:val="7C400C1E"/>
    <w:rsid w:val="7C675328"/>
    <w:rsid w:val="7D9E45FB"/>
    <w:rsid w:val="7DD11708"/>
    <w:rsid w:val="7DEE4A4F"/>
    <w:rsid w:val="7E84486C"/>
    <w:rsid w:val="7EAE6230"/>
    <w:rsid w:val="7EBD579E"/>
    <w:rsid w:val="7EC167BD"/>
    <w:rsid w:val="7F272D9E"/>
    <w:rsid w:val="D03F0CC5"/>
    <w:rsid w:val="DF7B312A"/>
    <w:rsid w:val="FFAD56E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34"/>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beforeLines="0" w:after="64" w:afterLines="0" w:line="320" w:lineRule="auto"/>
      <w:outlineLvl w:val="5"/>
    </w:pPr>
    <w:rPr>
      <w:rFonts w:ascii="Calibri Light" w:hAnsi="Calibri Light"/>
      <w:b/>
      <w:bCs/>
      <w:sz w:val="24"/>
    </w:rPr>
  </w:style>
  <w:style w:type="paragraph" w:styleId="9">
    <w:name w:val="heading 8"/>
    <w:basedOn w:val="1"/>
    <w:next w:val="1"/>
    <w:link w:val="35"/>
    <w:qFormat/>
    <w:uiPriority w:val="9"/>
    <w:pPr>
      <w:keepNext/>
      <w:keepLines/>
      <w:spacing w:before="240" w:after="64" w:line="320" w:lineRule="auto"/>
      <w:outlineLvl w:val="7"/>
    </w:pPr>
    <w:rPr>
      <w:rFonts w:ascii="等线 Light" w:hAnsi="等线 Light" w:eastAsia="等线 Light"/>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unhideWhenUsed/>
    <w:qFormat/>
    <w:uiPriority w:val="0"/>
    <w:pPr>
      <w:spacing w:after="120"/>
    </w:pPr>
  </w:style>
  <w:style w:type="paragraph" w:styleId="7">
    <w:name w:val="Normal Indent"/>
    <w:basedOn w:val="1"/>
    <w:qFormat/>
    <w:uiPriority w:val="0"/>
    <w:pPr>
      <w:ind w:firstLine="420"/>
    </w:pPr>
    <w:rPr>
      <w:szCs w:val="20"/>
    </w:rPr>
  </w:style>
  <w:style w:type="paragraph" w:styleId="10">
    <w:name w:val="table of authorities"/>
    <w:basedOn w:val="1"/>
    <w:next w:val="1"/>
    <w:unhideWhenUsed/>
    <w:qFormat/>
    <w:uiPriority w:val="0"/>
    <w:pPr>
      <w:spacing w:line="560" w:lineRule="exact"/>
      <w:ind w:left="420" w:leftChars="200"/>
    </w:pPr>
    <w:rPr>
      <w:rFonts w:ascii="Times New Roman" w:hAnsi="Times New Roman" w:eastAsia="宋体" w:cs="Times New Roman"/>
    </w:r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annotation text"/>
    <w:basedOn w:val="1"/>
    <w:link w:val="36"/>
    <w:qFormat/>
    <w:uiPriority w:val="0"/>
    <w:pPr>
      <w:jc w:val="left"/>
    </w:pPr>
  </w:style>
  <w:style w:type="paragraph" w:styleId="13">
    <w:name w:val="Body Text 3"/>
    <w:basedOn w:val="1"/>
    <w:link w:val="37"/>
    <w:unhideWhenUsed/>
    <w:qFormat/>
    <w:uiPriority w:val="99"/>
    <w:pPr>
      <w:spacing w:after="120"/>
    </w:pPr>
    <w:rPr>
      <w:sz w:val="16"/>
      <w:szCs w:val="16"/>
    </w:rPr>
  </w:style>
  <w:style w:type="paragraph" w:styleId="14">
    <w:name w:val="Body Text Indent"/>
    <w:basedOn w:val="1"/>
    <w:link w:val="39"/>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next w:val="5"/>
    <w:link w:val="40"/>
    <w:qFormat/>
    <w:uiPriority w:val="0"/>
    <w:rPr>
      <w:rFonts w:ascii="宋体" w:hAnsi="Courier New"/>
      <w:kern w:val="0"/>
      <w:sz w:val="20"/>
      <w:szCs w:val="21"/>
    </w:rPr>
  </w:style>
  <w:style w:type="paragraph" w:styleId="17">
    <w:name w:val="Date"/>
    <w:basedOn w:val="1"/>
    <w:next w:val="1"/>
    <w:link w:val="41"/>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link w:val="42"/>
    <w:unhideWhenUsed/>
    <w:qFormat/>
    <w:uiPriority w:val="99"/>
    <w:pPr>
      <w:tabs>
        <w:tab w:val="center" w:pos="4153"/>
        <w:tab w:val="right" w:pos="8306"/>
      </w:tabs>
      <w:snapToGrid w:val="0"/>
      <w:jc w:val="left"/>
    </w:pPr>
    <w:rPr>
      <w:kern w:val="0"/>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99"/>
    <w:rPr>
      <w:rFonts w:ascii="Calibri" w:hAnsi="Calibri"/>
      <w:kern w:val="0"/>
      <w:sz w:val="24"/>
    </w:rPr>
  </w:style>
  <w:style w:type="paragraph" w:styleId="24">
    <w:name w:val="annotation subject"/>
    <w:basedOn w:val="12"/>
    <w:next w:val="12"/>
    <w:link w:val="44"/>
    <w:qFormat/>
    <w:uiPriority w:val="99"/>
    <w:rPr>
      <w:b/>
      <w:bCs/>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endnote reference"/>
    <w:unhideWhenUsed/>
    <w:qFormat/>
    <w:uiPriority w:val="99"/>
    <w:rPr>
      <w:vertAlign w:val="superscript"/>
    </w:rPr>
  </w:style>
  <w:style w:type="character" w:styleId="29">
    <w:name w:val="Hyperlink"/>
    <w:unhideWhenUsed/>
    <w:qFormat/>
    <w:uiPriority w:val="99"/>
    <w:rPr>
      <w:color w:val="0000FF"/>
      <w:u w:val="single"/>
    </w:rPr>
  </w:style>
  <w:style w:type="character" w:styleId="30">
    <w:name w:val="annotation reference"/>
    <w:qFormat/>
    <w:uiPriority w:val="0"/>
    <w:rPr>
      <w:sz w:val="21"/>
      <w:szCs w:val="21"/>
    </w:rPr>
  </w:style>
  <w:style w:type="paragraph" w:customStyle="1" w:styleId="31">
    <w:name w:val="首行缩进"/>
    <w:basedOn w:val="1"/>
    <w:qFormat/>
    <w:uiPriority w:val="99"/>
    <w:pPr>
      <w:ind w:firstLine="480" w:firstLineChars="200"/>
    </w:pPr>
    <w:rPr>
      <w:lang w:val="zh-CN"/>
    </w:rPr>
  </w:style>
  <w:style w:type="character" w:customStyle="1" w:styleId="32">
    <w:name w:val="标题 1 Char"/>
    <w:link w:val="3"/>
    <w:qFormat/>
    <w:uiPriority w:val="9"/>
    <w:rPr>
      <w:b/>
      <w:bCs/>
      <w:kern w:val="44"/>
      <w:sz w:val="44"/>
      <w:szCs w:val="44"/>
    </w:rPr>
  </w:style>
  <w:style w:type="character" w:customStyle="1" w:styleId="33">
    <w:name w:val="标题 2 Char1"/>
    <w:link w:val="4"/>
    <w:qFormat/>
    <w:uiPriority w:val="9"/>
    <w:rPr>
      <w:rFonts w:ascii="Cambria" w:hAnsi="Cambria" w:eastAsia="宋体" w:cs="Times New Roman"/>
      <w:b/>
      <w:bCs/>
      <w:kern w:val="2"/>
      <w:sz w:val="32"/>
      <w:szCs w:val="32"/>
    </w:rPr>
  </w:style>
  <w:style w:type="character" w:customStyle="1" w:styleId="34">
    <w:name w:val="标题 5 Char"/>
    <w:link w:val="6"/>
    <w:semiHidden/>
    <w:qFormat/>
    <w:uiPriority w:val="9"/>
    <w:rPr>
      <w:rFonts w:ascii="Times New Roman" w:hAnsi="Times New Roman"/>
      <w:b/>
      <w:bCs/>
      <w:kern w:val="2"/>
      <w:sz w:val="28"/>
      <w:szCs w:val="28"/>
    </w:rPr>
  </w:style>
  <w:style w:type="character" w:customStyle="1" w:styleId="35">
    <w:name w:val="标题 8 Char1"/>
    <w:link w:val="9"/>
    <w:semiHidden/>
    <w:qFormat/>
    <w:uiPriority w:val="9"/>
    <w:rPr>
      <w:rFonts w:ascii="等线 Light" w:hAnsi="等线 Light" w:eastAsia="等线 Light" w:cs="Times New Roman"/>
      <w:kern w:val="2"/>
      <w:sz w:val="24"/>
      <w:szCs w:val="24"/>
    </w:rPr>
  </w:style>
  <w:style w:type="character" w:customStyle="1" w:styleId="36">
    <w:name w:val="批注文字 Char1"/>
    <w:link w:val="12"/>
    <w:qFormat/>
    <w:uiPriority w:val="0"/>
    <w:rPr>
      <w:rFonts w:ascii="Times New Roman" w:hAnsi="Times New Roman"/>
      <w:kern w:val="2"/>
      <w:sz w:val="21"/>
      <w:szCs w:val="24"/>
    </w:rPr>
  </w:style>
  <w:style w:type="character" w:customStyle="1" w:styleId="37">
    <w:name w:val="正文文本 3 Char"/>
    <w:link w:val="13"/>
    <w:semiHidden/>
    <w:qFormat/>
    <w:uiPriority w:val="99"/>
    <w:rPr>
      <w:kern w:val="2"/>
      <w:sz w:val="16"/>
      <w:szCs w:val="16"/>
    </w:rPr>
  </w:style>
  <w:style w:type="character" w:customStyle="1" w:styleId="38">
    <w:name w:val="正文文本 Char1"/>
    <w:link w:val="2"/>
    <w:qFormat/>
    <w:uiPriority w:val="0"/>
    <w:rPr>
      <w:rFonts w:ascii="Times New Roman" w:hAnsi="Times New Roman"/>
      <w:kern w:val="2"/>
      <w:sz w:val="21"/>
      <w:szCs w:val="24"/>
    </w:rPr>
  </w:style>
  <w:style w:type="character" w:customStyle="1" w:styleId="39">
    <w:name w:val="正文文本缩进 Char"/>
    <w:link w:val="14"/>
    <w:qFormat/>
    <w:uiPriority w:val="0"/>
    <w:rPr>
      <w:rFonts w:ascii="仿宋_GB2312" w:hAnsi="Times New Roman" w:eastAsia="仿宋_GB2312" w:cs="Times New Roman"/>
      <w:sz w:val="32"/>
      <w:szCs w:val="20"/>
    </w:rPr>
  </w:style>
  <w:style w:type="character" w:customStyle="1" w:styleId="40">
    <w:name w:val="纯文本 Char1"/>
    <w:link w:val="16"/>
    <w:qFormat/>
    <w:uiPriority w:val="0"/>
    <w:rPr>
      <w:rFonts w:ascii="宋体" w:hAnsi="Courier New" w:eastAsia="宋体" w:cs="Courier New"/>
      <w:szCs w:val="21"/>
    </w:rPr>
  </w:style>
  <w:style w:type="character" w:customStyle="1" w:styleId="41">
    <w:name w:val="日期 Char"/>
    <w:link w:val="17"/>
    <w:semiHidden/>
    <w:qFormat/>
    <w:uiPriority w:val="99"/>
    <w:rPr>
      <w:rFonts w:ascii="Times New Roman" w:hAnsi="Times New Roman"/>
      <w:kern w:val="2"/>
      <w:sz w:val="21"/>
      <w:szCs w:val="24"/>
    </w:rPr>
  </w:style>
  <w:style w:type="character" w:customStyle="1" w:styleId="42">
    <w:name w:val="页脚 Char"/>
    <w:link w:val="19"/>
    <w:qFormat/>
    <w:uiPriority w:val="99"/>
    <w:rPr>
      <w:sz w:val="18"/>
      <w:szCs w:val="18"/>
    </w:rPr>
  </w:style>
  <w:style w:type="character" w:customStyle="1" w:styleId="43">
    <w:name w:val="页眉 Char"/>
    <w:link w:val="20"/>
    <w:qFormat/>
    <w:uiPriority w:val="99"/>
    <w:rPr>
      <w:sz w:val="18"/>
      <w:szCs w:val="18"/>
    </w:rPr>
  </w:style>
  <w:style w:type="character" w:customStyle="1" w:styleId="44">
    <w:name w:val="批注主题 Char"/>
    <w:link w:val="24"/>
    <w:qFormat/>
    <w:uiPriority w:val="99"/>
    <w:rPr>
      <w:rFonts w:ascii="Times New Roman" w:hAnsi="Times New Roman"/>
      <w:b/>
      <w:bCs/>
      <w:kern w:val="2"/>
      <w:sz w:val="21"/>
      <w:szCs w:val="24"/>
    </w:rPr>
  </w:style>
  <w:style w:type="character" w:customStyle="1" w:styleId="45">
    <w:name w:val="标题 1 字符1"/>
    <w:qFormat/>
    <w:uiPriority w:val="0"/>
    <w:rPr>
      <w:b/>
      <w:bCs/>
      <w:kern w:val="44"/>
      <w:sz w:val="44"/>
      <w:szCs w:val="44"/>
    </w:rPr>
  </w:style>
  <w:style w:type="character" w:customStyle="1" w:styleId="46">
    <w:name w:val="textcontents"/>
    <w:qFormat/>
    <w:uiPriority w:val="0"/>
  </w:style>
  <w:style w:type="character" w:customStyle="1" w:styleId="47">
    <w:name w:val="批注文字 Char"/>
    <w:qFormat/>
    <w:uiPriority w:val="0"/>
    <w:rPr>
      <w:rFonts w:ascii="Times New Roman" w:hAnsi="Times New Roman"/>
      <w:kern w:val="2"/>
      <w:sz w:val="21"/>
      <w:szCs w:val="24"/>
    </w:rPr>
  </w:style>
  <w:style w:type="character" w:customStyle="1" w:styleId="48">
    <w:name w:val="纯文本 字符"/>
    <w:qFormat/>
    <w:uiPriority w:val="0"/>
    <w:rPr>
      <w:rFonts w:ascii="宋体" w:hAnsi="Courier New" w:eastAsia="宋体" w:cs="Courier New"/>
      <w:szCs w:val="21"/>
    </w:rPr>
  </w:style>
  <w:style w:type="character" w:customStyle="1" w:styleId="49">
    <w:name w:val="纯文本 Char"/>
    <w:qFormat/>
    <w:uiPriority w:val="0"/>
    <w:rPr>
      <w:rFonts w:ascii="宋体" w:hAnsi="Courier New" w:eastAsia="宋体" w:cs="Courier New"/>
      <w:szCs w:val="21"/>
    </w:rPr>
  </w:style>
  <w:style w:type="character" w:customStyle="1" w:styleId="50">
    <w:name w:val="纯文本 字符2"/>
    <w:qFormat/>
    <w:uiPriority w:val="0"/>
    <w:rPr>
      <w:rFonts w:ascii="宋体" w:hAnsi="Courier New" w:eastAsia="宋体" w:cs="Courier New"/>
      <w:szCs w:val="21"/>
    </w:rPr>
  </w:style>
  <w:style w:type="character" w:customStyle="1" w:styleId="51">
    <w:name w:val="批注文字 字符1"/>
    <w:qFormat/>
    <w:uiPriority w:val="0"/>
    <w:rPr>
      <w:rFonts w:ascii="Times New Roman" w:hAnsi="Times New Roman"/>
      <w:kern w:val="2"/>
      <w:sz w:val="21"/>
      <w:szCs w:val="24"/>
    </w:rPr>
  </w:style>
  <w:style w:type="character" w:customStyle="1" w:styleId="5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3">
    <w:name w:val="纯文本 字符1"/>
    <w:qFormat/>
    <w:uiPriority w:val="0"/>
    <w:rPr>
      <w:rFonts w:ascii="宋体" w:hAnsi="Courier New"/>
    </w:rPr>
  </w:style>
  <w:style w:type="character" w:customStyle="1" w:styleId="54">
    <w:name w:val="正文文本 Char"/>
    <w:qFormat/>
    <w:uiPriority w:val="99"/>
    <w:rPr>
      <w:rFonts w:ascii="Times New Roman" w:hAnsi="Times New Roman"/>
      <w:kern w:val="2"/>
      <w:sz w:val="21"/>
      <w:szCs w:val="24"/>
    </w:rPr>
  </w:style>
  <w:style w:type="character" w:customStyle="1" w:styleId="55">
    <w:name w:val="批注文字 字符"/>
    <w:qFormat/>
    <w:uiPriority w:val="0"/>
    <w:rPr>
      <w:rFonts w:ascii="Times New Roman" w:hAnsi="Times New Roman"/>
      <w:kern w:val="2"/>
      <w:sz w:val="21"/>
      <w:szCs w:val="24"/>
    </w:rPr>
  </w:style>
  <w:style w:type="character" w:customStyle="1" w:styleId="56">
    <w:name w:val="标题 2 Char"/>
    <w:qFormat/>
    <w:uiPriority w:val="9"/>
    <w:rPr>
      <w:rFonts w:ascii="Cambria" w:hAnsi="Cambria" w:eastAsia="宋体" w:cs="Times New Roman"/>
      <w:b/>
      <w:bCs/>
      <w:kern w:val="2"/>
      <w:sz w:val="32"/>
      <w:szCs w:val="32"/>
    </w:rPr>
  </w:style>
  <w:style w:type="character" w:customStyle="1" w:styleId="57">
    <w:name w:val="标题 8 Char"/>
    <w:qFormat/>
    <w:uiPriority w:val="0"/>
    <w:rPr>
      <w:rFonts w:ascii="Arial" w:hAnsi="Arial" w:eastAsia="黑体"/>
      <w:kern w:val="2"/>
      <w:sz w:val="24"/>
      <w:szCs w:val="24"/>
    </w:rPr>
  </w:style>
  <w:style w:type="character" w:customStyle="1" w:styleId="58">
    <w:name w:val="apple-style-span"/>
    <w:qFormat/>
    <w:uiPriority w:val="0"/>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1">
    <w:name w:val="List Paragraph"/>
    <w:basedOn w:val="1"/>
    <w:qFormat/>
    <w:uiPriority w:val="34"/>
    <w:pPr>
      <w:ind w:firstLine="420" w:firstLineChars="200"/>
    </w:pPr>
  </w:style>
  <w:style w:type="paragraph" w:customStyle="1" w:styleId="62">
    <w:name w:val="Table Paragraph"/>
    <w:basedOn w:val="1"/>
    <w:qFormat/>
    <w:uiPriority w:val="1"/>
    <w:pPr>
      <w:jc w:val="left"/>
    </w:pPr>
    <w:rPr>
      <w:rFonts w:ascii="Calibri" w:hAnsi="Calibri"/>
      <w:kern w:val="0"/>
      <w:sz w:val="22"/>
      <w:szCs w:val="22"/>
      <w:lang w:eastAsia="en-US"/>
    </w:rPr>
  </w:style>
  <w:style w:type="character" w:customStyle="1" w:styleId="63">
    <w:name w:val="正文文本 字符"/>
    <w:qFormat/>
    <w:uiPriority w:val="0"/>
    <w:rPr>
      <w:rFonts w:ascii="Times New Roman" w:hAnsi="Times New Roman"/>
      <w:kern w:val="2"/>
      <w:sz w:val="21"/>
      <w:szCs w:val="24"/>
    </w:rPr>
  </w:style>
  <w:style w:type="character" w:customStyle="1" w:styleId="64">
    <w:name w:val="批注文字 Char2"/>
    <w:qFormat/>
    <w:uiPriority w:val="0"/>
    <w:rPr>
      <w:rFonts w:ascii="Times New Roman" w:hAnsi="Times New Roman"/>
      <w:kern w:val="2"/>
      <w:sz w:val="21"/>
      <w:szCs w:val="24"/>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paragraph" w:customStyle="1" w:styleId="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8">
    <w:name w:val="列出段落1"/>
    <w:basedOn w:val="1"/>
    <w:qFormat/>
    <w:uiPriority w:val="0"/>
    <w:pPr>
      <w:ind w:firstLine="420" w:firstLineChars="200"/>
    </w:pPr>
    <w:rPr>
      <w:szCs w:val="21"/>
    </w:rPr>
  </w:style>
  <w:style w:type="paragraph" w:customStyle="1" w:styleId="6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0">
    <w:name w:val=" Char"/>
    <w:basedOn w:val="1"/>
    <w:qFormat/>
    <w:uiPriority w:val="0"/>
  </w:style>
  <w:style w:type="character" w:customStyle="1" w:styleId="71">
    <w:name w:val="0正文K Char"/>
    <w:link w:val="72"/>
    <w:qFormat/>
    <w:uiPriority w:val="0"/>
    <w:rPr>
      <w:rFonts w:asciiTheme="minorHAnsi" w:hAnsiTheme="minorHAnsi" w:eastAsiaTheme="minorEastAsia" w:cstheme="minorBidi"/>
      <w:color w:val="000000"/>
    </w:rPr>
  </w:style>
  <w:style w:type="paragraph" w:customStyle="1" w:styleId="72">
    <w:name w:val="0正文K"/>
    <w:basedOn w:val="1"/>
    <w:next w:val="73"/>
    <w:link w:val="71"/>
    <w:qFormat/>
    <w:uiPriority w:val="0"/>
    <w:rPr>
      <w:rFonts w:asciiTheme="minorHAnsi" w:hAnsiTheme="minorHAnsi" w:eastAsiaTheme="minorEastAsia" w:cstheme="minorBidi"/>
      <w:color w:val="000000"/>
    </w:rPr>
  </w:style>
  <w:style w:type="paragraph" w:customStyle="1" w:styleId="73">
    <w:name w:val="0正文"/>
    <w:basedOn w:val="1"/>
    <w:qFormat/>
    <w:uiPriority w:val="0"/>
    <w:rPr>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69</Pages>
  <Words>30918</Words>
  <Characters>33011</Characters>
  <Lines>384</Lines>
  <Paragraphs>108</Paragraphs>
  <TotalTime>54</TotalTime>
  <ScaleCrop>false</ScaleCrop>
  <LinksUpToDate>false</LinksUpToDate>
  <CharactersWithSpaces>34343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2024-05-09T08:44:00Z</dcterms:created>
  <dc:creator>唐冰</dc:creator>
  <cp:lastModifiedBy>　　　　　              </cp:lastModifiedBy>
  <cp:lastPrinted>2020-04-03T08:20:00Z</cp:lastPrinted>
  <dcterms:modified xsi:type="dcterms:W3CDTF">2025-05-12T08:57:47Z</dcterms:modified>
  <dc:title>竞争性谈判文件规范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50DE5EDF0B7A46849C7D2AA295F9197C_13</vt:lpwstr>
  </property>
  <property fmtid="{D5CDD505-2E9C-101B-9397-08002B2CF9AE}" pid="4" name="KSOTemplateDocerSaveRecord">
    <vt:lpwstr>eyJoZGlkIjoiZjNmNGY2YzQwMGUxZTcyMGZkNjhjZTcyOGJmMmVlOGIiLCJ1c2VySWQiOiI4NjM4MjIxMzQifQ==</vt:lpwstr>
  </property>
</Properties>
</file>