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5B56C">
      <w:pPr>
        <w:spacing w:line="360" w:lineRule="auto"/>
        <w:jc w:val="center"/>
        <w:rPr>
          <w:rFonts w:hint="eastAsia" w:ascii="方正小标宋简体" w:hAnsi="宋体" w:eastAsia="方正小标宋简体"/>
          <w:color w:val="auto"/>
          <w:sz w:val="52"/>
          <w:szCs w:val="52"/>
          <w:highlight w:val="none"/>
        </w:rPr>
      </w:pPr>
    </w:p>
    <w:p w14:paraId="69D3FFE7">
      <w:pPr>
        <w:spacing w:line="360" w:lineRule="auto"/>
        <w:jc w:val="center"/>
        <w:rPr>
          <w:rFonts w:ascii="方正小标宋简体" w:hAnsi="宋体" w:eastAsia="方正小标宋简体"/>
          <w:color w:val="auto"/>
          <w:sz w:val="52"/>
          <w:szCs w:val="52"/>
          <w:highlight w:val="none"/>
        </w:rPr>
      </w:pPr>
      <w:r>
        <w:rPr>
          <w:rFonts w:hint="eastAsia" w:ascii="方正小标宋简体" w:hAnsi="宋体" w:eastAsia="方正小标宋简体"/>
          <w:color w:val="auto"/>
          <w:sz w:val="52"/>
          <w:szCs w:val="52"/>
          <w:highlight w:val="none"/>
        </w:rPr>
        <w:t>云之龙咨询集团有限公司</w:t>
      </w:r>
    </w:p>
    <w:p w14:paraId="74E95645">
      <w:pPr>
        <w:spacing w:before="120" w:beforeLines="50" w:line="360" w:lineRule="auto"/>
        <w:jc w:val="center"/>
        <w:rPr>
          <w:rFonts w:ascii="宋体" w:hAnsi="宋体"/>
          <w:color w:val="auto"/>
          <w:sz w:val="52"/>
          <w:szCs w:val="52"/>
          <w:highlight w:val="none"/>
        </w:rPr>
      </w:pPr>
    </w:p>
    <w:p w14:paraId="5D687EAC">
      <w:pPr>
        <w:spacing w:line="360" w:lineRule="auto"/>
        <w:rPr>
          <w:rFonts w:ascii="仿宋_GB2312" w:hAnsi="宋体" w:eastAsia="仿宋_GB2312"/>
          <w:b/>
          <w:color w:val="auto"/>
          <w:sz w:val="48"/>
          <w:szCs w:val="48"/>
          <w:highlight w:val="none"/>
        </w:rPr>
      </w:pPr>
    </w:p>
    <w:p w14:paraId="6CE02C6B">
      <w:pPr>
        <w:snapToGrid w:val="0"/>
        <w:spacing w:before="120" w:beforeLines="50" w:line="360" w:lineRule="auto"/>
        <w:jc w:val="center"/>
        <w:rPr>
          <w:rFonts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招 标 文 件</w:t>
      </w:r>
    </w:p>
    <w:p w14:paraId="7E528ACF">
      <w:pPr>
        <w:snapToGrid w:val="0"/>
        <w:spacing w:before="120" w:beforeLines="50" w:line="360" w:lineRule="auto"/>
        <w:jc w:val="center"/>
        <w:rPr>
          <w:rFonts w:ascii="仿宋_GB2312" w:hAnsi="宋体" w:eastAsia="仿宋_GB2312"/>
          <w:b/>
          <w:color w:val="auto"/>
          <w:sz w:val="48"/>
          <w:szCs w:val="48"/>
          <w:highlight w:val="none"/>
        </w:rPr>
      </w:pPr>
      <w:r>
        <w:rPr>
          <w:rFonts w:hint="eastAsia" w:ascii="仿宋_GB2312" w:hAnsi="宋体" w:eastAsia="仿宋_GB2312"/>
          <w:b/>
          <w:color w:val="auto"/>
          <w:sz w:val="48"/>
          <w:szCs w:val="48"/>
          <w:highlight w:val="none"/>
        </w:rPr>
        <w:t>（全流程电子化采购-远程异地评标）</w:t>
      </w:r>
    </w:p>
    <w:p w14:paraId="0D8F6C47">
      <w:pPr>
        <w:snapToGrid w:val="0"/>
        <w:spacing w:line="360" w:lineRule="auto"/>
        <w:rPr>
          <w:rFonts w:ascii="仿宋_GB2312" w:hAnsi="宋体" w:eastAsia="仿宋_GB2312"/>
          <w:color w:val="auto"/>
          <w:sz w:val="30"/>
          <w:szCs w:val="72"/>
          <w:highlight w:val="none"/>
        </w:rPr>
      </w:pPr>
    </w:p>
    <w:p w14:paraId="553911E4">
      <w:pPr>
        <w:pStyle w:val="26"/>
        <w:snapToGrid w:val="0"/>
        <w:spacing w:line="360" w:lineRule="auto"/>
        <w:rPr>
          <w:rFonts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：梧州市妇幼保健院彩色多普勒超声诊断仪设备采购</w:t>
      </w:r>
    </w:p>
    <w:p w14:paraId="16C17035">
      <w:pPr>
        <w:snapToGrid w:val="0"/>
        <w:spacing w:line="360" w:lineRule="auto"/>
        <w:ind w:firstLine="1145" w:firstLineChars="400"/>
        <w:rPr>
          <w:rFonts w:ascii="仿宋_GB2312" w:hAnsi="宋体" w:eastAsia="仿宋_GB2312"/>
          <w:color w:val="auto"/>
          <w:sz w:val="30"/>
          <w:szCs w:val="72"/>
          <w:highlight w:val="none"/>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 xml:space="preserve">： </w:t>
      </w:r>
      <w:r>
        <w:rPr>
          <w:rFonts w:hint="eastAsia" w:ascii="仿宋_GB2312" w:hAnsi="宋体" w:eastAsia="仿宋_GB2312" w:cs="Courier New"/>
          <w:b/>
          <w:bCs/>
          <w:color w:val="auto"/>
          <w:w w:val="95"/>
          <w:sz w:val="30"/>
          <w:szCs w:val="30"/>
          <w:highlight w:val="none"/>
          <w:lang w:eastAsia="zh-CN"/>
        </w:rPr>
        <w:t>WZZC2024-G1-990617-YZLZ</w:t>
      </w:r>
      <w:r>
        <w:rPr>
          <w:rFonts w:hint="eastAsia" w:ascii="仿宋_GB2312" w:hAnsi="宋体" w:eastAsia="仿宋_GB2312"/>
          <w:b/>
          <w:color w:val="auto"/>
          <w:sz w:val="30"/>
          <w:szCs w:val="48"/>
          <w:highlight w:val="none"/>
        </w:rPr>
        <w:t xml:space="preserve"> </w:t>
      </w:r>
    </w:p>
    <w:p w14:paraId="4D0E52EC">
      <w:pPr>
        <w:pStyle w:val="26"/>
        <w:snapToGrid w:val="0"/>
        <w:spacing w:line="360" w:lineRule="auto"/>
        <w:ind w:firstLine="1125" w:firstLineChars="393"/>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 购 人：梧州市妇幼保健院</w:t>
      </w:r>
    </w:p>
    <w:p w14:paraId="7EA2E308">
      <w:pPr>
        <w:pStyle w:val="26"/>
        <w:snapToGrid w:val="0"/>
        <w:spacing w:line="360" w:lineRule="auto"/>
        <w:ind w:firstLine="1125" w:firstLineChars="393"/>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采购代理机构：云之龙咨询集团有限公司</w:t>
      </w:r>
    </w:p>
    <w:p w14:paraId="6BFC826B">
      <w:pPr>
        <w:pStyle w:val="26"/>
        <w:snapToGrid w:val="0"/>
        <w:spacing w:line="360" w:lineRule="auto"/>
        <w:ind w:firstLine="1125" w:firstLineChars="393"/>
        <w:rPr>
          <w:rFonts w:ascii="仿宋_GB2312" w:hAnsi="宋体" w:eastAsia="仿宋_GB2312"/>
          <w:b/>
          <w:bCs/>
          <w:color w:val="auto"/>
          <w:w w:val="95"/>
          <w:sz w:val="30"/>
          <w:szCs w:val="30"/>
          <w:highlight w:val="none"/>
        </w:rPr>
      </w:pPr>
    </w:p>
    <w:p w14:paraId="4595BF61">
      <w:pPr>
        <w:pStyle w:val="26"/>
        <w:snapToGrid w:val="0"/>
        <w:spacing w:line="360" w:lineRule="auto"/>
        <w:ind w:firstLine="1125" w:firstLineChars="393"/>
        <w:rPr>
          <w:rFonts w:ascii="仿宋_GB2312" w:hAnsi="宋体" w:eastAsia="仿宋_GB2312"/>
          <w:b/>
          <w:bCs/>
          <w:color w:val="auto"/>
          <w:w w:val="95"/>
          <w:sz w:val="30"/>
          <w:szCs w:val="30"/>
          <w:highlight w:val="none"/>
        </w:rPr>
      </w:pPr>
    </w:p>
    <w:p w14:paraId="3EC6EACE">
      <w:pPr>
        <w:pStyle w:val="26"/>
        <w:snapToGrid w:val="0"/>
        <w:spacing w:line="360" w:lineRule="auto"/>
        <w:ind w:firstLine="841" w:firstLineChars="294"/>
        <w:rPr>
          <w:rFonts w:ascii="仿宋_GB2312" w:eastAsia="仿宋_GB2312"/>
          <w:color w:val="auto"/>
          <w:szCs w:val="20"/>
          <w:highlight w:val="none"/>
        </w:rPr>
      </w:pPr>
      <w:r>
        <w:rPr>
          <w:rFonts w:hint="eastAsia" w:ascii="仿宋_GB2312" w:hAnsi="宋体" w:eastAsia="仿宋_GB2312"/>
          <w:b/>
          <w:bCs/>
          <w:color w:val="auto"/>
          <w:w w:val="95"/>
          <w:sz w:val="30"/>
          <w:szCs w:val="30"/>
          <w:highlight w:val="none"/>
        </w:rPr>
        <w:t xml:space="preserve">               2024年</w:t>
      </w:r>
      <w:r>
        <w:rPr>
          <w:rFonts w:hint="eastAsia" w:ascii="仿宋_GB2312" w:hAnsi="宋体" w:eastAsia="仿宋_GB2312"/>
          <w:b/>
          <w:bCs/>
          <w:color w:val="auto"/>
          <w:w w:val="95"/>
          <w:sz w:val="30"/>
          <w:szCs w:val="30"/>
          <w:highlight w:val="none"/>
        </w:rPr>
        <w:t>1</w:t>
      </w:r>
      <w:r>
        <w:rPr>
          <w:rFonts w:hint="eastAsia" w:ascii="仿宋_GB2312" w:hAnsi="宋体" w:eastAsia="仿宋_GB2312"/>
          <w:b/>
          <w:bCs/>
          <w:color w:val="auto"/>
          <w:w w:val="95"/>
          <w:sz w:val="30"/>
          <w:szCs w:val="30"/>
          <w:highlight w:val="none"/>
          <w:lang w:val="en-US" w:eastAsia="zh-CN"/>
        </w:rPr>
        <w:t>2</w:t>
      </w:r>
      <w:r>
        <w:rPr>
          <w:rFonts w:hint="eastAsia" w:ascii="仿宋_GB2312" w:hAnsi="宋体" w:eastAsia="仿宋_GB2312"/>
          <w:b/>
          <w:bCs/>
          <w:color w:val="auto"/>
          <w:w w:val="95"/>
          <w:sz w:val="30"/>
          <w:szCs w:val="30"/>
          <w:highlight w:val="none"/>
        </w:rPr>
        <w:t>月</w:t>
      </w:r>
      <w:r>
        <w:rPr>
          <w:rFonts w:hint="eastAsia" w:ascii="仿宋_GB2312" w:hAnsi="宋体" w:eastAsia="仿宋_GB2312"/>
          <w:b/>
          <w:bCs/>
          <w:color w:val="auto"/>
          <w:w w:val="95"/>
          <w:sz w:val="30"/>
          <w:szCs w:val="30"/>
          <w:highlight w:val="none"/>
          <w:lang w:val="en-US" w:eastAsia="zh-CN"/>
        </w:rPr>
        <w:t>23</w:t>
      </w:r>
      <w:r>
        <w:rPr>
          <w:rFonts w:hint="eastAsia" w:ascii="仿宋_GB2312" w:hAnsi="宋体" w:eastAsia="仿宋_GB2312"/>
          <w:b/>
          <w:bCs/>
          <w:color w:val="auto"/>
          <w:w w:val="95"/>
          <w:sz w:val="30"/>
          <w:szCs w:val="30"/>
          <w:highlight w:val="none"/>
        </w:rPr>
        <w:t>日</w:t>
      </w:r>
    </w:p>
    <w:p w14:paraId="703F5F1F">
      <w:pPr>
        <w:pStyle w:val="19"/>
        <w:ind w:firstLine="803"/>
        <w:jc w:val="center"/>
        <w:rPr>
          <w:rFonts w:ascii="仿宋_GB2312" w:hAnsi="宋体" w:eastAsia="仿宋_GB2312"/>
          <w:color w:val="auto"/>
          <w:highlight w:val="none"/>
        </w:rPr>
      </w:pPr>
      <w:r>
        <w:rPr>
          <w:rFonts w:ascii="Arial" w:hAnsi="Arial" w:eastAsia="黑体"/>
          <w:bCs/>
          <w:color w:val="auto"/>
          <w:kern w:val="0"/>
          <w:sz w:val="32"/>
          <w:szCs w:val="32"/>
          <w:highlight w:val="none"/>
        </w:rPr>
        <w:br w:type="page"/>
      </w:r>
    </w:p>
    <w:p w14:paraId="389C2B71">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14:paraId="248872DE">
      <w:pPr>
        <w:pStyle w:val="34"/>
        <w:rPr>
          <w:rFonts w:ascii="Calibri" w:hAnsi="Calibri"/>
          <w:b w:val="0"/>
          <w:bCs w:val="0"/>
          <w:caps w:val="0"/>
          <w:color w:val="auto"/>
          <w:sz w:val="21"/>
          <w:szCs w:val="22"/>
          <w:highlight w:val="none"/>
        </w:rPr>
      </w:pPr>
      <w:r>
        <w:rPr>
          <w:rFonts w:ascii="仿宋_GB2312" w:eastAsia="仿宋_GB2312"/>
          <w:b w:val="0"/>
          <w:color w:val="auto"/>
          <w:highlight w:val="none"/>
        </w:rPr>
        <w:fldChar w:fldCharType="begin"/>
      </w:r>
      <w:r>
        <w:rPr>
          <w:rFonts w:ascii="仿宋_GB2312" w:eastAsia="仿宋_GB2312"/>
          <w:b w:val="0"/>
          <w:color w:val="auto"/>
          <w:highlight w:val="none"/>
        </w:rPr>
        <w:instrText xml:space="preserve"> </w:instrText>
      </w:r>
      <w:r>
        <w:rPr>
          <w:rFonts w:hint="eastAsia" w:ascii="仿宋_GB2312" w:eastAsia="仿宋_GB2312"/>
          <w:b w:val="0"/>
          <w:color w:val="auto"/>
          <w:highlight w:val="none"/>
        </w:rPr>
        <w:instrText xml:space="preserve">TOC \o "1-2" \h \z \u</w:instrText>
      </w:r>
      <w:r>
        <w:rPr>
          <w:rFonts w:ascii="仿宋_GB2312" w:eastAsia="仿宋_GB2312"/>
          <w:b w:val="0"/>
          <w:color w:val="auto"/>
          <w:highlight w:val="none"/>
        </w:rPr>
        <w:instrText xml:space="preserve"> </w:instrText>
      </w:r>
      <w:r>
        <w:rPr>
          <w:rFonts w:ascii="仿宋_GB2312" w:eastAsia="仿宋_GB2312"/>
          <w:b w:val="0"/>
          <w:color w:val="auto"/>
          <w:highlight w:val="none"/>
        </w:rPr>
        <w:fldChar w:fldCharType="separate"/>
      </w:r>
      <w:r>
        <w:rPr>
          <w:color w:val="auto"/>
          <w:highlight w:val="none"/>
        </w:rPr>
        <w:fldChar w:fldCharType="begin"/>
      </w:r>
      <w:r>
        <w:rPr>
          <w:color w:val="auto"/>
          <w:highlight w:val="none"/>
        </w:rPr>
        <w:instrText xml:space="preserve"> HYPERLINK \l "_Toc74320800" </w:instrText>
      </w:r>
      <w:r>
        <w:rPr>
          <w:color w:val="auto"/>
          <w:highlight w:val="none"/>
        </w:rPr>
        <w:fldChar w:fldCharType="separate"/>
      </w:r>
      <w:r>
        <w:rPr>
          <w:rStyle w:val="53"/>
          <w:rFonts w:hint="eastAsia"/>
          <w:color w:val="auto"/>
          <w:highlight w:val="none"/>
        </w:rPr>
        <w:t>第一章</w:t>
      </w:r>
      <w:r>
        <w:rPr>
          <w:rStyle w:val="53"/>
          <w:color w:val="auto"/>
          <w:highlight w:val="none"/>
        </w:rPr>
        <w:t xml:space="preserve"> </w:t>
      </w:r>
      <w:r>
        <w:rPr>
          <w:rStyle w:val="53"/>
          <w:rFonts w:hint="eastAsia"/>
          <w:color w:val="auto"/>
          <w:highlight w:val="none"/>
        </w:rPr>
        <w:t xml:space="preserve"> 招标公告</w:t>
      </w:r>
      <w:r>
        <w:rPr>
          <w:color w:val="auto"/>
          <w:highlight w:val="none"/>
        </w:rPr>
        <w:tab/>
      </w:r>
      <w:r>
        <w:rPr>
          <w:color w:val="auto"/>
          <w:highlight w:val="none"/>
        </w:rPr>
        <w:fldChar w:fldCharType="begin"/>
      </w:r>
      <w:r>
        <w:rPr>
          <w:color w:val="auto"/>
          <w:highlight w:val="none"/>
        </w:rPr>
        <w:instrText xml:space="preserve"> PAGEREF _Toc74320800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48892720">
      <w:pPr>
        <w:pStyle w:val="34"/>
        <w:ind w:firstLine="241"/>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"_Toc74320801" </w:instrText>
      </w:r>
      <w:r>
        <w:rPr>
          <w:color w:val="auto"/>
          <w:highlight w:val="none"/>
        </w:rPr>
        <w:fldChar w:fldCharType="separate"/>
      </w:r>
      <w:r>
        <w:rPr>
          <w:rStyle w:val="53"/>
          <w:rFonts w:hint="eastAsia"/>
          <w:color w:val="auto"/>
          <w:highlight w:val="none"/>
        </w:rPr>
        <w:t>第二章</w:t>
      </w:r>
      <w:r>
        <w:rPr>
          <w:rStyle w:val="53"/>
          <w:color w:val="auto"/>
          <w:highlight w:val="none"/>
        </w:rPr>
        <w:t xml:space="preserve">  </w:t>
      </w:r>
      <w:r>
        <w:rPr>
          <w:rStyle w:val="53"/>
          <w:rFonts w:hint="eastAsia"/>
          <w:color w:val="auto"/>
          <w:highlight w:val="none"/>
        </w:rPr>
        <w:t>采购需求</w:t>
      </w:r>
      <w:bookmarkStart w:id="0" w:name="_Hlt167096761"/>
      <w:r>
        <w:rPr>
          <w:color w:val="auto"/>
          <w:highlight w:val="none"/>
        </w:rPr>
        <w:tab/>
      </w:r>
      <w:bookmarkEnd w:id="0"/>
      <w:r>
        <w:rPr>
          <w:color w:val="auto"/>
          <w:highlight w:val="none"/>
        </w:rPr>
        <w:fldChar w:fldCharType="begin"/>
      </w:r>
      <w:r>
        <w:rPr>
          <w:color w:val="auto"/>
          <w:highlight w:val="none"/>
        </w:rPr>
        <w:instrText xml:space="preserve"> PAGEREF _Toc74320801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123E0514">
      <w:pPr>
        <w:pStyle w:val="34"/>
        <w:ind w:firstLine="241"/>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"_Toc74320802" </w:instrText>
      </w:r>
      <w:r>
        <w:rPr>
          <w:color w:val="auto"/>
          <w:highlight w:val="none"/>
        </w:rPr>
        <w:fldChar w:fldCharType="separate"/>
      </w:r>
      <w:r>
        <w:rPr>
          <w:rStyle w:val="53"/>
          <w:rFonts w:hint="eastAsia"/>
          <w:color w:val="auto"/>
          <w:highlight w:val="none"/>
        </w:rPr>
        <w:t>第三章</w:t>
      </w:r>
      <w:r>
        <w:rPr>
          <w:rStyle w:val="53"/>
          <w:color w:val="auto"/>
          <w:highlight w:val="none"/>
        </w:rPr>
        <w:t xml:space="preserve">  </w:t>
      </w:r>
      <w:r>
        <w:rPr>
          <w:rStyle w:val="53"/>
          <w:rFonts w:hint="eastAsia"/>
          <w:color w:val="auto"/>
          <w:highlight w:val="none"/>
        </w:rPr>
        <w:t>投标人须</w:t>
      </w:r>
      <w:bookmarkStart w:id="1" w:name="_Hlt79572744"/>
      <w:bookmarkStart w:id="2" w:name="_Hlt79572745"/>
      <w:r>
        <w:rPr>
          <w:rStyle w:val="53"/>
          <w:rFonts w:hint="eastAsia"/>
          <w:color w:val="auto"/>
          <w:highlight w:val="none"/>
        </w:rPr>
        <w:t>知</w:t>
      </w:r>
      <w:bookmarkEnd w:id="1"/>
      <w:bookmarkEnd w:id="2"/>
      <w:r>
        <w:rPr>
          <w:color w:val="auto"/>
          <w:highlight w:val="none"/>
        </w:rPr>
        <w:tab/>
      </w:r>
      <w:r>
        <w:rPr>
          <w:color w:val="auto"/>
          <w:highlight w:val="none"/>
        </w:rPr>
        <w:fldChar w:fldCharType="begin"/>
      </w:r>
      <w:r>
        <w:rPr>
          <w:color w:val="auto"/>
          <w:highlight w:val="none"/>
        </w:rPr>
        <w:instrText xml:space="preserve"> PAGEREF _Toc74320802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4077489D">
      <w:pPr>
        <w:pStyle w:val="34"/>
        <w:ind w:firstLine="241"/>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"_Toc74320803" </w:instrText>
      </w:r>
      <w:r>
        <w:rPr>
          <w:color w:val="auto"/>
          <w:highlight w:val="none"/>
        </w:rPr>
        <w:fldChar w:fldCharType="separate"/>
      </w:r>
      <w:r>
        <w:rPr>
          <w:rStyle w:val="53"/>
          <w:rFonts w:hint="eastAsia"/>
          <w:color w:val="auto"/>
          <w:highlight w:val="none"/>
        </w:rPr>
        <w:t>第四章</w:t>
      </w:r>
      <w:r>
        <w:rPr>
          <w:rStyle w:val="53"/>
          <w:color w:val="auto"/>
          <w:highlight w:val="none"/>
        </w:rPr>
        <w:t xml:space="preserve">  </w:t>
      </w:r>
      <w:r>
        <w:rPr>
          <w:rStyle w:val="53"/>
          <w:rFonts w:hint="eastAsia"/>
          <w:color w:val="auto"/>
          <w:highlight w:val="none"/>
        </w:rPr>
        <w:t>评标方</w:t>
      </w:r>
      <w:bookmarkStart w:id="3" w:name="_Hlt82186273"/>
      <w:bookmarkStart w:id="4" w:name="_Hlt82186274"/>
      <w:r>
        <w:rPr>
          <w:rStyle w:val="53"/>
          <w:rFonts w:hint="eastAsia"/>
          <w:color w:val="auto"/>
          <w:highlight w:val="none"/>
        </w:rPr>
        <w:t>法</w:t>
      </w:r>
      <w:bookmarkEnd w:id="3"/>
      <w:bookmarkEnd w:id="4"/>
      <w:r>
        <w:rPr>
          <w:rStyle w:val="53"/>
          <w:rFonts w:hint="eastAsia"/>
          <w:color w:val="auto"/>
          <w:highlight w:val="none"/>
        </w:rPr>
        <w:t>及</w:t>
      </w:r>
      <w:bookmarkStart w:id="5" w:name="_Hlt167097184"/>
      <w:bookmarkStart w:id="6" w:name="_Hlt167097159"/>
      <w:r>
        <w:rPr>
          <w:rStyle w:val="53"/>
          <w:rFonts w:hint="eastAsia"/>
          <w:color w:val="auto"/>
          <w:highlight w:val="none"/>
        </w:rPr>
        <w:t>评</w:t>
      </w:r>
      <w:bookmarkEnd w:id="5"/>
      <w:bookmarkEnd w:id="6"/>
      <w:bookmarkStart w:id="7" w:name="_Hlt167096376"/>
      <w:bookmarkStart w:id="8" w:name="_Hlt167096377"/>
      <w:r>
        <w:rPr>
          <w:rStyle w:val="53"/>
          <w:rFonts w:hint="eastAsia"/>
          <w:color w:val="auto"/>
          <w:highlight w:val="none"/>
        </w:rPr>
        <w:t>标</w:t>
      </w:r>
      <w:bookmarkEnd w:id="7"/>
      <w:bookmarkEnd w:id="8"/>
      <w:r>
        <w:rPr>
          <w:rStyle w:val="53"/>
          <w:rFonts w:hint="eastAsia"/>
          <w:color w:val="auto"/>
          <w:highlight w:val="none"/>
        </w:rPr>
        <w:t>标准</w:t>
      </w:r>
      <w:r>
        <w:rPr>
          <w:color w:val="auto"/>
          <w:highlight w:val="none"/>
        </w:rPr>
        <w:tab/>
      </w:r>
      <w:r>
        <w:rPr>
          <w:color w:val="auto"/>
          <w:highlight w:val="none"/>
        </w:rPr>
        <w:fldChar w:fldCharType="begin"/>
      </w:r>
      <w:r>
        <w:rPr>
          <w:color w:val="auto"/>
          <w:highlight w:val="none"/>
        </w:rPr>
        <w:instrText xml:space="preserve"> PAGEREF _Toc74320803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14F5B83D">
      <w:pPr>
        <w:pStyle w:val="34"/>
        <w:ind w:firstLine="241"/>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"_Toc74320804" </w:instrText>
      </w:r>
      <w:r>
        <w:rPr>
          <w:color w:val="auto"/>
          <w:highlight w:val="none"/>
        </w:rPr>
        <w:fldChar w:fldCharType="separate"/>
      </w:r>
      <w:r>
        <w:rPr>
          <w:rStyle w:val="53"/>
          <w:rFonts w:hint="eastAsia"/>
          <w:color w:val="auto"/>
          <w:highlight w:val="none"/>
        </w:rPr>
        <w:t>第五章</w:t>
      </w:r>
      <w:r>
        <w:rPr>
          <w:rStyle w:val="53"/>
          <w:color w:val="auto"/>
          <w:highlight w:val="none"/>
        </w:rPr>
        <w:t xml:space="preserve">  </w:t>
      </w:r>
      <w:r>
        <w:rPr>
          <w:rStyle w:val="53"/>
          <w:rFonts w:hint="eastAsia"/>
          <w:color w:val="auto"/>
          <w:highlight w:val="none"/>
        </w:rPr>
        <w:t>拟签订的合同文本</w:t>
      </w:r>
      <w:r>
        <w:rPr>
          <w:color w:val="auto"/>
          <w:highlight w:val="none"/>
        </w:rPr>
        <w:tab/>
      </w:r>
      <w:r>
        <w:rPr>
          <w:color w:val="auto"/>
          <w:highlight w:val="none"/>
        </w:rPr>
        <w:fldChar w:fldCharType="begin"/>
      </w:r>
      <w:r>
        <w:rPr>
          <w:color w:val="auto"/>
          <w:highlight w:val="none"/>
        </w:rPr>
        <w:instrText xml:space="preserve"> PAGEREF _Toc74320804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14:paraId="1928D493">
      <w:pPr>
        <w:pStyle w:val="34"/>
        <w:ind w:firstLine="241"/>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"_Toc74320805" </w:instrText>
      </w:r>
      <w:r>
        <w:rPr>
          <w:color w:val="auto"/>
          <w:highlight w:val="none"/>
        </w:rPr>
        <w:fldChar w:fldCharType="separate"/>
      </w:r>
      <w:r>
        <w:rPr>
          <w:rStyle w:val="53"/>
          <w:rFonts w:hint="eastAsia"/>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_Toc74320805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14:paraId="37AC2959">
      <w:pPr>
        <w:spacing w:before="120" w:beforeLines="50" w:line="480" w:lineRule="exact"/>
        <w:rPr>
          <w:rFonts w:ascii="仿宋_GB2312" w:hAnsi="宋体" w:eastAsia="仿宋_GB2312"/>
          <w:color w:val="auto"/>
          <w:sz w:val="24"/>
          <w:highlight w:val="none"/>
        </w:rPr>
      </w:pPr>
      <w:r>
        <w:rPr>
          <w:rFonts w:ascii="仿宋_GB2312" w:hAnsi="宋体" w:eastAsia="仿宋_GB2312"/>
          <w:b/>
          <w:color w:val="auto"/>
          <w:sz w:val="24"/>
          <w:highlight w:val="none"/>
        </w:rPr>
        <w:fldChar w:fldCharType="end"/>
      </w:r>
    </w:p>
    <w:p w14:paraId="34C86B47">
      <w:pPr>
        <w:spacing w:before="120" w:beforeLines="50" w:line="480" w:lineRule="exact"/>
        <w:rPr>
          <w:rFonts w:ascii="仿宋_GB2312" w:hAnsi="宋体" w:eastAsia="仿宋_GB2312"/>
          <w:color w:val="auto"/>
          <w:sz w:val="30"/>
          <w:highlight w:val="none"/>
        </w:rPr>
      </w:pPr>
    </w:p>
    <w:p w14:paraId="2AB39B80">
      <w:pPr>
        <w:rPr>
          <w:color w:val="auto"/>
          <w:highlight w:val="none"/>
        </w:rPr>
      </w:pPr>
    </w:p>
    <w:p w14:paraId="43234198">
      <w:pPr>
        <w:spacing w:before="120" w:beforeLines="50" w:line="480" w:lineRule="exact"/>
        <w:rPr>
          <w:rFonts w:ascii="仿宋_GB2312" w:hAnsi="宋体" w:eastAsia="仿宋_GB2312"/>
          <w:color w:val="auto"/>
          <w:sz w:val="30"/>
          <w:highlight w:val="none"/>
        </w:rPr>
      </w:pPr>
    </w:p>
    <w:p w14:paraId="55C45074">
      <w:pPr>
        <w:spacing w:before="120" w:beforeLines="50" w:line="480" w:lineRule="exact"/>
        <w:rPr>
          <w:rFonts w:ascii="仿宋_GB2312" w:hAnsi="宋体" w:eastAsia="仿宋_GB2312"/>
          <w:color w:val="auto"/>
          <w:sz w:val="30"/>
          <w:highlight w:val="none"/>
        </w:rPr>
      </w:pPr>
    </w:p>
    <w:p w14:paraId="00BC7E85">
      <w:pPr>
        <w:pStyle w:val="19"/>
        <w:rPr>
          <w:rFonts w:ascii="宋体" w:hAnsi="宋体" w:cs="宋体"/>
          <w:b/>
          <w:bCs/>
          <w:color w:val="auto"/>
          <w:highlight w:val="none"/>
        </w:rPr>
      </w:pPr>
      <w:bookmarkStart w:id="9" w:name="_Toc254970489"/>
      <w:bookmarkStart w:id="10" w:name="_Toc254970630"/>
    </w:p>
    <w:p w14:paraId="269D9152">
      <w:pPr>
        <w:pStyle w:val="5"/>
        <w:keepNext w:val="0"/>
        <w:keepLines w:val="0"/>
        <w:tabs>
          <w:tab w:val="left" w:pos="0"/>
          <w:tab w:val="left" w:pos="3165"/>
          <w:tab w:val="center" w:pos="4153"/>
        </w:tabs>
        <w:autoSpaceDE w:val="0"/>
        <w:autoSpaceDN w:val="0"/>
        <w:adjustRightInd w:val="0"/>
        <w:spacing w:before="0" w:after="0" w:line="360" w:lineRule="auto"/>
        <w:jc w:val="center"/>
        <w:rPr>
          <w:color w:val="auto"/>
          <w:highlight w:val="none"/>
        </w:rPr>
      </w:pPr>
      <w:r>
        <w:rPr>
          <w:rFonts w:ascii="宋体" w:hAnsi="宋体" w:cs="宋体"/>
          <w:b w:val="0"/>
          <w:bCs w:val="0"/>
          <w:color w:val="auto"/>
          <w:highlight w:val="none"/>
        </w:rPr>
        <w:br w:type="page"/>
      </w:r>
      <w:bookmarkStart w:id="11" w:name="_Toc74320800"/>
      <w:r>
        <w:rPr>
          <w:rFonts w:hint="eastAsia"/>
          <w:color w:val="auto"/>
          <w:highlight w:val="none"/>
        </w:rPr>
        <w:t>第一章</w:t>
      </w:r>
      <w:bookmarkEnd w:id="9"/>
      <w:bookmarkEnd w:id="10"/>
      <w:bookmarkStart w:id="12" w:name="_Toc35393789"/>
      <w:bookmarkStart w:id="13" w:name="_Toc28359001"/>
      <w:r>
        <w:rPr>
          <w:rFonts w:hint="eastAsia"/>
          <w:color w:val="auto"/>
          <w:highlight w:val="none"/>
        </w:rPr>
        <w:t xml:space="preserve"> 招标公告</w:t>
      </w:r>
      <w:bookmarkEnd w:id="11"/>
      <w:bookmarkEnd w:id="12"/>
      <w:bookmarkEnd w:id="13"/>
      <w:r>
        <w:rPr>
          <w:rFonts w:hint="eastAsia"/>
          <w:color w:val="auto"/>
          <w:highlight w:val="none"/>
        </w:rPr>
        <w:t>（远程异地评标）</w:t>
      </w:r>
    </w:p>
    <w:p w14:paraId="0CF20FE6">
      <w:pPr>
        <w:spacing w:line="360" w:lineRule="auto"/>
        <w:rPr>
          <w:rFonts w:ascii="宋体" w:hAnsi="宋体"/>
          <w:color w:val="auto"/>
          <w:szCs w:val="21"/>
          <w:highlight w:val="none"/>
        </w:rPr>
      </w:pPr>
    </w:p>
    <w:p w14:paraId="64CA3CE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项目概况</w:t>
      </w:r>
    </w:p>
    <w:p w14:paraId="317D0125">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梧州市妇幼保健院彩色多普勒超声诊断仪设备采购</w:t>
      </w:r>
      <w:r>
        <w:rPr>
          <w:rFonts w:hint="eastAsia" w:ascii="宋体" w:hAnsi="宋体"/>
          <w:color w:val="auto"/>
          <w:szCs w:val="21"/>
          <w:highlight w:val="none"/>
        </w:rPr>
        <w:t>招标项目的潜在投标人应在广西政府采购云平台（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）获取（下载）招标文件，并于</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1</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13</w:t>
      </w:r>
      <w:r>
        <w:rPr>
          <w:rFonts w:hint="eastAsia" w:ascii="宋体" w:hAnsi="宋体"/>
          <w:bCs/>
          <w:color w:val="auto"/>
          <w:szCs w:val="21"/>
          <w:highlight w:val="none"/>
          <w:u w:val="single"/>
        </w:rPr>
        <w:t>日09时30分（</w:t>
      </w:r>
      <w:r>
        <w:rPr>
          <w:rFonts w:hint="eastAsia" w:ascii="宋体" w:hAnsi="宋体"/>
          <w:bCs/>
          <w:color w:val="auto"/>
          <w:szCs w:val="21"/>
          <w:highlight w:val="none"/>
        </w:rPr>
        <w:t>北京时间）前按要求递交（上传）投标</w:t>
      </w:r>
      <w:r>
        <w:rPr>
          <w:rFonts w:ascii="宋体" w:hAnsi="宋体"/>
          <w:bCs/>
          <w:color w:val="auto"/>
          <w:szCs w:val="21"/>
          <w:highlight w:val="none"/>
        </w:rPr>
        <w:t>文件</w:t>
      </w:r>
      <w:r>
        <w:rPr>
          <w:rFonts w:hint="eastAsia" w:ascii="宋体" w:hAnsi="宋体"/>
          <w:color w:val="auto"/>
          <w:szCs w:val="21"/>
          <w:highlight w:val="none"/>
        </w:rPr>
        <w:t>。</w:t>
      </w:r>
    </w:p>
    <w:p w14:paraId="70E3FBE0">
      <w:pPr>
        <w:spacing w:line="360" w:lineRule="auto"/>
        <w:rPr>
          <w:rFonts w:ascii="宋体" w:hAnsi="宋体"/>
          <w:color w:val="auto"/>
          <w:szCs w:val="21"/>
          <w:highlight w:val="none"/>
        </w:rPr>
      </w:pPr>
    </w:p>
    <w:p w14:paraId="6CBA0852">
      <w:pPr>
        <w:spacing w:line="360" w:lineRule="auto"/>
        <w:rPr>
          <w:rFonts w:ascii="黑体" w:hAnsi="黑体" w:eastAsia="黑体"/>
          <w:b/>
          <w:bCs/>
          <w:color w:val="auto"/>
          <w:sz w:val="24"/>
          <w:highlight w:val="none"/>
        </w:rPr>
      </w:pPr>
      <w:bookmarkStart w:id="14" w:name="_Toc35393790"/>
      <w:bookmarkStart w:id="15" w:name="_Toc35393621"/>
      <w:bookmarkStart w:id="16" w:name="_Toc28359002"/>
      <w:bookmarkStart w:id="17" w:name="_Toc28359079"/>
      <w:bookmarkStart w:id="18" w:name="_Hlk24379207"/>
      <w:r>
        <w:rPr>
          <w:rFonts w:hint="eastAsia" w:ascii="黑体" w:hAnsi="黑体" w:eastAsia="黑体"/>
          <w:b/>
          <w:bCs/>
          <w:color w:val="auto"/>
          <w:sz w:val="24"/>
          <w:highlight w:val="none"/>
        </w:rPr>
        <w:t>一、项目基本情况</w:t>
      </w:r>
      <w:bookmarkEnd w:id="14"/>
      <w:bookmarkEnd w:id="15"/>
      <w:bookmarkEnd w:id="16"/>
      <w:bookmarkEnd w:id="17"/>
    </w:p>
    <w:p w14:paraId="6C8709A9">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WZZC2024-G1-990617-YZLZ</w:t>
      </w:r>
    </w:p>
    <w:p w14:paraId="5950ADE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项目名称：梧州市妇幼保健院彩色多普勒超声诊断仪设备采购</w:t>
      </w:r>
      <w:bookmarkStart w:id="164" w:name="_GoBack"/>
      <w:bookmarkEnd w:id="164"/>
    </w:p>
    <w:bookmarkEnd w:id="18"/>
    <w:p w14:paraId="13A5E456">
      <w:pPr>
        <w:spacing w:line="360" w:lineRule="auto"/>
        <w:ind w:firstLine="420" w:firstLineChars="200"/>
        <w:rPr>
          <w:rFonts w:ascii="宋体" w:hAnsi="宋体"/>
          <w:color w:val="auto"/>
          <w:szCs w:val="21"/>
          <w:highlight w:val="none"/>
          <w:u w:val="single"/>
        </w:rPr>
      </w:pPr>
      <w:r>
        <w:rPr>
          <w:rFonts w:hint="eastAsia"/>
          <w:color w:val="auto"/>
          <w:highlight w:val="none"/>
        </w:rPr>
        <w:t>预算总金额（元）</w:t>
      </w:r>
      <w:r>
        <w:rPr>
          <w:rFonts w:hint="eastAsia" w:ascii="宋体" w:hAnsi="宋体"/>
          <w:color w:val="auto"/>
          <w:szCs w:val="21"/>
          <w:highlight w:val="none"/>
        </w:rPr>
        <w:t>：1990000.00</w:t>
      </w:r>
    </w:p>
    <w:p w14:paraId="69F8600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最高限价（如有）：1990000.00元</w:t>
      </w:r>
    </w:p>
    <w:p w14:paraId="57289B1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采购需求：</w:t>
      </w:r>
      <w:r>
        <w:rPr>
          <w:rFonts w:ascii="宋体" w:hAnsi="宋体"/>
          <w:color w:val="auto"/>
          <w:szCs w:val="21"/>
          <w:highlight w:val="none"/>
        </w:rPr>
        <w:t xml:space="preserve"> </w:t>
      </w:r>
    </w:p>
    <w:tbl>
      <w:tblPr>
        <w:tblStyle w:val="47"/>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843"/>
        <w:gridCol w:w="851"/>
        <w:gridCol w:w="5386"/>
      </w:tblGrid>
      <w:tr w14:paraId="2FF96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4"/>
            <w:tcBorders>
              <w:top w:val="single" w:color="auto" w:sz="4" w:space="0"/>
              <w:left w:val="single" w:color="auto" w:sz="4" w:space="0"/>
              <w:bottom w:val="single" w:color="auto" w:sz="4" w:space="0"/>
              <w:right w:val="single" w:color="auto" w:sz="4" w:space="0"/>
            </w:tcBorders>
            <w:vAlign w:val="center"/>
          </w:tcPr>
          <w:p w14:paraId="4225C841">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1 </w:t>
            </w:r>
            <w:r>
              <w:rPr>
                <w:rFonts w:hint="eastAsia" w:asciiTheme="minorEastAsia" w:hAnsiTheme="minorEastAsia" w:eastAsiaTheme="minorEastAsia" w:cstheme="minorEastAsia"/>
                <w:color w:val="auto"/>
                <w:szCs w:val="21"/>
                <w:highlight w:val="none"/>
              </w:rPr>
              <w:t>分标；预算金额（元）：</w:t>
            </w:r>
            <w:r>
              <w:rPr>
                <w:rFonts w:hint="eastAsia" w:ascii="宋体" w:hAnsi="宋体"/>
                <w:color w:val="auto"/>
                <w:szCs w:val="21"/>
                <w:highlight w:val="none"/>
              </w:rPr>
              <w:t>1990000.00</w:t>
            </w:r>
          </w:p>
        </w:tc>
      </w:tr>
      <w:tr w14:paraId="78C75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61CDC3B">
            <w:pPr>
              <w:snapToGrid w:val="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5B925DE0">
            <w:pPr>
              <w:snapToGrid w:val="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标的的名称</w:t>
            </w:r>
          </w:p>
        </w:tc>
        <w:tc>
          <w:tcPr>
            <w:tcW w:w="851" w:type="dxa"/>
            <w:tcBorders>
              <w:top w:val="single" w:color="auto" w:sz="4" w:space="0"/>
              <w:left w:val="single" w:color="auto" w:sz="4" w:space="0"/>
              <w:bottom w:val="single" w:color="auto" w:sz="4" w:space="0"/>
              <w:right w:val="single" w:color="auto" w:sz="4" w:space="0"/>
            </w:tcBorders>
            <w:vAlign w:val="center"/>
          </w:tcPr>
          <w:p w14:paraId="72F7453E">
            <w:pPr>
              <w:snapToGrid w:val="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数量及</w:t>
            </w:r>
          </w:p>
          <w:p w14:paraId="298C41B1">
            <w:pPr>
              <w:snapToGrid w:val="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w:t>
            </w:r>
          </w:p>
        </w:tc>
        <w:tc>
          <w:tcPr>
            <w:tcW w:w="5386" w:type="dxa"/>
            <w:tcBorders>
              <w:top w:val="single" w:color="auto" w:sz="4" w:space="0"/>
              <w:left w:val="single" w:color="auto" w:sz="4" w:space="0"/>
              <w:bottom w:val="single" w:color="auto" w:sz="4" w:space="0"/>
              <w:right w:val="single" w:color="auto" w:sz="4" w:space="0"/>
            </w:tcBorders>
            <w:vAlign w:val="center"/>
          </w:tcPr>
          <w:p w14:paraId="2B6441DF">
            <w:pPr>
              <w:snapToGrid w:val="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简要技术需求或者服务要求</w:t>
            </w:r>
          </w:p>
        </w:tc>
      </w:tr>
      <w:tr w14:paraId="779E2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C8FB9CE">
            <w:pPr>
              <w:snapToGrid w:val="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843" w:type="dxa"/>
            <w:tcBorders>
              <w:top w:val="single" w:color="auto" w:sz="4" w:space="0"/>
              <w:left w:val="single" w:color="auto" w:sz="4" w:space="0"/>
              <w:bottom w:val="single" w:color="auto" w:sz="4" w:space="0"/>
              <w:right w:val="single" w:color="auto" w:sz="4" w:space="0"/>
            </w:tcBorders>
            <w:vAlign w:val="center"/>
          </w:tcPr>
          <w:p w14:paraId="07FFE9AF">
            <w:pPr>
              <w:snapToGrid w:val="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彩色多普勒超声诊断仪</w:t>
            </w:r>
          </w:p>
        </w:tc>
        <w:tc>
          <w:tcPr>
            <w:tcW w:w="851" w:type="dxa"/>
            <w:tcBorders>
              <w:top w:val="single" w:color="auto" w:sz="4" w:space="0"/>
              <w:left w:val="single" w:color="auto" w:sz="4" w:space="0"/>
              <w:bottom w:val="single" w:color="auto" w:sz="4" w:space="0"/>
              <w:right w:val="single" w:color="auto" w:sz="4" w:space="0"/>
            </w:tcBorders>
            <w:vAlign w:val="center"/>
          </w:tcPr>
          <w:p w14:paraId="44D6B687">
            <w:pPr>
              <w:snapToGrid w:val="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1台</w:t>
            </w:r>
          </w:p>
        </w:tc>
        <w:tc>
          <w:tcPr>
            <w:tcW w:w="5386" w:type="dxa"/>
            <w:tcBorders>
              <w:top w:val="single" w:color="auto" w:sz="4" w:space="0"/>
              <w:left w:val="single" w:color="auto" w:sz="4" w:space="0"/>
              <w:bottom w:val="single" w:color="auto" w:sz="4" w:space="0"/>
              <w:right w:val="single" w:color="auto" w:sz="4" w:space="0"/>
            </w:tcBorders>
            <w:vAlign w:val="center"/>
          </w:tcPr>
          <w:p w14:paraId="5E91E28D">
            <w:pPr>
              <w:pStyle w:val="21"/>
              <w:spacing w:line="360" w:lineRule="auto"/>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1.主要功能：主要用于产科、妇科、儿科、泌尿科、腹部、心脏、小器官、血管、神经、急重症等方面的临床诊断和科研教学工作，满足常规腹部、心脏及腔内检查等诊疗业务需求；具体详见采购需求附件。</w:t>
            </w:r>
          </w:p>
        </w:tc>
      </w:tr>
    </w:tbl>
    <w:p w14:paraId="380CE82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履行期限：项目具备安装条件，采购人向中标供应商发出供货通知，中标供应商在收到采购人通知后30个日历日内将全部货物运抵采购人指定地点、完成安装、调试、培训等工作,并经最终验收合格后交付使用。</w:t>
      </w:r>
    </w:p>
    <w:p w14:paraId="6352262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本项目（否）接受联合体投标。</w:t>
      </w:r>
    </w:p>
    <w:p w14:paraId="7DAB8EEF">
      <w:pPr>
        <w:spacing w:line="360" w:lineRule="auto"/>
        <w:rPr>
          <w:rFonts w:ascii="黑体" w:hAnsi="黑体" w:eastAsia="黑体"/>
          <w:b/>
          <w:bCs/>
          <w:color w:val="auto"/>
          <w:sz w:val="24"/>
          <w:highlight w:val="none"/>
        </w:rPr>
      </w:pPr>
      <w:bookmarkStart w:id="19" w:name="_Toc28359003"/>
      <w:bookmarkStart w:id="20" w:name="_Toc35393791"/>
      <w:bookmarkStart w:id="21" w:name="_Toc28359080"/>
      <w:bookmarkStart w:id="22" w:name="_Toc35393622"/>
      <w:r>
        <w:rPr>
          <w:rFonts w:hint="eastAsia" w:ascii="黑体" w:hAnsi="黑体" w:eastAsia="黑体"/>
          <w:b/>
          <w:bCs/>
          <w:color w:val="auto"/>
          <w:sz w:val="24"/>
          <w:highlight w:val="none"/>
        </w:rPr>
        <w:t>二、申请人的资格要求：</w:t>
      </w:r>
      <w:bookmarkEnd w:id="19"/>
      <w:bookmarkEnd w:id="20"/>
      <w:bookmarkEnd w:id="21"/>
      <w:bookmarkEnd w:id="22"/>
    </w:p>
    <w:p w14:paraId="41671D8A">
      <w:pPr>
        <w:spacing w:line="360" w:lineRule="auto"/>
        <w:ind w:firstLine="420" w:firstLineChars="200"/>
        <w:rPr>
          <w:rFonts w:ascii="宋体" w:hAnsi="宋体"/>
          <w:color w:val="auto"/>
          <w:szCs w:val="21"/>
          <w:highlight w:val="none"/>
        </w:rPr>
      </w:pPr>
      <w:bookmarkStart w:id="23" w:name="_Hlk51746371"/>
      <w:r>
        <w:rPr>
          <w:rFonts w:hint="eastAsia" w:ascii="宋体" w:hAnsi="宋体"/>
          <w:color w:val="auto"/>
          <w:szCs w:val="21"/>
          <w:highlight w:val="none"/>
        </w:rPr>
        <w:t>1.满足《中华人民共和国政府采购法》第二十二条规定；</w:t>
      </w:r>
    </w:p>
    <w:p w14:paraId="2608D1E6">
      <w:pPr>
        <w:spacing w:line="360" w:lineRule="auto"/>
        <w:ind w:firstLine="420" w:firstLineChars="200"/>
        <w:rPr>
          <w:rFonts w:ascii="宋体" w:hAnsi="宋体"/>
          <w:color w:val="auto"/>
          <w:szCs w:val="21"/>
          <w:highlight w:val="none"/>
        </w:rPr>
      </w:pPr>
      <w:bookmarkStart w:id="24" w:name="_Toc28359081"/>
      <w:bookmarkStart w:id="25" w:name="_Toc28359004"/>
      <w:r>
        <w:rPr>
          <w:rFonts w:ascii="宋体" w:hAnsi="宋体"/>
          <w:color w:val="auto"/>
          <w:szCs w:val="21"/>
          <w:highlight w:val="none"/>
        </w:rPr>
        <w:t>2</w:t>
      </w:r>
      <w:r>
        <w:rPr>
          <w:rFonts w:hint="eastAsia" w:ascii="宋体" w:hAnsi="宋体"/>
          <w:color w:val="auto"/>
          <w:szCs w:val="21"/>
          <w:highlight w:val="none"/>
        </w:rPr>
        <w:t>.落实政府采购政策需满足的资格要求：无；</w:t>
      </w:r>
    </w:p>
    <w:p w14:paraId="4F2C50F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w:t>
      </w:r>
      <w:bookmarkEnd w:id="23"/>
      <w:bookmarkStart w:id="26" w:name="_Toc35393792"/>
      <w:bookmarkStart w:id="27" w:name="_Toc35393623"/>
      <w:r>
        <w:rPr>
          <w:rFonts w:hint="eastAsia" w:ascii="宋体" w:hAnsi="宋体"/>
          <w:color w:val="auto"/>
          <w:szCs w:val="21"/>
          <w:highlight w:val="none"/>
        </w:rPr>
        <w:t>供应商按《医疗器械监督管理条例》（国务院令第739号）医疗器械分类管理要求具备有效的医疗器械经营备案凭证或者经营许可证，且经营范围必须包含采购标的[符合《医疗器械监督管理条例》第四十一条第二款规定的除外]；或者供应商具有《医疗器械监督管理条例》第四十三条规定的注册人凭证。</w:t>
      </w:r>
    </w:p>
    <w:p w14:paraId="1E4FB00A">
      <w:pPr>
        <w:spacing w:line="360" w:lineRule="auto"/>
        <w:ind w:firstLine="482" w:firstLineChars="200"/>
        <w:rPr>
          <w:rFonts w:ascii="黑体" w:hAnsi="黑体" w:eastAsia="黑体"/>
          <w:b/>
          <w:bCs/>
          <w:color w:val="auto"/>
          <w:sz w:val="24"/>
          <w:highlight w:val="none"/>
        </w:rPr>
      </w:pPr>
      <w:r>
        <w:rPr>
          <w:rFonts w:hint="eastAsia" w:ascii="黑体" w:hAnsi="黑体" w:eastAsia="黑体"/>
          <w:b/>
          <w:bCs/>
          <w:color w:val="auto"/>
          <w:sz w:val="24"/>
          <w:highlight w:val="none"/>
        </w:rPr>
        <w:t>三、获取招标文件</w:t>
      </w:r>
      <w:bookmarkEnd w:id="24"/>
      <w:bookmarkEnd w:id="25"/>
      <w:bookmarkEnd w:id="26"/>
      <w:bookmarkEnd w:id="27"/>
    </w:p>
    <w:p w14:paraId="1FD77219">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ascii="宋体" w:hAnsi="宋体" w:cs="宋体"/>
          <w:bCs/>
          <w:color w:val="auto"/>
          <w:kern w:val="0"/>
          <w:szCs w:val="21"/>
          <w:highlight w:val="none"/>
        </w:rPr>
        <w:t xml:space="preserve"> </w:t>
      </w:r>
      <w:r>
        <w:rPr>
          <w:rFonts w:hint="eastAsia" w:ascii="宋体" w:hAnsi="宋体" w:cs="宋体"/>
          <w:bCs/>
          <w:color w:val="auto"/>
          <w:kern w:val="0"/>
          <w:szCs w:val="21"/>
          <w:highlight w:val="none"/>
          <w:u w:val="single"/>
        </w:rPr>
        <w:t>2024年</w:t>
      </w:r>
      <w:r>
        <w:rPr>
          <w:rFonts w:hint="eastAsia" w:ascii="宋体" w:hAnsi="宋体" w:cs="宋体"/>
          <w:bCs/>
          <w:color w:val="auto"/>
          <w:kern w:val="0"/>
          <w:szCs w:val="21"/>
          <w:highlight w:val="none"/>
          <w:u w:val="single"/>
          <w:lang w:val="en-US" w:eastAsia="zh-CN"/>
        </w:rPr>
        <w:t>12</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23</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2024年</w:t>
      </w:r>
      <w:r>
        <w:rPr>
          <w:rFonts w:hint="eastAsia" w:ascii="宋体" w:hAnsi="宋体" w:cs="宋体"/>
          <w:bCs/>
          <w:color w:val="auto"/>
          <w:kern w:val="0"/>
          <w:szCs w:val="21"/>
          <w:highlight w:val="none"/>
          <w:u w:val="single"/>
          <w:lang w:val="en-US" w:eastAsia="zh-CN"/>
        </w:rPr>
        <w:t>12</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30</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，每天上午</w:t>
      </w:r>
      <w:r>
        <w:rPr>
          <w:rFonts w:hint="eastAsia" w:ascii="宋体" w:hAnsi="宋体" w:cs="宋体"/>
          <w:bCs/>
          <w:color w:val="auto"/>
          <w:kern w:val="0"/>
          <w:szCs w:val="21"/>
          <w:highlight w:val="none"/>
          <w:u w:val="single"/>
        </w:rPr>
        <w:t>8：00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12：00</w:t>
      </w:r>
      <w:r>
        <w:rPr>
          <w:rFonts w:hint="eastAsia" w:ascii="宋体" w:hAnsi="宋体" w:cs="宋体"/>
          <w:bCs/>
          <w:color w:val="auto"/>
          <w:kern w:val="0"/>
          <w:szCs w:val="21"/>
          <w:highlight w:val="none"/>
        </w:rPr>
        <w:t>，下午</w:t>
      </w:r>
      <w:r>
        <w:rPr>
          <w:rFonts w:hint="eastAsia" w:ascii="宋体" w:hAnsi="宋体" w:cs="宋体"/>
          <w:bCs/>
          <w:color w:val="auto"/>
          <w:kern w:val="0"/>
          <w:szCs w:val="21"/>
          <w:highlight w:val="none"/>
          <w:u w:val="single"/>
        </w:rPr>
        <w:t>15：00至18：00</w:t>
      </w:r>
      <w:r>
        <w:rPr>
          <w:rFonts w:hint="eastAsia" w:ascii="宋体" w:hAnsi="宋体" w:cs="宋体"/>
          <w:bCs/>
          <w:color w:val="auto"/>
          <w:kern w:val="0"/>
          <w:szCs w:val="21"/>
          <w:highlight w:val="none"/>
        </w:rPr>
        <w:t>（北京时间，</w:t>
      </w:r>
      <w:r>
        <w:rPr>
          <w:rFonts w:ascii="宋体" w:hAnsi="宋体" w:cs="宋体"/>
          <w:bCs/>
          <w:color w:val="auto"/>
          <w:kern w:val="0"/>
          <w:szCs w:val="21"/>
          <w:highlight w:val="none"/>
        </w:rPr>
        <w:t>法定节假日</w:t>
      </w:r>
      <w:r>
        <w:rPr>
          <w:rFonts w:hint="eastAsia" w:ascii="宋体" w:hAnsi="宋体" w:cs="宋体"/>
          <w:bCs/>
          <w:color w:val="auto"/>
          <w:kern w:val="0"/>
          <w:szCs w:val="21"/>
          <w:highlight w:val="none"/>
        </w:rPr>
        <w:t>除外）</w:t>
      </w:r>
    </w:p>
    <w:p w14:paraId="72218258">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地点：</w:t>
      </w:r>
      <w:r>
        <w:rPr>
          <w:rFonts w:hint="eastAsia" w:ascii="宋体" w:hAnsi="宋体"/>
          <w:color w:val="auto"/>
          <w:szCs w:val="21"/>
          <w:highlight w:val="none"/>
        </w:rPr>
        <w:t>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w:t>
      </w:r>
    </w:p>
    <w:p w14:paraId="390F398B">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方式：网上下载。本项目不提供纸质文件，潜在供应商需在</w:t>
      </w:r>
      <w:r>
        <w:rPr>
          <w:rFonts w:hint="eastAsia" w:ascii="宋体" w:hAnsi="宋体"/>
          <w:color w:val="auto"/>
          <w:szCs w:val="21"/>
          <w:highlight w:val="none"/>
        </w:rPr>
        <w:t>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w:t>
      </w:r>
      <w:r>
        <w:rPr>
          <w:rFonts w:hint="eastAsia" w:ascii="宋体" w:hAnsi="宋体" w:cs="宋体"/>
          <w:bCs/>
          <w:color w:val="auto"/>
          <w:kern w:val="0"/>
          <w:szCs w:val="21"/>
          <w:highlight w:val="none"/>
        </w:rPr>
        <w:t>-进入“项目采购”应用，在获取采购文件菜单中选择项目，获取招标文件。</w:t>
      </w:r>
      <w:r>
        <w:rPr>
          <w:rFonts w:hint="eastAsia" w:ascii="宋体" w:hAnsi="宋体"/>
          <w:color w:val="auto"/>
          <w:szCs w:val="21"/>
          <w:highlight w:val="none"/>
        </w:rPr>
        <w:t>电子投标文件制作需要基于广西政府采购云平台获取的招标文件编制，</w:t>
      </w:r>
      <w:r>
        <w:rPr>
          <w:rFonts w:hint="eastAsia" w:ascii="宋体" w:hAnsi="宋体" w:cs="宋体"/>
          <w:bCs/>
          <w:color w:val="auto"/>
          <w:kern w:val="0"/>
          <w:szCs w:val="21"/>
          <w:highlight w:val="none"/>
        </w:rPr>
        <w:t>通过其他方式获取招标文件的，将有可能导致供应商无法在</w:t>
      </w:r>
      <w:r>
        <w:rPr>
          <w:rFonts w:hint="eastAsia" w:ascii="宋体" w:hAnsi="宋体"/>
          <w:color w:val="auto"/>
          <w:szCs w:val="21"/>
          <w:highlight w:val="none"/>
        </w:rPr>
        <w:t>广西政府采购云平台</w:t>
      </w:r>
      <w:r>
        <w:rPr>
          <w:rFonts w:hint="eastAsia" w:ascii="宋体" w:hAnsi="宋体" w:cs="宋体"/>
          <w:bCs/>
          <w:color w:val="auto"/>
          <w:kern w:val="0"/>
          <w:szCs w:val="21"/>
          <w:highlight w:val="none"/>
        </w:rPr>
        <w:t>编制及上传投标文件。</w:t>
      </w:r>
    </w:p>
    <w:p w14:paraId="4CE12139">
      <w:pPr>
        <w:spacing w:line="360" w:lineRule="auto"/>
        <w:ind w:firstLine="540"/>
        <w:rPr>
          <w:rFonts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color w:val="auto"/>
          <w:szCs w:val="21"/>
          <w:highlight w:val="none"/>
          <w:u w:val="single"/>
        </w:rPr>
        <w:t>0</w:t>
      </w:r>
      <w:r>
        <w:rPr>
          <w:rFonts w:hint="eastAsia" w:ascii="宋体" w:hAnsi="宋体" w:cs="宋体"/>
          <w:color w:val="auto"/>
          <w:szCs w:val="21"/>
          <w:highlight w:val="none"/>
        </w:rPr>
        <w:t>元</w:t>
      </w:r>
    </w:p>
    <w:p w14:paraId="1B49E39B">
      <w:pPr>
        <w:spacing w:line="360" w:lineRule="auto"/>
        <w:rPr>
          <w:rFonts w:ascii="黑体" w:hAnsi="黑体" w:eastAsia="黑体"/>
          <w:b/>
          <w:bCs/>
          <w:color w:val="auto"/>
          <w:sz w:val="24"/>
          <w:highlight w:val="none"/>
        </w:rPr>
      </w:pPr>
      <w:bookmarkStart w:id="28" w:name="_Toc28359005"/>
      <w:bookmarkStart w:id="29" w:name="_Toc28359082"/>
      <w:bookmarkStart w:id="30" w:name="_Toc35393624"/>
      <w:bookmarkStart w:id="31" w:name="_Toc35393793"/>
      <w:r>
        <w:rPr>
          <w:rFonts w:hint="eastAsia" w:ascii="黑体" w:hAnsi="黑体" w:eastAsia="黑体"/>
          <w:b/>
          <w:bCs/>
          <w:color w:val="auto"/>
          <w:sz w:val="24"/>
          <w:highlight w:val="none"/>
        </w:rPr>
        <w:t>四、提交投标文件</w:t>
      </w:r>
      <w:bookmarkEnd w:id="28"/>
      <w:bookmarkEnd w:id="29"/>
      <w:r>
        <w:rPr>
          <w:rFonts w:hint="eastAsia" w:ascii="黑体" w:hAnsi="黑体" w:eastAsia="黑体"/>
          <w:b/>
          <w:bCs/>
          <w:color w:val="auto"/>
          <w:sz w:val="24"/>
          <w:highlight w:val="none"/>
        </w:rPr>
        <w:t>截止时间、开标时间和地点</w:t>
      </w:r>
      <w:bookmarkEnd w:id="30"/>
      <w:bookmarkEnd w:id="31"/>
    </w:p>
    <w:p w14:paraId="184BC944">
      <w:pPr>
        <w:spacing w:line="360" w:lineRule="auto"/>
        <w:ind w:firstLine="420" w:firstLineChars="200"/>
        <w:rPr>
          <w:rFonts w:hint="eastAsia" w:ascii="宋体" w:hAnsi="宋体"/>
          <w:bCs/>
          <w:color w:val="auto"/>
          <w:szCs w:val="21"/>
          <w:highlight w:val="none"/>
        </w:rPr>
      </w:pPr>
      <w:bookmarkStart w:id="32" w:name="_Toc28359084"/>
      <w:bookmarkStart w:id="33" w:name="_Toc35393625"/>
      <w:bookmarkStart w:id="34" w:name="_Toc28359007"/>
      <w:bookmarkStart w:id="35" w:name="_Toc35393794"/>
      <w:r>
        <w:rPr>
          <w:rFonts w:hint="eastAsia" w:ascii="宋体" w:hAnsi="宋体"/>
          <w:bCs/>
          <w:color w:val="auto"/>
          <w:szCs w:val="21"/>
          <w:highlight w:val="none"/>
          <w:u w:val="single"/>
        </w:rPr>
        <w:t>202</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1</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13</w:t>
      </w:r>
      <w:r>
        <w:rPr>
          <w:rFonts w:hint="eastAsia" w:ascii="宋体" w:hAnsi="宋体"/>
          <w:bCs/>
          <w:color w:val="auto"/>
          <w:szCs w:val="21"/>
          <w:highlight w:val="none"/>
          <w:u w:val="single"/>
        </w:rPr>
        <w:t>日09时30分</w:t>
      </w:r>
      <w:r>
        <w:rPr>
          <w:rFonts w:hint="eastAsia" w:ascii="宋体" w:hAnsi="宋体"/>
          <w:bCs/>
          <w:color w:val="auto"/>
          <w:szCs w:val="21"/>
          <w:highlight w:val="none"/>
        </w:rPr>
        <w:t>（北京时间）</w:t>
      </w:r>
    </w:p>
    <w:p w14:paraId="09734F5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地点：</w:t>
      </w:r>
    </w:p>
    <w:p w14:paraId="7A8A130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投标地点：广西政府采购云平台（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w:t>
      </w:r>
    </w:p>
    <w:p w14:paraId="210E928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开标地点：广西政府采购云平台电子开标大厅</w:t>
      </w:r>
    </w:p>
    <w:p w14:paraId="2011AD29">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五、公告期限</w:t>
      </w:r>
      <w:bookmarkEnd w:id="32"/>
      <w:bookmarkEnd w:id="33"/>
      <w:bookmarkEnd w:id="34"/>
      <w:bookmarkEnd w:id="35"/>
    </w:p>
    <w:p w14:paraId="3ECEDCF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7F085446">
      <w:pPr>
        <w:spacing w:line="360" w:lineRule="auto"/>
        <w:rPr>
          <w:rFonts w:ascii="黑体" w:hAnsi="黑体" w:eastAsia="黑体"/>
          <w:b/>
          <w:bCs/>
          <w:color w:val="auto"/>
          <w:sz w:val="24"/>
          <w:highlight w:val="none"/>
        </w:rPr>
      </w:pPr>
      <w:bookmarkStart w:id="36" w:name="_Toc35393795"/>
      <w:bookmarkStart w:id="37" w:name="_Toc35393626"/>
      <w:r>
        <w:rPr>
          <w:rFonts w:hint="eastAsia" w:ascii="黑体" w:hAnsi="黑体" w:eastAsia="黑体"/>
          <w:b/>
          <w:bCs/>
          <w:color w:val="auto"/>
          <w:sz w:val="24"/>
          <w:highlight w:val="none"/>
        </w:rPr>
        <w:t>六、其他补充事宜</w:t>
      </w:r>
      <w:bookmarkEnd w:id="36"/>
      <w:bookmarkEnd w:id="37"/>
    </w:p>
    <w:p w14:paraId="08A65A85">
      <w:pPr>
        <w:spacing w:line="360" w:lineRule="auto"/>
        <w:ind w:firstLine="420" w:firstLineChars="200"/>
        <w:rPr>
          <w:rFonts w:ascii="宋体" w:hAnsi="宋体" w:cs="宋体"/>
          <w:color w:val="auto"/>
          <w:kern w:val="0"/>
          <w:szCs w:val="21"/>
          <w:highlight w:val="none"/>
        </w:rPr>
      </w:pPr>
      <w:bookmarkStart w:id="38" w:name="_Hlk37429595"/>
      <w:bookmarkStart w:id="39" w:name="_Hlk37429585"/>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.网上查询地址</w:t>
      </w:r>
    </w:p>
    <w:bookmarkEnd w:id="38"/>
    <w:bookmarkEnd w:id="39"/>
    <w:p w14:paraId="509CBD5B">
      <w:pPr>
        <w:spacing w:line="360" w:lineRule="auto"/>
        <w:ind w:left="210" w:leftChars="100" w:firstLine="424" w:firstLineChars="202"/>
        <w:rPr>
          <w:rFonts w:ascii="宋体" w:hAnsi="宋体" w:cs="宋体"/>
          <w:iCs/>
          <w:color w:val="auto"/>
          <w:kern w:val="0"/>
          <w:szCs w:val="21"/>
          <w:highlight w:val="none"/>
        </w:rPr>
      </w:pPr>
      <w:bookmarkStart w:id="40" w:name="_Hlk37429674"/>
      <w:r>
        <w:rPr>
          <w:rFonts w:ascii="宋体" w:hAnsi="宋体" w:cs="宋体"/>
          <w:iCs/>
          <w:color w:val="auto"/>
          <w:kern w:val="0"/>
          <w:szCs w:val="21"/>
          <w:highlight w:val="none"/>
        </w:rPr>
        <w:t>http：</w:t>
      </w:r>
      <w:r>
        <w:rPr>
          <w:rFonts w:hint="eastAsia" w:ascii="宋体" w:hAnsi="宋体" w:cs="宋体"/>
          <w:iCs/>
          <w:color w:val="auto"/>
          <w:kern w:val="0"/>
          <w:szCs w:val="21"/>
          <w:highlight w:val="none"/>
        </w:rPr>
        <w:t>//www.ccgp.gov.cn（中国政府采购网）、</w:t>
      </w:r>
      <w:r>
        <w:rPr>
          <w:rFonts w:ascii="宋体" w:hAnsi="宋体" w:cs="宋体"/>
          <w:iCs/>
          <w:color w:val="auto"/>
          <w:kern w:val="0"/>
          <w:szCs w:val="21"/>
          <w:highlight w:val="none"/>
        </w:rPr>
        <w:t>http：</w:t>
      </w:r>
      <w:r>
        <w:rPr>
          <w:rFonts w:hint="eastAsia" w:ascii="宋体" w:hAnsi="宋体" w:cs="宋体"/>
          <w:iCs/>
          <w:color w:val="auto"/>
          <w:kern w:val="0"/>
          <w:szCs w:val="21"/>
          <w:highlight w:val="none"/>
        </w:rPr>
        <w:t>//zfcg.gxzf.gov.cn（广西壮族自治区政府采购网）、http://117.141.250.58:10030/web/cgw/index.ptl（梧州市政府采购网）</w:t>
      </w:r>
    </w:p>
    <w:p w14:paraId="59FD5C5B">
      <w:pPr>
        <w:spacing w:line="360" w:lineRule="auto"/>
        <w:ind w:firstLine="424" w:firstLineChars="202"/>
        <w:rPr>
          <w:rFonts w:ascii="宋体" w:hAnsi="宋体" w:cs="宋体"/>
          <w:color w:val="auto"/>
          <w:kern w:val="0"/>
          <w:szCs w:val="21"/>
          <w:highlight w:val="none"/>
        </w:rPr>
      </w:pP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p w14:paraId="22278D5F">
      <w:pPr>
        <w:spacing w:line="360" w:lineRule="auto"/>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60D082F9">
      <w:pPr>
        <w:spacing w:line="360" w:lineRule="auto"/>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3DB98B95">
      <w:pPr>
        <w:spacing w:line="360" w:lineRule="auto"/>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4CA1CE99">
      <w:pPr>
        <w:spacing w:line="360" w:lineRule="auto"/>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3CD251BB">
      <w:pPr>
        <w:spacing w:line="360" w:lineRule="auto"/>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067DEE31">
      <w:pPr>
        <w:widowControl/>
        <w:spacing w:line="360" w:lineRule="auto"/>
        <w:ind w:firstLine="420" w:firstLineChars="200"/>
        <w:jc w:val="left"/>
        <w:rPr>
          <w:rFonts w:ascii="宋体" w:hAnsi="宋体"/>
          <w:color w:val="auto"/>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bookmarkEnd w:id="40"/>
      <w:bookmarkStart w:id="41" w:name="_Toc28359085"/>
      <w:bookmarkStart w:id="42" w:name="_Toc35393627"/>
      <w:bookmarkStart w:id="43" w:name="_Toc35393796"/>
      <w:bookmarkStart w:id="44" w:name="_Toc28359008"/>
      <w:r>
        <w:rPr>
          <w:rFonts w:hint="eastAsia" w:ascii="宋体" w:hAnsi="宋体" w:cs="宋体"/>
          <w:color w:val="auto"/>
          <w:kern w:val="0"/>
          <w:szCs w:val="21"/>
          <w:highlight w:val="none"/>
        </w:rPr>
        <w:t>投标人</w:t>
      </w:r>
      <w:r>
        <w:rPr>
          <w:rFonts w:hint="eastAsia" w:ascii="宋体" w:hAnsi="宋体"/>
          <w:color w:val="auto"/>
          <w:szCs w:val="21"/>
          <w:highlight w:val="none"/>
        </w:rPr>
        <w:t>投标注意事项</w:t>
      </w:r>
    </w:p>
    <w:p w14:paraId="769CDD18">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（1）本项目为全流程电子化采购项目，通过广西政府采购云平台（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）实行在线电子投标，投标人应按照本项目招标文件和广西政府采购云平台的要求编制、加密后在投标截止时间前通过网络上传至广西政府采购云平台（加密的电子投标文件是指</w:t>
      </w:r>
      <w:r>
        <w:rPr>
          <w:rFonts w:hint="eastAsia"/>
          <w:color w:val="auto"/>
          <w:highlight w:val="none"/>
        </w:rPr>
        <w:t>后缀名为“</w:t>
      </w:r>
      <w:r>
        <w:rPr>
          <w:color w:val="auto"/>
          <w:highlight w:val="none"/>
        </w:rPr>
        <w:t>jmbs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投标人在广西政府采购云平台提交电子投标文件时，请填写参加远程开标活动经办人联系方式。</w:t>
      </w:r>
      <w:r>
        <w:rPr>
          <w:rFonts w:hint="eastAsia" w:ascii="宋体" w:hAnsi="宋体"/>
          <w:color w:val="auto"/>
          <w:szCs w:val="21"/>
          <w:highlight w:val="none"/>
        </w:rPr>
        <w:t>投标人登录广西政府采购云平台，依次进入“服务中心-项目采购-操作流程-电子招投标-</w:t>
      </w:r>
      <w:r>
        <w:rPr>
          <w:rFonts w:hint="eastAsia"/>
          <w:color w:val="auto"/>
          <w:highlight w:val="none"/>
        </w:rPr>
        <w:t>政府采购项目电子交易管理操作指南</w:t>
      </w:r>
      <w:r>
        <w:rPr>
          <w:color w:val="auto"/>
          <w:highlight w:val="none"/>
        </w:rPr>
        <w:t>-</w:t>
      </w:r>
      <w:r>
        <w:rPr>
          <w:rFonts w:hint="eastAsia"/>
          <w:color w:val="auto"/>
          <w:highlight w:val="none"/>
        </w:rPr>
        <w:t>供应商</w:t>
      </w:r>
      <w:r>
        <w:rPr>
          <w:rFonts w:hint="eastAsia" w:ascii="宋体" w:hAnsi="宋体"/>
          <w:color w:val="auto"/>
          <w:szCs w:val="21"/>
          <w:highlight w:val="none"/>
        </w:rPr>
        <w:t>”查看电子投标具体操作流程。</w:t>
      </w:r>
    </w:p>
    <w:p w14:paraId="241EE844">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Pr>
          <w:rFonts w:hint="eastAsia" w:ascii="宋体" w:hAnsi="宋体" w:cs="宋体"/>
          <w:color w:val="auto"/>
          <w:kern w:val="0"/>
          <w:szCs w:val="21"/>
          <w:highlight w:val="none"/>
        </w:rPr>
        <w:t>，</w:t>
      </w:r>
      <w:r>
        <w:rPr>
          <w:rFonts w:hint="eastAsia" w:ascii="宋体" w:hAnsi="宋体"/>
          <w:color w:val="auto"/>
          <w:szCs w:val="21"/>
          <w:highlight w:val="none"/>
        </w:rPr>
        <w:t>依次进入“服务中心-入驻与配置”中查看CA数字证书办理操作流程。</w:t>
      </w:r>
      <w:r>
        <w:rPr>
          <w:rFonts w:hint="eastAsia" w:ascii="宋体" w:hAnsi="宋体" w:cs="宋体"/>
          <w:b/>
          <w:color w:val="auto"/>
          <w:kern w:val="0"/>
          <w:szCs w:val="21"/>
          <w:highlight w:val="none"/>
        </w:rPr>
        <w:t>如在操作过程中遇到问题或者需要技术支持，请致电客服热线：95763或者0771-3381253</w:t>
      </w:r>
      <w:r>
        <w:rPr>
          <w:rFonts w:hint="eastAsia" w:ascii="宋体" w:hAnsi="宋体"/>
          <w:color w:val="auto"/>
          <w:szCs w:val="21"/>
          <w:highlight w:val="none"/>
        </w:rPr>
        <w:t>）。</w:t>
      </w:r>
    </w:p>
    <w:p w14:paraId="329D280F">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（3）CA证书在线解密：投标人投标时，需凭制作投标文件时用来加密的有效数字证书（CA认证）登录</w:t>
      </w:r>
      <w:r>
        <w:rPr>
          <w:rFonts w:hint="eastAsia" w:ascii="宋体" w:hAnsi="宋体"/>
          <w:color w:val="auto"/>
          <w:szCs w:val="21"/>
          <w:highlight w:val="none"/>
        </w:rPr>
        <w:t>广西政府采购云平台</w:t>
      </w:r>
      <w:r>
        <w:rPr>
          <w:rFonts w:hint="eastAsia" w:ascii="宋体" w:hAnsi="宋体" w:cs="宋体"/>
          <w:color w:val="auto"/>
          <w:kern w:val="0"/>
          <w:szCs w:val="21"/>
          <w:highlight w:val="none"/>
        </w:rPr>
        <w:t>电子开标大厅现场按规定时间对加密的投标文件进行解密，否则后果自负。</w:t>
      </w:r>
    </w:p>
    <w:p w14:paraId="311E3310">
      <w:pPr>
        <w:spacing w:line="360" w:lineRule="auto"/>
        <w:ind w:firstLine="424" w:firstLineChars="202"/>
        <w:rPr>
          <w:rFonts w:ascii="宋体" w:hAnsi="宋体"/>
          <w:bCs/>
          <w:color w:val="auto"/>
          <w:szCs w:val="21"/>
          <w:highlight w:val="none"/>
        </w:rPr>
      </w:pPr>
      <w:r>
        <w:rPr>
          <w:rFonts w:hint="eastAsia" w:ascii="宋体" w:hAnsi="宋体"/>
          <w:color w:val="auto"/>
          <w:szCs w:val="21"/>
          <w:highlight w:val="none"/>
        </w:rPr>
        <w:t>注：1）为确保网上操作合法、有效和安全，请投标人确保在电子投标过程中能够对相关数据电文进行加密和使用电子签章，妥善保管CA数字证书并使用有效的CA数字证书参与整个招标活动。2）</w:t>
      </w:r>
      <w:r>
        <w:rPr>
          <w:rFonts w:hint="eastAsia" w:ascii="宋体" w:hAnsi="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color w:val="auto"/>
          <w:szCs w:val="21"/>
          <w:highlight w:val="none"/>
        </w:rPr>
        <w:t>广西政府采购云平台</w:t>
      </w:r>
      <w:r>
        <w:rPr>
          <w:rFonts w:hint="eastAsia" w:ascii="宋体" w:hAnsi="宋体"/>
          <w:bCs/>
          <w:color w:val="auto"/>
          <w:szCs w:val="21"/>
          <w:highlight w:val="none"/>
        </w:rPr>
        <w:t>将予以拒收。</w:t>
      </w:r>
    </w:p>
    <w:p w14:paraId="4DE2C633">
      <w:pPr>
        <w:spacing w:line="360" w:lineRule="auto"/>
        <w:ind w:firstLine="482" w:firstLineChars="200"/>
        <w:rPr>
          <w:rFonts w:ascii="黑体" w:hAnsi="黑体" w:eastAsia="黑体"/>
          <w:b/>
          <w:bCs/>
          <w:color w:val="auto"/>
          <w:sz w:val="24"/>
          <w:highlight w:val="none"/>
        </w:rPr>
      </w:pPr>
      <w:r>
        <w:rPr>
          <w:rFonts w:hint="eastAsia" w:ascii="黑体" w:hAnsi="黑体" w:eastAsia="黑体"/>
          <w:b/>
          <w:bCs/>
          <w:color w:val="auto"/>
          <w:sz w:val="24"/>
          <w:highlight w:val="none"/>
        </w:rPr>
        <w:t>七、对本次招标提出询问，请按</w:t>
      </w:r>
      <w:r>
        <w:rPr>
          <w:rFonts w:ascii="黑体" w:hAnsi="黑体" w:eastAsia="黑体"/>
          <w:b/>
          <w:bCs/>
          <w:color w:val="auto"/>
          <w:sz w:val="24"/>
          <w:highlight w:val="none"/>
        </w:rPr>
        <w:t>以下方式</w:t>
      </w:r>
      <w:r>
        <w:rPr>
          <w:rFonts w:hint="eastAsia" w:ascii="黑体" w:hAnsi="黑体" w:eastAsia="黑体"/>
          <w:b/>
          <w:bCs/>
          <w:color w:val="auto"/>
          <w:sz w:val="24"/>
          <w:highlight w:val="none"/>
        </w:rPr>
        <w:t>联系。</w:t>
      </w:r>
      <w:bookmarkEnd w:id="41"/>
      <w:bookmarkEnd w:id="42"/>
      <w:bookmarkEnd w:id="43"/>
      <w:bookmarkEnd w:id="44"/>
    </w:p>
    <w:p w14:paraId="0B9BA940">
      <w:pPr>
        <w:spacing w:line="360" w:lineRule="auto"/>
        <w:ind w:firstLine="420" w:firstLineChars="200"/>
        <w:rPr>
          <w:rFonts w:ascii="宋体" w:hAnsi="宋体" w:cs="宋体"/>
          <w:color w:val="auto"/>
          <w:kern w:val="0"/>
          <w:szCs w:val="21"/>
          <w:highlight w:val="none"/>
        </w:rPr>
      </w:pPr>
      <w:bookmarkStart w:id="45" w:name="_Toc28359096"/>
      <w:bookmarkStart w:id="46" w:name="_Toc35393637"/>
      <w:bookmarkStart w:id="47" w:name="_Toc35393806"/>
      <w:bookmarkStart w:id="48" w:name="_Toc28359019"/>
      <w:r>
        <w:rPr>
          <w:rFonts w:hint="eastAsia" w:ascii="宋体" w:hAnsi="宋体" w:cs="宋体"/>
          <w:color w:val="auto"/>
          <w:kern w:val="0"/>
          <w:szCs w:val="21"/>
          <w:highlight w:val="none"/>
        </w:rPr>
        <w:t>1.采购人信息</w:t>
      </w:r>
      <w:bookmarkEnd w:id="45"/>
      <w:bookmarkEnd w:id="46"/>
      <w:bookmarkEnd w:id="47"/>
      <w:bookmarkEnd w:id="48"/>
    </w:p>
    <w:p w14:paraId="46F798C9">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hint="eastAsia" w:ascii="宋体" w:hAnsi="宋体"/>
          <w:color w:val="auto"/>
          <w:szCs w:val="21"/>
          <w:highlight w:val="none"/>
          <w:u w:val="single"/>
        </w:rPr>
        <w:t>梧州市妇幼保健院</w:t>
      </w:r>
    </w:p>
    <w:p w14:paraId="0BBF29A6">
      <w:pPr>
        <w:spacing w:line="400" w:lineRule="exact"/>
        <w:ind w:firstLine="420" w:firstLineChars="200"/>
        <w:jc w:val="left"/>
        <w:rPr>
          <w:rFonts w:ascii="宋体" w:hAnsi="宋体"/>
          <w:color w:val="auto"/>
          <w:highlight w:val="none"/>
          <w:u w:val="single"/>
        </w:rPr>
      </w:pPr>
      <w:r>
        <w:rPr>
          <w:rFonts w:hint="eastAsia" w:ascii="宋体" w:hAnsi="宋体"/>
          <w:color w:val="auto"/>
          <w:szCs w:val="21"/>
          <w:highlight w:val="none"/>
        </w:rPr>
        <w:t>地    址：</w:t>
      </w:r>
      <w:r>
        <w:rPr>
          <w:rFonts w:hint="eastAsia" w:ascii="宋体" w:hAnsi="宋体"/>
          <w:color w:val="auto"/>
          <w:highlight w:val="none"/>
          <w:u w:val="single"/>
        </w:rPr>
        <w:t>梧州市蝶山一路28号</w:t>
      </w:r>
    </w:p>
    <w:p w14:paraId="3666211F">
      <w:pPr>
        <w:spacing w:after="120" w:afterLines="5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hint="eastAsia" w:ascii="宋体" w:hAnsi="宋体" w:cs="宋体"/>
          <w:color w:val="auto"/>
          <w:kern w:val="0"/>
          <w:highlight w:val="none"/>
          <w:u w:val="single"/>
        </w:rPr>
        <w:t>陈先生</w:t>
      </w:r>
      <w:r>
        <w:rPr>
          <w:rFonts w:hint="eastAsia" w:ascii="宋体" w:hAnsi="宋体"/>
          <w:color w:val="auto"/>
          <w:szCs w:val="21"/>
          <w:highlight w:val="none"/>
          <w:u w:val="single"/>
        </w:rPr>
        <w:t>；</w:t>
      </w:r>
      <w:r>
        <w:rPr>
          <w:rFonts w:hint="eastAsia" w:ascii="宋体" w:hAnsi="宋体" w:cs="宋体"/>
          <w:color w:val="auto"/>
          <w:kern w:val="0"/>
          <w:highlight w:val="none"/>
          <w:u w:val="single"/>
        </w:rPr>
        <w:t>0774-3813873</w:t>
      </w:r>
      <w:r>
        <w:rPr>
          <w:rFonts w:hint="eastAsia" w:ascii="宋体" w:hAnsi="宋体"/>
          <w:color w:val="auto"/>
          <w:szCs w:val="21"/>
          <w:highlight w:val="none"/>
        </w:rPr>
        <w:t xml:space="preserve"> </w:t>
      </w:r>
    </w:p>
    <w:p w14:paraId="7A9F9AE2">
      <w:pPr>
        <w:spacing w:line="360" w:lineRule="auto"/>
        <w:ind w:firstLine="420" w:firstLineChars="200"/>
        <w:rPr>
          <w:rFonts w:ascii="宋体" w:hAnsi="宋体" w:cs="宋体"/>
          <w:color w:val="auto"/>
          <w:kern w:val="0"/>
          <w:szCs w:val="21"/>
          <w:highlight w:val="none"/>
        </w:rPr>
      </w:pPr>
      <w:bookmarkStart w:id="49" w:name="_Toc35393638"/>
      <w:bookmarkStart w:id="50" w:name="_Toc35393807"/>
      <w:bookmarkStart w:id="51" w:name="_Toc28359020"/>
      <w:bookmarkStart w:id="52" w:name="_Toc28359097"/>
      <w:r>
        <w:rPr>
          <w:rFonts w:hint="eastAsia" w:ascii="宋体" w:hAnsi="宋体" w:cs="宋体"/>
          <w:color w:val="auto"/>
          <w:kern w:val="0"/>
          <w:szCs w:val="21"/>
          <w:highlight w:val="none"/>
        </w:rPr>
        <w:t>2.采购代理机构信息</w:t>
      </w:r>
      <w:bookmarkEnd w:id="49"/>
      <w:bookmarkEnd w:id="50"/>
      <w:bookmarkEnd w:id="51"/>
      <w:bookmarkEnd w:id="52"/>
    </w:p>
    <w:p w14:paraId="0406BEE5">
      <w:pPr>
        <w:spacing w:line="360" w:lineRule="auto"/>
        <w:ind w:firstLine="420" w:firstLineChars="200"/>
        <w:rPr>
          <w:rFonts w:ascii="宋体" w:hAnsi="宋体" w:cs="宋体"/>
          <w:color w:val="auto"/>
          <w:szCs w:val="21"/>
          <w:highlight w:val="none"/>
          <w:u w:val="single"/>
        </w:rPr>
      </w:pPr>
      <w:r>
        <w:rPr>
          <w:rFonts w:hint="eastAsia" w:ascii="宋体" w:hAnsi="宋体"/>
          <w:color w:val="auto"/>
          <w:szCs w:val="21"/>
          <w:highlight w:val="none"/>
        </w:rPr>
        <w:t>名    称：</w:t>
      </w:r>
      <w:r>
        <w:rPr>
          <w:rFonts w:hint="eastAsia" w:ascii="宋体" w:hAnsi="宋体" w:cs="宋体"/>
          <w:color w:val="auto"/>
          <w:szCs w:val="21"/>
          <w:highlight w:val="none"/>
          <w:u w:val="single"/>
        </w:rPr>
        <w:t>云之龙咨询集团有限公司</w:t>
      </w:r>
    </w:p>
    <w:p w14:paraId="0D1D43E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梧州市新兴三路30号神冠豪都B栋1单元1008号房</w:t>
      </w:r>
    </w:p>
    <w:p w14:paraId="00EC9ADA">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联系方式：</w:t>
      </w:r>
      <w:r>
        <w:rPr>
          <w:rFonts w:hint="eastAsia" w:ascii="宋体" w:hAnsi="宋体"/>
          <w:color w:val="auto"/>
          <w:szCs w:val="21"/>
          <w:highlight w:val="none"/>
          <w:u w:val="single"/>
        </w:rPr>
        <w:t>周子然、覃文思  0774-3859935</w:t>
      </w:r>
    </w:p>
    <w:p w14:paraId="77C9D869">
      <w:pPr>
        <w:spacing w:line="360" w:lineRule="auto"/>
        <w:ind w:firstLine="420" w:firstLineChars="200"/>
        <w:rPr>
          <w:rFonts w:ascii="宋体" w:hAnsi="宋体" w:cs="宋体"/>
          <w:color w:val="auto"/>
          <w:kern w:val="0"/>
          <w:szCs w:val="21"/>
          <w:highlight w:val="none"/>
        </w:rPr>
      </w:pPr>
      <w:bookmarkStart w:id="53" w:name="_Toc28359021"/>
      <w:bookmarkStart w:id="54" w:name="_Toc35393639"/>
      <w:bookmarkStart w:id="55" w:name="_Toc28359098"/>
      <w:bookmarkStart w:id="56" w:name="_Toc35393808"/>
      <w:r>
        <w:rPr>
          <w:rFonts w:hint="eastAsia" w:ascii="宋体" w:hAnsi="宋体" w:cs="宋体"/>
          <w:color w:val="auto"/>
          <w:kern w:val="0"/>
          <w:szCs w:val="21"/>
          <w:highlight w:val="none"/>
        </w:rPr>
        <w:t>3.项目联系</w:t>
      </w:r>
      <w:r>
        <w:rPr>
          <w:rFonts w:ascii="宋体" w:hAnsi="宋体" w:cs="宋体"/>
          <w:color w:val="auto"/>
          <w:kern w:val="0"/>
          <w:szCs w:val="21"/>
          <w:highlight w:val="none"/>
        </w:rPr>
        <w:t>方式</w:t>
      </w:r>
      <w:bookmarkEnd w:id="53"/>
      <w:bookmarkEnd w:id="54"/>
      <w:bookmarkEnd w:id="55"/>
      <w:bookmarkEnd w:id="56"/>
    </w:p>
    <w:p w14:paraId="21E3D702">
      <w:pPr>
        <w:pStyle w:val="26"/>
        <w:spacing w:line="360" w:lineRule="auto"/>
        <w:ind w:firstLine="420" w:firstLineChars="200"/>
        <w:rPr>
          <w:rFonts w:hAnsi="宋体"/>
          <w:color w:val="auto"/>
          <w:sz w:val="21"/>
          <w:highlight w:val="none"/>
        </w:rPr>
      </w:pPr>
      <w:r>
        <w:rPr>
          <w:rFonts w:hint="eastAsia" w:hAnsi="宋体"/>
          <w:color w:val="auto"/>
          <w:sz w:val="21"/>
          <w:highlight w:val="none"/>
        </w:rPr>
        <w:t>项目联系人：</w:t>
      </w:r>
      <w:r>
        <w:rPr>
          <w:rFonts w:hint="eastAsia" w:hAnsi="宋体"/>
          <w:color w:val="auto"/>
          <w:sz w:val="21"/>
          <w:highlight w:val="none"/>
          <w:u w:val="single"/>
        </w:rPr>
        <w:t>周子然、覃文思</w:t>
      </w:r>
    </w:p>
    <w:p w14:paraId="66F2DDF8">
      <w:pPr>
        <w:spacing w:line="360" w:lineRule="auto"/>
        <w:ind w:firstLine="420" w:firstLineChars="200"/>
        <w:rPr>
          <w:color w:val="auto"/>
          <w:highlight w:val="none"/>
        </w:rPr>
      </w:pPr>
      <w:r>
        <w:rPr>
          <w:rFonts w:hint="eastAsia" w:ascii="宋体" w:hAnsi="宋体"/>
          <w:color w:val="auto"/>
          <w:szCs w:val="21"/>
          <w:highlight w:val="none"/>
        </w:rPr>
        <w:t>电　　话：</w:t>
      </w:r>
      <w:r>
        <w:rPr>
          <w:rFonts w:hint="eastAsia" w:ascii="宋体" w:hAnsi="宋体"/>
          <w:color w:val="auto"/>
          <w:szCs w:val="21"/>
          <w:highlight w:val="none"/>
          <w:u w:val="single"/>
        </w:rPr>
        <w:t>0774-3859935</w:t>
      </w:r>
    </w:p>
    <w:p w14:paraId="6B6FEEDF">
      <w:pPr>
        <w:snapToGrid w:val="0"/>
        <w:spacing w:line="320" w:lineRule="exact"/>
        <w:rPr>
          <w:rFonts w:ascii="仿宋_GB2312" w:hAnsi="宋体" w:eastAsia="仿宋_GB2312"/>
          <w:color w:val="auto"/>
          <w:sz w:val="24"/>
          <w:szCs w:val="20"/>
          <w:highlight w:val="none"/>
        </w:rPr>
      </w:pPr>
    </w:p>
    <w:p w14:paraId="1E8A6D72">
      <w:pPr>
        <w:rPr>
          <w:color w:val="auto"/>
          <w:highlight w:val="none"/>
        </w:rPr>
      </w:pPr>
      <w:bookmarkStart w:id="57" w:name="_Toc74320801"/>
      <w:r>
        <w:rPr>
          <w:rFonts w:hint="eastAsia"/>
          <w:color w:val="auto"/>
          <w:highlight w:val="none"/>
        </w:rPr>
        <w:t>附件：采购需求</w:t>
      </w:r>
      <w:r>
        <w:rPr>
          <w:rFonts w:hint="eastAsia"/>
          <w:color w:val="auto"/>
          <w:highlight w:val="none"/>
        </w:rPr>
        <w:br w:type="page"/>
      </w:r>
    </w:p>
    <w:p w14:paraId="0913EF27">
      <w:pPr>
        <w:pStyle w:val="5"/>
        <w:jc w:val="center"/>
        <w:rPr>
          <w:color w:val="auto"/>
          <w:highlight w:val="none"/>
        </w:rPr>
      </w:pPr>
      <w:r>
        <w:rPr>
          <w:rFonts w:hint="eastAsia"/>
          <w:color w:val="auto"/>
          <w:highlight w:val="none"/>
        </w:rPr>
        <w:t>第二章  采购需求</w:t>
      </w:r>
      <w:bookmarkEnd w:id="57"/>
    </w:p>
    <w:p w14:paraId="6A482BCA">
      <w:pPr>
        <w:spacing w:line="360" w:lineRule="auto"/>
        <w:jc w:val="left"/>
        <w:rPr>
          <w:rFonts w:ascii="宋体" w:hAnsi="宋体" w:cs="宋体"/>
          <w:color w:val="auto"/>
          <w:szCs w:val="21"/>
          <w:highlight w:val="none"/>
        </w:rPr>
      </w:pPr>
      <w:bookmarkStart w:id="58" w:name="_Hlk65055179"/>
      <w:bookmarkStart w:id="59" w:name="_Toc254970490"/>
      <w:bookmarkStart w:id="60" w:name="_Toc254970631"/>
      <w:r>
        <w:rPr>
          <w:rFonts w:hint="eastAsia" w:ascii="宋体" w:hAnsi="宋体" w:cs="宋体"/>
          <w:color w:val="auto"/>
          <w:szCs w:val="21"/>
          <w:highlight w:val="none"/>
        </w:rPr>
        <w:t>说明：</w:t>
      </w:r>
    </w:p>
    <w:p w14:paraId="7710CEA3">
      <w:pPr>
        <w:numPr>
          <w:ilvl w:val="0"/>
          <w:numId w:val="3"/>
        </w:numPr>
        <w:spacing w:line="360" w:lineRule="auto"/>
        <w:ind w:firstLine="420" w:firstLineChars="200"/>
        <w:jc w:val="left"/>
        <w:rPr>
          <w:color w:val="auto"/>
          <w:highlight w:val="none"/>
        </w:rPr>
      </w:pPr>
      <w:r>
        <w:rPr>
          <w:rFonts w:hint="eastAsia"/>
          <w:color w:val="auto"/>
          <w:highlight w:val="none"/>
        </w:rPr>
        <w:t>为落实政府采购政策需满足的要求</w:t>
      </w:r>
    </w:p>
    <w:p w14:paraId="7C74674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14:paraId="431B4F2E">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复印件（加盖投标人电子签章），</w:t>
      </w:r>
      <w:r>
        <w:rPr>
          <w:rFonts w:hint="eastAsia" w:ascii="宋体" w:hAnsi="宋体" w:cs="宋体"/>
          <w:b/>
          <w:bCs/>
          <w:color w:val="auto"/>
          <w:szCs w:val="21"/>
          <w:highlight w:val="none"/>
        </w:rPr>
        <w:t>否则按无效投标处理</w:t>
      </w:r>
      <w:r>
        <w:rPr>
          <w:rFonts w:hint="eastAsia" w:ascii="宋体" w:hAnsi="宋体" w:cs="宋体"/>
          <w:color w:val="auto"/>
          <w:szCs w:val="21"/>
          <w:highlight w:val="none"/>
        </w:rPr>
        <w:t>。如本项目包含的货物属于品目清单内非标注“★”的产品时，应优先采购，具体详见“第四章 评标方法及评标标准”。</w:t>
      </w:r>
    </w:p>
    <w:p w14:paraId="7A5EA659">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w:t>
      </w:r>
      <w:r>
        <w:rPr>
          <w:color w:val="auto"/>
          <w:highlight w:val="none"/>
        </w:rPr>
        <w:t>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w:t>
      </w:r>
      <w:r>
        <w:rPr>
          <w:b/>
          <w:color w:val="auto"/>
          <w:highlight w:val="none"/>
        </w:rPr>
        <w:t>不在《网络关键设备和网络安全专用产品安全认证和安全检测结果》中或不在有效期内或未提供有效的《计算机信息系统安全专用产品销售许可证》的，</w:t>
      </w:r>
      <w:r>
        <w:rPr>
          <w:rFonts w:hint="eastAsia"/>
          <w:b/>
          <w:color w:val="auto"/>
          <w:highlight w:val="none"/>
        </w:rPr>
        <w:t>按无效投标处理</w:t>
      </w:r>
      <w:r>
        <w:rPr>
          <w:color w:val="auto"/>
          <w:highlight w:val="none"/>
        </w:rPr>
        <w:t>。如属于《网络关键设备和网络安全专用产品目录》中“二、网络安全专用产品”内“产品类别”中的所描述的产品，但不属于所列“产品描述”情形的，应提供相应的说明及证明材料。</w:t>
      </w:r>
    </w:p>
    <w:p w14:paraId="3F4DAC4F">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p>
    <w:p w14:paraId="111BF5E3">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3.标记“●”的条款（如有）是指采购需求中的重要指标，作为评分标准依据。</w:t>
      </w:r>
    </w:p>
    <w:p w14:paraId="34426F57">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4.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745A6634">
      <w:pPr>
        <w:spacing w:line="360" w:lineRule="auto"/>
        <w:ind w:firstLine="424" w:firstLineChars="202"/>
        <w:jc w:val="left"/>
        <w:rPr>
          <w:color w:val="auto"/>
          <w:highlight w:val="none"/>
        </w:rPr>
      </w:pPr>
      <w:r>
        <w:rPr>
          <w:rFonts w:hint="eastAsia" w:ascii="宋体" w:hAnsi="宋体" w:cs="宋体"/>
          <w:color w:val="auto"/>
          <w:szCs w:val="21"/>
          <w:highlight w:val="none"/>
        </w:rPr>
        <w:t>5. 投标人应根据自身实际情况如实响应招标文件</w:t>
      </w:r>
      <w:r>
        <w:rPr>
          <w:rFonts w:hint="eastAsia" w:ascii="宋体" w:hAnsi="宋体"/>
          <w:color w:val="auto"/>
          <w:szCs w:val="21"/>
          <w:highlight w:val="none"/>
        </w:rPr>
        <w:t>，</w:t>
      </w:r>
      <w:r>
        <w:rPr>
          <w:rFonts w:hint="eastAsia" w:ascii="宋体" w:hAnsi="宋体"/>
          <w:color w:val="auto"/>
          <w:sz w:val="22"/>
          <w:szCs w:val="22"/>
          <w:highlight w:val="none"/>
        </w:rPr>
        <w:t>对招标文件提出的要求和条件作出明确响应</w:t>
      </w:r>
      <w:r>
        <w:rPr>
          <w:rFonts w:hint="eastAsia" w:ascii="宋体" w:hAnsi="宋体"/>
          <w:color w:val="auto"/>
          <w:szCs w:val="21"/>
          <w:highlight w:val="none"/>
        </w:rPr>
        <w:t>，</w:t>
      </w:r>
      <w:r>
        <w:rPr>
          <w:rFonts w:hint="eastAsia" w:ascii="宋体" w:hAnsi="宋体"/>
          <w:b/>
          <w:bCs/>
          <w:color w:val="auto"/>
          <w:szCs w:val="21"/>
          <w:highlight w:val="none"/>
        </w:rPr>
        <w:t>采购需求中以范围值表述的技术要求，投标人须按照自身产品的实际技术参数如实响应招标文件</w:t>
      </w:r>
      <w:r>
        <w:rPr>
          <w:rFonts w:hint="eastAsia" w:ascii="宋体" w:hAnsi="宋体"/>
          <w:color w:val="auto"/>
          <w:szCs w:val="21"/>
          <w:highlight w:val="none"/>
        </w:rPr>
        <w:t>，</w:t>
      </w:r>
      <w:r>
        <w:rPr>
          <w:rFonts w:hint="eastAsia" w:ascii="宋体" w:hAnsi="宋体"/>
          <w:b/>
          <w:bCs/>
          <w:color w:val="auto"/>
          <w:szCs w:val="21"/>
          <w:highlight w:val="none"/>
        </w:rPr>
        <w:t>否则该技术参数视为负偏离</w:t>
      </w:r>
      <w:r>
        <w:rPr>
          <w:rFonts w:hint="eastAsia" w:ascii="宋体" w:hAnsi="宋体"/>
          <w:color w:val="auto"/>
          <w:szCs w:val="21"/>
          <w:highlight w:val="none"/>
        </w:rPr>
        <w:t>。</w:t>
      </w:r>
      <w:r>
        <w:rPr>
          <w:rFonts w:hint="eastAsia"/>
          <w:color w:val="auto"/>
          <w:highlight w:val="none"/>
        </w:rPr>
        <w:t>对于重要技术条款或技术参数应当在投标文件中提供技术支持资料，技术支持资料以招标文件中规定的形式为准，</w:t>
      </w:r>
      <w:r>
        <w:rPr>
          <w:rFonts w:hint="eastAsia"/>
          <w:b/>
          <w:bCs/>
          <w:color w:val="auto"/>
          <w:highlight w:val="none"/>
        </w:rPr>
        <w:t>否则将视为无效技术支持资料</w:t>
      </w:r>
      <w:r>
        <w:rPr>
          <w:rFonts w:hint="eastAsia"/>
          <w:color w:val="auto"/>
          <w:highlight w:val="none"/>
        </w:rPr>
        <w:t>。</w:t>
      </w:r>
    </w:p>
    <w:p w14:paraId="74169C2A">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6.投标人必须自行为其投标产品侵犯他人的知识产权或者专利成果的行为承担相应法律责任。</w:t>
      </w:r>
    </w:p>
    <w:p w14:paraId="4C0482EB">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7.所属行业依照《中小企业划型标准规定》（工信部联企业〔2011〕300号）及《国民经济行业分类》（</w:t>
      </w:r>
      <w:r>
        <w:rPr>
          <w:color w:val="auto"/>
          <w:highlight w:val="none"/>
        </w:rPr>
        <w:t xml:space="preserve"> </w:t>
      </w:r>
      <w:r>
        <w:rPr>
          <w:rFonts w:ascii="宋体" w:hAnsi="宋体" w:cs="宋体"/>
          <w:color w:val="auto"/>
          <w:szCs w:val="21"/>
          <w:highlight w:val="none"/>
        </w:rPr>
        <w:t>GB/T 4754—2017</w:t>
      </w:r>
      <w:r>
        <w:rPr>
          <w:rFonts w:hint="eastAsia" w:ascii="宋体" w:hAnsi="宋体" w:cs="宋体"/>
          <w:color w:val="auto"/>
          <w:szCs w:val="21"/>
          <w:highlight w:val="none"/>
        </w:rPr>
        <w:t>）的有关规定执行，</w:t>
      </w:r>
      <w:r>
        <w:rPr>
          <w:rFonts w:hint="eastAsia" w:ascii="宋体" w:hAnsi="宋体" w:cs="宋体"/>
          <w:b/>
          <w:bCs/>
          <w:color w:val="auto"/>
          <w:szCs w:val="21"/>
          <w:highlight w:val="none"/>
        </w:rPr>
        <w:t>本项目</w:t>
      </w:r>
      <w:r>
        <w:rPr>
          <w:rFonts w:hint="eastAsia"/>
          <w:b/>
          <w:bCs/>
          <w:color w:val="auto"/>
          <w:highlight w:val="none"/>
        </w:rPr>
        <w:t>所有标的的</w:t>
      </w:r>
      <w:r>
        <w:rPr>
          <w:rFonts w:hint="eastAsia" w:ascii="宋体" w:hAnsi="宋体" w:cs="宋体"/>
          <w:b/>
          <w:bCs/>
          <w:color w:val="auto"/>
          <w:szCs w:val="21"/>
          <w:highlight w:val="none"/>
        </w:rPr>
        <w:t>所属行业为“</w:t>
      </w:r>
      <w:r>
        <w:rPr>
          <w:rFonts w:hint="eastAsia" w:ascii="Helvetica" w:hAnsi="Helvetica" w:cs="Helvetica"/>
          <w:b/>
          <w:bCs/>
          <w:color w:val="auto"/>
          <w:szCs w:val="21"/>
          <w:highlight w:val="none"/>
          <w:shd w:val="clear" w:color="auto" w:fill="FFFFFF"/>
        </w:rPr>
        <w:t>工</w:t>
      </w:r>
      <w:r>
        <w:rPr>
          <w:rFonts w:ascii="Helvetica" w:hAnsi="Helvetica" w:eastAsia="Helvetica" w:cs="Helvetica"/>
          <w:b/>
          <w:bCs/>
          <w:color w:val="auto"/>
          <w:szCs w:val="21"/>
          <w:highlight w:val="none"/>
          <w:shd w:val="clear" w:color="auto" w:fill="FFFFFF"/>
        </w:rPr>
        <w:t>业</w:t>
      </w:r>
      <w:r>
        <w:rPr>
          <w:rFonts w:hint="eastAsia" w:ascii="宋体" w:hAnsi="宋体" w:cs="宋体"/>
          <w:b/>
          <w:bCs/>
          <w:color w:val="auto"/>
          <w:szCs w:val="21"/>
          <w:highlight w:val="none"/>
        </w:rPr>
        <w:t>”</w:t>
      </w:r>
      <w:r>
        <w:rPr>
          <w:rFonts w:hint="eastAsia" w:ascii="宋体" w:hAnsi="宋体" w:cs="宋体"/>
          <w:color w:val="auto"/>
          <w:szCs w:val="21"/>
          <w:highlight w:val="none"/>
        </w:rPr>
        <w:t>。</w:t>
      </w:r>
    </w:p>
    <w:bookmarkEnd w:id="58"/>
    <w:p w14:paraId="1E9C4ADB">
      <w:pPr>
        <w:spacing w:line="360" w:lineRule="auto"/>
        <w:ind w:firstLine="308" w:firstLineChars="147"/>
        <w:jc w:val="left"/>
        <w:rPr>
          <w:rFonts w:ascii="宋体" w:hAnsi="宋体" w:cs="Arial"/>
          <w:bCs/>
          <w:color w:val="auto"/>
          <w:szCs w:val="21"/>
          <w:highlight w:val="none"/>
          <w:u w:val="single"/>
        </w:rPr>
      </w:pPr>
      <w:r>
        <w:rPr>
          <w:rFonts w:hint="eastAsia" w:ascii="宋体" w:hAnsi="宋体" w:cs="Arial"/>
          <w:bCs/>
          <w:color w:val="auto"/>
          <w:szCs w:val="21"/>
          <w:highlight w:val="none"/>
          <w:u w:val="single"/>
        </w:rPr>
        <w:t xml:space="preserve"> 1 </w:t>
      </w:r>
      <w:r>
        <w:rPr>
          <w:rFonts w:hint="eastAsia" w:ascii="宋体" w:hAnsi="宋体"/>
          <w:b/>
          <w:color w:val="auto"/>
          <w:szCs w:val="21"/>
          <w:highlight w:val="none"/>
        </w:rPr>
        <w:t>分标      采购预算：</w:t>
      </w:r>
      <w:r>
        <w:rPr>
          <w:rFonts w:hint="eastAsia" w:ascii="宋体" w:hAnsi="宋体" w:cs="Arial"/>
          <w:bCs/>
          <w:color w:val="auto"/>
          <w:szCs w:val="21"/>
          <w:highlight w:val="none"/>
          <w:u w:val="single"/>
        </w:rPr>
        <w:t>1990000.00元</w:t>
      </w:r>
    </w:p>
    <w:bookmarkEnd w:id="59"/>
    <w:bookmarkEnd w:id="60"/>
    <w:tbl>
      <w:tblPr>
        <w:tblStyle w:val="47"/>
        <w:tblW w:w="89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867"/>
        <w:gridCol w:w="21"/>
        <w:gridCol w:w="114"/>
        <w:gridCol w:w="615"/>
        <w:gridCol w:w="717"/>
        <w:gridCol w:w="6182"/>
      </w:tblGrid>
      <w:tr w14:paraId="37A41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426" w:type="dxa"/>
            <w:vAlign w:val="center"/>
          </w:tcPr>
          <w:p w14:paraId="5287B024">
            <w:pPr>
              <w:tabs>
                <w:tab w:val="left" w:pos="180"/>
                <w:tab w:val="left" w:pos="1620"/>
              </w:tabs>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888" w:type="dxa"/>
            <w:gridSpan w:val="2"/>
            <w:vAlign w:val="center"/>
          </w:tcPr>
          <w:p w14:paraId="615BC5DE">
            <w:pPr>
              <w:tabs>
                <w:tab w:val="left" w:pos="180"/>
                <w:tab w:val="left" w:pos="1620"/>
              </w:tabs>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标的的名称</w:t>
            </w:r>
          </w:p>
        </w:tc>
        <w:tc>
          <w:tcPr>
            <w:tcW w:w="729" w:type="dxa"/>
            <w:gridSpan w:val="2"/>
            <w:vAlign w:val="center"/>
          </w:tcPr>
          <w:p w14:paraId="5EBAE08E">
            <w:pPr>
              <w:tabs>
                <w:tab w:val="left" w:pos="180"/>
                <w:tab w:val="left" w:pos="1620"/>
              </w:tabs>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数量及单位</w:t>
            </w:r>
          </w:p>
        </w:tc>
        <w:tc>
          <w:tcPr>
            <w:tcW w:w="717" w:type="dxa"/>
            <w:vAlign w:val="center"/>
          </w:tcPr>
          <w:p w14:paraId="5DFCBF03">
            <w:pPr>
              <w:tabs>
                <w:tab w:val="left" w:pos="180"/>
                <w:tab w:val="left" w:pos="1620"/>
              </w:tabs>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所属行业</w:t>
            </w:r>
          </w:p>
        </w:tc>
        <w:tc>
          <w:tcPr>
            <w:tcW w:w="6182" w:type="dxa"/>
            <w:vAlign w:val="center"/>
          </w:tcPr>
          <w:p w14:paraId="09CD9214">
            <w:pPr>
              <w:tabs>
                <w:tab w:val="left" w:pos="180"/>
                <w:tab w:val="left" w:pos="1620"/>
              </w:tabs>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技术要求</w:t>
            </w:r>
          </w:p>
        </w:tc>
      </w:tr>
      <w:tr w14:paraId="38023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14:paraId="23D494CA">
            <w:pPr>
              <w:numPr>
                <w:ilvl w:val="0"/>
                <w:numId w:val="4"/>
              </w:numPr>
              <w:tabs>
                <w:tab w:val="left" w:pos="180"/>
                <w:tab w:val="left" w:pos="1620"/>
              </w:tabs>
              <w:spacing w:line="440" w:lineRule="exact"/>
              <w:jc w:val="center"/>
              <w:rPr>
                <w:rFonts w:ascii="宋体" w:hAnsi="宋体" w:cs="宋体"/>
                <w:color w:val="auto"/>
                <w:szCs w:val="21"/>
                <w:highlight w:val="none"/>
              </w:rPr>
            </w:pPr>
          </w:p>
        </w:tc>
        <w:tc>
          <w:tcPr>
            <w:tcW w:w="888" w:type="dxa"/>
            <w:gridSpan w:val="2"/>
            <w:vAlign w:val="center"/>
          </w:tcPr>
          <w:p w14:paraId="61DFED8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彩色多普勒超声诊断仪</w:t>
            </w:r>
          </w:p>
        </w:tc>
        <w:tc>
          <w:tcPr>
            <w:tcW w:w="729" w:type="dxa"/>
            <w:gridSpan w:val="2"/>
            <w:vAlign w:val="center"/>
          </w:tcPr>
          <w:p w14:paraId="72462D14">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1台</w:t>
            </w:r>
          </w:p>
        </w:tc>
        <w:tc>
          <w:tcPr>
            <w:tcW w:w="717" w:type="dxa"/>
            <w:vAlign w:val="center"/>
          </w:tcPr>
          <w:p w14:paraId="0535E55F">
            <w:pPr>
              <w:tabs>
                <w:tab w:val="left" w:pos="180"/>
                <w:tab w:val="left" w:pos="1620"/>
              </w:tabs>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6182" w:type="dxa"/>
          </w:tcPr>
          <w:p w14:paraId="728AE4CE">
            <w:pPr>
              <w:pStyle w:val="33"/>
              <w:tabs>
                <w:tab w:val="center" w:pos="4153"/>
                <w:tab w:val="right" w:pos="8306"/>
                <w:tab w:val="clear" w:pos="0"/>
              </w:tabs>
              <w:spacing w:line="440" w:lineRule="exact"/>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1.主要功能：</w:t>
            </w:r>
            <w:r>
              <w:rPr>
                <w:rFonts w:hint="eastAsia" w:ascii="宋体" w:hAnsi="宋体" w:cs="宋体"/>
                <w:color w:val="auto"/>
                <w:sz w:val="21"/>
                <w:szCs w:val="21"/>
                <w:highlight w:val="none"/>
              </w:rPr>
              <w:t>主要用于产科、妇科、儿科、泌尿科、腹部、心脏、小器官、血管、神经、急重症等方面的临床诊断和科研教学工作，满足常规腹部、心脏及腔内检查等诊疗业务需求。</w:t>
            </w:r>
          </w:p>
          <w:p w14:paraId="0549E454">
            <w:pPr>
              <w:pStyle w:val="33"/>
              <w:tabs>
                <w:tab w:val="center" w:pos="4153"/>
                <w:tab w:val="right" w:pos="8306"/>
                <w:tab w:val="clear" w:pos="0"/>
              </w:tabs>
              <w:spacing w:line="440" w:lineRule="exact"/>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2.主机成像系统</w:t>
            </w:r>
          </w:p>
          <w:p w14:paraId="628A5D44">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1.1高分辨率液晶显示器≥23英寸，分辨率≥1920×1080。  </w:t>
            </w:r>
          </w:p>
          <w:p w14:paraId="37F1B78B">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▲1.2操作面板具备液晶触摸屏≥15英寸。触摸屏可独立调节角度≥40度。</w:t>
            </w:r>
          </w:p>
          <w:p w14:paraId="294C0B68">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1.3触摸屏可通过手指滑动触摸屏进行翻页，可将显示器上的超声图像投影到触摸屏上，通过手指进行放大，描迹测量等操作。可自定义手势操作功能。</w:t>
            </w:r>
          </w:p>
          <w:p w14:paraId="778E64E1">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1.4控制面板全空间悬浮式调节，可同时旋转和升降，前后拉升。旋转角度 ≥180度，前后拉升≥35cm，上下移动≥30cm。</w:t>
            </w:r>
          </w:p>
          <w:p w14:paraId="3AB4DB49">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▲1.5控制面板上可自定义按键≥10个，按键上可直接显示自定义的功能名称。</w:t>
            </w:r>
          </w:p>
          <w:p w14:paraId="0C995872">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1.6内有一体化超声工作站。</w:t>
            </w:r>
          </w:p>
          <w:p w14:paraId="1737B14E">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1.7内置数字录像机可用于教学，存储时间≥60分钟。</w:t>
            </w:r>
          </w:p>
          <w:p w14:paraId="1B33D1E1">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1.8主机操作面板一体化耦合剂加热装置，耦合剂温度三挡可调；</w:t>
            </w:r>
          </w:p>
          <w:p w14:paraId="1BE049E8">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▲1.9探头接口≥5个，全激活、相互通用。</w:t>
            </w:r>
          </w:p>
          <w:p w14:paraId="0A2A3C39">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1.10数字化全程动态聚焦，数字化可变孔径及动态变迹，A/D≥12 bit</w:t>
            </w:r>
          </w:p>
          <w:p w14:paraId="0C43E4F7">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1.11多倍信号并行处理</w:t>
            </w:r>
          </w:p>
          <w:p w14:paraId="06B8EDD3">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1.12数字化二维灰阶成像及M型显像单元；</w:t>
            </w:r>
          </w:p>
          <w:p w14:paraId="5FBD1418">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1.13彩色多普勒成像技术；</w:t>
            </w:r>
          </w:p>
          <w:p w14:paraId="3BAD15D2">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1.14彩色多普勒能量图技术；</w:t>
            </w:r>
          </w:p>
          <w:p w14:paraId="5D6E902C">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1.15方向性能量图技术</w:t>
            </w:r>
          </w:p>
          <w:p w14:paraId="4CB38010">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1.16解剖M型技术,可360度任意旋转，可在实时和冻结的二维图像上获取解剖M图像。</w:t>
            </w:r>
          </w:p>
          <w:p w14:paraId="56EF58EE">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1.17数字化频谱多普勒显示和分析单元 (包括 PW 、CW和 HPRF)</w:t>
            </w:r>
          </w:p>
          <w:p w14:paraId="19C3E331">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1.18斑点噪声抑制成像，在二维图像，造影成像模式及三维成像下可支持；</w:t>
            </w:r>
          </w:p>
          <w:p w14:paraId="19D4E85F">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1.19一键快速优化多种参数，自动优化图像。可支持对二维灰阶、彩色多普勒、频谱多普勒、及造影图像的优化。频谱多普勒下可自动优化：偏转角度、取样容积大小、角度。</w:t>
            </w:r>
          </w:p>
          <w:p w14:paraId="39A436A9">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1.20自动血流跟踪技术，一键实时自动优化Color/Power及PW频谱图像、Color/Power框的位置和角度、PW取样门的位置、角度和大小等。</w:t>
            </w:r>
          </w:p>
          <w:p w14:paraId="7A76FC6B">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1.21穿刺针增强技术，凸阵和线阵探头均可支持，具有双屏实时对比显示，增强前后效果，并支持自适应校正角度</w:t>
            </w:r>
          </w:p>
          <w:p w14:paraId="27578589">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1.22速度标识功能，标识不同血流速度边界，观察血流分布及速度梯度</w:t>
            </w:r>
          </w:p>
          <w:p w14:paraId="2CD1408B">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1.23图像放大，支持前端放大和后端放大，放大倍数≥10倍</w:t>
            </w:r>
          </w:p>
          <w:p w14:paraId="49014353">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1.24全屏放大，支持≥2种放大模式</w:t>
            </w:r>
          </w:p>
          <w:p w14:paraId="6023C20F">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1.25声功率可调，实时显示MI/TI（TIB，TIC，TIS）</w:t>
            </w:r>
          </w:p>
          <w:p w14:paraId="70478A47">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1.26自动工作流，检查过程中可按照协议自动注释，自动标记体位图，自动切换图像模式等。</w:t>
            </w:r>
          </w:p>
          <w:p w14:paraId="7DAC741F">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1.27多语言操作界面，英语，中文（包括键盘输入、注释、操作面板等）</w:t>
            </w:r>
          </w:p>
          <w:p w14:paraId="2044DF40">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1.28支持语音注释，可将语音注释信息保存到电影文件中，支持在超声设备或是在PC端回放语音注释。</w:t>
            </w:r>
          </w:p>
          <w:p w14:paraId="70B25ACF">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▲1.29支持超声远程会诊系统，可直接通过超声设备直接发送图片或视频至会诊端。</w:t>
            </w:r>
          </w:p>
          <w:p w14:paraId="616458B0">
            <w:pPr>
              <w:pStyle w:val="33"/>
              <w:tabs>
                <w:tab w:val="center" w:pos="4153"/>
                <w:tab w:val="right" w:pos="8306"/>
                <w:tab w:val="clear" w:pos="0"/>
              </w:tabs>
              <w:spacing w:line="440" w:lineRule="exact"/>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2.测量/分析和报告</w:t>
            </w:r>
          </w:p>
          <w:p w14:paraId="2F3E7070">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2.1一般测量：距离、周长、面积、体积、角度、自动频谱测量</w:t>
            </w:r>
          </w:p>
          <w:p w14:paraId="280C3F2D">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2.2全科测量包，自动生成报告：腹部、妇科、产科、心脏、泌尿、小器官、儿科、血管、神经等</w:t>
            </w:r>
          </w:p>
          <w:p w14:paraId="7A013D02">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2.3自动产科测量，要求自动测量≥4项胎儿发育评估指标</w:t>
            </w:r>
          </w:p>
          <w:p w14:paraId="0D205493">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2.4自动NT测量</w:t>
            </w:r>
          </w:p>
          <w:p w14:paraId="3923A7AA">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2.5血管内中膜自动测量，可同时自动描记血管前、后壁的内中膜，自动生成测量数据，测量结果参数≥7项。</w:t>
            </w:r>
          </w:p>
          <w:p w14:paraId="79787A20">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2.6支持血管内中膜自动实时测量,自动获取6组IMT内膜厚度值,并实时更新。</w:t>
            </w:r>
          </w:p>
          <w:p w14:paraId="1951A0D2">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2.7支持血管体位图手动编辑功能，通过手动编辑体位图，直观显示病变的位置。</w:t>
            </w:r>
          </w:p>
          <w:p w14:paraId="14F996B6">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2.8IVF卵泡专业分析软件包，具备专业卵泡评估报告，多项IVF评估指标及发育趋线分析</w:t>
            </w:r>
          </w:p>
          <w:p w14:paraId="2C01C2D9">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2.9小儿髋关节自动测量功能，可自动计算α角,β角，自动进行临床分型。</w:t>
            </w:r>
          </w:p>
          <w:p w14:paraId="62231B28">
            <w:pPr>
              <w:pStyle w:val="33"/>
              <w:tabs>
                <w:tab w:val="center" w:pos="4153"/>
                <w:tab w:val="right" w:pos="8306"/>
                <w:tab w:val="clear" w:pos="0"/>
              </w:tabs>
              <w:spacing w:line="440" w:lineRule="exact"/>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3.电影回放和数据存储</w:t>
            </w:r>
          </w:p>
          <w:p w14:paraId="59105B00">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3.1支持二维、彩色、造影、4D等模式的手动和自动回放，电影回放支持编辑和剪接功能</w:t>
            </w:r>
          </w:p>
          <w:p w14:paraId="71425E63">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3.2电影回放：≥1000秒</w:t>
            </w:r>
          </w:p>
          <w:p w14:paraId="6742C873">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3.3支持向后存储和向前存储，时间长度可预置，向后存储≥6分钟的电影，对剪接和编辑的电影图像可多次存储和多次编辑；图像和电影均可以实时扫描、冻结状态下直接存储，并且具有独立的存储功能键</w:t>
            </w:r>
          </w:p>
          <w:p w14:paraId="63C46885">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3.4支持同屏对比多个不同模式的动态、静态图像</w:t>
            </w:r>
          </w:p>
          <w:p w14:paraId="50528340">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3.5原始数据处理，支持动、静态图像冻结后，最大可进行32项参数调节。能支持二维图像离线后进行M成像。</w:t>
            </w:r>
          </w:p>
          <w:p w14:paraId="44E02CBD">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3.6硬盘：≥1T硬盘</w:t>
            </w:r>
          </w:p>
          <w:p w14:paraId="5A3AE033">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3.7多种导出图像格式：动态图像、静态图像以PC格式直接导出。导出、备份图像数据资料同时，可进行实时检查，不影响检查操作</w:t>
            </w:r>
          </w:p>
          <w:p w14:paraId="0D1BEF4D">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3.8支持多设备图像对比功能， 可导入MRI,CT等影像学图片，与实时超声图片进行对比显示。</w:t>
            </w:r>
          </w:p>
          <w:p w14:paraId="2529817F">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3.9支持一键传输图片到智能手机终端或PC端</w:t>
            </w:r>
          </w:p>
          <w:p w14:paraId="31199787">
            <w:pPr>
              <w:pStyle w:val="33"/>
              <w:tabs>
                <w:tab w:val="center" w:pos="4153"/>
                <w:tab w:val="right" w:pos="8306"/>
                <w:tab w:val="clear" w:pos="0"/>
              </w:tabs>
              <w:spacing w:line="440" w:lineRule="exact"/>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4.连通性要求</w:t>
            </w:r>
          </w:p>
          <w:p w14:paraId="5C2C3CFA">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4.1支持网络连接，能开放DICOM 3.0接口满足PACS联网传输；</w:t>
            </w:r>
          </w:p>
          <w:p w14:paraId="259EB7E2">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4.2支持移动设备无线传输，一键传输图片到智能手机终端或PC端。</w:t>
            </w:r>
          </w:p>
          <w:p w14:paraId="6F4CE8E0">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4.3输入接口：音频输入，ECG信号输入</w:t>
            </w:r>
          </w:p>
          <w:p w14:paraId="6DA43A95">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4.4输出信号：HDMI视频，S-VIDEO视频, VGA视频</w:t>
            </w:r>
          </w:p>
          <w:p w14:paraId="150B8A0C">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4.5≥6个USB接口、DVD R/W刻录光驱、TYPE C 数据接口</w:t>
            </w:r>
          </w:p>
          <w:p w14:paraId="0ED71F4F">
            <w:pPr>
              <w:pStyle w:val="33"/>
              <w:tabs>
                <w:tab w:val="center" w:pos="4153"/>
                <w:tab w:val="right" w:pos="8306"/>
                <w:tab w:val="clear" w:pos="0"/>
              </w:tabs>
              <w:spacing w:line="440" w:lineRule="exact"/>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5.系统技术参数及要求</w:t>
            </w:r>
          </w:p>
          <w:p w14:paraId="10923EC1">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5.1二维灰阶模式</w:t>
            </w:r>
          </w:p>
          <w:p w14:paraId="23E60218">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5.1.1数字化全程动态聚焦，数字化可变孔径及动态变迹，A/D≥12 bit</w:t>
            </w:r>
          </w:p>
          <w:p w14:paraId="5335E049">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5.1.2接收方式：发射、接收通道≥1024，多倍信号并行处理</w:t>
            </w:r>
          </w:p>
          <w:p w14:paraId="0DE425FF">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5.1.3扫描线：每帧线密度≥512超声线</w:t>
            </w:r>
          </w:p>
          <w:p w14:paraId="4E7C72FD">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5.1.4预设条件：针对不同的检查脏器，预置最佳图像检查条件</w:t>
            </w:r>
          </w:p>
          <w:p w14:paraId="5EB93CB9">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5.1.5复合成像技术：采用≥7条声束偏转的复合超声成像，提升图像的细节分辨率和加强边界显示，消除伪像；</w:t>
            </w:r>
          </w:p>
          <w:p w14:paraId="75899CB8">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5.1.6组织特异性成像预设，针对不同脏器预设最佳声波传播速度用于计算成像，减少因成像声速值与实际声速值偏差导致图像失真</w:t>
            </w:r>
          </w:p>
          <w:p w14:paraId="6E4AEED0">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5.1.7声速匹配技术，可根据人体组织真实情况，一键实时自动匹配至最佳成像声速，并以具体数值（SSC值）在屏幕上显示</w:t>
            </w:r>
          </w:p>
          <w:p w14:paraId="1E107F89">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5.1.8最大显示深度:≥38cm </w:t>
            </w:r>
          </w:p>
          <w:p w14:paraId="30D2EA05">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5.1.9TGC: ≥8段，LGC: ≥6段</w:t>
            </w:r>
          </w:p>
          <w:p w14:paraId="793005AD">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5.1.10动态范围: ≥200 </w:t>
            </w:r>
          </w:p>
          <w:p w14:paraId="36E6BFA7">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5.1.11增益调节: B/M/D分别独立可调，≥100，可视可调步进≤1db</w:t>
            </w:r>
          </w:p>
          <w:p w14:paraId="5B6B93FC">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5.1.12伪彩图谱: ≥8种</w:t>
            </w:r>
          </w:p>
          <w:p w14:paraId="3804ADB8">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5.1.13最大帧率: ≥1000 帧/秒</w:t>
            </w:r>
          </w:p>
          <w:p w14:paraId="2E325A66">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5.2彩色多普勒成像</w:t>
            </w:r>
          </w:p>
          <w:p w14:paraId="69B819FA">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5.2.1包括速度、速度方差、能量、方向能量显示等</w:t>
            </w:r>
          </w:p>
          <w:p w14:paraId="53B92DFC">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5.2.2显示方式：B/C、B/C/M、B/POWER、B/C/PW</w:t>
            </w:r>
          </w:p>
          <w:p w14:paraId="5A564B6B">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5.2.3取样框偏转: ≥±30度，取样框可根据探头血流方向自动调节</w:t>
            </w:r>
          </w:p>
          <w:p w14:paraId="111FD907">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5.2.4速度标识功能，标识不同血流速度边界，观察血流分布及速度梯度</w:t>
            </w:r>
          </w:p>
          <w:p w14:paraId="3EFA5493">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5.2.5最大帧率: ≥260 帧/秒</w:t>
            </w:r>
          </w:p>
          <w:p w14:paraId="0E8D6430">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5.3频谱多普勒模式</w:t>
            </w:r>
          </w:p>
          <w:p w14:paraId="13570948">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5.3.1包括脉冲多普勒、高脉冲重复频率、连续多普勒</w:t>
            </w:r>
          </w:p>
          <w:p w14:paraId="0140F4E8">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5.3.2显示方式：B, PW，B/PW, B/C/PW, B/CW, B/C/CW等等</w:t>
            </w:r>
          </w:p>
          <w:p w14:paraId="49312E61">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5.3.3最大速度: ≥7.60m/s（连续多普勒速度: ≥30m/s）</w:t>
            </w:r>
          </w:p>
          <w:p w14:paraId="68CEE658">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5.3.4最小速度: ≤1 mm /s（非噪声信号）</w:t>
            </w:r>
          </w:p>
          <w:p w14:paraId="512A9255">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5.3.5取样容积范围≥ 0.5-20mm ,支持所有探头</w:t>
            </w:r>
          </w:p>
          <w:p w14:paraId="01F8B194">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5.3.6偏转角度: ≥±30度 (线阵探头) ，并支持快速角度校正</w:t>
            </w:r>
          </w:p>
          <w:p w14:paraId="7D58AFCF">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5.3.7零位移动：≥8 级</w:t>
            </w:r>
          </w:p>
          <w:p w14:paraId="7A998F33">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5.3.8支持频谱自动测量</w:t>
            </w:r>
          </w:p>
          <w:p w14:paraId="3FA10F51">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5.4探头规格</w:t>
            </w:r>
          </w:p>
          <w:p w14:paraId="3C29A877">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▲5.4.1探头配置：单晶腹部探头1把，浅表探头1把，腔内探头1把，相控阵探头1把；</w:t>
            </w:r>
          </w:p>
          <w:p w14:paraId="0E1E48BF">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5.4.2频率：超宽频带或变频探头，所配探头均为宽频变频探头,二维、谐波、彩色及频谱多普勒模式分别独立变频，≥3段</w:t>
            </w:r>
          </w:p>
          <w:p w14:paraId="4A9B0268">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5.4.3穿刺引导，凸阵、线阵、相控阵具备多角度穿刺引导功能</w:t>
            </w:r>
          </w:p>
          <w:p w14:paraId="1A45EEDD">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5.4.4扫描频率：单晶凸阵探头：带宽: 1.2-6.0MHz，角度≥72°；</w:t>
            </w:r>
          </w:p>
          <w:p w14:paraId="7340D246">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高频探头：带宽: 3.0-14.0MHz，扫描范围≥50mm；</w:t>
            </w:r>
          </w:p>
          <w:p w14:paraId="733EA727">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腔内探头：带宽: 3.0-11.0MHz，角度≥210°；</w:t>
            </w:r>
          </w:p>
          <w:p w14:paraId="32D6F99C">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相控阵探头：带宽：1.5-4.5MHz，角度≥90°。</w:t>
            </w:r>
          </w:p>
          <w:p w14:paraId="2626B81F">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5.5剪切波弹性成像</w:t>
            </w:r>
          </w:p>
          <w:p w14:paraId="6E9424A3">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5.5.1支持探头：凸阵探头，线阵探头；</w:t>
            </w:r>
          </w:p>
          <w:p w14:paraId="4CFC8E6F">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5.5.2支持二维实时剪切波和单点式剪切波成像</w:t>
            </w:r>
          </w:p>
          <w:p w14:paraId="40E1096F">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5.5.3实时剪切波弹性成像取样框大小可调</w:t>
            </w:r>
          </w:p>
          <w:p w14:paraId="05AC8AE7">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5.5.4实时剪切波弹性成像及二维成像双实时成像，图像布局包括上下，左右多种方式可调。</w:t>
            </w:r>
          </w:p>
          <w:p w14:paraId="2E6BDB44">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5.5.5同时输出以kPa和m/s为单位的组织硬度定量数据，保证临床可以使用硬度数据进行临床诊断和科研工作。</w:t>
            </w:r>
          </w:p>
          <w:p w14:paraId="468CDA88">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▲5.5.6支持肿块周边组织定量分析功能。</w:t>
            </w:r>
          </w:p>
          <w:p w14:paraId="207AE025">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5.6造影成像及定量分析功能</w:t>
            </w:r>
          </w:p>
          <w:p w14:paraId="3A6D6396">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5.6.1支持多种探头：凸阵探头、线阵探头</w:t>
            </w:r>
          </w:p>
          <w:p w14:paraId="36D1D4FB">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5.6.2支持微血管造影增强功能</w:t>
            </w:r>
          </w:p>
          <w:p w14:paraId="7F19229B">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5.6.3双计时器</w:t>
            </w:r>
          </w:p>
          <w:p w14:paraId="71F3AD91">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5.6.4支持向后存储，≥6分钟电影；支持向前存储</w:t>
            </w:r>
          </w:p>
          <w:p w14:paraId="4A69AA4A">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5.6.5具备混合模式</w:t>
            </w:r>
          </w:p>
          <w:p w14:paraId="031A1342">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5.6.6支持造影图像和组织图像位置互换</w:t>
            </w:r>
          </w:p>
          <w:p w14:paraId="5CFA04C7">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5.6.7造影定量分析：取样点可跟踪感兴趣区运动、提供TIC时间强度曲线分析、可选择原始曲线和拟合曲线、具有表格报告分析。</w:t>
            </w:r>
          </w:p>
          <w:p w14:paraId="6C514AEB">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5.7TDI组织多普勒成像</w:t>
            </w:r>
          </w:p>
          <w:p w14:paraId="5137ECDA">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5.7.1TDI成像模式：彩色速度模式图、能量模式图、频谱模式图、M型模式图</w:t>
            </w:r>
          </w:p>
          <w:p w14:paraId="67EFDF37">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5.7.2TDI组织多普勒定量分析软件：支持运动追踪功能；同步显示≥6段心肌组织运动速度曲线图</w:t>
            </w:r>
          </w:p>
          <w:p w14:paraId="6D2ACA27">
            <w:pPr>
              <w:pStyle w:val="33"/>
              <w:tabs>
                <w:tab w:val="center" w:pos="4153"/>
                <w:tab w:val="right" w:pos="8306"/>
                <w:tab w:val="clear" w:pos="0"/>
              </w:tabs>
              <w:spacing w:line="440" w:lineRule="exact"/>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6.外设和附件</w:t>
            </w:r>
          </w:p>
          <w:p w14:paraId="585BA0FD">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6.1耦合剂加热器</w:t>
            </w:r>
          </w:p>
          <w:p w14:paraId="2DB50CC1">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6.2腔内探头放置架，可左右互换</w:t>
            </w:r>
          </w:p>
          <w:p w14:paraId="32D68C70">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6.3不间断电源功率≥3千瓦，1台</w:t>
            </w:r>
          </w:p>
          <w:p w14:paraId="0BC04FCE">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6.4彩色多功能一体式自动双面打印机</w:t>
            </w:r>
          </w:p>
          <w:p w14:paraId="0C7A6143">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6.5工作站一套，配置：CPU主频≥3.3GHz，核心数量≥6；内存≥DDR5 16G，固态硬盘≥480G M.2NVME，显示器≥21寸；</w:t>
            </w:r>
          </w:p>
          <w:p w14:paraId="3CC50423">
            <w:pPr>
              <w:pStyle w:val="33"/>
              <w:tabs>
                <w:tab w:val="center" w:pos="4153"/>
                <w:tab w:val="right" w:pos="8306"/>
                <w:tab w:val="clear" w:pos="0"/>
              </w:tabs>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6.6高清医疗采集卡，医疗图像采集脚踏开关。</w:t>
            </w:r>
          </w:p>
        </w:tc>
      </w:tr>
      <w:tr w14:paraId="4C54C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42" w:type="dxa"/>
            <w:gridSpan w:val="7"/>
            <w:tcBorders>
              <w:top w:val="single" w:color="auto" w:sz="4" w:space="0"/>
              <w:left w:val="single" w:color="auto" w:sz="4" w:space="0"/>
              <w:bottom w:val="single" w:color="auto" w:sz="4" w:space="0"/>
              <w:right w:val="single" w:color="auto" w:sz="4" w:space="0"/>
            </w:tcBorders>
            <w:vAlign w:val="center"/>
          </w:tcPr>
          <w:p w14:paraId="2746F683">
            <w:pPr>
              <w:spacing w:line="440" w:lineRule="exac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rPr>
              <w:t>一、商务要求</w:t>
            </w:r>
          </w:p>
        </w:tc>
      </w:tr>
      <w:tr w14:paraId="022941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1293" w:type="dxa"/>
            <w:gridSpan w:val="2"/>
            <w:tcBorders>
              <w:top w:val="single" w:color="auto" w:sz="4" w:space="0"/>
              <w:left w:val="single" w:color="auto" w:sz="4" w:space="0"/>
              <w:bottom w:val="single" w:color="auto" w:sz="4" w:space="0"/>
              <w:right w:val="single" w:color="auto" w:sz="4" w:space="0"/>
            </w:tcBorders>
            <w:vAlign w:val="center"/>
          </w:tcPr>
          <w:p w14:paraId="351875CB">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交付的时间和地点</w:t>
            </w:r>
          </w:p>
        </w:tc>
        <w:tc>
          <w:tcPr>
            <w:tcW w:w="7649" w:type="dxa"/>
            <w:gridSpan w:val="5"/>
            <w:tcBorders>
              <w:top w:val="single" w:color="auto" w:sz="4" w:space="0"/>
              <w:left w:val="single" w:color="auto" w:sz="4" w:space="0"/>
              <w:bottom w:val="single" w:color="auto" w:sz="4" w:space="0"/>
              <w:right w:val="single" w:color="auto" w:sz="4" w:space="0"/>
            </w:tcBorders>
            <w:vAlign w:val="center"/>
          </w:tcPr>
          <w:p w14:paraId="46CD9E75">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 交付的时间：项目具备安装条件，</w:t>
            </w:r>
            <w:r>
              <w:rPr>
                <w:rFonts w:hint="eastAsia" w:ascii="宋体" w:hAnsi="宋体" w:cs="宋体"/>
                <w:color w:val="auto"/>
                <w:szCs w:val="21"/>
                <w:highlight w:val="none"/>
              </w:rPr>
              <w:t>采购人</w:t>
            </w:r>
            <w:r>
              <w:rPr>
                <w:rFonts w:hint="eastAsia" w:ascii="宋体" w:hAnsi="宋体" w:cs="宋体"/>
                <w:color w:val="auto"/>
                <w:szCs w:val="21"/>
                <w:highlight w:val="none"/>
              </w:rPr>
              <w:t>向</w:t>
            </w:r>
            <w:r>
              <w:rPr>
                <w:rFonts w:hint="eastAsia" w:ascii="宋体" w:hAnsi="宋体" w:cs="宋体"/>
                <w:color w:val="auto"/>
                <w:szCs w:val="21"/>
                <w:highlight w:val="none"/>
              </w:rPr>
              <w:t>中标供应商</w:t>
            </w:r>
            <w:r>
              <w:rPr>
                <w:rFonts w:hint="eastAsia" w:ascii="宋体" w:hAnsi="宋体" w:cs="宋体"/>
                <w:color w:val="auto"/>
                <w:szCs w:val="21"/>
                <w:highlight w:val="none"/>
              </w:rPr>
              <w:t>发出供货通知，</w:t>
            </w:r>
            <w:r>
              <w:rPr>
                <w:rFonts w:hint="eastAsia" w:ascii="宋体" w:hAnsi="宋体" w:cs="宋体"/>
                <w:color w:val="auto"/>
                <w:szCs w:val="21"/>
                <w:highlight w:val="none"/>
              </w:rPr>
              <w:t>中标供应商</w:t>
            </w:r>
            <w:r>
              <w:rPr>
                <w:rFonts w:hint="eastAsia" w:ascii="宋体" w:hAnsi="宋体" w:cs="宋体"/>
                <w:color w:val="auto"/>
                <w:szCs w:val="21"/>
                <w:highlight w:val="none"/>
              </w:rPr>
              <w:t>在收到采购人通知后30个日历日内将全部货物运抵采购人指定地点、完成安装、调试、培训等工作,并经最终验收合格后交付使用。</w:t>
            </w:r>
          </w:p>
          <w:p w14:paraId="2AE3F47D">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 交付的地点：广西梧州市采购人指定地点。</w:t>
            </w:r>
          </w:p>
        </w:tc>
      </w:tr>
      <w:tr w14:paraId="328B72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93" w:type="dxa"/>
            <w:gridSpan w:val="2"/>
            <w:tcBorders>
              <w:top w:val="single" w:color="auto" w:sz="4" w:space="0"/>
              <w:left w:val="single" w:color="auto" w:sz="4" w:space="0"/>
              <w:bottom w:val="single" w:color="auto" w:sz="4" w:space="0"/>
              <w:right w:val="single" w:color="auto" w:sz="4" w:space="0"/>
            </w:tcBorders>
            <w:vAlign w:val="center"/>
          </w:tcPr>
          <w:p w14:paraId="000E94E0">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合同签订时间</w:t>
            </w:r>
          </w:p>
        </w:tc>
        <w:tc>
          <w:tcPr>
            <w:tcW w:w="7649" w:type="dxa"/>
            <w:gridSpan w:val="5"/>
            <w:tcBorders>
              <w:top w:val="single" w:color="auto" w:sz="4" w:space="0"/>
              <w:left w:val="single" w:color="auto" w:sz="4" w:space="0"/>
              <w:bottom w:val="single" w:color="auto" w:sz="4" w:space="0"/>
              <w:right w:val="single" w:color="auto" w:sz="4" w:space="0"/>
            </w:tcBorders>
            <w:vAlign w:val="center"/>
          </w:tcPr>
          <w:p w14:paraId="404691A6">
            <w:pPr>
              <w:spacing w:line="440" w:lineRule="exact"/>
              <w:rPr>
                <w:rFonts w:ascii="宋体" w:hAnsi="宋体" w:cs="宋体"/>
                <w:color w:val="auto"/>
                <w:szCs w:val="21"/>
                <w:highlight w:val="none"/>
              </w:rPr>
            </w:pPr>
            <w:r>
              <w:rPr>
                <w:rFonts w:hint="eastAsia" w:ascii="宋体" w:hAnsi="宋体" w:cs="宋体"/>
                <w:color w:val="auto"/>
                <w:szCs w:val="21"/>
                <w:highlight w:val="none"/>
              </w:rPr>
              <w:t>自中标通知书发出之日起</w:t>
            </w:r>
            <w:r>
              <w:rPr>
                <w:rFonts w:hint="eastAsia" w:ascii="宋体" w:hAnsi="宋体" w:cs="宋体"/>
                <w:color w:val="auto"/>
                <w:szCs w:val="21"/>
                <w:highlight w:val="none"/>
              </w:rPr>
              <w:t>25</w:t>
            </w:r>
            <w:r>
              <w:rPr>
                <w:rFonts w:hint="eastAsia" w:ascii="宋体" w:hAnsi="宋体" w:cs="宋体"/>
                <w:color w:val="auto"/>
                <w:szCs w:val="21"/>
                <w:highlight w:val="none"/>
              </w:rPr>
              <w:t>日内</w:t>
            </w:r>
          </w:p>
        </w:tc>
      </w:tr>
      <w:tr w14:paraId="1EFAF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93" w:type="dxa"/>
            <w:gridSpan w:val="2"/>
            <w:tcBorders>
              <w:top w:val="single" w:color="auto" w:sz="4" w:space="0"/>
              <w:left w:val="single" w:color="auto" w:sz="4" w:space="0"/>
              <w:bottom w:val="single" w:color="auto" w:sz="4" w:space="0"/>
              <w:right w:val="single" w:color="auto" w:sz="4" w:space="0"/>
            </w:tcBorders>
            <w:vAlign w:val="center"/>
          </w:tcPr>
          <w:p w14:paraId="3103603E">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报价要求</w:t>
            </w:r>
          </w:p>
        </w:tc>
        <w:tc>
          <w:tcPr>
            <w:tcW w:w="7649" w:type="dxa"/>
            <w:gridSpan w:val="5"/>
            <w:tcBorders>
              <w:top w:val="single" w:color="auto" w:sz="4" w:space="0"/>
              <w:left w:val="single" w:color="auto" w:sz="4" w:space="0"/>
              <w:bottom w:val="single" w:color="auto" w:sz="4" w:space="0"/>
              <w:right w:val="single" w:color="auto" w:sz="4" w:space="0"/>
            </w:tcBorders>
            <w:vAlign w:val="center"/>
          </w:tcPr>
          <w:p w14:paraId="763A5EC9">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本次报价须为人民币报价，包括但不限于竞标货物及其配件（附件）价款，包装费、运费、装卸费、保险费、搬运费、安装费、调试费、检验及检定验收费、售后服务费、培训费（如有）、税金等招标文件和</w:t>
            </w:r>
            <w:r>
              <w:rPr>
                <w:rFonts w:hint="eastAsia" w:ascii="宋体" w:hAnsi="宋体" w:cs="宋体"/>
                <w:color w:val="auto"/>
                <w:szCs w:val="21"/>
                <w:highlight w:val="none"/>
                <w:lang w:val="en-US" w:eastAsia="zh-CN"/>
              </w:rPr>
              <w:t>投标文件</w:t>
            </w:r>
            <w:r>
              <w:rPr>
                <w:rFonts w:hint="eastAsia" w:ascii="宋体" w:hAnsi="宋体" w:cs="宋体"/>
                <w:color w:val="auto"/>
                <w:szCs w:val="21"/>
                <w:highlight w:val="none"/>
              </w:rPr>
              <w:t>规定及合同包含的所有风险、责任等应有的全部费用。如涉及与医院信息系统连接的接口问题，前述价款也包含双方接口费用。</w:t>
            </w:r>
          </w:p>
          <w:p w14:paraId="0BD73D31">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对于本文件中明确列明必须报价的货物或服务，供应商应分别报价。对于本文件中未列明，而供应商认为必需的费用也需列入总报价。在合同实施时，采购人将不予支付</w:t>
            </w:r>
            <w:r>
              <w:rPr>
                <w:rFonts w:hint="eastAsia" w:ascii="宋体" w:hAnsi="宋体" w:cs="宋体"/>
                <w:color w:val="auto"/>
                <w:szCs w:val="21"/>
                <w:highlight w:val="none"/>
              </w:rPr>
              <w:t>中标供应商</w:t>
            </w:r>
            <w:r>
              <w:rPr>
                <w:rFonts w:hint="eastAsia" w:ascii="宋体" w:hAnsi="宋体" w:cs="宋体"/>
                <w:color w:val="auto"/>
                <w:szCs w:val="21"/>
                <w:highlight w:val="none"/>
              </w:rPr>
              <w:t>没有列入的项目费用，并认为此项目的费用已包括在响应总报价中</w:t>
            </w:r>
          </w:p>
        </w:tc>
      </w:tr>
      <w:tr w14:paraId="328C4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93" w:type="dxa"/>
            <w:gridSpan w:val="2"/>
            <w:tcBorders>
              <w:top w:val="single" w:color="auto" w:sz="4" w:space="0"/>
              <w:left w:val="single" w:color="auto" w:sz="4" w:space="0"/>
              <w:bottom w:val="single" w:color="auto" w:sz="4" w:space="0"/>
              <w:right w:val="single" w:color="auto" w:sz="4" w:space="0"/>
            </w:tcBorders>
            <w:vAlign w:val="center"/>
          </w:tcPr>
          <w:p w14:paraId="525F4400">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付款方式</w:t>
            </w:r>
          </w:p>
        </w:tc>
        <w:tc>
          <w:tcPr>
            <w:tcW w:w="7649" w:type="dxa"/>
            <w:gridSpan w:val="5"/>
            <w:tcBorders>
              <w:top w:val="single" w:color="auto" w:sz="4" w:space="0"/>
              <w:left w:val="single" w:color="auto" w:sz="4" w:space="0"/>
              <w:bottom w:val="single" w:color="auto" w:sz="4" w:space="0"/>
              <w:right w:val="single" w:color="auto" w:sz="4" w:space="0"/>
            </w:tcBorders>
            <w:vAlign w:val="center"/>
          </w:tcPr>
          <w:p w14:paraId="2D69B014">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本项目无预付款。中标供应商所有设备进场安装调试完毕并经采购人验收合格后12个月内，采购人向中标供应商支付合同总额的90% 。</w:t>
            </w:r>
            <w:r>
              <w:rPr>
                <w:rFonts w:hint="eastAsia" w:ascii="宋体" w:hAnsi="宋体" w:cs="宋体"/>
                <w:color w:val="auto"/>
                <w:szCs w:val="21"/>
                <w:highlight w:val="none"/>
                <w:lang w:eastAsia="zh-CN"/>
              </w:rPr>
              <w:t>余下合同总额的10%在验收合格之日起1年后</w:t>
            </w:r>
            <w:r>
              <w:rPr>
                <w:rFonts w:hint="eastAsia" w:ascii="宋体" w:hAnsi="宋体" w:cs="宋体"/>
                <w:color w:val="auto"/>
                <w:szCs w:val="21"/>
                <w:highlight w:val="none"/>
              </w:rPr>
              <w:t>，中标供应商无其他违约情形，采购人于1个月内，扣除中标供应商在合同履行期间对采购人所负的债务</w:t>
            </w:r>
            <w:r>
              <w:rPr>
                <w:rFonts w:hint="eastAsia" w:ascii="宋体" w:hAnsi="宋体" w:cs="宋体"/>
                <w:color w:val="auto"/>
                <w:szCs w:val="21"/>
                <w:highlight w:val="none"/>
              </w:rPr>
              <w:t>(包括补偿金、赔偿金或违约金等)</w:t>
            </w:r>
            <w:r>
              <w:rPr>
                <w:rFonts w:hint="eastAsia" w:ascii="宋体" w:hAnsi="宋体" w:cs="宋体"/>
                <w:color w:val="auto"/>
                <w:szCs w:val="21"/>
                <w:highlight w:val="none"/>
              </w:rPr>
              <w:t>后，将剩余款项付清（不计利息）。</w:t>
            </w:r>
          </w:p>
          <w:p w14:paraId="0913ABC2">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付款前中标供应商需向采购人提供等额合法完税发票（发票类型以采购人的具体要求为准）以及请款函。</w:t>
            </w:r>
          </w:p>
          <w:p w14:paraId="321B6D9E">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合同签署的中标供应商公司名称及发票开具单位与收款单位必须一致，在合同执行过程中，中标供应商不得以其他不正当理由要求调整发票开具单位或收款单位，否则视为中标供应商违约。</w:t>
            </w:r>
          </w:p>
        </w:tc>
      </w:tr>
      <w:tr w14:paraId="4B0405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93" w:type="dxa"/>
            <w:gridSpan w:val="2"/>
            <w:tcBorders>
              <w:top w:val="single" w:color="auto" w:sz="4" w:space="0"/>
              <w:left w:val="single" w:color="auto" w:sz="4" w:space="0"/>
              <w:bottom w:val="single" w:color="auto" w:sz="4" w:space="0"/>
              <w:right w:val="single" w:color="auto" w:sz="4" w:space="0"/>
            </w:tcBorders>
            <w:vAlign w:val="center"/>
          </w:tcPr>
          <w:p w14:paraId="5D24AD03">
            <w:pPr>
              <w:spacing w:line="440" w:lineRule="exact"/>
              <w:rPr>
                <w:rFonts w:ascii="宋体" w:hAnsi="宋体" w:cs="宋体"/>
                <w:color w:val="auto"/>
                <w:szCs w:val="21"/>
                <w:highlight w:val="none"/>
              </w:rPr>
            </w:pPr>
            <w:r>
              <w:rPr>
                <w:rFonts w:hint="eastAsia" w:ascii="宋体" w:hAnsi="宋体" w:cs="宋体"/>
                <w:color w:val="auto"/>
                <w:szCs w:val="21"/>
                <w:highlight w:val="none"/>
              </w:rPr>
              <w:t>产品基本要求</w:t>
            </w:r>
          </w:p>
        </w:tc>
        <w:tc>
          <w:tcPr>
            <w:tcW w:w="7649" w:type="dxa"/>
            <w:gridSpan w:val="5"/>
            <w:tcBorders>
              <w:top w:val="single" w:color="auto" w:sz="4" w:space="0"/>
              <w:left w:val="single" w:color="auto" w:sz="4" w:space="0"/>
              <w:bottom w:val="single" w:color="auto" w:sz="4" w:space="0"/>
              <w:right w:val="single" w:color="auto" w:sz="4" w:space="0"/>
            </w:tcBorders>
            <w:vAlign w:val="center"/>
          </w:tcPr>
          <w:p w14:paraId="07D5C2F7">
            <w:pPr>
              <w:numPr>
                <w:ilvl w:val="0"/>
                <w:numId w:val="5"/>
              </w:num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以上产品必须是具备合法资质的制造商生产的全新正品（一年内生产），并满足采购文件的要求，若产品在运输或安装过程中损坏或擦伤须无偿调换相同产品。</w:t>
            </w:r>
          </w:p>
          <w:p w14:paraId="551E8B5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2、供应商所投产品参数应同等或优于以上各项参数要求，产品、辅材及生产工艺符合国家相关规范。</w:t>
            </w:r>
          </w:p>
          <w:p w14:paraId="68E32D7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3、供应商应保证所提供的货物或其任何一部分均不会侵犯任何第三方的专利权、商标权等，如在使用过程中出现的一切经济和法律责任均由供应商负责。</w:t>
            </w:r>
          </w:p>
          <w:p w14:paraId="1A23E6C9">
            <w:pPr>
              <w:spacing w:line="440" w:lineRule="exac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4.</w:t>
            </w:r>
            <w:r>
              <w:rPr>
                <w:rFonts w:hint="eastAsia" w:ascii="宋体" w:hAnsi="宋体" w:cs="宋体"/>
                <w:bCs/>
                <w:color w:val="auto"/>
                <w:szCs w:val="21"/>
                <w:highlight w:val="none"/>
              </w:rPr>
              <w:t>供应商所投产品必须提供产品“三包”服务；定期安排相关人员回访进行质量跟踪；保证提供临床应用和售后技术服务支持方式；保修期后提供终身维修服务及配件供应；其他售后服务按厂家承诺实行。</w:t>
            </w:r>
          </w:p>
          <w:p w14:paraId="5B862A5D">
            <w:pPr>
              <w:spacing w:line="440" w:lineRule="exact"/>
              <w:ind w:firstLine="422" w:firstLineChars="200"/>
              <w:jc w:val="left"/>
              <w:rPr>
                <w:rFonts w:ascii="宋体" w:hAnsi="宋体" w:cs="宋体"/>
                <w:color w:val="auto"/>
                <w:szCs w:val="21"/>
                <w:highlight w:val="none"/>
              </w:rPr>
            </w:pPr>
            <w:r>
              <w:rPr>
                <w:rFonts w:hint="eastAsia" w:ascii="宋体" w:hAnsi="宋体" w:cs="宋体"/>
                <w:b/>
                <w:bCs w:val="0"/>
                <w:color w:val="auto"/>
                <w:szCs w:val="21"/>
                <w:highlight w:val="none"/>
              </w:rPr>
              <w:t>5.投标文件中提供产品《医疗器械产品注册证》复印件并加盖投标人公章。</w:t>
            </w:r>
          </w:p>
        </w:tc>
      </w:tr>
      <w:tr w14:paraId="71DCE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93" w:type="dxa"/>
            <w:gridSpan w:val="2"/>
            <w:tcBorders>
              <w:top w:val="single" w:color="auto" w:sz="4" w:space="0"/>
              <w:left w:val="single" w:color="auto" w:sz="4" w:space="0"/>
              <w:bottom w:val="single" w:color="auto" w:sz="4" w:space="0"/>
              <w:right w:val="single" w:color="auto" w:sz="4" w:space="0"/>
            </w:tcBorders>
            <w:vAlign w:val="center"/>
          </w:tcPr>
          <w:p w14:paraId="11F800B5">
            <w:pPr>
              <w:spacing w:line="440" w:lineRule="exact"/>
              <w:rPr>
                <w:rFonts w:ascii="宋体" w:hAnsi="宋体" w:cs="宋体"/>
                <w:b/>
                <w:color w:val="auto"/>
                <w:szCs w:val="21"/>
                <w:highlight w:val="none"/>
              </w:rPr>
            </w:pPr>
            <w:r>
              <w:rPr>
                <w:rFonts w:hint="eastAsia" w:ascii="宋体" w:hAnsi="宋体" w:cs="宋体"/>
                <w:color w:val="auto"/>
                <w:szCs w:val="21"/>
                <w:highlight w:val="none"/>
              </w:rPr>
              <w:t>售后服务</w:t>
            </w:r>
          </w:p>
        </w:tc>
        <w:tc>
          <w:tcPr>
            <w:tcW w:w="7649" w:type="dxa"/>
            <w:gridSpan w:val="5"/>
            <w:tcBorders>
              <w:top w:val="single" w:color="auto" w:sz="4" w:space="0"/>
              <w:left w:val="single" w:color="auto" w:sz="4" w:space="0"/>
              <w:bottom w:val="single" w:color="auto" w:sz="4" w:space="0"/>
              <w:right w:val="single" w:color="auto" w:sz="4" w:space="0"/>
            </w:tcBorders>
            <w:vAlign w:val="center"/>
          </w:tcPr>
          <w:p w14:paraId="7FA3F05B">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1.中标供应商负责送货上门，安装调试。从通过验收即日起质保期内所有由于质量问题导致的软、硬件产品故障负责保修、人工及更换备件标准上门服务，并提供终身维护。 </w:t>
            </w:r>
          </w:p>
          <w:p w14:paraId="722E4DB5">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2.技术及维修服务：中标供应商应配置工程技术人员，随时提供开箱验货、安装、调试或维修等服务。 </w:t>
            </w:r>
          </w:p>
          <w:p w14:paraId="7B5A2394">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3.质保期：设备安装完毕通过验收投入使用之日起不少于3年。</w:t>
            </w:r>
          </w:p>
          <w:p w14:paraId="1B79DBBD">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故障处理：厂家须设有24小时服务电话，质保期内，在使用过程中发现质量问题或故障时，接到维修通知后，2小时内响应，24小时内实施维修服务。一般问题应在48小时内解决，重大问题或其它无法迅速解决的问题应在一周内解决，所发生的一切费用由中标供应商负责。</w:t>
            </w:r>
          </w:p>
          <w:p w14:paraId="42CDCE94">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5.维修备件必须是原厂备件。</w:t>
            </w:r>
          </w:p>
          <w:p w14:paraId="39DAB37D">
            <w:pPr>
              <w:spacing w:line="44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6.其余按厂家承诺。</w:t>
            </w:r>
          </w:p>
        </w:tc>
      </w:tr>
      <w:tr w14:paraId="4F145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42" w:type="dxa"/>
            <w:gridSpan w:val="7"/>
            <w:tcBorders>
              <w:top w:val="single" w:color="auto" w:sz="4" w:space="0"/>
              <w:left w:val="single" w:color="auto" w:sz="4" w:space="0"/>
              <w:bottom w:val="single" w:color="auto" w:sz="4" w:space="0"/>
              <w:right w:val="single" w:color="auto" w:sz="4" w:space="0"/>
            </w:tcBorders>
            <w:vAlign w:val="center"/>
          </w:tcPr>
          <w:p w14:paraId="58B5BCCD">
            <w:pPr>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二、与实现项目目标相关的其他要求</w:t>
            </w:r>
          </w:p>
        </w:tc>
      </w:tr>
      <w:tr w14:paraId="4C454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42" w:type="dxa"/>
            <w:gridSpan w:val="7"/>
            <w:tcBorders>
              <w:top w:val="single" w:color="auto" w:sz="4" w:space="0"/>
              <w:left w:val="single" w:color="auto" w:sz="4" w:space="0"/>
              <w:bottom w:val="single" w:color="auto" w:sz="4" w:space="0"/>
              <w:right w:val="single" w:color="auto" w:sz="4" w:space="0"/>
            </w:tcBorders>
            <w:vAlign w:val="center"/>
          </w:tcPr>
          <w:p w14:paraId="2A8CAF30">
            <w:pPr>
              <w:pStyle w:val="19"/>
              <w:spacing w:line="440" w:lineRule="exact"/>
              <w:rPr>
                <w:rFonts w:ascii="宋体" w:hAnsi="宋体" w:cs="宋体"/>
                <w:color w:val="auto"/>
                <w:szCs w:val="21"/>
                <w:highlight w:val="none"/>
              </w:rPr>
            </w:pPr>
            <w:r>
              <w:rPr>
                <w:rFonts w:hint="eastAsia" w:ascii="宋体" w:hAnsi="宋体" w:cs="宋体"/>
                <w:color w:val="auto"/>
                <w:szCs w:val="21"/>
                <w:highlight w:val="none"/>
              </w:rPr>
              <w:t>（一）验收标准（质量要求）</w:t>
            </w:r>
          </w:p>
        </w:tc>
      </w:tr>
      <w:tr w14:paraId="3E8431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42" w:type="dxa"/>
            <w:gridSpan w:val="7"/>
            <w:tcBorders>
              <w:top w:val="single" w:color="auto" w:sz="4" w:space="0"/>
              <w:left w:val="single" w:color="auto" w:sz="4" w:space="0"/>
              <w:bottom w:val="single" w:color="auto" w:sz="4" w:space="0"/>
              <w:right w:val="single" w:color="auto" w:sz="4" w:space="0"/>
            </w:tcBorders>
            <w:vAlign w:val="center"/>
          </w:tcPr>
          <w:p w14:paraId="1134D42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符合现行国家相关标准、行业标准、地方标准或者其他标准、规范。</w:t>
            </w:r>
          </w:p>
          <w:p w14:paraId="79F7E8F7">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1.基本要求：</w:t>
            </w:r>
          </w:p>
          <w:p w14:paraId="7D545E0B">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（1）中标供应商交付前须作出全面检查和对验收文件进行整理列出清单，作为采购人收货验收和使用的技术条件依据，检验的结果应随货物交采购人。 </w:t>
            </w:r>
          </w:p>
          <w:p w14:paraId="261E5979">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（2）投标货物生产厂家须派授权代表参加本项目交货验收，核实所交货物的真伪。 </w:t>
            </w:r>
          </w:p>
          <w:p w14:paraId="5A621953">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（3）采购人对中标供应商所交货物依照招标文件上的技术规格要求和国家（设备制造国）有关标准进行现场抽样验收，性能达到技术要求的，给予签收。不合格的不予签收，后果由中标供应商负责。 </w:t>
            </w:r>
          </w:p>
          <w:p w14:paraId="04C4F158">
            <w:pPr>
              <w:spacing w:line="44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（4）中标供应商</w:t>
            </w:r>
            <w:r>
              <w:rPr>
                <w:rFonts w:hint="eastAsia" w:ascii="宋体" w:hAnsi="宋体" w:cs="宋体"/>
                <w:color w:val="auto"/>
                <w:szCs w:val="21"/>
                <w:highlight w:val="none"/>
              </w:rPr>
              <w:t>将货物运达约定的交货地点后，采购人、</w:t>
            </w:r>
            <w:r>
              <w:rPr>
                <w:rFonts w:hint="eastAsia" w:ascii="宋体" w:hAnsi="宋体" w:cs="宋体"/>
                <w:bCs/>
                <w:color w:val="auto"/>
                <w:szCs w:val="21"/>
                <w:highlight w:val="none"/>
              </w:rPr>
              <w:t>中标供应商</w:t>
            </w:r>
            <w:r>
              <w:rPr>
                <w:rFonts w:hint="eastAsia" w:ascii="宋体" w:hAnsi="宋体" w:cs="宋体"/>
                <w:color w:val="auto"/>
                <w:szCs w:val="21"/>
                <w:highlight w:val="none"/>
              </w:rPr>
              <w:t>双方应在五个工作日内对</w:t>
            </w:r>
            <w:r>
              <w:rPr>
                <w:rFonts w:hint="eastAsia" w:ascii="宋体" w:hAnsi="宋体" w:cs="宋体"/>
                <w:bCs/>
                <w:color w:val="auto"/>
                <w:szCs w:val="21"/>
                <w:highlight w:val="none"/>
              </w:rPr>
              <w:t>中标供应商</w:t>
            </w:r>
            <w:r>
              <w:rPr>
                <w:rFonts w:hint="eastAsia" w:ascii="宋体" w:hAnsi="宋体" w:cs="宋体"/>
                <w:color w:val="auto"/>
                <w:szCs w:val="21"/>
                <w:highlight w:val="none"/>
              </w:rPr>
              <w:t>提交的货物依据招标文件、投标文件要求和国家标准或行业标准进行现场初步验收。</w:t>
            </w:r>
          </w:p>
          <w:p w14:paraId="4E8F0E62">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2.技术性能验收标准：</w:t>
            </w:r>
          </w:p>
          <w:p w14:paraId="53B9B998">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（1）以采购、响应参数为依据，满足使用需求为原则，由采购人组织相关部门组成验收小组对设备技术性能验收，响应参数是否符合采购参数要求以实际验收结果为准。</w:t>
            </w:r>
          </w:p>
          <w:p w14:paraId="2AE71216">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（2）技术性能资料涵盖招投标技术参数、响应表及配置清单等。</w:t>
            </w:r>
          </w:p>
          <w:p w14:paraId="6E776F4E">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（3）设备技术参数及配置清单必须与采购、投标文件相符合，如出现不一致，以技术参数响应表响应内容为准。</w:t>
            </w:r>
          </w:p>
          <w:p w14:paraId="1CB076E6">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（4）验收小组依据采购、投标文件技术参数响应表逐条进行验收，对于设备技术参数与采购、响应技术参数响应不符的，作如下处理：</w:t>
            </w:r>
          </w:p>
          <w:p w14:paraId="1BD02E2D">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①设备技术参数与招投标参数比较有漏项的，在评审中未被发现的，以不实质响应招投标要求论处；</w:t>
            </w:r>
          </w:p>
          <w:p w14:paraId="1EE9E4BF">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②设备实际是负偏离的参数，在投标文件中标明是无偏离或正偏离，在评审中未被发现的，以虚假应标论处；</w:t>
            </w:r>
          </w:p>
          <w:p w14:paraId="35AAB33F">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③设备实际是无偏离参数，响应表中标明是正偏离，在评审中未被发现的，以虚假应标论处；</w:t>
            </w:r>
          </w:p>
          <w:p w14:paraId="702017E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④设备实际是正偏离参数，验收时并没有达到响应表中标明的正偏离范围，以虚假应标论处。</w:t>
            </w:r>
          </w:p>
          <w:p w14:paraId="2E8D91AA">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供应商成交后，采购人在设备验收环节发现设备的技术参数指标达不到投标文件中技术参数响应的内容，属虚假应标行为，采购人将单方面终止合同拒收货物，追究中标供应商违约责任，赔偿采购人因采购时间延长造成的经济等方面损失，视情形将违约情况上报政府采购监督管理部门。</w:t>
            </w:r>
          </w:p>
          <w:p w14:paraId="6C51384D">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（5）中标供应商需负责安装、调试，并培训采购人的使用操作人员，直到设备运行符合技术要求，操作人员掌握使用操作方法，采购人方可验收。</w:t>
            </w:r>
          </w:p>
          <w:p w14:paraId="3FFC20E4">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（6）采购人组织验收，中标供应商必须到场配合，验收合格后双方在验收记录上签字确认。</w:t>
            </w:r>
          </w:p>
          <w:p w14:paraId="02A6AC9F">
            <w:pPr>
              <w:spacing w:line="44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 xml:space="preserve">（7）中标供应商交付前须作出全面检查并对验收文件进行整理列出清单，作为采购人收货验收和使用的技术条件依据，检验的结果应随货物交采购人。  </w:t>
            </w:r>
          </w:p>
        </w:tc>
      </w:tr>
      <w:tr w14:paraId="53E8D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42" w:type="dxa"/>
            <w:gridSpan w:val="7"/>
            <w:tcBorders>
              <w:top w:val="single" w:color="auto" w:sz="4" w:space="0"/>
              <w:left w:val="single" w:color="auto" w:sz="4" w:space="0"/>
              <w:bottom w:val="single" w:color="auto" w:sz="4" w:space="0"/>
              <w:right w:val="single" w:color="auto" w:sz="4" w:space="0"/>
            </w:tcBorders>
            <w:vAlign w:val="center"/>
          </w:tcPr>
          <w:p w14:paraId="7F0EDFA9">
            <w:pPr>
              <w:spacing w:line="440" w:lineRule="exact"/>
              <w:rPr>
                <w:rFonts w:ascii="宋体" w:hAnsi="宋体" w:cs="宋体"/>
                <w:color w:val="auto"/>
                <w:szCs w:val="21"/>
                <w:highlight w:val="none"/>
              </w:rPr>
            </w:pPr>
            <w:r>
              <w:rPr>
                <w:rFonts w:hint="eastAsia" w:ascii="宋体" w:hAnsi="宋体" w:cs="宋体"/>
                <w:color w:val="auto"/>
                <w:szCs w:val="21"/>
                <w:highlight w:val="none"/>
              </w:rPr>
              <w:t>▲（二）履约验收其他事项</w:t>
            </w:r>
          </w:p>
        </w:tc>
      </w:tr>
      <w:tr w14:paraId="77C24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42" w:type="dxa"/>
            <w:gridSpan w:val="7"/>
            <w:tcBorders>
              <w:top w:val="single" w:color="auto" w:sz="4" w:space="0"/>
              <w:left w:val="single" w:color="auto" w:sz="4" w:space="0"/>
              <w:bottom w:val="single" w:color="auto" w:sz="4" w:space="0"/>
              <w:right w:val="single" w:color="auto" w:sz="4" w:space="0"/>
            </w:tcBorders>
            <w:vAlign w:val="center"/>
          </w:tcPr>
          <w:p w14:paraId="53374FFE">
            <w:pPr>
              <w:spacing w:line="440" w:lineRule="exact"/>
              <w:rPr>
                <w:rFonts w:ascii="宋体" w:hAnsi="宋体" w:cs="宋体"/>
                <w:color w:val="auto"/>
                <w:szCs w:val="21"/>
                <w:highlight w:val="none"/>
              </w:rPr>
            </w:pPr>
            <w:r>
              <w:rPr>
                <w:rFonts w:hint="eastAsia" w:ascii="宋体" w:hAnsi="宋体" w:cs="宋体"/>
                <w:color w:val="auto"/>
                <w:szCs w:val="21"/>
                <w:highlight w:val="none"/>
              </w:rPr>
              <w:t>1、验收过程中所产生的一切费用均由中标供应商承担。报价时应考虑相关费用。</w:t>
            </w:r>
          </w:p>
          <w:p w14:paraId="4E6BD92C">
            <w:pPr>
              <w:spacing w:line="440" w:lineRule="exact"/>
              <w:rPr>
                <w:rFonts w:ascii="宋体" w:hAnsi="宋体" w:cs="宋体"/>
                <w:color w:val="auto"/>
                <w:szCs w:val="21"/>
                <w:highlight w:val="none"/>
              </w:rPr>
            </w:pPr>
            <w:r>
              <w:rPr>
                <w:rFonts w:hint="eastAsia" w:ascii="宋体" w:hAnsi="宋体" w:cs="宋体"/>
                <w:color w:val="auto"/>
                <w:szCs w:val="21"/>
                <w:highlight w:val="none"/>
              </w:rPr>
              <w:t>2、中标供应商在货物交付验收时，由采购人对照采购文件的项目要求及技术要求，全面核对检验。如不符合采购文件的技术要求及要求以及提供虚假承诺的，按相关规定做违约处理，中标供应商承担所有责任和费用，采购人保留进一步追究责任的权利。</w:t>
            </w:r>
          </w:p>
          <w:p w14:paraId="2F412345">
            <w:pPr>
              <w:spacing w:line="440" w:lineRule="exact"/>
              <w:rPr>
                <w:rFonts w:ascii="宋体" w:hAnsi="宋体" w:cs="宋体"/>
                <w:color w:val="auto"/>
                <w:szCs w:val="21"/>
                <w:highlight w:val="none"/>
              </w:rPr>
            </w:pPr>
            <w:r>
              <w:rPr>
                <w:rFonts w:hint="eastAsia" w:ascii="宋体" w:hAnsi="宋体" w:cs="宋体"/>
                <w:color w:val="auto"/>
                <w:szCs w:val="21"/>
                <w:highlight w:val="none"/>
              </w:rPr>
              <w:t>3、验收方式：符合相关验收标准，如验收过程中，采购人发现存在不符合相关标准的，中标供应商应无条件置换。</w:t>
            </w:r>
          </w:p>
          <w:p w14:paraId="0C87C5CB">
            <w:pPr>
              <w:spacing w:line="440" w:lineRule="exact"/>
              <w:rPr>
                <w:rFonts w:ascii="宋体" w:hAnsi="宋体" w:cs="宋体"/>
                <w:color w:val="auto"/>
                <w:szCs w:val="21"/>
                <w:highlight w:val="none"/>
              </w:rPr>
            </w:pPr>
            <w:r>
              <w:rPr>
                <w:rFonts w:hint="eastAsia" w:ascii="宋体" w:hAnsi="宋体" w:cs="宋体"/>
                <w:color w:val="auto"/>
                <w:szCs w:val="21"/>
                <w:highlight w:val="none"/>
              </w:rPr>
              <w:t>4、采购人可以自行验收，也可以委托第三方机构组织验收。</w:t>
            </w:r>
          </w:p>
        </w:tc>
      </w:tr>
      <w:tr w14:paraId="52344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42" w:type="dxa"/>
            <w:gridSpan w:val="7"/>
            <w:tcBorders>
              <w:top w:val="single" w:color="auto" w:sz="4" w:space="0"/>
              <w:left w:val="single" w:color="auto" w:sz="4" w:space="0"/>
              <w:bottom w:val="single" w:color="auto" w:sz="4" w:space="0"/>
              <w:right w:val="single" w:color="auto" w:sz="4" w:space="0"/>
            </w:tcBorders>
            <w:vAlign w:val="center"/>
          </w:tcPr>
          <w:p w14:paraId="0F0A6EB9">
            <w:pPr>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（三）进口产品说明</w:t>
            </w:r>
          </w:p>
        </w:tc>
      </w:tr>
      <w:tr w14:paraId="6C63C4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28" w:type="dxa"/>
            <w:gridSpan w:val="4"/>
            <w:tcBorders>
              <w:top w:val="single" w:color="auto" w:sz="4" w:space="0"/>
              <w:left w:val="single" w:color="auto" w:sz="4" w:space="0"/>
              <w:bottom w:val="single" w:color="auto" w:sz="4" w:space="0"/>
              <w:right w:val="single" w:color="auto" w:sz="4" w:space="0"/>
            </w:tcBorders>
            <w:vAlign w:val="center"/>
          </w:tcPr>
          <w:p w14:paraId="3AEC4BA1">
            <w:pPr>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进口产品说明</w:t>
            </w:r>
          </w:p>
        </w:tc>
        <w:tc>
          <w:tcPr>
            <w:tcW w:w="7514" w:type="dxa"/>
            <w:gridSpan w:val="3"/>
            <w:tcBorders>
              <w:top w:val="single" w:color="auto" w:sz="4" w:space="0"/>
              <w:left w:val="single" w:color="auto" w:sz="4" w:space="0"/>
              <w:bottom w:val="single" w:color="auto" w:sz="4" w:space="0"/>
              <w:right w:val="single" w:color="auto" w:sz="4" w:space="0"/>
            </w:tcBorders>
            <w:vAlign w:val="center"/>
          </w:tcPr>
          <w:p w14:paraId="4C1FF7B5">
            <w:pPr>
              <w:spacing w:line="440" w:lineRule="exact"/>
              <w:rPr>
                <w:rFonts w:ascii="宋体" w:hAnsi="宋体" w:cs="宋体"/>
                <w:color w:val="auto"/>
                <w:szCs w:val="21"/>
                <w:highlight w:val="none"/>
              </w:rPr>
            </w:pPr>
            <w:r>
              <w:rPr>
                <w:rFonts w:hint="eastAsia" w:ascii="宋体" w:hAnsi="宋体" w:cs="宋体"/>
                <w:color w:val="auto"/>
                <w:szCs w:val="21"/>
                <w:highlight w:val="none"/>
              </w:rPr>
              <w:t>本项目货物不接受进口产品（即通过中国海关报关验放进入中国境内且产自关境外的产品）参与投标，</w:t>
            </w:r>
            <w:r>
              <w:rPr>
                <w:rFonts w:hint="eastAsia" w:ascii="宋体" w:hAnsi="宋体" w:cs="宋体"/>
                <w:b/>
                <w:bCs/>
                <w:color w:val="auto"/>
                <w:szCs w:val="21"/>
                <w:highlight w:val="none"/>
              </w:rPr>
              <w:t>如有进口产品参与投标的作无效标处理。</w:t>
            </w:r>
          </w:p>
        </w:tc>
      </w:tr>
      <w:tr w14:paraId="1A4E5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42" w:type="dxa"/>
            <w:gridSpan w:val="7"/>
            <w:tcBorders>
              <w:top w:val="single" w:color="auto" w:sz="4" w:space="0"/>
              <w:left w:val="single" w:color="auto" w:sz="4" w:space="0"/>
              <w:bottom w:val="single" w:color="auto" w:sz="4" w:space="0"/>
              <w:right w:val="single" w:color="auto" w:sz="4" w:space="0"/>
            </w:tcBorders>
            <w:vAlign w:val="center"/>
          </w:tcPr>
          <w:p w14:paraId="2FC0490F">
            <w:pPr>
              <w:spacing w:line="440" w:lineRule="exact"/>
              <w:rPr>
                <w:rFonts w:ascii="宋体" w:hAnsi="宋体" w:cs="宋体"/>
                <w:color w:val="auto"/>
                <w:szCs w:val="21"/>
                <w:highlight w:val="none"/>
              </w:rPr>
            </w:pPr>
            <w:r>
              <w:rPr>
                <w:rFonts w:hint="eastAsia" w:ascii="宋体" w:hAnsi="宋体" w:cs="宋体"/>
                <w:b/>
                <w:bCs/>
                <w:color w:val="auto"/>
                <w:szCs w:val="21"/>
                <w:highlight w:val="none"/>
              </w:rPr>
              <w:t>（四）核心产品</w:t>
            </w:r>
          </w:p>
        </w:tc>
      </w:tr>
      <w:tr w14:paraId="54686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28" w:type="dxa"/>
            <w:gridSpan w:val="4"/>
            <w:tcBorders>
              <w:top w:val="single" w:color="auto" w:sz="4" w:space="0"/>
              <w:left w:val="single" w:color="auto" w:sz="4" w:space="0"/>
              <w:bottom w:val="single" w:color="auto" w:sz="4" w:space="0"/>
              <w:right w:val="single" w:color="auto" w:sz="4" w:space="0"/>
            </w:tcBorders>
            <w:vAlign w:val="center"/>
          </w:tcPr>
          <w:p w14:paraId="2A59E6FD">
            <w:pPr>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核心产品</w:t>
            </w:r>
          </w:p>
        </w:tc>
        <w:tc>
          <w:tcPr>
            <w:tcW w:w="7514" w:type="dxa"/>
            <w:gridSpan w:val="3"/>
            <w:tcBorders>
              <w:top w:val="single" w:color="auto" w:sz="4" w:space="0"/>
              <w:left w:val="single" w:color="auto" w:sz="4" w:space="0"/>
              <w:bottom w:val="single" w:color="auto" w:sz="4" w:space="0"/>
              <w:right w:val="single" w:color="auto" w:sz="4" w:space="0"/>
            </w:tcBorders>
            <w:vAlign w:val="center"/>
          </w:tcPr>
          <w:p w14:paraId="7DE4B8A1">
            <w:pPr>
              <w:spacing w:line="440" w:lineRule="exact"/>
              <w:rPr>
                <w:rFonts w:ascii="宋体" w:hAnsi="宋体" w:cs="宋体"/>
                <w:color w:val="auto"/>
                <w:szCs w:val="21"/>
                <w:highlight w:val="none"/>
              </w:rPr>
            </w:pPr>
            <w:r>
              <w:rPr>
                <w:rFonts w:hint="eastAsia" w:ascii="宋体" w:hAnsi="宋体" w:cs="宋体"/>
                <w:color w:val="auto"/>
                <w:szCs w:val="21"/>
                <w:highlight w:val="none"/>
              </w:rPr>
              <w:t>本项目为单一产品采购项目</w:t>
            </w:r>
          </w:p>
        </w:tc>
      </w:tr>
      <w:tr w14:paraId="23809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42" w:type="dxa"/>
            <w:gridSpan w:val="7"/>
            <w:tcBorders>
              <w:top w:val="single" w:color="auto" w:sz="4" w:space="0"/>
              <w:left w:val="single" w:color="auto" w:sz="4" w:space="0"/>
              <w:bottom w:val="single" w:color="auto" w:sz="4" w:space="0"/>
              <w:right w:val="single" w:color="auto" w:sz="4" w:space="0"/>
            </w:tcBorders>
            <w:vAlign w:val="center"/>
          </w:tcPr>
          <w:p w14:paraId="7140A307">
            <w:pPr>
              <w:spacing w:line="440" w:lineRule="exact"/>
              <w:rPr>
                <w:rFonts w:hint="default" w:ascii="宋体" w:hAnsi="宋体" w:eastAsia="宋体" w:cs="宋体"/>
                <w:color w:val="auto"/>
                <w:szCs w:val="21"/>
                <w:highlight w:val="none"/>
                <w:lang w:val="en-US"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五</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其他要求</w:t>
            </w:r>
          </w:p>
        </w:tc>
      </w:tr>
      <w:tr w14:paraId="597A7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28" w:type="dxa"/>
            <w:gridSpan w:val="4"/>
            <w:tcBorders>
              <w:top w:val="single" w:color="auto" w:sz="4" w:space="0"/>
              <w:left w:val="single" w:color="auto" w:sz="4" w:space="0"/>
              <w:bottom w:val="single" w:color="auto" w:sz="4" w:space="0"/>
              <w:right w:val="single" w:color="auto" w:sz="4" w:space="0"/>
            </w:tcBorders>
            <w:vAlign w:val="center"/>
          </w:tcPr>
          <w:p w14:paraId="76DC0AB2">
            <w:pPr>
              <w:spacing w:line="440" w:lineRule="exact"/>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其他要求</w:t>
            </w:r>
          </w:p>
        </w:tc>
        <w:tc>
          <w:tcPr>
            <w:tcW w:w="7514" w:type="dxa"/>
            <w:gridSpan w:val="3"/>
            <w:tcBorders>
              <w:top w:val="single" w:color="auto" w:sz="4" w:space="0"/>
              <w:left w:val="single" w:color="auto" w:sz="4" w:space="0"/>
              <w:bottom w:val="single" w:color="auto" w:sz="4" w:space="0"/>
              <w:right w:val="single" w:color="auto" w:sz="4" w:space="0"/>
            </w:tcBorders>
            <w:vAlign w:val="center"/>
          </w:tcPr>
          <w:p w14:paraId="73FD5E60">
            <w:pPr>
              <w:spacing w:line="440" w:lineRule="exact"/>
              <w:rPr>
                <w:rFonts w:hint="eastAsia" w:ascii="宋体" w:hAnsi="宋体" w:cs="宋体"/>
                <w:color w:val="auto"/>
                <w:szCs w:val="21"/>
                <w:highlight w:val="none"/>
              </w:rPr>
            </w:pPr>
            <w:r>
              <w:rPr>
                <w:rFonts w:hint="eastAsia" w:ascii="宋体" w:hAnsi="宋体"/>
                <w:color w:val="auto"/>
                <w:szCs w:val="21"/>
                <w:highlight w:val="none"/>
              </w:rPr>
              <w:t>投标人可根据本项目采购需求及评标标准提供项目实施方案</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售后服务方案</w:t>
            </w:r>
            <w:r>
              <w:rPr>
                <w:rFonts w:hint="eastAsia" w:ascii="宋体" w:hAnsi="宋体"/>
                <w:color w:val="auto"/>
                <w:szCs w:val="21"/>
                <w:highlight w:val="none"/>
              </w:rPr>
              <w:t>。</w:t>
            </w:r>
          </w:p>
        </w:tc>
      </w:tr>
    </w:tbl>
    <w:p w14:paraId="55EBAB2C">
      <w:pPr>
        <w:snapToGrid w:val="0"/>
        <w:jc w:val="center"/>
        <w:rPr>
          <w:rFonts w:ascii="宋体" w:hAnsi="宋体"/>
          <w:color w:val="auto"/>
          <w:sz w:val="30"/>
          <w:szCs w:val="30"/>
          <w:highlight w:val="none"/>
        </w:rPr>
      </w:pPr>
    </w:p>
    <w:p w14:paraId="35645F09">
      <w:pPr>
        <w:pStyle w:val="21"/>
        <w:rPr>
          <w:rFonts w:ascii="Arial Unicode MS" w:hAnsi="Arial Unicode MS" w:eastAsia="Arial Unicode MS" w:cs="Arial Unicode MS"/>
          <w:color w:val="auto"/>
          <w:highlight w:val="none"/>
        </w:rPr>
      </w:pPr>
      <w:r>
        <w:rPr>
          <w:rFonts w:hint="eastAsia"/>
          <w:color w:val="auto"/>
          <w:highlight w:val="none"/>
        </w:rPr>
        <w:t>附件1：</w:t>
      </w:r>
    </w:p>
    <w:p w14:paraId="35FE8749">
      <w:pPr>
        <w:spacing w:before="7"/>
        <w:rPr>
          <w:rFonts w:ascii="Arial Unicode MS" w:hAnsi="Arial Unicode MS" w:eastAsia="Arial Unicode MS" w:cs="Arial Unicode MS"/>
          <w:color w:val="auto"/>
          <w:sz w:val="17"/>
          <w:szCs w:val="17"/>
          <w:highlight w:val="none"/>
        </w:rPr>
      </w:pPr>
    </w:p>
    <w:p w14:paraId="6D478600">
      <w:pPr>
        <w:spacing w:line="528" w:lineRule="exact"/>
        <w:ind w:left="1871"/>
        <w:rPr>
          <w:rFonts w:ascii="Arial Unicode MS" w:hAnsi="Arial Unicode MS" w:eastAsia="Arial Unicode MS" w:cs="Arial Unicode MS"/>
          <w:color w:val="auto"/>
          <w:sz w:val="40"/>
          <w:szCs w:val="40"/>
          <w:highlight w:val="none"/>
        </w:rPr>
      </w:pPr>
      <w:r>
        <w:rPr>
          <w:rFonts w:hint="eastAsia" w:ascii="方正小标宋简体" w:hAnsi="方正小标宋简体" w:eastAsia="方正小标宋简体" w:cs="方正小标宋简体"/>
          <w:color w:val="auto"/>
          <w:sz w:val="44"/>
          <w:szCs w:val="44"/>
          <w:highlight w:val="none"/>
        </w:rPr>
        <w:t>节能产品政府采购品目清单</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22"/>
        <w:gridCol w:w="1496"/>
        <w:gridCol w:w="1481"/>
        <w:gridCol w:w="3452"/>
      </w:tblGrid>
      <w:tr w14:paraId="2C51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7ED28DA5">
            <w:pPr>
              <w:jc w:val="center"/>
              <w:rPr>
                <w:rFonts w:ascii="Calibri" w:hAnsi="Calibri"/>
                <w:color w:val="auto"/>
                <w:szCs w:val="22"/>
                <w:highlight w:val="none"/>
              </w:rPr>
            </w:pPr>
            <w:r>
              <w:rPr>
                <w:rFonts w:hint="eastAsia" w:ascii="宋体" w:hAnsi="宋体" w:cs="宋体"/>
                <w:b/>
                <w:bCs/>
                <w:color w:val="auto"/>
                <w:w w:val="99"/>
                <w:highlight w:val="none"/>
              </w:rPr>
              <w:t>品目序号</w:t>
            </w:r>
          </w:p>
        </w:tc>
        <w:tc>
          <w:tcPr>
            <w:tcW w:w="4399" w:type="dxa"/>
            <w:gridSpan w:val="3"/>
            <w:tcBorders>
              <w:top w:val="single" w:color="000000" w:sz="4" w:space="0"/>
              <w:left w:val="single" w:color="000000" w:sz="4" w:space="0"/>
              <w:bottom w:val="single" w:color="000000" w:sz="4" w:space="0"/>
              <w:right w:val="single" w:color="000000" w:sz="4" w:space="0"/>
            </w:tcBorders>
            <w:vAlign w:val="center"/>
          </w:tcPr>
          <w:p w14:paraId="7461FBBD">
            <w:pPr>
              <w:jc w:val="center"/>
              <w:rPr>
                <w:rFonts w:ascii="Calibri" w:hAnsi="Calibri"/>
                <w:color w:val="auto"/>
                <w:szCs w:val="22"/>
                <w:highlight w:val="none"/>
              </w:rPr>
            </w:pPr>
            <w:r>
              <w:rPr>
                <w:rFonts w:hint="eastAsia" w:ascii="宋体" w:hAnsi="宋体" w:cs="宋体"/>
                <w:b/>
                <w:bCs/>
                <w:color w:val="auto"/>
                <w:w w:val="99"/>
                <w:highlight w:val="none"/>
              </w:rPr>
              <w:t>名称</w:t>
            </w:r>
          </w:p>
        </w:tc>
        <w:tc>
          <w:tcPr>
            <w:tcW w:w="3452" w:type="dxa"/>
            <w:tcBorders>
              <w:top w:val="single" w:color="000000" w:sz="4" w:space="0"/>
              <w:left w:val="single" w:color="000000" w:sz="4" w:space="0"/>
              <w:bottom w:val="single" w:color="000000" w:sz="4" w:space="0"/>
              <w:right w:val="single" w:color="000000" w:sz="4" w:space="0"/>
            </w:tcBorders>
            <w:vAlign w:val="center"/>
          </w:tcPr>
          <w:p w14:paraId="4DD7FDE3">
            <w:pPr>
              <w:jc w:val="center"/>
              <w:rPr>
                <w:rFonts w:ascii="Calibri" w:hAnsi="Calibri"/>
                <w:color w:val="auto"/>
                <w:szCs w:val="22"/>
                <w:highlight w:val="none"/>
              </w:rPr>
            </w:pPr>
            <w:r>
              <w:rPr>
                <w:rFonts w:hint="eastAsia" w:ascii="宋体" w:hAnsi="宋体" w:cs="宋体"/>
                <w:b/>
                <w:bCs/>
                <w:color w:val="auto"/>
                <w:w w:val="99"/>
                <w:highlight w:val="none"/>
              </w:rPr>
              <w:t>依据的标准</w:t>
            </w:r>
          </w:p>
        </w:tc>
      </w:tr>
      <w:tr w14:paraId="2C28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7A884ADA">
            <w:pPr>
              <w:jc w:val="center"/>
              <w:rPr>
                <w:rFonts w:ascii="宋体" w:hAnsi="宋体"/>
                <w:color w:val="auto"/>
                <w:szCs w:val="21"/>
                <w:highlight w:val="none"/>
              </w:rPr>
            </w:pPr>
            <w:r>
              <w:rPr>
                <w:rFonts w:hint="eastAsia" w:ascii="宋体" w:hAnsi="宋体"/>
                <w:color w:val="auto"/>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0F225534">
            <w:pPr>
              <w:jc w:val="center"/>
              <w:rPr>
                <w:rFonts w:ascii="宋体" w:hAnsi="宋体"/>
                <w:color w:val="auto"/>
                <w:szCs w:val="21"/>
                <w:highlight w:val="none"/>
              </w:rPr>
            </w:pPr>
            <w:r>
              <w:rPr>
                <w:rFonts w:hint="eastAsia" w:ascii="宋体" w:hAnsi="宋体" w:cs="仿宋_GB2312"/>
                <w:color w:val="auto"/>
                <w:szCs w:val="21"/>
                <w:highlight w:val="none"/>
              </w:rPr>
              <w:t>A02010100</w:t>
            </w:r>
            <w:r>
              <w:rPr>
                <w:rFonts w:hint="eastAsia" w:ascii="宋体" w:hAnsi="宋体" w:cs="宋体"/>
                <w:color w:val="auto"/>
                <w:w w:val="99"/>
                <w:szCs w:val="21"/>
                <w:highlight w:val="none"/>
              </w:rPr>
              <w:t>计算机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572D3333">
            <w:pPr>
              <w:pStyle w:val="105"/>
              <w:spacing w:before="93"/>
              <w:ind w:left="7"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A02010105</w:t>
            </w:r>
            <w:r>
              <w:rPr>
                <w:rFonts w:hint="eastAsia" w:ascii="宋体" w:hAnsi="宋体" w:cs="宋体"/>
                <w:color w:val="auto"/>
                <w:w w:val="99"/>
                <w:kern w:val="2"/>
                <w:sz w:val="21"/>
                <w:szCs w:val="21"/>
                <w:highlight w:val="none"/>
              </w:rPr>
              <w:t>台式计算机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260A297A">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21816589">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《微型计算机能效限定值及能效等级》（GB28380）</w:t>
            </w:r>
          </w:p>
        </w:tc>
      </w:tr>
      <w:tr w14:paraId="01B8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047E932">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1315988">
            <w:pPr>
              <w:widowControl/>
              <w:jc w:val="left"/>
              <w:rPr>
                <w:rFonts w:ascii="宋体" w:hAnsi="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1D28CD50">
            <w:pPr>
              <w:pStyle w:val="105"/>
              <w:spacing w:before="44"/>
              <w:ind w:left="7"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A02010108</w:t>
            </w:r>
            <w:r>
              <w:rPr>
                <w:rFonts w:hint="eastAsia" w:ascii="宋体" w:hAnsi="宋体" w:cs="宋体"/>
                <w:color w:val="auto"/>
                <w:w w:val="99"/>
                <w:kern w:val="2"/>
                <w:sz w:val="21"/>
                <w:szCs w:val="21"/>
                <w:highlight w:val="none"/>
              </w:rPr>
              <w:t>便携式计算机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5DCD9FED">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7F33BC8A">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《微型计算机能效限定值及能效等级》（GB28380）</w:t>
            </w:r>
          </w:p>
        </w:tc>
      </w:tr>
      <w:tr w14:paraId="1726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82DD0C7">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F79AF64">
            <w:pPr>
              <w:widowControl/>
              <w:jc w:val="left"/>
              <w:rPr>
                <w:rFonts w:ascii="宋体" w:hAnsi="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648CA9FB">
            <w:pPr>
              <w:pStyle w:val="105"/>
              <w:spacing w:before="64"/>
              <w:ind w:left="7" w:right="5"/>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w:t>
            </w:r>
            <w:r>
              <w:rPr>
                <w:rFonts w:hint="eastAsia" w:ascii="宋体" w:hAnsi="宋体" w:cs="仿宋_GB2312"/>
                <w:color w:val="auto"/>
                <w:kern w:val="2"/>
                <w:sz w:val="21"/>
                <w:szCs w:val="21"/>
                <w:highlight w:val="none"/>
                <w:lang w:eastAsia="zh-CN"/>
              </w:rPr>
              <w:t>A02010109平板式计算机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66A5943A">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74198319">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《微型计算机能效限定值及能效等级》（GB28380）</w:t>
            </w:r>
          </w:p>
        </w:tc>
      </w:tr>
      <w:tr w14:paraId="224A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42CC12D8">
            <w:pPr>
              <w:jc w:val="center"/>
              <w:rPr>
                <w:rFonts w:ascii="宋体" w:hAnsi="宋体"/>
                <w:color w:val="auto"/>
                <w:szCs w:val="21"/>
                <w:highlight w:val="none"/>
              </w:rPr>
            </w:pPr>
            <w:r>
              <w:rPr>
                <w:rFonts w:hint="eastAsia" w:ascii="宋体" w:hAnsi="宋体"/>
                <w:color w:val="auto"/>
                <w:szCs w:val="21"/>
                <w:highlight w:val="none"/>
              </w:rPr>
              <w:t>2</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46201D98">
            <w:pPr>
              <w:pStyle w:val="105"/>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A02020000</w:t>
            </w:r>
            <w:r>
              <w:rPr>
                <w:rFonts w:hint="eastAsia" w:ascii="宋体" w:hAnsi="宋体" w:cs="宋体"/>
                <w:color w:val="auto"/>
                <w:w w:val="99"/>
                <w:kern w:val="2"/>
                <w:sz w:val="21"/>
                <w:szCs w:val="21"/>
                <w:highlight w:val="none"/>
              </w:rPr>
              <w:t>办公设备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2BD69D6F">
            <w:pPr>
              <w:jc w:val="center"/>
              <w:rPr>
                <w:rFonts w:ascii="宋体" w:hAnsi="宋体"/>
                <w:color w:val="auto"/>
                <w:szCs w:val="21"/>
                <w:highlight w:val="none"/>
              </w:rPr>
            </w:pPr>
            <w:r>
              <w:rPr>
                <w:rFonts w:hint="eastAsia" w:ascii="宋体" w:hAnsi="宋体" w:cs="宋体"/>
                <w:color w:val="auto"/>
                <w:spacing w:val="1"/>
                <w:w w:val="99"/>
                <w:szCs w:val="21"/>
                <w:highlight w:val="none"/>
              </w:rPr>
              <w:t>A02021000</w:t>
            </w:r>
            <w:r>
              <w:rPr>
                <w:rFonts w:hint="eastAsia" w:ascii="宋体" w:hAnsi="宋体" w:cs="Arial"/>
                <w:color w:val="auto"/>
                <w:szCs w:val="21"/>
                <w:highlight w:val="none"/>
                <w:shd w:val="clear" w:color="auto" w:fill="FFFFFF"/>
              </w:rPr>
              <w:t>打印机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78691BE7">
            <w:pPr>
              <w:jc w:val="center"/>
              <w:rPr>
                <w:rFonts w:ascii="宋体" w:hAnsi="宋体"/>
                <w:color w:val="auto"/>
                <w:szCs w:val="21"/>
                <w:highlight w:val="none"/>
              </w:rPr>
            </w:pPr>
            <w:r>
              <w:rPr>
                <w:rFonts w:hint="eastAsia" w:ascii="宋体" w:hAnsi="宋体"/>
                <w:color w:val="auto"/>
                <w:szCs w:val="21"/>
                <w:highlight w:val="none"/>
              </w:rPr>
              <w:t>A02021001 A3黑白打印机</w:t>
            </w:r>
          </w:p>
        </w:tc>
        <w:tc>
          <w:tcPr>
            <w:tcW w:w="3452" w:type="dxa"/>
            <w:tcBorders>
              <w:top w:val="single" w:color="000000" w:sz="4" w:space="0"/>
              <w:left w:val="single" w:color="000000" w:sz="4" w:space="0"/>
              <w:bottom w:val="single" w:color="000000" w:sz="4" w:space="0"/>
              <w:right w:val="single" w:color="000000" w:sz="4" w:space="0"/>
            </w:tcBorders>
          </w:tcPr>
          <w:p w14:paraId="5738670A">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1D10A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A268ED3">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78A46C0">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BE46452">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6DCB0FFE">
            <w:pPr>
              <w:jc w:val="center"/>
              <w:rPr>
                <w:rFonts w:ascii="宋体" w:hAnsi="宋体"/>
                <w:color w:val="auto"/>
                <w:szCs w:val="21"/>
                <w:highlight w:val="none"/>
              </w:rPr>
            </w:pPr>
            <w:r>
              <w:rPr>
                <w:rFonts w:hint="eastAsia" w:ascii="宋体" w:hAnsi="宋体"/>
                <w:color w:val="auto"/>
                <w:szCs w:val="21"/>
                <w:highlight w:val="none"/>
              </w:rPr>
              <w:t>A02021002 A3彩色打印机</w:t>
            </w:r>
          </w:p>
        </w:tc>
        <w:tc>
          <w:tcPr>
            <w:tcW w:w="3452" w:type="dxa"/>
            <w:tcBorders>
              <w:top w:val="single" w:color="000000" w:sz="4" w:space="0"/>
              <w:left w:val="single" w:color="000000" w:sz="4" w:space="0"/>
              <w:bottom w:val="single" w:color="000000" w:sz="4" w:space="0"/>
              <w:right w:val="single" w:color="000000" w:sz="4" w:space="0"/>
            </w:tcBorders>
          </w:tcPr>
          <w:p w14:paraId="584A0EC2">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3118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C893211">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71A76D6">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E0A7F37">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1D74DD3A">
            <w:pPr>
              <w:jc w:val="center"/>
              <w:rPr>
                <w:rFonts w:ascii="宋体" w:hAnsi="宋体"/>
                <w:color w:val="auto"/>
                <w:szCs w:val="21"/>
                <w:highlight w:val="none"/>
              </w:rPr>
            </w:pPr>
            <w:r>
              <w:rPr>
                <w:rFonts w:hint="eastAsia" w:ascii="宋体" w:hAnsi="宋体"/>
                <w:color w:val="auto"/>
                <w:szCs w:val="21"/>
                <w:highlight w:val="none"/>
              </w:rPr>
              <w:t>A02021003 A4黑白打印机</w:t>
            </w:r>
          </w:p>
        </w:tc>
        <w:tc>
          <w:tcPr>
            <w:tcW w:w="3452" w:type="dxa"/>
            <w:tcBorders>
              <w:top w:val="single" w:color="000000" w:sz="4" w:space="0"/>
              <w:left w:val="single" w:color="000000" w:sz="4" w:space="0"/>
              <w:bottom w:val="single" w:color="000000" w:sz="4" w:space="0"/>
              <w:right w:val="single" w:color="000000" w:sz="4" w:space="0"/>
            </w:tcBorders>
          </w:tcPr>
          <w:p w14:paraId="6C7F2CE4">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2810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D243893">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89548D5">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E46557A">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71E917C6">
            <w:pPr>
              <w:jc w:val="center"/>
              <w:rPr>
                <w:rFonts w:ascii="宋体" w:hAnsi="宋体"/>
                <w:color w:val="auto"/>
                <w:szCs w:val="21"/>
                <w:highlight w:val="none"/>
              </w:rPr>
            </w:pPr>
            <w:r>
              <w:rPr>
                <w:rFonts w:hint="eastAsia" w:ascii="宋体" w:hAnsi="宋体"/>
                <w:color w:val="auto"/>
                <w:szCs w:val="21"/>
                <w:highlight w:val="none"/>
              </w:rPr>
              <w:t>A02021004 A4彩色打印机</w:t>
            </w:r>
          </w:p>
        </w:tc>
        <w:tc>
          <w:tcPr>
            <w:tcW w:w="3452" w:type="dxa"/>
            <w:tcBorders>
              <w:top w:val="single" w:color="000000" w:sz="4" w:space="0"/>
              <w:left w:val="single" w:color="000000" w:sz="4" w:space="0"/>
              <w:bottom w:val="single" w:color="000000" w:sz="4" w:space="0"/>
              <w:right w:val="single" w:color="000000" w:sz="4" w:space="0"/>
            </w:tcBorders>
          </w:tcPr>
          <w:p w14:paraId="5DF4D03D">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6B49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E049B89">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4943DBE">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17C4551">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6F66A10D">
            <w:pPr>
              <w:jc w:val="center"/>
              <w:rPr>
                <w:rFonts w:ascii="宋体" w:hAnsi="宋体"/>
                <w:color w:val="auto"/>
                <w:szCs w:val="21"/>
                <w:highlight w:val="none"/>
              </w:rPr>
            </w:pPr>
            <w:r>
              <w:rPr>
                <w:rFonts w:hint="eastAsia" w:ascii="宋体" w:hAnsi="宋体"/>
                <w:color w:val="auto"/>
                <w:szCs w:val="21"/>
                <w:highlight w:val="none"/>
              </w:rPr>
              <w:t>A02021005 3D打印机</w:t>
            </w:r>
          </w:p>
        </w:tc>
        <w:tc>
          <w:tcPr>
            <w:tcW w:w="3452" w:type="dxa"/>
            <w:tcBorders>
              <w:top w:val="single" w:color="000000" w:sz="4" w:space="0"/>
              <w:left w:val="single" w:color="000000" w:sz="4" w:space="0"/>
              <w:bottom w:val="single" w:color="000000" w:sz="4" w:space="0"/>
              <w:right w:val="single" w:color="000000" w:sz="4" w:space="0"/>
            </w:tcBorders>
          </w:tcPr>
          <w:p w14:paraId="38D2EC51">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4E84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80BF852">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FC8AA38">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4729F8C">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4B79B5E3">
            <w:pPr>
              <w:jc w:val="center"/>
              <w:rPr>
                <w:rFonts w:ascii="宋体" w:hAnsi="宋体"/>
                <w:color w:val="auto"/>
                <w:szCs w:val="21"/>
                <w:highlight w:val="none"/>
              </w:rPr>
            </w:pPr>
            <w:r>
              <w:rPr>
                <w:rFonts w:hint="eastAsia" w:ascii="宋体" w:hAnsi="宋体"/>
                <w:color w:val="auto"/>
                <w:szCs w:val="21"/>
                <w:highlight w:val="none"/>
              </w:rPr>
              <w:t>A02021006票据打印机</w:t>
            </w:r>
          </w:p>
        </w:tc>
        <w:tc>
          <w:tcPr>
            <w:tcW w:w="3452" w:type="dxa"/>
            <w:tcBorders>
              <w:top w:val="single" w:color="000000" w:sz="4" w:space="0"/>
              <w:left w:val="single" w:color="000000" w:sz="4" w:space="0"/>
              <w:bottom w:val="single" w:color="000000" w:sz="4" w:space="0"/>
              <w:right w:val="single" w:color="000000" w:sz="4" w:space="0"/>
            </w:tcBorders>
          </w:tcPr>
          <w:p w14:paraId="2D1947AD">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5ADD2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19A6F33">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DA98E86">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35B7F41">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3A2E60DA">
            <w:pPr>
              <w:jc w:val="center"/>
              <w:rPr>
                <w:rFonts w:ascii="宋体" w:hAnsi="宋体"/>
                <w:color w:val="auto"/>
                <w:szCs w:val="21"/>
                <w:highlight w:val="none"/>
              </w:rPr>
            </w:pPr>
            <w:r>
              <w:rPr>
                <w:rFonts w:hint="eastAsia" w:ascii="宋体" w:hAnsi="宋体"/>
                <w:color w:val="auto"/>
                <w:szCs w:val="21"/>
                <w:highlight w:val="none"/>
              </w:rPr>
              <w:t>A02021007条码打印机</w:t>
            </w:r>
          </w:p>
        </w:tc>
        <w:tc>
          <w:tcPr>
            <w:tcW w:w="3452" w:type="dxa"/>
            <w:tcBorders>
              <w:top w:val="single" w:color="000000" w:sz="4" w:space="0"/>
              <w:left w:val="single" w:color="000000" w:sz="4" w:space="0"/>
              <w:bottom w:val="single" w:color="000000" w:sz="4" w:space="0"/>
              <w:right w:val="single" w:color="000000" w:sz="4" w:space="0"/>
            </w:tcBorders>
          </w:tcPr>
          <w:p w14:paraId="2A932657">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17AD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C341B4E">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0FBA6A7">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B4707AA">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01F92C65">
            <w:pPr>
              <w:jc w:val="center"/>
              <w:rPr>
                <w:rFonts w:ascii="宋体" w:hAnsi="宋体"/>
                <w:color w:val="auto"/>
                <w:szCs w:val="21"/>
                <w:highlight w:val="none"/>
              </w:rPr>
            </w:pPr>
            <w:r>
              <w:rPr>
                <w:rFonts w:hint="eastAsia" w:ascii="宋体" w:hAnsi="宋体"/>
                <w:color w:val="auto"/>
                <w:szCs w:val="21"/>
                <w:highlight w:val="none"/>
              </w:rPr>
              <w:t>A02021008地址打印机</w:t>
            </w:r>
          </w:p>
        </w:tc>
        <w:tc>
          <w:tcPr>
            <w:tcW w:w="3452" w:type="dxa"/>
            <w:tcBorders>
              <w:top w:val="single" w:color="000000" w:sz="4" w:space="0"/>
              <w:left w:val="single" w:color="000000" w:sz="4" w:space="0"/>
              <w:bottom w:val="single" w:color="000000" w:sz="4" w:space="0"/>
              <w:right w:val="single" w:color="000000" w:sz="4" w:space="0"/>
            </w:tcBorders>
          </w:tcPr>
          <w:p w14:paraId="186D7267">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5533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6052160">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422BAE9">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0CC2B41">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35FFCED1">
            <w:pPr>
              <w:jc w:val="center"/>
              <w:rPr>
                <w:rFonts w:ascii="宋体" w:hAnsi="宋体"/>
                <w:color w:val="auto"/>
                <w:szCs w:val="21"/>
                <w:highlight w:val="none"/>
              </w:rPr>
            </w:pPr>
            <w:r>
              <w:rPr>
                <w:rFonts w:hint="eastAsia" w:ascii="宋体" w:hAnsi="宋体"/>
                <w:color w:val="auto"/>
                <w:szCs w:val="21"/>
                <w:highlight w:val="none"/>
              </w:rPr>
              <w:t>A02021099其他打印机</w:t>
            </w:r>
          </w:p>
        </w:tc>
        <w:tc>
          <w:tcPr>
            <w:tcW w:w="3452" w:type="dxa"/>
            <w:tcBorders>
              <w:top w:val="single" w:color="000000" w:sz="4" w:space="0"/>
              <w:left w:val="single" w:color="000000" w:sz="4" w:space="0"/>
              <w:bottom w:val="single" w:color="000000" w:sz="4" w:space="0"/>
              <w:right w:val="single" w:color="000000" w:sz="4" w:space="0"/>
            </w:tcBorders>
          </w:tcPr>
          <w:p w14:paraId="0D7879A3">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2CE4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75B6752">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1963F8E">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08E50512">
            <w:pPr>
              <w:jc w:val="center"/>
              <w:rPr>
                <w:rFonts w:ascii="宋体" w:hAnsi="宋体"/>
                <w:color w:val="auto"/>
                <w:szCs w:val="21"/>
                <w:highlight w:val="none"/>
              </w:rPr>
            </w:pPr>
            <w:r>
              <w:rPr>
                <w:rFonts w:hint="eastAsia" w:ascii="宋体" w:hAnsi="宋体"/>
                <w:color w:val="auto"/>
                <w:szCs w:val="21"/>
                <w:highlight w:val="none"/>
              </w:rPr>
              <w:t>A02021100输入输出设备</w:t>
            </w:r>
          </w:p>
        </w:tc>
        <w:tc>
          <w:tcPr>
            <w:tcW w:w="1481" w:type="dxa"/>
            <w:tcBorders>
              <w:top w:val="single" w:color="000000" w:sz="4" w:space="0"/>
              <w:left w:val="single" w:color="000000" w:sz="4" w:space="0"/>
              <w:bottom w:val="single" w:color="000000" w:sz="4" w:space="0"/>
              <w:right w:val="single" w:color="000000" w:sz="4" w:space="0"/>
            </w:tcBorders>
            <w:vAlign w:val="center"/>
          </w:tcPr>
          <w:p w14:paraId="75349531">
            <w:pPr>
              <w:jc w:val="center"/>
              <w:rPr>
                <w:rFonts w:ascii="宋体" w:hAnsi="宋体"/>
                <w:color w:val="auto"/>
                <w:szCs w:val="21"/>
                <w:highlight w:val="none"/>
              </w:rPr>
            </w:pPr>
            <w:r>
              <w:rPr>
                <w:rFonts w:hint="eastAsia" w:ascii="宋体" w:hAnsi="宋体" w:cs="宋体"/>
                <w:color w:val="auto"/>
                <w:w w:val="99"/>
                <w:szCs w:val="21"/>
                <w:highlight w:val="none"/>
              </w:rPr>
              <w:t>★</w:t>
            </w:r>
            <w:r>
              <w:rPr>
                <w:rFonts w:hint="eastAsia" w:ascii="宋体" w:hAnsi="宋体"/>
                <w:color w:val="auto"/>
                <w:szCs w:val="21"/>
                <w:highlight w:val="none"/>
              </w:rPr>
              <w:t>A02021104液晶显示器</w:t>
            </w:r>
          </w:p>
        </w:tc>
        <w:tc>
          <w:tcPr>
            <w:tcW w:w="3452" w:type="dxa"/>
            <w:tcBorders>
              <w:top w:val="single" w:color="000000" w:sz="4" w:space="0"/>
              <w:left w:val="single" w:color="000000" w:sz="4" w:space="0"/>
              <w:bottom w:val="single" w:color="000000" w:sz="4" w:space="0"/>
              <w:right w:val="single" w:color="000000" w:sz="4" w:space="0"/>
            </w:tcBorders>
            <w:vAlign w:val="center"/>
          </w:tcPr>
          <w:p w14:paraId="67D871A0">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《计算机显示器能效限定值及能效等级》（GB21520）</w:t>
            </w:r>
          </w:p>
        </w:tc>
      </w:tr>
      <w:tr w14:paraId="3063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FBBB1FD">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7B854AD">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F23B4DD">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5E255D69">
            <w:pPr>
              <w:jc w:val="center"/>
              <w:rPr>
                <w:rFonts w:ascii="宋体" w:hAnsi="宋体"/>
                <w:color w:val="auto"/>
                <w:szCs w:val="21"/>
                <w:highlight w:val="none"/>
              </w:rPr>
            </w:pPr>
            <w:r>
              <w:rPr>
                <w:rFonts w:hint="eastAsia" w:ascii="宋体" w:hAnsi="宋体"/>
                <w:color w:val="auto"/>
                <w:szCs w:val="21"/>
                <w:highlight w:val="none"/>
              </w:rPr>
              <w:t>A02021118扫描仪</w:t>
            </w:r>
          </w:p>
        </w:tc>
        <w:tc>
          <w:tcPr>
            <w:tcW w:w="3452" w:type="dxa"/>
            <w:tcBorders>
              <w:top w:val="single" w:color="000000" w:sz="4" w:space="0"/>
              <w:left w:val="single" w:color="000000" w:sz="4" w:space="0"/>
              <w:bottom w:val="single" w:color="000000" w:sz="4" w:space="0"/>
              <w:right w:val="single" w:color="000000" w:sz="4" w:space="0"/>
            </w:tcBorders>
            <w:vAlign w:val="center"/>
          </w:tcPr>
          <w:p w14:paraId="00687CF3">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参照《复印机、打印机和传真机能效限定值及能效等级》（GB21521）中打印速度为15页/分的针式打印机相关要求</w:t>
            </w:r>
          </w:p>
        </w:tc>
      </w:tr>
      <w:tr w14:paraId="1A6C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69B3CC5A">
            <w:pPr>
              <w:jc w:val="center"/>
              <w:rPr>
                <w:rFonts w:ascii="宋体" w:hAnsi="宋体"/>
                <w:color w:val="auto"/>
                <w:szCs w:val="21"/>
                <w:highlight w:val="none"/>
              </w:rPr>
            </w:pPr>
            <w:r>
              <w:rPr>
                <w:rFonts w:hint="eastAsia" w:ascii="宋体" w:hAnsi="宋体"/>
                <w:color w:val="auto"/>
                <w:w w:val="99"/>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5BC3D0EB">
            <w:pPr>
              <w:jc w:val="center"/>
              <w:rPr>
                <w:rFonts w:ascii="宋体" w:hAnsi="宋体"/>
                <w:color w:val="auto"/>
                <w:szCs w:val="21"/>
                <w:highlight w:val="none"/>
              </w:rPr>
            </w:pPr>
            <w:r>
              <w:rPr>
                <w:rFonts w:hint="eastAsia" w:ascii="宋体" w:hAnsi="宋体"/>
                <w:color w:val="auto"/>
                <w:szCs w:val="21"/>
                <w:highlight w:val="none"/>
              </w:rPr>
              <w:t>A02020200投影仪</w:t>
            </w:r>
          </w:p>
        </w:tc>
        <w:tc>
          <w:tcPr>
            <w:tcW w:w="1496" w:type="dxa"/>
            <w:tcBorders>
              <w:top w:val="single" w:color="000000" w:sz="4" w:space="0"/>
              <w:left w:val="single" w:color="000000" w:sz="4" w:space="0"/>
              <w:bottom w:val="single" w:color="000000" w:sz="4" w:space="0"/>
              <w:right w:val="single" w:color="000000" w:sz="4" w:space="0"/>
            </w:tcBorders>
            <w:vAlign w:val="center"/>
          </w:tcPr>
          <w:p w14:paraId="6645F9C7">
            <w:pPr>
              <w:jc w:val="center"/>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360D3A22">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vAlign w:val="center"/>
          </w:tcPr>
          <w:p w14:paraId="1957F746">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《投影机能效限定值及能效等级》（GB32028）</w:t>
            </w:r>
          </w:p>
        </w:tc>
      </w:tr>
      <w:tr w14:paraId="1B44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24FCDF0E">
            <w:pPr>
              <w:jc w:val="center"/>
              <w:rPr>
                <w:rFonts w:ascii="宋体" w:hAnsi="宋体"/>
                <w:color w:val="auto"/>
                <w:szCs w:val="21"/>
                <w:highlight w:val="none"/>
              </w:rPr>
            </w:pPr>
            <w:r>
              <w:rPr>
                <w:rFonts w:hint="eastAsia" w:ascii="宋体" w:hAnsi="宋体"/>
                <w:color w:val="auto"/>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70004280">
            <w:pPr>
              <w:pStyle w:val="105"/>
              <w:spacing w:before="66"/>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A02020400</w:t>
            </w:r>
            <w:r>
              <w:rPr>
                <w:rFonts w:hint="eastAsia" w:ascii="宋体" w:hAnsi="宋体" w:cs="宋体"/>
                <w:color w:val="auto"/>
                <w:w w:val="99"/>
                <w:kern w:val="2"/>
                <w:sz w:val="21"/>
                <w:szCs w:val="21"/>
                <w:highlight w:val="none"/>
              </w:rPr>
              <w:t>多功能一体机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3CC68C8A">
            <w:pPr>
              <w:jc w:val="center"/>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5EE2AAD4">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vAlign w:val="center"/>
          </w:tcPr>
          <w:p w14:paraId="3764D81A">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4EB6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59607EA4">
            <w:pPr>
              <w:pStyle w:val="105"/>
              <w:spacing w:before="160"/>
              <w:ind w:right="1"/>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5</w:t>
            </w:r>
          </w:p>
        </w:tc>
        <w:tc>
          <w:tcPr>
            <w:tcW w:w="1422" w:type="dxa"/>
            <w:tcBorders>
              <w:top w:val="single" w:color="000000" w:sz="4" w:space="0"/>
              <w:left w:val="single" w:color="000000" w:sz="4" w:space="0"/>
              <w:bottom w:val="single" w:color="000000" w:sz="4" w:space="0"/>
              <w:right w:val="single" w:color="000000" w:sz="4" w:space="0"/>
            </w:tcBorders>
            <w:vAlign w:val="center"/>
          </w:tcPr>
          <w:p w14:paraId="23AF84D8">
            <w:pPr>
              <w:pStyle w:val="105"/>
              <w:spacing w:before="160"/>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A02051900</w:t>
            </w:r>
            <w:r>
              <w:rPr>
                <w:rFonts w:hint="eastAsia" w:ascii="宋体" w:hAnsi="宋体" w:cs="宋体"/>
                <w:color w:val="auto"/>
                <w:w w:val="99"/>
                <w:kern w:val="2"/>
                <w:sz w:val="21"/>
                <w:szCs w:val="21"/>
                <w:highlight w:val="none"/>
              </w:rPr>
              <w:t>泵</w:t>
            </w:r>
          </w:p>
        </w:tc>
        <w:tc>
          <w:tcPr>
            <w:tcW w:w="1496" w:type="dxa"/>
            <w:tcBorders>
              <w:top w:val="single" w:color="000000" w:sz="4" w:space="0"/>
              <w:left w:val="single" w:color="000000" w:sz="4" w:space="0"/>
              <w:bottom w:val="single" w:color="000000" w:sz="4" w:space="0"/>
              <w:right w:val="single" w:color="000000" w:sz="4" w:space="0"/>
            </w:tcBorders>
            <w:vAlign w:val="center"/>
          </w:tcPr>
          <w:p w14:paraId="6680B4B3">
            <w:pPr>
              <w:pStyle w:val="105"/>
              <w:spacing w:before="160"/>
              <w:ind w:left="7"/>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05</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901离心泵</w:t>
            </w:r>
          </w:p>
        </w:tc>
        <w:tc>
          <w:tcPr>
            <w:tcW w:w="1481" w:type="dxa"/>
            <w:tcBorders>
              <w:top w:val="single" w:color="000000" w:sz="4" w:space="0"/>
              <w:left w:val="single" w:color="000000" w:sz="4" w:space="0"/>
              <w:bottom w:val="single" w:color="000000" w:sz="4" w:space="0"/>
              <w:right w:val="single" w:color="000000" w:sz="4" w:space="0"/>
            </w:tcBorders>
            <w:vAlign w:val="center"/>
          </w:tcPr>
          <w:p w14:paraId="78C65ED8">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0785312F">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《清水离心泵能效限定值及节能评价值》（GB19762）</w:t>
            </w:r>
          </w:p>
        </w:tc>
      </w:tr>
      <w:tr w14:paraId="6AAA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1B71411D">
            <w:pPr>
              <w:jc w:val="center"/>
              <w:rPr>
                <w:rFonts w:ascii="宋体" w:hAnsi="宋体"/>
                <w:color w:val="auto"/>
                <w:szCs w:val="21"/>
                <w:highlight w:val="none"/>
              </w:rPr>
            </w:pPr>
            <w:r>
              <w:rPr>
                <w:rFonts w:hint="eastAsia" w:ascii="宋体" w:hAnsi="宋体"/>
                <w:color w:val="auto"/>
                <w:szCs w:val="21"/>
                <w:highlight w:val="none"/>
              </w:rPr>
              <w:t>6</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474BDCA9">
            <w:pPr>
              <w:pStyle w:val="105"/>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A02052300</w:t>
            </w:r>
            <w:r>
              <w:rPr>
                <w:rFonts w:hint="eastAsia" w:ascii="宋体" w:hAnsi="宋体" w:cs="宋体"/>
                <w:color w:val="auto"/>
                <w:w w:val="99"/>
                <w:kern w:val="2"/>
                <w:sz w:val="21"/>
                <w:szCs w:val="21"/>
                <w:highlight w:val="none"/>
              </w:rPr>
              <w:t>制冷空调设备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754CA322">
            <w:pPr>
              <w:pStyle w:val="105"/>
              <w:spacing w:line="276" w:lineRule="auto"/>
              <w:ind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52</w:t>
            </w:r>
            <w:r>
              <w:rPr>
                <w:rFonts w:hint="eastAsia" w:ascii="宋体" w:hAnsi="宋体" w:cs="宋体"/>
                <w:color w:val="auto"/>
                <w:spacing w:val="1"/>
                <w:w w:val="99"/>
                <w:kern w:val="2"/>
                <w:sz w:val="21"/>
                <w:szCs w:val="21"/>
                <w:highlight w:val="none"/>
              </w:rPr>
              <w:t>3</w:t>
            </w:r>
            <w:r>
              <w:rPr>
                <w:rFonts w:hint="eastAsia" w:ascii="宋体" w:hAnsi="宋体" w:cs="宋体"/>
                <w:color w:val="auto"/>
                <w:w w:val="99"/>
                <w:kern w:val="2"/>
                <w:sz w:val="21"/>
                <w:szCs w:val="21"/>
                <w:highlight w:val="none"/>
              </w:rPr>
              <w:t>01制冷压缩机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2CCD44EC">
            <w:pPr>
              <w:pStyle w:val="10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冷水机组</w:t>
            </w:r>
          </w:p>
        </w:tc>
        <w:tc>
          <w:tcPr>
            <w:tcW w:w="3452" w:type="dxa"/>
            <w:tcBorders>
              <w:top w:val="single" w:color="000000" w:sz="4" w:space="0"/>
              <w:left w:val="single" w:color="000000" w:sz="4" w:space="0"/>
              <w:bottom w:val="single" w:color="000000" w:sz="4" w:space="0"/>
              <w:right w:val="single" w:color="000000" w:sz="4" w:space="0"/>
            </w:tcBorders>
          </w:tcPr>
          <w:p w14:paraId="11E5F1D4">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《冷水机组能效限定值及能效等级》（GB19577），《低环境温度空气源热泵（冷水）机组能效限定值及能效等级》（GB37480）</w:t>
            </w:r>
          </w:p>
        </w:tc>
      </w:tr>
      <w:tr w14:paraId="73DA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608D466">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60D21E7">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1EC6E6D">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2681F9A1">
            <w:pPr>
              <w:jc w:val="center"/>
              <w:rPr>
                <w:rFonts w:ascii="宋体" w:hAnsi="宋体"/>
                <w:color w:val="auto"/>
                <w:szCs w:val="21"/>
                <w:highlight w:val="none"/>
              </w:rPr>
            </w:pPr>
            <w:r>
              <w:rPr>
                <w:rFonts w:hint="eastAsia" w:ascii="宋体" w:hAnsi="宋体"/>
                <w:color w:val="auto"/>
                <w:szCs w:val="21"/>
                <w:highlight w:val="none"/>
              </w:rPr>
              <w:t>溴化锂吸收式冷水机组</w:t>
            </w:r>
          </w:p>
        </w:tc>
        <w:tc>
          <w:tcPr>
            <w:tcW w:w="3452" w:type="dxa"/>
            <w:tcBorders>
              <w:top w:val="single" w:color="000000" w:sz="4" w:space="0"/>
              <w:left w:val="single" w:color="000000" w:sz="4" w:space="0"/>
              <w:bottom w:val="single" w:color="000000" w:sz="4" w:space="0"/>
              <w:right w:val="single" w:color="000000" w:sz="4" w:space="0"/>
            </w:tcBorders>
            <w:vAlign w:val="center"/>
          </w:tcPr>
          <w:p w14:paraId="4053D9A4">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《溴化锂吸收式冷水机组能效限</w:t>
            </w:r>
          </w:p>
          <w:p w14:paraId="2E56B1CF">
            <w:pPr>
              <w:spacing w:before="131" w:line="276" w:lineRule="auto"/>
              <w:ind w:right="4"/>
              <w:rPr>
                <w:rFonts w:ascii="宋体" w:hAnsi="宋体" w:cs="宋体"/>
                <w:color w:val="auto"/>
                <w:spacing w:val="10"/>
                <w:szCs w:val="21"/>
                <w:highlight w:val="none"/>
              </w:rPr>
            </w:pPr>
            <w:r>
              <w:rPr>
                <w:rFonts w:hint="eastAsia" w:ascii="宋体" w:hAnsi="宋体" w:cs="宋体"/>
                <w:color w:val="auto"/>
                <w:spacing w:val="10"/>
                <w:szCs w:val="21"/>
                <w:highlight w:val="none"/>
              </w:rPr>
              <w:t>定值及能效等级》（GB29540）</w:t>
            </w:r>
          </w:p>
        </w:tc>
      </w:tr>
      <w:tr w14:paraId="4F3E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DB468EA">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FD1E957">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18B125DA">
            <w:pPr>
              <w:pStyle w:val="105"/>
              <w:spacing w:line="276" w:lineRule="auto"/>
              <w:ind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★A02052305空调机组</w:t>
            </w:r>
          </w:p>
        </w:tc>
        <w:tc>
          <w:tcPr>
            <w:tcW w:w="1481" w:type="dxa"/>
            <w:tcBorders>
              <w:top w:val="single" w:color="000000" w:sz="4" w:space="0"/>
              <w:left w:val="single" w:color="000000" w:sz="4" w:space="0"/>
              <w:bottom w:val="single" w:color="000000" w:sz="4" w:space="0"/>
              <w:right w:val="single" w:color="000000" w:sz="4" w:space="0"/>
            </w:tcBorders>
            <w:vAlign w:val="center"/>
          </w:tcPr>
          <w:p w14:paraId="05174374">
            <w:pPr>
              <w:pStyle w:val="105"/>
              <w:spacing w:before="4" w:line="276" w:lineRule="auto"/>
              <w:ind w:left="7" w:right="7"/>
              <w:jc w:val="center"/>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多联式空调（热泵）机组（制冷量&gt;14000W）</w:t>
            </w:r>
          </w:p>
        </w:tc>
        <w:tc>
          <w:tcPr>
            <w:tcW w:w="3452" w:type="dxa"/>
            <w:tcBorders>
              <w:top w:val="single" w:color="000000" w:sz="4" w:space="0"/>
              <w:left w:val="single" w:color="000000" w:sz="4" w:space="0"/>
              <w:bottom w:val="single" w:color="000000" w:sz="4" w:space="0"/>
              <w:right w:val="single" w:color="000000" w:sz="4" w:space="0"/>
            </w:tcBorders>
          </w:tcPr>
          <w:p w14:paraId="0CBD7CA9">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《多联式空调（热泵）机组能效限定值及能源效率等级》（GB21454）</w:t>
            </w:r>
          </w:p>
        </w:tc>
      </w:tr>
      <w:tr w14:paraId="2BE6D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CAE4753">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A82B236">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74D8D85">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7E74872D">
            <w:pPr>
              <w:jc w:val="center"/>
              <w:rPr>
                <w:rFonts w:ascii="宋体" w:hAnsi="宋体"/>
                <w:color w:val="auto"/>
                <w:szCs w:val="21"/>
                <w:highlight w:val="none"/>
              </w:rPr>
            </w:pPr>
            <w:r>
              <w:rPr>
                <w:rFonts w:hint="eastAsia" w:ascii="宋体" w:hAnsi="宋体" w:cs="宋体"/>
                <w:color w:val="auto"/>
                <w:w w:val="99"/>
                <w:szCs w:val="21"/>
                <w:highlight w:val="none"/>
              </w:rPr>
              <w:t>单元式空气调节机</w:t>
            </w:r>
          </w:p>
        </w:tc>
        <w:tc>
          <w:tcPr>
            <w:tcW w:w="3452" w:type="dxa"/>
            <w:tcBorders>
              <w:top w:val="single" w:color="000000" w:sz="4" w:space="0"/>
              <w:left w:val="single" w:color="000000" w:sz="4" w:space="0"/>
              <w:bottom w:val="single" w:color="000000" w:sz="4" w:space="0"/>
              <w:right w:val="single" w:color="000000" w:sz="4" w:space="0"/>
            </w:tcBorders>
          </w:tcPr>
          <w:p w14:paraId="18D14950">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《单元式空气调节机能效限定值及能效等级》（GB19576）《风管送风式空调机组能效限定值及能效等级》（GB37479）</w:t>
            </w:r>
          </w:p>
        </w:tc>
      </w:tr>
      <w:tr w14:paraId="79749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AC2DE5C">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699F488">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3F1A03F4">
            <w:pPr>
              <w:pStyle w:val="105"/>
              <w:spacing w:before="83"/>
              <w:ind w:left="7"/>
              <w:jc w:val="center"/>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★A02052309专用制冷、空调设备</w:t>
            </w:r>
          </w:p>
        </w:tc>
        <w:tc>
          <w:tcPr>
            <w:tcW w:w="1481" w:type="dxa"/>
            <w:tcBorders>
              <w:top w:val="single" w:color="000000" w:sz="4" w:space="0"/>
              <w:left w:val="single" w:color="000000" w:sz="4" w:space="0"/>
              <w:bottom w:val="single" w:color="000000" w:sz="4" w:space="0"/>
              <w:right w:val="single" w:color="000000" w:sz="4" w:space="0"/>
            </w:tcBorders>
            <w:vAlign w:val="center"/>
          </w:tcPr>
          <w:p w14:paraId="29E5FD9C">
            <w:pPr>
              <w:pStyle w:val="10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机房空调</w:t>
            </w:r>
          </w:p>
        </w:tc>
        <w:tc>
          <w:tcPr>
            <w:tcW w:w="3452" w:type="dxa"/>
            <w:tcBorders>
              <w:top w:val="single" w:color="000000" w:sz="4" w:space="0"/>
              <w:left w:val="single" w:color="000000" w:sz="4" w:space="0"/>
              <w:bottom w:val="single" w:color="000000" w:sz="4" w:space="0"/>
              <w:right w:val="single" w:color="000000" w:sz="4" w:space="0"/>
            </w:tcBorders>
          </w:tcPr>
          <w:p w14:paraId="3C672F92">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《单元式空气调节机能效限定值</w:t>
            </w:r>
          </w:p>
          <w:p w14:paraId="49521FA8">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及能效等级》（GB19576）</w:t>
            </w:r>
          </w:p>
        </w:tc>
      </w:tr>
      <w:tr w14:paraId="1030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9B82B95">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469AAAE">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4FB733AE">
            <w:pPr>
              <w:pStyle w:val="105"/>
              <w:spacing w:line="254" w:lineRule="exact"/>
              <w:ind w:left="7"/>
              <w:jc w:val="center"/>
              <w:rPr>
                <w:rFonts w:ascii="宋体" w:hAnsi="宋体" w:cs="宋体"/>
                <w:color w:val="auto"/>
                <w:w w:val="99"/>
                <w:kern w:val="2"/>
                <w:sz w:val="21"/>
                <w:szCs w:val="21"/>
                <w:highlight w:val="none"/>
              </w:rPr>
            </w:pPr>
            <w:r>
              <w:rPr>
                <w:rFonts w:hint="eastAsia" w:ascii="宋体" w:hAnsi="宋体" w:cs="宋体"/>
                <w:color w:val="auto"/>
                <w:w w:val="99"/>
                <w:kern w:val="2"/>
                <w:sz w:val="21"/>
                <w:szCs w:val="21"/>
                <w:highlight w:val="none"/>
              </w:rPr>
              <w:t>A02052399其他制冷</w:t>
            </w:r>
          </w:p>
          <w:p w14:paraId="47A7A017">
            <w:pPr>
              <w:pStyle w:val="105"/>
              <w:spacing w:line="254" w:lineRule="exact"/>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空调设备</w:t>
            </w:r>
          </w:p>
        </w:tc>
        <w:tc>
          <w:tcPr>
            <w:tcW w:w="1481" w:type="dxa"/>
            <w:tcBorders>
              <w:top w:val="single" w:color="000000" w:sz="4" w:space="0"/>
              <w:left w:val="single" w:color="000000" w:sz="4" w:space="0"/>
              <w:bottom w:val="single" w:color="000000" w:sz="4" w:space="0"/>
              <w:right w:val="single" w:color="000000" w:sz="4" w:space="0"/>
            </w:tcBorders>
            <w:vAlign w:val="center"/>
          </w:tcPr>
          <w:p w14:paraId="66FFF2E8">
            <w:pPr>
              <w:widowControl/>
              <w:jc w:val="center"/>
              <w:rPr>
                <w:rFonts w:ascii="宋体" w:hAnsi="宋体" w:cs="宋体"/>
                <w:color w:val="auto"/>
                <w:szCs w:val="21"/>
                <w:highlight w:val="none"/>
                <w:lang w:eastAsia="en-US"/>
              </w:rPr>
            </w:pPr>
            <w:r>
              <w:rPr>
                <w:rFonts w:hint="eastAsia" w:ascii="宋体" w:hAnsi="宋体" w:cs="宋体"/>
                <w:color w:val="auto"/>
                <w:w w:val="99"/>
                <w:szCs w:val="21"/>
                <w:highlight w:val="none"/>
              </w:rPr>
              <w:t>冷却塔</w:t>
            </w:r>
          </w:p>
        </w:tc>
        <w:tc>
          <w:tcPr>
            <w:tcW w:w="3452" w:type="dxa"/>
            <w:tcBorders>
              <w:top w:val="single" w:color="000000" w:sz="4" w:space="0"/>
              <w:left w:val="single" w:color="000000" w:sz="4" w:space="0"/>
              <w:bottom w:val="single" w:color="000000" w:sz="4" w:space="0"/>
              <w:right w:val="single" w:color="000000" w:sz="4" w:space="0"/>
            </w:tcBorders>
          </w:tcPr>
          <w:p w14:paraId="1DC91E32">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《机械通风冷却塔第1部分：中小型开式冷却塔》（GB/T7190.1）</w:t>
            </w:r>
          </w:p>
          <w:p w14:paraId="644AFACA">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《机械通风冷却塔第2部分：大型开式冷却塔》（GB/T7190.2）</w:t>
            </w:r>
          </w:p>
        </w:tc>
      </w:tr>
      <w:tr w14:paraId="38AE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E2D0FC0">
            <w:pPr>
              <w:pStyle w:val="105"/>
              <w:ind w:right="1"/>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7</w:t>
            </w:r>
          </w:p>
        </w:tc>
        <w:tc>
          <w:tcPr>
            <w:tcW w:w="1422" w:type="dxa"/>
            <w:tcBorders>
              <w:top w:val="single" w:color="000000" w:sz="4" w:space="0"/>
              <w:left w:val="single" w:color="000000" w:sz="4" w:space="0"/>
              <w:bottom w:val="single" w:color="000000" w:sz="4" w:space="0"/>
              <w:right w:val="single" w:color="000000" w:sz="4" w:space="0"/>
            </w:tcBorders>
            <w:vAlign w:val="center"/>
          </w:tcPr>
          <w:p w14:paraId="2F610DDD">
            <w:pPr>
              <w:pStyle w:val="105"/>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A02060100</w:t>
            </w:r>
            <w:r>
              <w:rPr>
                <w:rFonts w:hint="eastAsia" w:ascii="宋体" w:hAnsi="宋体" w:cs="宋体"/>
                <w:color w:val="auto"/>
                <w:w w:val="99"/>
                <w:kern w:val="2"/>
                <w:sz w:val="21"/>
                <w:szCs w:val="21"/>
                <w:highlight w:val="none"/>
              </w:rPr>
              <w:t>电机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3584C732">
            <w:pPr>
              <w:jc w:val="center"/>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0716324B">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30188DB0">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《中小型三相异步电动机能效限定值及能效等级》（GB18613）</w:t>
            </w:r>
          </w:p>
        </w:tc>
      </w:tr>
      <w:tr w14:paraId="7228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341E6608">
            <w:pPr>
              <w:pStyle w:val="105"/>
              <w:ind w:right="1"/>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8</w:t>
            </w:r>
          </w:p>
        </w:tc>
        <w:tc>
          <w:tcPr>
            <w:tcW w:w="1422" w:type="dxa"/>
            <w:tcBorders>
              <w:top w:val="single" w:color="000000" w:sz="4" w:space="0"/>
              <w:left w:val="single" w:color="000000" w:sz="4" w:space="0"/>
              <w:bottom w:val="single" w:color="000000" w:sz="4" w:space="0"/>
              <w:right w:val="single" w:color="000000" w:sz="4" w:space="0"/>
            </w:tcBorders>
            <w:vAlign w:val="center"/>
          </w:tcPr>
          <w:p w14:paraId="212EE5BB">
            <w:pPr>
              <w:pStyle w:val="105"/>
              <w:spacing w:before="30"/>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A02060200</w:t>
            </w:r>
            <w:r>
              <w:rPr>
                <w:rFonts w:hint="eastAsia" w:ascii="宋体" w:hAnsi="宋体" w:cs="宋体"/>
                <w:color w:val="auto"/>
                <w:w w:val="99"/>
                <w:kern w:val="2"/>
                <w:sz w:val="21"/>
                <w:szCs w:val="21"/>
                <w:highlight w:val="none"/>
              </w:rPr>
              <w:t>变压</w:t>
            </w:r>
          </w:p>
        </w:tc>
        <w:tc>
          <w:tcPr>
            <w:tcW w:w="1496" w:type="dxa"/>
            <w:tcBorders>
              <w:top w:val="single" w:color="000000" w:sz="4" w:space="0"/>
              <w:left w:val="single" w:color="000000" w:sz="4" w:space="0"/>
              <w:bottom w:val="single" w:color="000000" w:sz="4" w:space="0"/>
              <w:right w:val="single" w:color="000000" w:sz="4" w:space="0"/>
            </w:tcBorders>
            <w:vAlign w:val="center"/>
          </w:tcPr>
          <w:p w14:paraId="65FB4802">
            <w:pPr>
              <w:pStyle w:val="10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配电变压器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73DE6E82">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5C8D690E">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《三相配电变压器能效限定值及能效等级》（GB 20052）</w:t>
            </w:r>
          </w:p>
        </w:tc>
      </w:tr>
      <w:tr w14:paraId="3CB5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4C62D360">
            <w:pPr>
              <w:pStyle w:val="105"/>
              <w:ind w:right="1"/>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9</w:t>
            </w:r>
          </w:p>
        </w:tc>
        <w:tc>
          <w:tcPr>
            <w:tcW w:w="1422" w:type="dxa"/>
            <w:tcBorders>
              <w:top w:val="single" w:color="000000" w:sz="4" w:space="0"/>
              <w:left w:val="single" w:color="000000" w:sz="4" w:space="0"/>
              <w:bottom w:val="single" w:color="000000" w:sz="4" w:space="0"/>
              <w:right w:val="single" w:color="000000" w:sz="4" w:space="0"/>
            </w:tcBorders>
            <w:vAlign w:val="center"/>
          </w:tcPr>
          <w:p w14:paraId="3C8FFE20">
            <w:pPr>
              <w:pStyle w:val="105"/>
              <w:spacing w:before="126"/>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★A02060900镇流器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18A7AAC3">
            <w:pPr>
              <w:pStyle w:val="10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管型荧光灯镇流器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23C4467A">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14E37CB0">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《管形荧光灯镇流器能效限定值及能效等级》（GB17896）</w:t>
            </w:r>
          </w:p>
        </w:tc>
      </w:tr>
      <w:tr w14:paraId="3FB6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580F4021">
            <w:pPr>
              <w:pStyle w:val="105"/>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10</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2962137D">
            <w:pPr>
              <w:pStyle w:val="10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A02061800生活用电器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324D5FB0">
            <w:pPr>
              <w:pStyle w:val="10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A02061801电冰箱</w:t>
            </w:r>
          </w:p>
        </w:tc>
        <w:tc>
          <w:tcPr>
            <w:tcW w:w="1481" w:type="dxa"/>
            <w:tcBorders>
              <w:top w:val="single" w:color="000000" w:sz="4" w:space="0"/>
              <w:left w:val="single" w:color="000000" w:sz="4" w:space="0"/>
              <w:bottom w:val="single" w:color="000000" w:sz="4" w:space="0"/>
              <w:right w:val="single" w:color="000000" w:sz="4" w:space="0"/>
            </w:tcBorders>
            <w:vAlign w:val="center"/>
          </w:tcPr>
          <w:p w14:paraId="30CAB8B0">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2ABD8B9F">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《家用电冰箱耗电量限定值及能效等级》（GB12021.2）</w:t>
            </w:r>
          </w:p>
        </w:tc>
      </w:tr>
      <w:tr w14:paraId="622F1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9D1FDC1">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33B3A8D">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124EA7E9">
            <w:pPr>
              <w:pStyle w:val="105"/>
              <w:spacing w:before="17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A02061804</w:t>
            </w:r>
            <w:r>
              <w:rPr>
                <w:rFonts w:hint="eastAsia" w:ascii="宋体" w:hAnsi="宋体" w:cs="宋体"/>
                <w:color w:val="auto"/>
                <w:w w:val="99"/>
                <w:kern w:val="2"/>
                <w:sz w:val="21"/>
                <w:szCs w:val="21"/>
                <w:highlight w:val="none"/>
              </w:rPr>
              <w:t>空调机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6227DF75">
            <w:pPr>
              <w:pStyle w:val="10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房间空气调节器</w:t>
            </w:r>
          </w:p>
        </w:tc>
        <w:tc>
          <w:tcPr>
            <w:tcW w:w="3452" w:type="dxa"/>
            <w:tcBorders>
              <w:top w:val="single" w:color="000000" w:sz="4" w:space="0"/>
              <w:left w:val="single" w:color="000000" w:sz="4" w:space="0"/>
              <w:bottom w:val="single" w:color="000000" w:sz="4" w:space="0"/>
              <w:right w:val="single" w:color="000000" w:sz="4" w:space="0"/>
            </w:tcBorders>
          </w:tcPr>
          <w:p w14:paraId="47D56AB1">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《房间空气调节器能效限定值及能效等级》（GB21455-2019）</w:t>
            </w:r>
          </w:p>
        </w:tc>
      </w:tr>
      <w:tr w14:paraId="1E28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7CC7E7A">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6C0A805">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AB58C61">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119F5596">
            <w:pPr>
              <w:pStyle w:val="105"/>
              <w:spacing w:before="4" w:line="276" w:lineRule="auto"/>
              <w:ind w:left="7"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多联式空调（热泵）机组（制冷量≤ 14000W）</w:t>
            </w:r>
          </w:p>
        </w:tc>
        <w:tc>
          <w:tcPr>
            <w:tcW w:w="3452" w:type="dxa"/>
            <w:tcBorders>
              <w:top w:val="single" w:color="000000" w:sz="4" w:space="0"/>
              <w:left w:val="single" w:color="000000" w:sz="4" w:space="0"/>
              <w:bottom w:val="single" w:color="000000" w:sz="4" w:space="0"/>
              <w:right w:val="single" w:color="000000" w:sz="4" w:space="0"/>
            </w:tcBorders>
          </w:tcPr>
          <w:p w14:paraId="31C84ADB">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《多联式空调（热泵）机组能效限定值及能源效率等级》（GB21454）</w:t>
            </w:r>
          </w:p>
        </w:tc>
      </w:tr>
      <w:tr w14:paraId="6942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47F8CE8">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3708AFD">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E5736A7">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086B7C96">
            <w:pPr>
              <w:pStyle w:val="105"/>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单元式空气调节机（制冷量≤ 14000W）</w:t>
            </w:r>
          </w:p>
        </w:tc>
        <w:tc>
          <w:tcPr>
            <w:tcW w:w="3452" w:type="dxa"/>
            <w:tcBorders>
              <w:top w:val="single" w:color="000000" w:sz="4" w:space="0"/>
              <w:left w:val="single" w:color="000000" w:sz="4" w:space="0"/>
              <w:bottom w:val="single" w:color="000000" w:sz="4" w:space="0"/>
              <w:right w:val="single" w:color="000000" w:sz="4" w:space="0"/>
            </w:tcBorders>
          </w:tcPr>
          <w:p w14:paraId="1A36039C">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《单元式空气调节机能效限定值及能源效率等级》（GB19576）《风管送风式空调机组能效限定值及能效等级》（GB37479）</w:t>
            </w:r>
          </w:p>
        </w:tc>
      </w:tr>
      <w:tr w14:paraId="22E7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BD02805">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6FA2356">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59057B99">
            <w:pPr>
              <w:pStyle w:val="105"/>
              <w:spacing w:before="162"/>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A02061810</w:t>
            </w:r>
            <w:r>
              <w:rPr>
                <w:rFonts w:hint="eastAsia" w:ascii="宋体" w:hAnsi="宋体" w:cs="宋体"/>
                <w:color w:val="auto"/>
                <w:w w:val="99"/>
                <w:kern w:val="2"/>
                <w:sz w:val="21"/>
                <w:szCs w:val="21"/>
                <w:highlight w:val="none"/>
              </w:rPr>
              <w:t>洗衣机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4D14D356">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0C913053">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《电动洗衣机能效水效限定值及等级》（GB12021.4）</w:t>
            </w:r>
          </w:p>
        </w:tc>
      </w:tr>
      <w:tr w14:paraId="06E5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BC4A9EC">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0D4D57D">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3733C551">
            <w:pPr>
              <w:pStyle w:val="105"/>
              <w:spacing w:before="161"/>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A02061819</w:t>
            </w:r>
            <w:r>
              <w:rPr>
                <w:rFonts w:hint="eastAsia" w:ascii="宋体" w:hAnsi="宋体" w:cs="宋体"/>
                <w:color w:val="auto"/>
                <w:w w:val="99"/>
                <w:kern w:val="2"/>
                <w:sz w:val="21"/>
                <w:szCs w:val="21"/>
                <w:highlight w:val="none"/>
              </w:rPr>
              <w:t>热水器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11B4CF07">
            <w:pPr>
              <w:pStyle w:val="10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★电热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452" w:type="dxa"/>
            <w:tcBorders>
              <w:top w:val="single" w:color="000000" w:sz="4" w:space="0"/>
              <w:left w:val="single" w:color="000000" w:sz="4" w:space="0"/>
              <w:bottom w:val="single" w:color="000000" w:sz="4" w:space="0"/>
              <w:right w:val="single" w:color="000000" w:sz="4" w:space="0"/>
            </w:tcBorders>
          </w:tcPr>
          <w:p w14:paraId="33976319">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《储水式电热水器能效限定值及能效等级》（GB21519）</w:t>
            </w:r>
          </w:p>
        </w:tc>
      </w:tr>
      <w:tr w14:paraId="60F7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1507D4A">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5D0B118">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A2A9F73">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24513AAA">
            <w:pPr>
              <w:pStyle w:val="10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燃气热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452" w:type="dxa"/>
            <w:tcBorders>
              <w:top w:val="single" w:color="000000" w:sz="4" w:space="0"/>
              <w:left w:val="single" w:color="000000" w:sz="4" w:space="0"/>
              <w:bottom w:val="single" w:color="000000" w:sz="4" w:space="0"/>
              <w:right w:val="single" w:color="000000" w:sz="4" w:space="0"/>
            </w:tcBorders>
          </w:tcPr>
          <w:p w14:paraId="72251961">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《家用燃气快速热水器和燃气采暖热水炉能效限定值及能效等级》（GB20665）</w:t>
            </w:r>
          </w:p>
        </w:tc>
      </w:tr>
      <w:tr w14:paraId="00EC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94845DC">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E7FABB8">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5252213">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3C68198E">
            <w:pPr>
              <w:pStyle w:val="10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热泵热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452" w:type="dxa"/>
            <w:tcBorders>
              <w:top w:val="single" w:color="000000" w:sz="4" w:space="0"/>
              <w:left w:val="single" w:color="000000" w:sz="4" w:space="0"/>
              <w:bottom w:val="single" w:color="000000" w:sz="4" w:space="0"/>
              <w:right w:val="single" w:color="000000" w:sz="4" w:space="0"/>
            </w:tcBorders>
          </w:tcPr>
          <w:p w14:paraId="6F56EE18">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《热泵热水机（器）能效限定值及能效等级》（GB29541）</w:t>
            </w:r>
          </w:p>
        </w:tc>
      </w:tr>
      <w:tr w14:paraId="36C81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85F6F78">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A063C2A">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9E43867">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5D3CA376">
            <w:pPr>
              <w:pStyle w:val="10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太阳能</w:t>
            </w:r>
            <w:r>
              <w:rPr>
                <w:rFonts w:hint="eastAsia" w:ascii="宋体" w:hAnsi="宋体" w:cs="宋体"/>
                <w:color w:val="auto"/>
                <w:spacing w:val="2"/>
                <w:w w:val="99"/>
                <w:kern w:val="2"/>
                <w:sz w:val="21"/>
                <w:szCs w:val="21"/>
                <w:highlight w:val="none"/>
              </w:rPr>
              <w:t>热</w:t>
            </w:r>
            <w:r>
              <w:rPr>
                <w:rFonts w:hint="eastAsia" w:ascii="宋体" w:hAnsi="宋体" w:cs="宋体"/>
                <w:color w:val="auto"/>
                <w:w w:val="99"/>
                <w:kern w:val="2"/>
                <w:sz w:val="21"/>
                <w:szCs w:val="21"/>
                <w:highlight w:val="none"/>
              </w:rPr>
              <w:t>水系统</w:t>
            </w:r>
          </w:p>
        </w:tc>
        <w:tc>
          <w:tcPr>
            <w:tcW w:w="3452" w:type="dxa"/>
            <w:tcBorders>
              <w:top w:val="single" w:color="000000" w:sz="4" w:space="0"/>
              <w:left w:val="single" w:color="000000" w:sz="4" w:space="0"/>
              <w:bottom w:val="single" w:color="000000" w:sz="4" w:space="0"/>
              <w:right w:val="single" w:color="000000" w:sz="4" w:space="0"/>
            </w:tcBorders>
          </w:tcPr>
          <w:p w14:paraId="1227750E">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《家用太阳能热水系统能效限定值及能效等级》（GB26969）</w:t>
            </w:r>
          </w:p>
        </w:tc>
      </w:tr>
      <w:tr w14:paraId="5CEF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6C8D7A8B">
            <w:pPr>
              <w:pStyle w:val="105"/>
              <w:jc w:val="center"/>
              <w:rPr>
                <w:rFonts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53AAE1F8">
            <w:pPr>
              <w:pStyle w:val="105"/>
              <w:spacing w:before="157"/>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06</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900照明设备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4E9E4984">
            <w:pPr>
              <w:pStyle w:val="105"/>
              <w:spacing w:before="133" w:line="276" w:lineRule="auto"/>
              <w:ind w:left="7"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★普通照明用双端荧光灯</w:t>
            </w:r>
          </w:p>
        </w:tc>
        <w:tc>
          <w:tcPr>
            <w:tcW w:w="1481" w:type="dxa"/>
            <w:tcBorders>
              <w:top w:val="single" w:color="000000" w:sz="4" w:space="0"/>
              <w:left w:val="single" w:color="000000" w:sz="4" w:space="0"/>
              <w:bottom w:val="single" w:color="000000" w:sz="4" w:space="0"/>
              <w:right w:val="single" w:color="000000" w:sz="4" w:space="0"/>
            </w:tcBorders>
            <w:vAlign w:val="center"/>
          </w:tcPr>
          <w:p w14:paraId="1DC3A06D">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5BDEA2C7">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《普通照明用双端荧光灯能效限定值及能效等级》（GB19043）</w:t>
            </w:r>
          </w:p>
        </w:tc>
      </w:tr>
      <w:tr w14:paraId="1CDA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FFCFEDF">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69E5DBD">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1B27F9FB">
            <w:pPr>
              <w:pStyle w:val="105"/>
              <w:spacing w:before="92" w:line="276" w:lineRule="auto"/>
              <w:ind w:left="7" w:right="2"/>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LE</w:t>
            </w:r>
            <w:r>
              <w:rPr>
                <w:rFonts w:hint="eastAsia" w:ascii="宋体" w:hAnsi="宋体" w:cs="宋体"/>
                <w:color w:val="auto"/>
                <w:w w:val="99"/>
                <w:kern w:val="2"/>
                <w:sz w:val="21"/>
                <w:szCs w:val="21"/>
                <w:highlight w:val="none"/>
              </w:rPr>
              <w:t>D</w:t>
            </w:r>
            <w:r>
              <w:rPr>
                <w:rFonts w:hint="eastAsia" w:ascii="宋体" w:hAnsi="宋体" w:cs="宋体"/>
                <w:color w:val="auto"/>
                <w:spacing w:val="12"/>
                <w:w w:val="99"/>
                <w:kern w:val="2"/>
                <w:sz w:val="21"/>
                <w:szCs w:val="21"/>
                <w:highlight w:val="none"/>
              </w:rPr>
              <w:t>道</w:t>
            </w:r>
            <w:r>
              <w:rPr>
                <w:rFonts w:hint="eastAsia" w:ascii="宋体" w:hAnsi="宋体" w:cs="宋体"/>
                <w:color w:val="auto"/>
                <w:spacing w:val="9"/>
                <w:w w:val="99"/>
                <w:kern w:val="2"/>
                <w:sz w:val="21"/>
                <w:szCs w:val="21"/>
                <w:highlight w:val="none"/>
              </w:rPr>
              <w:t>路</w:t>
            </w:r>
            <w:r>
              <w:rPr>
                <w:rFonts w:hint="eastAsia" w:ascii="宋体" w:hAnsi="宋体" w:cs="宋体"/>
                <w:color w:val="auto"/>
                <w:spacing w:val="13"/>
                <w:w w:val="99"/>
                <w:kern w:val="2"/>
                <w:sz w:val="21"/>
                <w:szCs w:val="21"/>
                <w:highlight w:val="none"/>
              </w:rPr>
              <w:t>/</w:t>
            </w:r>
            <w:r>
              <w:rPr>
                <w:rFonts w:hint="eastAsia" w:ascii="宋体" w:hAnsi="宋体" w:cs="宋体"/>
                <w:color w:val="auto"/>
                <w:spacing w:val="12"/>
                <w:w w:val="99"/>
                <w:kern w:val="2"/>
                <w:sz w:val="21"/>
                <w:szCs w:val="21"/>
                <w:highlight w:val="none"/>
              </w:rPr>
              <w:t>隧道照</w:t>
            </w:r>
            <w:r>
              <w:rPr>
                <w:rFonts w:hint="eastAsia" w:ascii="宋体" w:hAnsi="宋体" w:cs="宋体"/>
                <w:color w:val="auto"/>
                <w:w w:val="99"/>
                <w:kern w:val="2"/>
                <w:sz w:val="21"/>
                <w:szCs w:val="21"/>
                <w:highlight w:val="none"/>
              </w:rPr>
              <w:t>明产品</w:t>
            </w:r>
          </w:p>
        </w:tc>
        <w:tc>
          <w:tcPr>
            <w:tcW w:w="1481" w:type="dxa"/>
            <w:tcBorders>
              <w:top w:val="single" w:color="000000" w:sz="4" w:space="0"/>
              <w:left w:val="single" w:color="000000" w:sz="4" w:space="0"/>
              <w:bottom w:val="single" w:color="000000" w:sz="4" w:space="0"/>
              <w:right w:val="single" w:color="000000" w:sz="4" w:space="0"/>
            </w:tcBorders>
            <w:vAlign w:val="center"/>
          </w:tcPr>
          <w:p w14:paraId="1B9DB1D9">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639CE21D">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《道路和隧道照明用LED灯具能效限定值及能效等级》（GB37478</w:t>
            </w:r>
            <w:r>
              <w:rPr>
                <w:rFonts w:ascii="宋体" w:hAnsi="宋体" w:cs="宋体"/>
                <w:color w:val="auto"/>
                <w:spacing w:val="10"/>
                <w:kern w:val="2"/>
                <w:sz w:val="21"/>
                <w:szCs w:val="21"/>
                <w:highlight w:val="none"/>
                <w:lang w:eastAsia="zh-CN"/>
              </w:rPr>
              <w:t>）</w:t>
            </w:r>
          </w:p>
        </w:tc>
      </w:tr>
      <w:tr w14:paraId="3151B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F1F3344">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480482D">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3B60E861">
            <w:pPr>
              <w:pStyle w:val="105"/>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LE</w:t>
            </w:r>
            <w:r>
              <w:rPr>
                <w:rFonts w:hint="eastAsia" w:ascii="宋体" w:hAnsi="宋体" w:cs="宋体"/>
                <w:color w:val="auto"/>
                <w:w w:val="99"/>
                <w:kern w:val="2"/>
                <w:sz w:val="21"/>
                <w:szCs w:val="21"/>
                <w:highlight w:val="none"/>
              </w:rPr>
              <w:t>D筒灯</w:t>
            </w:r>
          </w:p>
        </w:tc>
        <w:tc>
          <w:tcPr>
            <w:tcW w:w="1481" w:type="dxa"/>
            <w:tcBorders>
              <w:top w:val="single" w:color="000000" w:sz="4" w:space="0"/>
              <w:left w:val="single" w:color="000000" w:sz="4" w:space="0"/>
              <w:bottom w:val="single" w:color="000000" w:sz="4" w:space="0"/>
              <w:right w:val="single" w:color="000000" w:sz="4" w:space="0"/>
            </w:tcBorders>
            <w:vAlign w:val="center"/>
          </w:tcPr>
          <w:p w14:paraId="18D35FF9">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3CD55123">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《室内照明用LED产品能效限定值及能效等级》（GB30255）</w:t>
            </w:r>
          </w:p>
        </w:tc>
      </w:tr>
      <w:tr w14:paraId="2588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60DEF16">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4261B35">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745628D7">
            <w:pPr>
              <w:pStyle w:val="105"/>
              <w:spacing w:line="276" w:lineRule="auto"/>
              <w:ind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普</w:t>
            </w:r>
            <w:r>
              <w:rPr>
                <w:rFonts w:hint="eastAsia" w:ascii="宋体" w:hAnsi="宋体" w:cs="宋体"/>
                <w:color w:val="auto"/>
                <w:spacing w:val="24"/>
                <w:w w:val="99"/>
                <w:kern w:val="2"/>
                <w:sz w:val="21"/>
                <w:szCs w:val="21"/>
                <w:highlight w:val="none"/>
                <w:lang w:eastAsia="zh-CN"/>
              </w:rPr>
              <w:t>通</w:t>
            </w:r>
            <w:r>
              <w:rPr>
                <w:rFonts w:hint="eastAsia" w:ascii="宋体" w:hAnsi="宋体" w:cs="宋体"/>
                <w:color w:val="auto"/>
                <w:w w:val="99"/>
                <w:kern w:val="2"/>
                <w:sz w:val="21"/>
                <w:szCs w:val="21"/>
                <w:highlight w:val="none"/>
                <w:lang w:eastAsia="zh-CN"/>
              </w:rPr>
              <w:t>照明用非</w:t>
            </w:r>
            <w:r>
              <w:rPr>
                <w:rFonts w:hint="eastAsia" w:ascii="宋体" w:hAnsi="宋体" w:cs="宋体"/>
                <w:color w:val="auto"/>
                <w:spacing w:val="24"/>
                <w:w w:val="99"/>
                <w:kern w:val="2"/>
                <w:sz w:val="21"/>
                <w:szCs w:val="21"/>
                <w:highlight w:val="none"/>
                <w:lang w:eastAsia="zh-CN"/>
              </w:rPr>
              <w:t>定</w:t>
            </w:r>
            <w:r>
              <w:rPr>
                <w:rFonts w:hint="eastAsia" w:ascii="宋体" w:hAnsi="宋体" w:cs="宋体"/>
                <w:color w:val="auto"/>
                <w:w w:val="99"/>
                <w:kern w:val="2"/>
                <w:sz w:val="21"/>
                <w:szCs w:val="21"/>
                <w:highlight w:val="none"/>
                <w:lang w:eastAsia="zh-CN"/>
              </w:rPr>
              <w:t>向自镇流</w:t>
            </w:r>
            <w:r>
              <w:rPr>
                <w:rFonts w:hint="eastAsia" w:ascii="宋体" w:hAnsi="宋体" w:cs="宋体"/>
                <w:color w:val="auto"/>
                <w:spacing w:val="1"/>
                <w:w w:val="99"/>
                <w:kern w:val="2"/>
                <w:sz w:val="21"/>
                <w:szCs w:val="21"/>
                <w:highlight w:val="none"/>
                <w:lang w:eastAsia="zh-CN"/>
              </w:rPr>
              <w:t>LE</w:t>
            </w:r>
            <w:r>
              <w:rPr>
                <w:rFonts w:hint="eastAsia" w:ascii="宋体" w:hAnsi="宋体" w:cs="宋体"/>
                <w:color w:val="auto"/>
                <w:w w:val="99"/>
                <w:kern w:val="2"/>
                <w:sz w:val="21"/>
                <w:szCs w:val="21"/>
                <w:highlight w:val="none"/>
                <w:lang w:eastAsia="zh-CN"/>
              </w:rPr>
              <w:t>D灯</w:t>
            </w:r>
          </w:p>
        </w:tc>
        <w:tc>
          <w:tcPr>
            <w:tcW w:w="1481" w:type="dxa"/>
            <w:tcBorders>
              <w:top w:val="single" w:color="000000" w:sz="4" w:space="0"/>
              <w:left w:val="single" w:color="000000" w:sz="4" w:space="0"/>
              <w:bottom w:val="single" w:color="000000" w:sz="4" w:space="0"/>
              <w:right w:val="single" w:color="000000" w:sz="4" w:space="0"/>
            </w:tcBorders>
            <w:vAlign w:val="center"/>
          </w:tcPr>
          <w:p w14:paraId="11298072">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19171260">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《室内照明用LED产品能效限定值及能效等级》（GB30255）</w:t>
            </w:r>
          </w:p>
        </w:tc>
      </w:tr>
      <w:tr w14:paraId="0168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79DE2635">
            <w:pPr>
              <w:pStyle w:val="105"/>
              <w:jc w:val="center"/>
              <w:rPr>
                <w:rFonts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2</w:t>
            </w:r>
          </w:p>
        </w:tc>
        <w:tc>
          <w:tcPr>
            <w:tcW w:w="1422" w:type="dxa"/>
            <w:tcBorders>
              <w:top w:val="single" w:color="000000" w:sz="4" w:space="0"/>
              <w:left w:val="single" w:color="000000" w:sz="4" w:space="0"/>
              <w:bottom w:val="single" w:color="000000" w:sz="4" w:space="0"/>
              <w:right w:val="single" w:color="000000" w:sz="4" w:space="0"/>
            </w:tcBorders>
            <w:vAlign w:val="center"/>
          </w:tcPr>
          <w:p w14:paraId="116BDD8D">
            <w:pPr>
              <w:pStyle w:val="105"/>
              <w:spacing w:before="81"/>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91000电视设备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3AF444AB">
            <w:pPr>
              <w:pStyle w:val="105"/>
              <w:spacing w:before="81" w:line="276" w:lineRule="auto"/>
              <w:ind w:left="7" w:right="5"/>
              <w:jc w:val="center"/>
              <w:rPr>
                <w:rFonts w:ascii="宋体" w:hAnsi="宋体" w:cs="宋体"/>
                <w:color w:val="auto"/>
                <w:kern w:val="2"/>
                <w:sz w:val="21"/>
                <w:szCs w:val="21"/>
                <w:highlight w:val="none"/>
                <w:lang w:eastAsia="zh-CN"/>
              </w:rPr>
            </w:pPr>
            <w:r>
              <w:rPr>
                <w:rFonts w:hint="eastAsia" w:ascii="宋体" w:hAnsi="宋体" w:cs="宋体"/>
                <w:color w:val="auto"/>
                <w:spacing w:val="1"/>
                <w:w w:val="99"/>
                <w:kern w:val="2"/>
                <w:sz w:val="21"/>
                <w:szCs w:val="21"/>
                <w:highlight w:val="none"/>
                <w:lang w:eastAsia="zh-CN"/>
              </w:rPr>
              <w:t>A02</w:t>
            </w:r>
            <w:r>
              <w:rPr>
                <w:rFonts w:hint="eastAsia" w:ascii="宋体" w:hAnsi="宋体" w:cs="宋体"/>
                <w:color w:val="auto"/>
                <w:w w:val="99"/>
                <w:kern w:val="2"/>
                <w:sz w:val="21"/>
                <w:szCs w:val="21"/>
                <w:highlight w:val="none"/>
                <w:lang w:eastAsia="zh-CN"/>
              </w:rPr>
              <w:t>09</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001普通电视设备（</w:t>
            </w:r>
            <w:r>
              <w:rPr>
                <w:rFonts w:hint="eastAsia" w:ascii="宋体" w:hAnsi="宋体" w:cs="宋体"/>
                <w:color w:val="auto"/>
                <w:spacing w:val="2"/>
                <w:w w:val="99"/>
                <w:kern w:val="2"/>
                <w:sz w:val="21"/>
                <w:szCs w:val="21"/>
                <w:highlight w:val="none"/>
                <w:lang w:eastAsia="zh-CN"/>
              </w:rPr>
              <w:t>电</w:t>
            </w:r>
            <w:r>
              <w:rPr>
                <w:rFonts w:hint="eastAsia" w:ascii="宋体" w:hAnsi="宋体" w:cs="宋体"/>
                <w:color w:val="auto"/>
                <w:w w:val="99"/>
                <w:kern w:val="2"/>
                <w:sz w:val="21"/>
                <w:szCs w:val="21"/>
                <w:highlight w:val="none"/>
                <w:lang w:eastAsia="zh-CN"/>
              </w:rPr>
              <w:t>视机）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4D264CFF">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1C5240F6">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《平板电视能效限定值及能效等级》（GB24850）</w:t>
            </w:r>
          </w:p>
        </w:tc>
      </w:tr>
      <w:tr w14:paraId="41802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5BBD4AB5">
            <w:pPr>
              <w:pStyle w:val="105"/>
              <w:jc w:val="center"/>
              <w:rPr>
                <w:rFonts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5D61F579">
            <w:pPr>
              <w:pStyle w:val="10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91100视频设备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5ED8A437">
            <w:pPr>
              <w:pStyle w:val="105"/>
              <w:spacing w:line="276" w:lineRule="auto"/>
              <w:ind w:right="5"/>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09</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107视频监控设备</w:t>
            </w:r>
          </w:p>
        </w:tc>
        <w:tc>
          <w:tcPr>
            <w:tcW w:w="1481" w:type="dxa"/>
            <w:tcBorders>
              <w:top w:val="single" w:color="000000" w:sz="4" w:space="0"/>
              <w:left w:val="single" w:color="000000" w:sz="4" w:space="0"/>
              <w:bottom w:val="single" w:color="000000" w:sz="4" w:space="0"/>
              <w:right w:val="single" w:color="000000" w:sz="4" w:space="0"/>
            </w:tcBorders>
            <w:vAlign w:val="center"/>
          </w:tcPr>
          <w:p w14:paraId="151A25F1">
            <w:pPr>
              <w:pStyle w:val="10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监视器</w:t>
            </w:r>
          </w:p>
        </w:tc>
        <w:tc>
          <w:tcPr>
            <w:tcW w:w="3452" w:type="dxa"/>
            <w:tcBorders>
              <w:top w:val="single" w:color="000000" w:sz="4" w:space="0"/>
              <w:left w:val="single" w:color="000000" w:sz="4" w:space="0"/>
              <w:bottom w:val="single" w:color="000000" w:sz="4" w:space="0"/>
              <w:right w:val="single" w:color="000000" w:sz="4" w:space="0"/>
            </w:tcBorders>
          </w:tcPr>
          <w:p w14:paraId="0E801FE5">
            <w:pPr>
              <w:pStyle w:val="105"/>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以射频信号为主要信号输入的监视器应符合《平板电视能效限定值及能效等级》（GB24850），以数字信号为主要信号输入的监视器应符合《计算机显示器能效限定值及能效等级》（GB21520）</w:t>
            </w:r>
          </w:p>
        </w:tc>
      </w:tr>
      <w:tr w14:paraId="612C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6BD71D1C">
            <w:pPr>
              <w:pStyle w:val="105"/>
              <w:jc w:val="center"/>
              <w:rPr>
                <w:rFonts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4B15E509">
            <w:pPr>
              <w:pStyle w:val="105"/>
              <w:spacing w:before="76"/>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A02241000</w:t>
            </w:r>
            <w:r>
              <w:rPr>
                <w:rFonts w:hint="eastAsia" w:ascii="宋体" w:hAnsi="宋体" w:cs="宋体"/>
                <w:color w:val="auto"/>
                <w:w w:val="99"/>
                <w:kern w:val="2"/>
                <w:sz w:val="21"/>
                <w:szCs w:val="21"/>
                <w:highlight w:val="none"/>
              </w:rPr>
              <w:t>饮食炊事机械</w:t>
            </w:r>
          </w:p>
        </w:tc>
        <w:tc>
          <w:tcPr>
            <w:tcW w:w="1496" w:type="dxa"/>
            <w:tcBorders>
              <w:top w:val="single" w:color="000000" w:sz="4" w:space="0"/>
              <w:left w:val="single" w:color="000000" w:sz="4" w:space="0"/>
              <w:bottom w:val="single" w:color="000000" w:sz="4" w:space="0"/>
              <w:right w:val="single" w:color="000000" w:sz="4" w:space="0"/>
            </w:tcBorders>
            <w:vAlign w:val="center"/>
          </w:tcPr>
          <w:p w14:paraId="0947F188">
            <w:pPr>
              <w:pStyle w:val="10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商用燃</w:t>
            </w:r>
            <w:r>
              <w:rPr>
                <w:rFonts w:hint="eastAsia" w:ascii="宋体" w:hAnsi="宋体" w:cs="宋体"/>
                <w:color w:val="auto"/>
                <w:spacing w:val="2"/>
                <w:w w:val="99"/>
                <w:kern w:val="2"/>
                <w:sz w:val="21"/>
                <w:szCs w:val="21"/>
                <w:highlight w:val="none"/>
              </w:rPr>
              <w:t>气</w:t>
            </w:r>
            <w:r>
              <w:rPr>
                <w:rFonts w:hint="eastAsia" w:ascii="宋体" w:hAnsi="宋体" w:cs="宋体"/>
                <w:color w:val="auto"/>
                <w:w w:val="99"/>
                <w:kern w:val="2"/>
                <w:sz w:val="21"/>
                <w:szCs w:val="21"/>
                <w:highlight w:val="none"/>
              </w:rPr>
              <w:t>灶具</w:t>
            </w:r>
          </w:p>
        </w:tc>
        <w:tc>
          <w:tcPr>
            <w:tcW w:w="1481" w:type="dxa"/>
            <w:tcBorders>
              <w:top w:val="single" w:color="000000" w:sz="4" w:space="0"/>
              <w:left w:val="single" w:color="000000" w:sz="4" w:space="0"/>
              <w:bottom w:val="single" w:color="000000" w:sz="4" w:space="0"/>
              <w:right w:val="single" w:color="000000" w:sz="4" w:space="0"/>
            </w:tcBorders>
            <w:vAlign w:val="center"/>
          </w:tcPr>
          <w:p w14:paraId="14D3626A">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4C42E31C">
            <w:pPr>
              <w:pStyle w:val="105"/>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《商用燃气灶具能效限定值及能效等级》（GB30531）</w:t>
            </w:r>
          </w:p>
        </w:tc>
      </w:tr>
      <w:tr w14:paraId="222D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4EC591E5">
            <w:pPr>
              <w:jc w:val="center"/>
              <w:rPr>
                <w:rFonts w:ascii="宋体" w:hAnsi="宋体"/>
                <w:color w:val="auto"/>
                <w:szCs w:val="21"/>
                <w:highlight w:val="none"/>
              </w:rPr>
            </w:pPr>
            <w:r>
              <w:rPr>
                <w:rFonts w:hint="eastAsia" w:ascii="宋体" w:hAnsi="宋体"/>
                <w:color w:val="auto"/>
                <w:szCs w:val="21"/>
                <w:highlight w:val="none"/>
              </w:rPr>
              <w:t>15</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085BE809">
            <w:pPr>
              <w:pStyle w:val="105"/>
              <w:jc w:val="center"/>
              <w:rPr>
                <w:rFonts w:ascii="宋体" w:hAnsi="宋体" w:cs="宋体"/>
                <w:color w:val="auto"/>
                <w:w w:val="99"/>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A05020105</w:t>
            </w:r>
            <w:r>
              <w:rPr>
                <w:rFonts w:hint="eastAsia" w:ascii="宋体" w:hAnsi="宋体" w:cs="宋体"/>
                <w:color w:val="auto"/>
                <w:w w:val="99"/>
                <w:kern w:val="2"/>
                <w:sz w:val="21"/>
                <w:szCs w:val="21"/>
                <w:highlight w:val="none"/>
              </w:rPr>
              <w:t>便器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4A65E283">
            <w:pPr>
              <w:pStyle w:val="10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坐便器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1BB2C28B">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4D6920E6">
            <w:pPr>
              <w:pStyle w:val="105"/>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《坐便器水效限定值及水效等级》</w:t>
            </w:r>
          </w:p>
          <w:p w14:paraId="1F4E7F30">
            <w:pPr>
              <w:pStyle w:val="105"/>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（GB25502）</w:t>
            </w:r>
          </w:p>
        </w:tc>
      </w:tr>
      <w:tr w14:paraId="624B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E613C3D">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8E90A39">
            <w:pPr>
              <w:widowControl/>
              <w:jc w:val="left"/>
              <w:rPr>
                <w:rFonts w:ascii="宋体" w:hAnsi="宋体" w:cs="宋体"/>
                <w:color w:val="auto"/>
                <w:w w:val="99"/>
                <w:szCs w:val="21"/>
                <w:highlight w:val="none"/>
                <w:lang w:eastAsia="en-US"/>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048B5966">
            <w:pPr>
              <w:pStyle w:val="10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蹲便器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38D86D29">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688C9FDC">
            <w:pPr>
              <w:pStyle w:val="105"/>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《蹲便器用水效率限定值及用水效率等级》（GB30717）</w:t>
            </w:r>
          </w:p>
        </w:tc>
      </w:tr>
      <w:tr w14:paraId="49A5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E3DAFE7">
            <w:pPr>
              <w:widowControl/>
              <w:jc w:val="left"/>
              <w:rPr>
                <w:rFonts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1500859">
            <w:pPr>
              <w:widowControl/>
              <w:jc w:val="left"/>
              <w:rPr>
                <w:rFonts w:ascii="宋体" w:hAnsi="宋体" w:cs="宋体"/>
                <w:color w:val="auto"/>
                <w:w w:val="99"/>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1ECA3938">
            <w:pPr>
              <w:pStyle w:val="10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小便器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58B3C260">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29D29D48">
            <w:pPr>
              <w:pStyle w:val="105"/>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《小便器用水效率限定值及用水效率等级》（GB28377）</w:t>
            </w:r>
          </w:p>
        </w:tc>
      </w:tr>
      <w:tr w14:paraId="63D7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2B0B6C1">
            <w:pPr>
              <w:pStyle w:val="105"/>
              <w:jc w:val="center"/>
              <w:rPr>
                <w:rFonts w:ascii="宋体" w:hAnsi="宋体" w:cs="宋体"/>
                <w:color w:val="auto"/>
                <w:kern w:val="2"/>
                <w:sz w:val="21"/>
                <w:szCs w:val="21"/>
                <w:highlight w:val="none"/>
              </w:rPr>
            </w:pPr>
            <w:r>
              <w:rPr>
                <w:rFonts w:hint="eastAsia" w:ascii="宋体" w:hAnsi="宋体"/>
                <w:color w:val="auto"/>
                <w:kern w:val="2"/>
                <w:sz w:val="21"/>
                <w:szCs w:val="21"/>
                <w:highlight w:val="none"/>
              </w:rPr>
              <w:t>16</w:t>
            </w:r>
          </w:p>
        </w:tc>
        <w:tc>
          <w:tcPr>
            <w:tcW w:w="1422" w:type="dxa"/>
            <w:tcBorders>
              <w:top w:val="single" w:color="000000" w:sz="4" w:space="0"/>
              <w:left w:val="single" w:color="000000" w:sz="4" w:space="0"/>
              <w:bottom w:val="single" w:color="000000" w:sz="4" w:space="0"/>
              <w:right w:val="single" w:color="000000" w:sz="4" w:space="0"/>
            </w:tcBorders>
            <w:vAlign w:val="center"/>
          </w:tcPr>
          <w:p w14:paraId="130319E1">
            <w:pPr>
              <w:pStyle w:val="105"/>
              <w:spacing w:before="153"/>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w:t>
            </w:r>
            <w:r>
              <w:rPr>
                <w:rFonts w:hint="eastAsia" w:ascii="宋体" w:hAnsi="宋体" w:cs="仿宋_GB2312"/>
                <w:color w:val="auto"/>
                <w:kern w:val="2"/>
                <w:sz w:val="21"/>
                <w:szCs w:val="21"/>
                <w:highlight w:val="none"/>
              </w:rPr>
              <w:t>A05020106</w:t>
            </w:r>
            <w:r>
              <w:rPr>
                <w:rFonts w:hint="eastAsia" w:ascii="宋体" w:hAnsi="宋体" w:cs="宋体"/>
                <w:color w:val="auto"/>
                <w:kern w:val="2"/>
                <w:sz w:val="21"/>
                <w:szCs w:val="21"/>
                <w:highlight w:val="none"/>
              </w:rPr>
              <w:t>水</w:t>
            </w:r>
            <w:r>
              <w:rPr>
                <w:rFonts w:hint="eastAsia" w:ascii="宋体" w:hAnsi="宋体" w:cs="宋体"/>
                <w:color w:val="auto"/>
                <w:w w:val="99"/>
                <w:kern w:val="2"/>
                <w:sz w:val="21"/>
                <w:szCs w:val="21"/>
                <w:highlight w:val="none"/>
              </w:rPr>
              <w:t>嘴</w:t>
            </w:r>
          </w:p>
        </w:tc>
        <w:tc>
          <w:tcPr>
            <w:tcW w:w="1496" w:type="dxa"/>
            <w:tcBorders>
              <w:top w:val="single" w:color="000000" w:sz="4" w:space="0"/>
              <w:left w:val="single" w:color="000000" w:sz="4" w:space="0"/>
              <w:bottom w:val="single" w:color="000000" w:sz="4" w:space="0"/>
              <w:right w:val="single" w:color="000000" w:sz="4" w:space="0"/>
            </w:tcBorders>
            <w:vAlign w:val="center"/>
          </w:tcPr>
          <w:p w14:paraId="3E035630">
            <w:pPr>
              <w:jc w:val="center"/>
              <w:rPr>
                <w:rFonts w:ascii="宋体" w:hAnsi="宋体"/>
                <w:color w:val="auto"/>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01994297">
            <w:pPr>
              <w:jc w:val="center"/>
              <w:rPr>
                <w:rFonts w:ascii="宋体" w:hAnsi="宋体"/>
                <w:color w:val="auto"/>
                <w:szCs w:val="21"/>
                <w:highlight w:val="none"/>
                <w:lang w:eastAsia="en-US"/>
              </w:rPr>
            </w:pPr>
          </w:p>
        </w:tc>
        <w:tc>
          <w:tcPr>
            <w:tcW w:w="3452" w:type="dxa"/>
            <w:tcBorders>
              <w:top w:val="single" w:color="000000" w:sz="4" w:space="0"/>
              <w:left w:val="single" w:color="000000" w:sz="4" w:space="0"/>
              <w:bottom w:val="single" w:color="000000" w:sz="4" w:space="0"/>
              <w:right w:val="single" w:color="000000" w:sz="4" w:space="0"/>
            </w:tcBorders>
          </w:tcPr>
          <w:p w14:paraId="5FC54118">
            <w:pPr>
              <w:pStyle w:val="105"/>
              <w:spacing w:before="153"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《水嘴用水效率限定值及用水效</w:t>
            </w:r>
            <w:r>
              <w:rPr>
                <w:rFonts w:hint="eastAsia" w:ascii="宋体" w:hAnsi="宋体" w:cs="宋体"/>
                <w:color w:val="auto"/>
                <w:kern w:val="2"/>
                <w:sz w:val="21"/>
                <w:szCs w:val="21"/>
                <w:highlight w:val="none"/>
                <w:lang w:eastAsia="zh-CN"/>
              </w:rPr>
              <w:t>率等级》（GB 25501）</w:t>
            </w:r>
          </w:p>
        </w:tc>
      </w:tr>
      <w:tr w14:paraId="0382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06195F0F">
            <w:pPr>
              <w:pStyle w:val="105"/>
              <w:jc w:val="center"/>
              <w:rPr>
                <w:rFonts w:ascii="宋体" w:hAnsi="宋体" w:cs="宋体"/>
                <w:color w:val="auto"/>
                <w:kern w:val="2"/>
                <w:sz w:val="21"/>
                <w:szCs w:val="21"/>
                <w:highlight w:val="none"/>
              </w:rPr>
            </w:pPr>
            <w:r>
              <w:rPr>
                <w:rFonts w:hint="eastAsia" w:ascii="宋体" w:hAnsi="宋体"/>
                <w:color w:val="auto"/>
                <w:kern w:val="2"/>
                <w:sz w:val="21"/>
                <w:szCs w:val="21"/>
                <w:highlight w:val="none"/>
              </w:rPr>
              <w:t>17</w:t>
            </w:r>
          </w:p>
        </w:tc>
        <w:tc>
          <w:tcPr>
            <w:tcW w:w="1422" w:type="dxa"/>
            <w:tcBorders>
              <w:top w:val="single" w:color="000000" w:sz="4" w:space="0"/>
              <w:left w:val="single" w:color="000000" w:sz="4" w:space="0"/>
              <w:bottom w:val="single" w:color="000000" w:sz="4" w:space="0"/>
              <w:right w:val="single" w:color="000000" w:sz="4" w:space="0"/>
            </w:tcBorders>
            <w:vAlign w:val="center"/>
          </w:tcPr>
          <w:p w14:paraId="642BBA03">
            <w:pPr>
              <w:pStyle w:val="105"/>
              <w:spacing w:before="112"/>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A05020107</w:t>
            </w:r>
            <w:r>
              <w:rPr>
                <w:rFonts w:hint="eastAsia" w:ascii="宋体" w:hAnsi="宋体" w:cs="宋体"/>
                <w:color w:val="auto"/>
                <w:kern w:val="2"/>
                <w:sz w:val="21"/>
                <w:szCs w:val="21"/>
                <w:highlight w:val="none"/>
              </w:rPr>
              <w:t>便器冲洗阀</w:t>
            </w:r>
          </w:p>
        </w:tc>
        <w:tc>
          <w:tcPr>
            <w:tcW w:w="1496" w:type="dxa"/>
            <w:tcBorders>
              <w:top w:val="single" w:color="000000" w:sz="4" w:space="0"/>
              <w:left w:val="single" w:color="000000" w:sz="4" w:space="0"/>
              <w:bottom w:val="single" w:color="000000" w:sz="4" w:space="0"/>
              <w:right w:val="single" w:color="000000" w:sz="4" w:space="0"/>
            </w:tcBorders>
            <w:vAlign w:val="center"/>
          </w:tcPr>
          <w:p w14:paraId="135A9200">
            <w:pPr>
              <w:jc w:val="center"/>
              <w:rPr>
                <w:rFonts w:ascii="宋体" w:hAnsi="宋体"/>
                <w:color w:val="auto"/>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29C8F392">
            <w:pPr>
              <w:jc w:val="center"/>
              <w:rPr>
                <w:rFonts w:ascii="宋体" w:hAnsi="宋体"/>
                <w:color w:val="auto"/>
                <w:szCs w:val="21"/>
                <w:highlight w:val="none"/>
                <w:lang w:eastAsia="en-US"/>
              </w:rPr>
            </w:pPr>
          </w:p>
        </w:tc>
        <w:tc>
          <w:tcPr>
            <w:tcW w:w="3452" w:type="dxa"/>
            <w:tcBorders>
              <w:top w:val="single" w:color="000000" w:sz="4" w:space="0"/>
              <w:left w:val="single" w:color="000000" w:sz="4" w:space="0"/>
              <w:bottom w:val="single" w:color="000000" w:sz="4" w:space="0"/>
              <w:right w:val="single" w:color="000000" w:sz="4" w:space="0"/>
            </w:tcBorders>
          </w:tcPr>
          <w:p w14:paraId="5CCF3AD6">
            <w:pPr>
              <w:pStyle w:val="105"/>
              <w:spacing w:before="112"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《便器冲洗阀用水效率限定值及</w:t>
            </w:r>
            <w:r>
              <w:rPr>
                <w:rFonts w:hint="eastAsia" w:ascii="宋体" w:hAnsi="宋体" w:cs="宋体"/>
                <w:color w:val="auto"/>
                <w:kern w:val="2"/>
                <w:sz w:val="21"/>
                <w:szCs w:val="21"/>
                <w:highlight w:val="none"/>
                <w:lang w:eastAsia="zh-CN"/>
              </w:rPr>
              <w:t>用水效率等级》（GB28379）</w:t>
            </w:r>
          </w:p>
        </w:tc>
      </w:tr>
      <w:tr w14:paraId="426E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353DB4C5">
            <w:pPr>
              <w:pStyle w:val="105"/>
              <w:jc w:val="center"/>
              <w:rPr>
                <w:rFonts w:ascii="宋体" w:hAnsi="宋体" w:cs="宋体"/>
                <w:color w:val="auto"/>
                <w:kern w:val="2"/>
                <w:sz w:val="21"/>
                <w:szCs w:val="21"/>
                <w:highlight w:val="none"/>
              </w:rPr>
            </w:pPr>
            <w:r>
              <w:rPr>
                <w:rFonts w:hint="eastAsia" w:ascii="宋体" w:hAnsi="宋体"/>
                <w:color w:val="auto"/>
                <w:kern w:val="2"/>
                <w:sz w:val="21"/>
                <w:szCs w:val="21"/>
                <w:highlight w:val="none"/>
              </w:rPr>
              <w:t>18</w:t>
            </w:r>
          </w:p>
        </w:tc>
        <w:tc>
          <w:tcPr>
            <w:tcW w:w="1422" w:type="dxa"/>
            <w:tcBorders>
              <w:top w:val="single" w:color="000000" w:sz="4" w:space="0"/>
              <w:left w:val="single" w:color="000000" w:sz="4" w:space="0"/>
              <w:bottom w:val="single" w:color="000000" w:sz="4" w:space="0"/>
              <w:right w:val="single" w:color="000000" w:sz="4" w:space="0"/>
            </w:tcBorders>
            <w:vAlign w:val="center"/>
          </w:tcPr>
          <w:p w14:paraId="554BAE06">
            <w:pPr>
              <w:pStyle w:val="105"/>
              <w:spacing w:before="131"/>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A05020110</w:t>
            </w:r>
            <w:r>
              <w:rPr>
                <w:rFonts w:hint="eastAsia" w:ascii="宋体" w:hAnsi="宋体" w:cs="宋体"/>
                <w:color w:val="auto"/>
                <w:kern w:val="2"/>
                <w:sz w:val="21"/>
                <w:szCs w:val="21"/>
                <w:highlight w:val="none"/>
              </w:rPr>
              <w:t>淋浴</w:t>
            </w:r>
            <w:r>
              <w:rPr>
                <w:rFonts w:hint="eastAsia" w:ascii="宋体" w:hAnsi="宋体" w:cs="宋体"/>
                <w:color w:val="auto"/>
                <w:w w:val="99"/>
                <w:kern w:val="2"/>
                <w:sz w:val="21"/>
                <w:szCs w:val="21"/>
                <w:highlight w:val="none"/>
              </w:rPr>
              <w:t>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2FA30031">
            <w:pPr>
              <w:jc w:val="center"/>
              <w:rPr>
                <w:rFonts w:ascii="宋体" w:hAnsi="宋体"/>
                <w:color w:val="auto"/>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550E3C08">
            <w:pPr>
              <w:jc w:val="center"/>
              <w:rPr>
                <w:rFonts w:ascii="宋体" w:hAnsi="宋体"/>
                <w:color w:val="auto"/>
                <w:szCs w:val="21"/>
                <w:highlight w:val="none"/>
                <w:lang w:eastAsia="en-US"/>
              </w:rPr>
            </w:pPr>
          </w:p>
        </w:tc>
        <w:tc>
          <w:tcPr>
            <w:tcW w:w="3452" w:type="dxa"/>
            <w:tcBorders>
              <w:top w:val="single" w:color="000000" w:sz="4" w:space="0"/>
              <w:left w:val="single" w:color="000000" w:sz="4" w:space="0"/>
              <w:bottom w:val="single" w:color="000000" w:sz="4" w:space="0"/>
              <w:right w:val="single" w:color="000000" w:sz="4" w:space="0"/>
            </w:tcBorders>
          </w:tcPr>
          <w:p w14:paraId="5331CA38">
            <w:pPr>
              <w:pStyle w:val="105"/>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《淋浴器用水效率限定值及用水</w:t>
            </w:r>
            <w:r>
              <w:rPr>
                <w:rFonts w:hint="eastAsia" w:ascii="宋体" w:hAnsi="宋体" w:cs="宋体"/>
                <w:color w:val="auto"/>
                <w:kern w:val="2"/>
                <w:sz w:val="21"/>
                <w:szCs w:val="21"/>
                <w:highlight w:val="none"/>
                <w:lang w:eastAsia="zh-CN"/>
              </w:rPr>
              <w:t>效率等级》（GB28378）</w:t>
            </w:r>
          </w:p>
        </w:tc>
      </w:tr>
    </w:tbl>
    <w:p w14:paraId="79071534">
      <w:pPr>
        <w:pStyle w:val="21"/>
        <w:spacing w:line="360" w:lineRule="auto"/>
        <w:rPr>
          <w:rFonts w:ascii="宋体" w:hAnsi="宋体"/>
          <w:color w:val="auto"/>
          <w:kern w:val="2"/>
          <w:sz w:val="21"/>
          <w:szCs w:val="21"/>
          <w:highlight w:val="none"/>
        </w:rPr>
      </w:pPr>
      <w:r>
        <w:rPr>
          <w:rFonts w:hint="eastAsia" w:ascii="宋体" w:hAnsi="宋体"/>
          <w:color w:val="auto"/>
          <w:spacing w:val="-3"/>
          <w:sz w:val="21"/>
          <w:szCs w:val="21"/>
          <w:highlight w:val="none"/>
        </w:rPr>
        <w:t>注：</w:t>
      </w:r>
      <w:r>
        <w:rPr>
          <w:rFonts w:ascii="宋体" w:hAnsi="宋体"/>
          <w:color w:val="auto"/>
          <w:spacing w:val="-3"/>
          <w:sz w:val="21"/>
          <w:szCs w:val="21"/>
          <w:highlight w:val="none"/>
        </w:rPr>
        <w:t>1.</w:t>
      </w:r>
      <w:r>
        <w:rPr>
          <w:rFonts w:hint="eastAsia" w:ascii="宋体" w:hAnsi="宋体"/>
          <w:color w:val="auto"/>
          <w:spacing w:val="-3"/>
          <w:sz w:val="21"/>
          <w:szCs w:val="21"/>
          <w:highlight w:val="none"/>
        </w:rPr>
        <w:t>节能产品认证应依据相关国家标准的最新版本，依据国家标准中二级能效（水效）</w:t>
      </w:r>
      <w:r>
        <w:rPr>
          <w:rFonts w:hint="eastAsia" w:ascii="宋体" w:hAnsi="宋体"/>
          <w:color w:val="auto"/>
          <w:sz w:val="21"/>
          <w:szCs w:val="21"/>
          <w:highlight w:val="none"/>
        </w:rPr>
        <w:t>指标。</w:t>
      </w:r>
    </w:p>
    <w:p w14:paraId="21A0EFDD">
      <w:pPr>
        <w:pStyle w:val="21"/>
        <w:spacing w:line="360" w:lineRule="auto"/>
        <w:ind w:firstLine="465"/>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.以</w:t>
      </w:r>
      <w:r>
        <w:rPr>
          <w:rFonts w:ascii="宋体" w:hAnsi="宋体"/>
          <w:color w:val="auto"/>
          <w:sz w:val="21"/>
          <w:szCs w:val="21"/>
          <w:highlight w:val="none"/>
        </w:rPr>
        <w:t>“</w:t>
      </w:r>
      <w:r>
        <w:rPr>
          <w:rFonts w:hint="eastAsia" w:ascii="宋体" w:hAnsi="宋体"/>
          <w:color w:val="auto"/>
          <w:sz w:val="21"/>
          <w:szCs w:val="21"/>
          <w:highlight w:val="none"/>
        </w:rPr>
        <w:t>★</w:t>
      </w:r>
      <w:r>
        <w:rPr>
          <w:rFonts w:ascii="宋体" w:hAnsi="宋体"/>
          <w:color w:val="auto"/>
          <w:sz w:val="21"/>
          <w:szCs w:val="21"/>
          <w:highlight w:val="none"/>
        </w:rPr>
        <w:t>”</w:t>
      </w:r>
      <w:r>
        <w:rPr>
          <w:rFonts w:hint="eastAsia" w:ascii="宋体" w:hAnsi="宋体"/>
          <w:color w:val="auto"/>
          <w:sz w:val="21"/>
          <w:szCs w:val="21"/>
          <w:highlight w:val="none"/>
        </w:rPr>
        <w:t>标注的为政府强制采购产品。</w:t>
      </w:r>
    </w:p>
    <w:p w14:paraId="0790E053">
      <w:pPr>
        <w:pStyle w:val="21"/>
        <w:spacing w:line="360" w:lineRule="auto"/>
        <w:ind w:firstLine="465"/>
        <w:rPr>
          <w:rFonts w:ascii="宋体" w:hAnsi="宋体"/>
          <w:color w:val="auto"/>
          <w:sz w:val="21"/>
          <w:szCs w:val="21"/>
          <w:highlight w:val="none"/>
        </w:rPr>
      </w:pPr>
      <w:r>
        <w:rPr>
          <w:rFonts w:hint="eastAsia" w:ascii="宋体" w:hAnsi="宋体"/>
          <w:color w:val="auto"/>
          <w:sz w:val="21"/>
          <w:szCs w:val="21"/>
          <w:highlight w:val="none"/>
        </w:rPr>
        <w:t>3.本表格原为《关于印发节能产品政府采购品目清单的通知》（财库〔2019〕19号）规定的表格附件，其中名称及编码已根据《财政部关于印发〈政府采购品目分类目录〉的通知》（财库〔2022〕31号）修改。</w:t>
      </w:r>
    </w:p>
    <w:p w14:paraId="5DB66ADC">
      <w:pPr>
        <w:widowControl/>
        <w:jc w:val="left"/>
        <w:rPr>
          <w:rFonts w:ascii="宋体" w:hAnsi="宋体" w:cs="宋体"/>
          <w:color w:val="auto"/>
          <w:sz w:val="20"/>
          <w:szCs w:val="20"/>
          <w:highlight w:val="none"/>
        </w:rPr>
      </w:pPr>
    </w:p>
    <w:p w14:paraId="27DFC11D">
      <w:pPr>
        <w:widowControl/>
        <w:jc w:val="left"/>
        <w:rPr>
          <w:rFonts w:ascii="宋体" w:hAnsi="宋体" w:cs="宋体"/>
          <w:color w:val="auto"/>
          <w:sz w:val="20"/>
          <w:szCs w:val="20"/>
          <w:highlight w:val="none"/>
        </w:rPr>
      </w:pPr>
    </w:p>
    <w:p w14:paraId="2625EB56">
      <w:pPr>
        <w:widowControl/>
        <w:jc w:val="left"/>
        <w:rPr>
          <w:rFonts w:ascii="黑体" w:hAnsi="黑体" w:eastAsia="黑体" w:cs="黑体"/>
          <w:color w:val="auto"/>
          <w:sz w:val="32"/>
          <w:szCs w:val="32"/>
          <w:highlight w:val="none"/>
        </w:rPr>
      </w:pPr>
      <w:r>
        <w:rPr>
          <w:rFonts w:ascii="宋体" w:hAnsi="宋体" w:cs="宋体"/>
          <w:color w:val="auto"/>
          <w:sz w:val="20"/>
          <w:szCs w:val="20"/>
          <w:highlight w:val="none"/>
        </w:rPr>
        <w:br w:type="page"/>
      </w:r>
      <w:r>
        <w:rPr>
          <w:rFonts w:hint="eastAsia" w:ascii="黑体" w:hAnsi="黑体" w:eastAsia="黑体" w:cs="黑体"/>
          <w:color w:val="auto"/>
          <w:sz w:val="32"/>
          <w:szCs w:val="32"/>
          <w:highlight w:val="none"/>
        </w:rPr>
        <w:t>附件2：</w:t>
      </w:r>
    </w:p>
    <w:p w14:paraId="469D34DD">
      <w:pPr>
        <w:pStyle w:val="21"/>
        <w:jc w:val="center"/>
        <w:rPr>
          <w:b/>
          <w:color w:val="auto"/>
          <w:sz w:val="28"/>
          <w:szCs w:val="28"/>
          <w:highlight w:val="none"/>
        </w:rPr>
      </w:pPr>
      <w:r>
        <w:rPr>
          <w:rFonts w:hint="eastAsia"/>
          <w:b/>
          <w:color w:val="auto"/>
          <w:sz w:val="28"/>
          <w:szCs w:val="28"/>
          <w:highlight w:val="none"/>
        </w:rPr>
        <w:t>中小企业划型标准规定</w:t>
      </w:r>
    </w:p>
    <w:p w14:paraId="044CCEF7">
      <w:pPr>
        <w:pStyle w:val="21"/>
        <w:jc w:val="center"/>
        <w:rPr>
          <w:rFonts w:ascii="宋体" w:hAnsi="宋体"/>
          <w:color w:val="auto"/>
          <w:sz w:val="21"/>
          <w:szCs w:val="21"/>
          <w:highlight w:val="none"/>
        </w:rPr>
      </w:pPr>
      <w:r>
        <w:rPr>
          <w:rFonts w:hint="eastAsia" w:ascii="宋体" w:hAnsi="宋体"/>
          <w:color w:val="auto"/>
          <w:sz w:val="21"/>
          <w:szCs w:val="21"/>
          <w:highlight w:val="none"/>
        </w:rPr>
        <w:t>工信部联企业[2011]300号</w:t>
      </w:r>
    </w:p>
    <w:p w14:paraId="16F8A568">
      <w:pPr>
        <w:pStyle w:val="21"/>
        <w:rPr>
          <w:color w:val="auto"/>
          <w:sz w:val="21"/>
          <w:szCs w:val="21"/>
          <w:highlight w:val="none"/>
        </w:rPr>
      </w:pPr>
    </w:p>
    <w:p w14:paraId="51BE49E6">
      <w:pPr>
        <w:pStyle w:val="21"/>
        <w:rPr>
          <w:color w:val="auto"/>
          <w:sz w:val="21"/>
          <w:szCs w:val="21"/>
          <w:highlight w:val="none"/>
        </w:rPr>
      </w:pPr>
      <w:r>
        <w:rPr>
          <w:rFonts w:hint="eastAsia"/>
          <w:color w:val="auto"/>
          <w:sz w:val="21"/>
          <w:szCs w:val="21"/>
          <w:highlight w:val="none"/>
        </w:rPr>
        <w:t>　　一、根据《中华人民共和国中小企业促进法》和《国务院关于进一步促进中小企业发展的若干意见》(国发[2009]36号)，制定本规定。</w:t>
      </w:r>
    </w:p>
    <w:p w14:paraId="3DBF248A">
      <w:pPr>
        <w:pStyle w:val="21"/>
        <w:rPr>
          <w:color w:val="auto"/>
          <w:sz w:val="21"/>
          <w:szCs w:val="21"/>
          <w:highlight w:val="none"/>
        </w:rPr>
      </w:pPr>
      <w:r>
        <w:rPr>
          <w:rFonts w:hint="eastAsia"/>
          <w:color w:val="auto"/>
          <w:sz w:val="21"/>
          <w:szCs w:val="21"/>
          <w:highlight w:val="none"/>
        </w:rPr>
        <w:t>　　二、中小企业划分为中型、小型、微型三种类型，具体标准根据企业从业人员、营业收入、资产总额等指标，结合行业特点制定。</w:t>
      </w:r>
    </w:p>
    <w:p w14:paraId="780C6536">
      <w:pPr>
        <w:pStyle w:val="21"/>
        <w:rPr>
          <w:color w:val="auto"/>
          <w:sz w:val="21"/>
          <w:szCs w:val="21"/>
          <w:highlight w:val="none"/>
        </w:rPr>
      </w:pPr>
      <w:r>
        <w:rPr>
          <w:rFonts w:hint="eastAsia"/>
          <w:color w:val="auto"/>
          <w:sz w:val="21"/>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3AE55BA">
      <w:pPr>
        <w:pStyle w:val="21"/>
        <w:rPr>
          <w:color w:val="auto"/>
          <w:sz w:val="21"/>
          <w:szCs w:val="21"/>
          <w:highlight w:val="none"/>
        </w:rPr>
      </w:pPr>
      <w:r>
        <w:rPr>
          <w:rFonts w:hint="eastAsia"/>
          <w:color w:val="auto"/>
          <w:sz w:val="21"/>
          <w:szCs w:val="21"/>
          <w:highlight w:val="none"/>
        </w:rPr>
        <w:t>　　四、各行业划型标准为：</w:t>
      </w:r>
    </w:p>
    <w:p w14:paraId="4A99C6A8">
      <w:pPr>
        <w:pStyle w:val="21"/>
        <w:rPr>
          <w:color w:val="auto"/>
          <w:sz w:val="21"/>
          <w:szCs w:val="21"/>
          <w:highlight w:val="none"/>
        </w:rPr>
      </w:pPr>
      <w:r>
        <w:rPr>
          <w:rFonts w:hint="eastAsia"/>
          <w:color w:val="auto"/>
          <w:sz w:val="21"/>
          <w:szCs w:val="21"/>
          <w:highlight w:val="none"/>
        </w:rPr>
        <w:t>　　（一）农、林、牧、渔业。营业收入20000万元以下的为中小微型企业。其中，营业收入500万元及以上的为中型企业，营业收入50万元及以上的为小型企业，营业收入50万元以下的为微型企业。</w:t>
      </w:r>
    </w:p>
    <w:p w14:paraId="1618B846">
      <w:pPr>
        <w:pStyle w:val="21"/>
        <w:rPr>
          <w:color w:val="auto"/>
          <w:sz w:val="21"/>
          <w:szCs w:val="21"/>
          <w:highlight w:val="none"/>
        </w:rPr>
      </w:pPr>
      <w:r>
        <w:rPr>
          <w:rFonts w:hint="eastAsia"/>
          <w:color w:val="auto"/>
          <w:sz w:val="21"/>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7228FA2">
      <w:pPr>
        <w:pStyle w:val="21"/>
        <w:rPr>
          <w:color w:val="auto"/>
          <w:sz w:val="21"/>
          <w:szCs w:val="21"/>
          <w:highlight w:val="none"/>
        </w:rPr>
      </w:pPr>
      <w:r>
        <w:rPr>
          <w:rFonts w:hint="eastAsia"/>
          <w:color w:val="auto"/>
          <w:sz w:val="21"/>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57C0BC6">
      <w:pPr>
        <w:pStyle w:val="21"/>
        <w:rPr>
          <w:color w:val="auto"/>
          <w:sz w:val="21"/>
          <w:szCs w:val="21"/>
          <w:highlight w:val="none"/>
        </w:rPr>
      </w:pPr>
      <w:r>
        <w:rPr>
          <w:rFonts w:hint="eastAsia"/>
          <w:color w:val="auto"/>
          <w:sz w:val="21"/>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8B5FA5C">
      <w:pPr>
        <w:pStyle w:val="21"/>
        <w:rPr>
          <w:color w:val="auto"/>
          <w:sz w:val="21"/>
          <w:szCs w:val="21"/>
          <w:highlight w:val="none"/>
        </w:rPr>
      </w:pPr>
      <w:r>
        <w:rPr>
          <w:rFonts w:hint="eastAsia"/>
          <w:color w:val="auto"/>
          <w:sz w:val="21"/>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E9455B4">
      <w:pPr>
        <w:pStyle w:val="21"/>
        <w:rPr>
          <w:color w:val="auto"/>
          <w:sz w:val="21"/>
          <w:szCs w:val="21"/>
          <w:highlight w:val="none"/>
        </w:rPr>
      </w:pPr>
      <w:r>
        <w:rPr>
          <w:rFonts w:hint="eastAsia"/>
          <w:color w:val="auto"/>
          <w:sz w:val="21"/>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AC9908E">
      <w:pPr>
        <w:pStyle w:val="21"/>
        <w:rPr>
          <w:color w:val="auto"/>
          <w:sz w:val="21"/>
          <w:szCs w:val="21"/>
          <w:highlight w:val="none"/>
        </w:rPr>
      </w:pPr>
      <w:r>
        <w:rPr>
          <w:rFonts w:hint="eastAsia"/>
          <w:color w:val="auto"/>
          <w:sz w:val="21"/>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850BBB2">
      <w:pPr>
        <w:pStyle w:val="21"/>
        <w:rPr>
          <w:color w:val="auto"/>
          <w:sz w:val="21"/>
          <w:szCs w:val="21"/>
          <w:highlight w:val="none"/>
        </w:rPr>
      </w:pPr>
      <w:r>
        <w:rPr>
          <w:rFonts w:hint="eastAsia"/>
          <w:color w:val="auto"/>
          <w:sz w:val="21"/>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E46D702">
      <w:pPr>
        <w:pStyle w:val="21"/>
        <w:rPr>
          <w:color w:val="auto"/>
          <w:sz w:val="21"/>
          <w:szCs w:val="21"/>
          <w:highlight w:val="none"/>
        </w:rPr>
      </w:pPr>
      <w:r>
        <w:rPr>
          <w:rFonts w:hint="eastAsia"/>
          <w:color w:val="auto"/>
          <w:sz w:val="21"/>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A746270">
      <w:pPr>
        <w:pStyle w:val="21"/>
        <w:rPr>
          <w:color w:val="auto"/>
          <w:sz w:val="21"/>
          <w:szCs w:val="21"/>
          <w:highlight w:val="none"/>
        </w:rPr>
      </w:pPr>
      <w:r>
        <w:rPr>
          <w:rFonts w:hint="eastAsia"/>
          <w:color w:val="auto"/>
          <w:sz w:val="21"/>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115226C">
      <w:pPr>
        <w:pStyle w:val="21"/>
        <w:rPr>
          <w:color w:val="auto"/>
          <w:sz w:val="21"/>
          <w:szCs w:val="21"/>
          <w:highlight w:val="none"/>
        </w:rPr>
      </w:pPr>
      <w:r>
        <w:rPr>
          <w:rFonts w:hint="eastAsia"/>
          <w:color w:val="auto"/>
          <w:sz w:val="21"/>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B8CC1DF">
      <w:pPr>
        <w:pStyle w:val="21"/>
        <w:rPr>
          <w:color w:val="auto"/>
          <w:sz w:val="21"/>
          <w:szCs w:val="21"/>
          <w:highlight w:val="none"/>
        </w:rPr>
      </w:pPr>
      <w:r>
        <w:rPr>
          <w:rFonts w:hint="eastAsia"/>
          <w:color w:val="auto"/>
          <w:sz w:val="21"/>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BF4C30D">
      <w:pPr>
        <w:pStyle w:val="21"/>
        <w:rPr>
          <w:color w:val="auto"/>
          <w:sz w:val="21"/>
          <w:szCs w:val="21"/>
          <w:highlight w:val="none"/>
        </w:rPr>
      </w:pPr>
      <w:r>
        <w:rPr>
          <w:rFonts w:hint="eastAsia"/>
          <w:color w:val="auto"/>
          <w:sz w:val="21"/>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57DF896">
      <w:pPr>
        <w:pStyle w:val="21"/>
        <w:rPr>
          <w:color w:val="auto"/>
          <w:sz w:val="21"/>
          <w:szCs w:val="21"/>
          <w:highlight w:val="none"/>
        </w:rPr>
      </w:pPr>
      <w:r>
        <w:rPr>
          <w:rFonts w:hint="eastAsia"/>
          <w:color w:val="auto"/>
          <w:sz w:val="21"/>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8A9F071">
      <w:pPr>
        <w:pStyle w:val="21"/>
        <w:rPr>
          <w:color w:val="auto"/>
          <w:sz w:val="21"/>
          <w:szCs w:val="21"/>
          <w:highlight w:val="none"/>
        </w:rPr>
      </w:pPr>
      <w:r>
        <w:rPr>
          <w:rFonts w:hint="eastAsia"/>
          <w:color w:val="auto"/>
          <w:sz w:val="21"/>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A04A8B0">
      <w:pPr>
        <w:pStyle w:val="21"/>
        <w:rPr>
          <w:color w:val="auto"/>
          <w:sz w:val="21"/>
          <w:szCs w:val="21"/>
          <w:highlight w:val="none"/>
        </w:rPr>
      </w:pPr>
      <w:r>
        <w:rPr>
          <w:rFonts w:hint="eastAsia"/>
          <w:color w:val="auto"/>
          <w:sz w:val="21"/>
          <w:szCs w:val="21"/>
          <w:highlight w:val="none"/>
        </w:rPr>
        <w:t>　　（十六）其他未列明行业。从业人员300人以下的为中小微型企业。其中，从业人员100人及以上的为中型企业；从业人员10人及以上的为小型企业；从业人员10人以下的为微型企业。</w:t>
      </w:r>
    </w:p>
    <w:p w14:paraId="2D5964AE">
      <w:pPr>
        <w:pStyle w:val="21"/>
        <w:rPr>
          <w:color w:val="auto"/>
          <w:sz w:val="21"/>
          <w:szCs w:val="21"/>
          <w:highlight w:val="none"/>
        </w:rPr>
      </w:pPr>
      <w:r>
        <w:rPr>
          <w:rFonts w:hint="eastAsia"/>
          <w:color w:val="auto"/>
          <w:sz w:val="21"/>
          <w:szCs w:val="21"/>
          <w:highlight w:val="none"/>
        </w:rPr>
        <w:t>　　五、企业类型的划分以统计部门的统计数据为依据。</w:t>
      </w:r>
    </w:p>
    <w:p w14:paraId="58D5D59D">
      <w:pPr>
        <w:pStyle w:val="21"/>
        <w:rPr>
          <w:color w:val="auto"/>
          <w:sz w:val="21"/>
          <w:szCs w:val="21"/>
          <w:highlight w:val="none"/>
        </w:rPr>
      </w:pPr>
      <w:r>
        <w:rPr>
          <w:rFonts w:hint="eastAsia"/>
          <w:color w:val="auto"/>
          <w:sz w:val="21"/>
          <w:szCs w:val="21"/>
          <w:highlight w:val="none"/>
        </w:rPr>
        <w:t>　　六、本规定适用于在中华人民共和国境内依法设立的各类所有制和各种组织形式的企业。个体工商户和本规定以外的行业，参照本规定进行划型。</w:t>
      </w:r>
    </w:p>
    <w:p w14:paraId="535E1BED">
      <w:pPr>
        <w:pStyle w:val="21"/>
        <w:rPr>
          <w:color w:val="auto"/>
          <w:sz w:val="21"/>
          <w:szCs w:val="21"/>
          <w:highlight w:val="none"/>
        </w:rPr>
      </w:pPr>
      <w:r>
        <w:rPr>
          <w:rFonts w:hint="eastAsia"/>
          <w:color w:val="auto"/>
          <w:sz w:val="21"/>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77C391FF">
      <w:pPr>
        <w:pStyle w:val="21"/>
        <w:rPr>
          <w:color w:val="auto"/>
          <w:sz w:val="21"/>
          <w:szCs w:val="21"/>
          <w:highlight w:val="none"/>
        </w:rPr>
      </w:pPr>
      <w:r>
        <w:rPr>
          <w:rFonts w:hint="eastAsia"/>
          <w:color w:val="auto"/>
          <w:sz w:val="21"/>
          <w:szCs w:val="21"/>
          <w:highlight w:val="none"/>
        </w:rPr>
        <w:t>　　八、本规定由工业和信息化部、国家统计局会同有关部门根据《国民经济行业分类》修订情况和企业发展变化情况适时修订。</w:t>
      </w:r>
    </w:p>
    <w:p w14:paraId="5598A975">
      <w:pPr>
        <w:pStyle w:val="21"/>
        <w:rPr>
          <w:color w:val="auto"/>
          <w:sz w:val="21"/>
          <w:szCs w:val="21"/>
          <w:highlight w:val="none"/>
        </w:rPr>
      </w:pPr>
      <w:r>
        <w:rPr>
          <w:rFonts w:hint="eastAsia"/>
          <w:color w:val="auto"/>
          <w:sz w:val="21"/>
          <w:szCs w:val="21"/>
          <w:highlight w:val="none"/>
        </w:rPr>
        <w:t>　　九、本规定由工业和信息化部、国家统计局会同有关部门负责解释。</w:t>
      </w:r>
    </w:p>
    <w:p w14:paraId="750A2DF8">
      <w:pPr>
        <w:pStyle w:val="21"/>
        <w:ind w:firstLine="420"/>
        <w:rPr>
          <w:color w:val="auto"/>
          <w:sz w:val="21"/>
          <w:szCs w:val="21"/>
          <w:highlight w:val="none"/>
        </w:rPr>
      </w:pPr>
      <w:r>
        <w:rPr>
          <w:rFonts w:hint="eastAsia"/>
          <w:color w:val="auto"/>
          <w:sz w:val="21"/>
          <w:szCs w:val="21"/>
          <w:highlight w:val="none"/>
        </w:rPr>
        <w:t>十、本规定自发布之日起执行，原国家经贸委、原国家计委、财政部和国家统计局2003年颁布的《中小企业标准暂行规定》同时废止。</w:t>
      </w:r>
    </w:p>
    <w:p w14:paraId="03B47050">
      <w:pPr>
        <w:pStyle w:val="21"/>
        <w:ind w:firstLine="420"/>
        <w:rPr>
          <w:color w:val="auto"/>
          <w:sz w:val="21"/>
          <w:szCs w:val="21"/>
          <w:highlight w:val="none"/>
        </w:rPr>
      </w:pPr>
    </w:p>
    <w:p w14:paraId="38EB4E50">
      <w:pPr>
        <w:pStyle w:val="5"/>
        <w:spacing w:before="0" w:after="0" w:line="360" w:lineRule="auto"/>
        <w:jc w:val="center"/>
        <w:rPr>
          <w:color w:val="auto"/>
          <w:highlight w:val="none"/>
        </w:rPr>
      </w:pPr>
      <w:bookmarkStart w:id="61" w:name="_Toc74320802"/>
      <w:r>
        <w:rPr>
          <w:color w:val="auto"/>
          <w:highlight w:val="none"/>
        </w:rPr>
        <w:br w:type="page"/>
      </w:r>
      <w:r>
        <w:rPr>
          <w:rFonts w:hint="eastAsia"/>
          <w:color w:val="auto"/>
          <w:highlight w:val="none"/>
        </w:rPr>
        <w:t>第三章  投标人须知</w:t>
      </w:r>
      <w:bookmarkEnd w:id="61"/>
    </w:p>
    <w:p w14:paraId="6CEAEC37">
      <w:pPr>
        <w:jc w:val="center"/>
        <w:rPr>
          <w:color w:val="auto"/>
          <w:sz w:val="36"/>
          <w:szCs w:val="36"/>
          <w:highlight w:val="none"/>
        </w:rPr>
      </w:pPr>
      <w:bookmarkStart w:id="62" w:name="_Toc254970667"/>
      <w:bookmarkStart w:id="63" w:name="_Toc254970526"/>
      <w:r>
        <w:rPr>
          <w:rFonts w:hint="eastAsia"/>
          <w:color w:val="auto"/>
          <w:sz w:val="36"/>
          <w:szCs w:val="36"/>
          <w:highlight w:val="none"/>
        </w:rPr>
        <w:t>投标人须知前附表</w:t>
      </w:r>
      <w:bookmarkEnd w:id="62"/>
      <w:bookmarkEnd w:id="63"/>
    </w:p>
    <w:tbl>
      <w:tblPr>
        <w:tblStyle w:val="47"/>
        <w:tblW w:w="9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670"/>
      </w:tblGrid>
      <w:tr w14:paraId="52B20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0F8A8A75">
            <w:pPr>
              <w:snapToGrid w:val="0"/>
              <w:spacing w:line="360" w:lineRule="auto"/>
              <w:jc w:val="left"/>
              <w:rPr>
                <w:rFonts w:ascii="宋体" w:hAnsi="宋体"/>
                <w:color w:val="auto"/>
                <w:szCs w:val="21"/>
                <w:highlight w:val="none"/>
              </w:rPr>
            </w:pPr>
            <w:r>
              <w:rPr>
                <w:rFonts w:hint="eastAsia" w:ascii="宋体" w:hAnsi="宋体"/>
                <w:color w:val="auto"/>
                <w:szCs w:val="21"/>
                <w:highlight w:val="none"/>
              </w:rPr>
              <w:t>条款号</w:t>
            </w:r>
          </w:p>
        </w:tc>
        <w:tc>
          <w:tcPr>
            <w:tcW w:w="8670" w:type="dxa"/>
            <w:tcBorders>
              <w:top w:val="single" w:color="auto" w:sz="4" w:space="0"/>
              <w:left w:val="single" w:color="auto" w:sz="4" w:space="0"/>
              <w:bottom w:val="single" w:color="auto" w:sz="4" w:space="0"/>
              <w:right w:val="single" w:color="auto" w:sz="4" w:space="0"/>
            </w:tcBorders>
            <w:vAlign w:val="center"/>
          </w:tcPr>
          <w:p w14:paraId="4E9C5F0E">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编列内容</w:t>
            </w:r>
          </w:p>
        </w:tc>
      </w:tr>
      <w:tr w14:paraId="4E647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C19F9A9">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8670" w:type="dxa"/>
            <w:tcBorders>
              <w:top w:val="single" w:color="auto" w:sz="4" w:space="0"/>
              <w:left w:val="single" w:color="auto" w:sz="4" w:space="0"/>
              <w:bottom w:val="single" w:color="auto" w:sz="4" w:space="0"/>
              <w:right w:val="single" w:color="auto" w:sz="4" w:space="0"/>
            </w:tcBorders>
            <w:vAlign w:val="center"/>
          </w:tcPr>
          <w:p w14:paraId="1E0040E9">
            <w:pPr>
              <w:snapToGrid w:val="0"/>
              <w:spacing w:line="360" w:lineRule="auto"/>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投标人的资格要求详见招标公告。</w:t>
            </w:r>
          </w:p>
          <w:p w14:paraId="5B56E056">
            <w:pPr>
              <w:snapToGrid w:val="0"/>
              <w:spacing w:line="360" w:lineRule="auto"/>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投标人出现下列情形之一的，不得参加政府采购活动：</w:t>
            </w:r>
          </w:p>
          <w:p w14:paraId="382BB7C0">
            <w:pPr>
              <w:snapToGrid w:val="0"/>
              <w:spacing w:line="360" w:lineRule="auto"/>
              <w:jc w:val="left"/>
              <w:rPr>
                <w:rFonts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C21CD92">
            <w:pPr>
              <w:snapToGrid w:val="0"/>
              <w:spacing w:line="360" w:lineRule="auto"/>
              <w:jc w:val="left"/>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0D347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574659CD">
            <w:pPr>
              <w:spacing w:line="360" w:lineRule="auto"/>
              <w:jc w:val="center"/>
              <w:rPr>
                <w:rFonts w:ascii="宋体" w:hAnsi="宋体"/>
                <w:color w:val="auto"/>
                <w:szCs w:val="21"/>
                <w:highlight w:val="none"/>
              </w:rPr>
            </w:pPr>
            <w:bookmarkStart w:id="64" w:name="_5"/>
            <w:bookmarkEnd w:id="64"/>
            <w:bookmarkStart w:id="65" w:name="_9.2"/>
            <w:bookmarkEnd w:id="65"/>
            <w:bookmarkStart w:id="66" w:name="_8.1"/>
            <w:bookmarkEnd w:id="66"/>
            <w:r>
              <w:rPr>
                <w:rFonts w:hint="eastAsia" w:ascii="宋体" w:hAnsi="宋体"/>
                <w:color w:val="auto"/>
                <w:szCs w:val="21"/>
                <w:highlight w:val="none"/>
              </w:rPr>
              <w:t>6.1</w:t>
            </w:r>
          </w:p>
        </w:tc>
        <w:tc>
          <w:tcPr>
            <w:tcW w:w="8670" w:type="dxa"/>
            <w:tcBorders>
              <w:top w:val="single" w:color="auto" w:sz="4" w:space="0"/>
              <w:left w:val="single" w:color="auto" w:sz="4" w:space="0"/>
              <w:bottom w:val="single" w:color="auto" w:sz="4" w:space="0"/>
              <w:right w:val="single" w:color="auto" w:sz="4" w:space="0"/>
            </w:tcBorders>
            <w:vAlign w:val="center"/>
          </w:tcPr>
          <w:p w14:paraId="78243E7B">
            <w:pPr>
              <w:pStyle w:val="19"/>
              <w:spacing w:line="360" w:lineRule="auto"/>
              <w:rPr>
                <w:rFonts w:ascii="宋体" w:hAnsi="宋体"/>
                <w:color w:val="auto"/>
                <w:szCs w:val="21"/>
                <w:highlight w:val="none"/>
              </w:rPr>
            </w:pPr>
            <w:r>
              <w:rPr>
                <w:rFonts w:hint="eastAsia" w:ascii="宋体" w:hAnsi="宋体"/>
                <w:color w:val="auto"/>
                <w:szCs w:val="21"/>
                <w:highlight w:val="none"/>
              </w:rPr>
              <w:t>本项目是否接受联合体投标：详见招标公告。</w:t>
            </w:r>
          </w:p>
        </w:tc>
      </w:tr>
      <w:tr w14:paraId="78DF5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2852EA9">
            <w:pPr>
              <w:spacing w:line="360" w:lineRule="auto"/>
              <w:jc w:val="center"/>
              <w:rPr>
                <w:rFonts w:ascii="宋体" w:hAnsi="宋体"/>
                <w:color w:val="auto"/>
                <w:szCs w:val="21"/>
                <w:highlight w:val="none"/>
              </w:rPr>
            </w:pPr>
            <w:r>
              <w:rPr>
                <w:rFonts w:ascii="宋体" w:hAnsi="宋体"/>
                <w:color w:val="auto"/>
                <w:szCs w:val="21"/>
                <w:highlight w:val="none"/>
              </w:rPr>
              <w:t>6.2</w:t>
            </w:r>
          </w:p>
        </w:tc>
        <w:tc>
          <w:tcPr>
            <w:tcW w:w="8670" w:type="dxa"/>
            <w:tcBorders>
              <w:top w:val="single" w:color="auto" w:sz="4" w:space="0"/>
              <w:left w:val="single" w:color="auto" w:sz="4" w:space="0"/>
              <w:bottom w:val="single" w:color="auto" w:sz="4" w:space="0"/>
              <w:right w:val="single" w:color="auto" w:sz="4" w:space="0"/>
            </w:tcBorders>
            <w:vAlign w:val="center"/>
          </w:tcPr>
          <w:p w14:paraId="2C257279">
            <w:pPr>
              <w:pStyle w:val="19"/>
              <w:spacing w:line="360" w:lineRule="auto"/>
              <w:rPr>
                <w:rFonts w:ascii="宋体" w:hAnsi="宋体"/>
                <w:color w:val="auto"/>
                <w:szCs w:val="21"/>
                <w:highlight w:val="none"/>
              </w:rPr>
            </w:pPr>
            <w:bookmarkStart w:id="67" w:name="_Hlk54105293"/>
            <w:r>
              <w:rPr>
                <w:rFonts w:hint="eastAsia" w:ascii="宋体" w:hAnsi="宋体"/>
                <w:color w:val="auto"/>
                <w:szCs w:val="21"/>
                <w:highlight w:val="none"/>
              </w:rPr>
              <w:t>如接受联合体投标，</w:t>
            </w:r>
            <w:bookmarkEnd w:id="67"/>
            <w:r>
              <w:rPr>
                <w:rFonts w:hint="eastAsia" w:ascii="宋体" w:hAnsi="宋体"/>
                <w:color w:val="auto"/>
                <w:szCs w:val="21"/>
                <w:highlight w:val="none"/>
              </w:rPr>
              <w:t>联合体投标要求如下：/</w:t>
            </w:r>
          </w:p>
        </w:tc>
      </w:tr>
      <w:tr w14:paraId="4AA27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FD52B2B">
            <w:pPr>
              <w:spacing w:line="360" w:lineRule="auto"/>
              <w:jc w:val="center"/>
              <w:rPr>
                <w:rFonts w:ascii="宋体" w:hAnsi="宋体"/>
                <w:color w:val="auto"/>
                <w:szCs w:val="21"/>
                <w:highlight w:val="none"/>
              </w:rPr>
            </w:pPr>
            <w:r>
              <w:rPr>
                <w:rFonts w:hint="eastAsia" w:ascii="宋体" w:hAnsi="宋体"/>
                <w:color w:val="auto"/>
                <w:szCs w:val="21"/>
                <w:highlight w:val="none"/>
              </w:rPr>
              <w:t>7.2</w:t>
            </w:r>
          </w:p>
        </w:tc>
        <w:tc>
          <w:tcPr>
            <w:tcW w:w="8670" w:type="dxa"/>
            <w:tcBorders>
              <w:top w:val="single" w:color="auto" w:sz="4" w:space="0"/>
              <w:left w:val="single" w:color="auto" w:sz="4" w:space="0"/>
              <w:bottom w:val="single" w:color="auto" w:sz="4" w:space="0"/>
              <w:right w:val="single" w:color="auto" w:sz="4" w:space="0"/>
            </w:tcBorders>
            <w:vAlign w:val="center"/>
          </w:tcPr>
          <w:p w14:paraId="5DBFD27B">
            <w:pPr>
              <w:pStyle w:val="19"/>
              <w:spacing w:line="360" w:lineRule="auto"/>
              <w:rPr>
                <w:rFonts w:ascii="宋体" w:hAnsi="宋体"/>
                <w:color w:val="auto"/>
                <w:szCs w:val="21"/>
                <w:highlight w:val="none"/>
              </w:rPr>
            </w:pPr>
            <w:r>
              <w:rPr>
                <w:rFonts w:hint="eastAsia" w:ascii="宋体" w:hAnsi="宋体" w:cs="宋体"/>
                <w:color w:val="auto"/>
                <w:szCs w:val="21"/>
                <w:highlight w:val="none"/>
              </w:rPr>
              <w:sym w:font="Wingdings" w:char="00FE"/>
            </w:r>
            <w:r>
              <w:rPr>
                <w:rFonts w:hint="eastAsia" w:ascii="宋体" w:hAnsi="宋体"/>
                <w:color w:val="auto"/>
                <w:szCs w:val="21"/>
                <w:highlight w:val="none"/>
              </w:rPr>
              <w:t>不允许分包</w:t>
            </w:r>
          </w:p>
          <w:p w14:paraId="53E4C0AB">
            <w:pPr>
              <w:pStyle w:val="19"/>
              <w:spacing w:line="360" w:lineRule="auto"/>
              <w:rPr>
                <w:rFonts w:ascii="宋体" w:hAnsi="宋体"/>
                <w:color w:val="auto"/>
                <w:szCs w:val="21"/>
                <w:highlight w:val="none"/>
              </w:rPr>
            </w:pPr>
            <w:r>
              <w:rPr>
                <w:rFonts w:hint="eastAsia" w:ascii="宋体" w:hAnsi="宋体"/>
                <w:color w:val="auto"/>
                <w:szCs w:val="21"/>
                <w:highlight w:val="none"/>
              </w:rPr>
              <w:t>□允许分包</w:t>
            </w:r>
          </w:p>
          <w:p w14:paraId="50E9D918">
            <w:pPr>
              <w:pStyle w:val="19"/>
              <w:spacing w:line="360" w:lineRule="auto"/>
              <w:rPr>
                <w:rFonts w:ascii="宋体" w:hAnsi="宋体"/>
                <w:color w:val="auto"/>
                <w:szCs w:val="21"/>
                <w:highlight w:val="none"/>
                <w:u w:val="single"/>
              </w:rPr>
            </w:pPr>
            <w:r>
              <w:rPr>
                <w:rFonts w:hint="eastAsia" w:ascii="宋体" w:hAnsi="宋体"/>
                <w:color w:val="auto"/>
                <w:szCs w:val="21"/>
                <w:highlight w:val="none"/>
              </w:rPr>
              <w:t>分包内容：</w:t>
            </w:r>
            <w:r>
              <w:rPr>
                <w:rFonts w:hint="eastAsia" w:ascii="宋体" w:hAnsi="宋体"/>
                <w:color w:val="auto"/>
                <w:szCs w:val="21"/>
                <w:highlight w:val="none"/>
                <w:u w:val="single"/>
              </w:rPr>
              <w:t xml:space="preserve">                                     。</w:t>
            </w:r>
          </w:p>
          <w:p w14:paraId="403459DA">
            <w:pPr>
              <w:pStyle w:val="19"/>
              <w:spacing w:line="360" w:lineRule="auto"/>
              <w:jc w:val="both"/>
              <w:rPr>
                <w:rFonts w:ascii="宋体" w:hAnsi="宋体"/>
                <w:color w:val="auto"/>
                <w:szCs w:val="21"/>
                <w:highlight w:val="none"/>
                <w:u w:val="single"/>
              </w:rPr>
            </w:pPr>
            <w:r>
              <w:rPr>
                <w:rFonts w:hint="eastAsia" w:ascii="宋体" w:hAnsi="宋体"/>
                <w:color w:val="auto"/>
                <w:szCs w:val="21"/>
                <w:highlight w:val="none"/>
              </w:rPr>
              <w:t>分包金额或者比例：</w:t>
            </w:r>
            <w:r>
              <w:rPr>
                <w:rFonts w:hint="eastAsia" w:ascii="宋体" w:hAnsi="宋体"/>
                <w:color w:val="auto"/>
                <w:szCs w:val="21"/>
                <w:highlight w:val="none"/>
                <w:u w:val="single"/>
              </w:rPr>
              <w:t xml:space="preserve">                                     。</w:t>
            </w:r>
          </w:p>
        </w:tc>
      </w:tr>
      <w:tr w14:paraId="50ADC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FA820F6">
            <w:pPr>
              <w:spacing w:line="360" w:lineRule="auto"/>
              <w:jc w:val="center"/>
              <w:rPr>
                <w:rFonts w:ascii="宋体" w:hAnsi="宋体"/>
                <w:color w:val="auto"/>
                <w:szCs w:val="21"/>
                <w:highlight w:val="none"/>
              </w:rPr>
            </w:pPr>
            <w:r>
              <w:rPr>
                <w:rFonts w:hint="eastAsia" w:ascii="宋体" w:hAnsi="宋体"/>
                <w:color w:val="auto"/>
                <w:szCs w:val="21"/>
                <w:highlight w:val="none"/>
              </w:rPr>
              <w:t>8.1</w:t>
            </w:r>
          </w:p>
        </w:tc>
        <w:tc>
          <w:tcPr>
            <w:tcW w:w="8670" w:type="dxa"/>
            <w:tcBorders>
              <w:top w:val="single" w:color="auto" w:sz="4" w:space="0"/>
              <w:left w:val="single" w:color="auto" w:sz="4" w:space="0"/>
              <w:bottom w:val="single" w:color="auto" w:sz="4" w:space="0"/>
              <w:right w:val="single" w:color="auto" w:sz="4" w:space="0"/>
            </w:tcBorders>
            <w:vAlign w:val="center"/>
          </w:tcPr>
          <w:p w14:paraId="63F5E618">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 w:val="22"/>
                <w:szCs w:val="22"/>
                <w:highlight w:val="none"/>
              </w:rPr>
              <w:t>采用综合评分法的采购项目，</w:t>
            </w:r>
            <w:r>
              <w:rPr>
                <w:rFonts w:hint="eastAsia" w:ascii="宋体" w:hAnsi="宋体"/>
                <w:color w:val="auto"/>
                <w:szCs w:val="21"/>
                <w:highlight w:val="none"/>
              </w:rPr>
              <w:t>提供相同品牌产品（非单一产品采购项目的，指核心产品）的不同投标人评审得分相同时，按照下列方式确定一个投标人获得中标人推荐资格：</w:t>
            </w:r>
          </w:p>
          <w:p w14:paraId="15515592">
            <w:pPr>
              <w:autoSpaceDE w:val="0"/>
              <w:autoSpaceDN w:val="0"/>
              <w:snapToGrid w:val="0"/>
              <w:spacing w:line="360" w:lineRule="auto"/>
              <w:textAlignment w:val="bottom"/>
              <w:rPr>
                <w:rFonts w:ascii="宋体" w:hAnsi="宋体"/>
                <w:color w:val="auto"/>
                <w:szCs w:val="21"/>
                <w:highlight w:val="none"/>
              </w:rPr>
            </w:pPr>
            <w:r>
              <w:rPr>
                <w:rFonts w:hint="eastAsia" w:ascii="宋体" w:hAnsi="宋体" w:cs="宋体"/>
                <w:color w:val="auto"/>
                <w:szCs w:val="21"/>
                <w:highlight w:val="none"/>
              </w:rPr>
              <w:sym w:font="Wingdings" w:char="00FE"/>
            </w:r>
            <w:r>
              <w:rPr>
                <w:rFonts w:hint="eastAsia" w:ascii="宋体" w:hAnsi="宋体"/>
                <w:color w:val="auto"/>
                <w:szCs w:val="21"/>
                <w:highlight w:val="none"/>
              </w:rPr>
              <w:t>依次按投标报价低的优先、政策分得分高的优先、技术评分高的优先、商务评分高的优先、质保期长优先、交货期短优先、故障响应时间短优先的顺序推荐；</w:t>
            </w:r>
          </w:p>
          <w:p w14:paraId="207AEED7">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□随机抽取；</w:t>
            </w:r>
          </w:p>
        </w:tc>
      </w:tr>
      <w:tr w14:paraId="536B0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1" w:hRule="atLeast"/>
        </w:trPr>
        <w:tc>
          <w:tcPr>
            <w:tcW w:w="895" w:type="dxa"/>
            <w:vMerge w:val="restart"/>
            <w:tcBorders>
              <w:top w:val="single" w:color="auto" w:sz="4" w:space="0"/>
              <w:left w:val="single" w:color="auto" w:sz="4" w:space="0"/>
              <w:right w:val="single" w:color="auto" w:sz="4" w:space="0"/>
            </w:tcBorders>
            <w:vAlign w:val="center"/>
          </w:tcPr>
          <w:p w14:paraId="578827FC">
            <w:pPr>
              <w:spacing w:line="360" w:lineRule="auto"/>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1.2</w:t>
            </w:r>
          </w:p>
        </w:tc>
        <w:tc>
          <w:tcPr>
            <w:tcW w:w="8670" w:type="dxa"/>
            <w:tcBorders>
              <w:top w:val="single" w:color="auto" w:sz="4" w:space="0"/>
              <w:left w:val="single" w:color="auto" w:sz="4" w:space="0"/>
              <w:bottom w:val="single" w:color="auto" w:sz="4" w:space="0"/>
              <w:right w:val="single" w:color="auto" w:sz="4" w:space="0"/>
            </w:tcBorders>
            <w:vAlign w:val="center"/>
          </w:tcPr>
          <w:p w14:paraId="40D56AD8">
            <w:pPr>
              <w:snapToGrid w:val="0"/>
              <w:spacing w:line="360" w:lineRule="auto"/>
              <w:rPr>
                <w:rFonts w:ascii="宋体" w:hAnsi="宋体"/>
                <w:color w:val="auto"/>
                <w:szCs w:val="21"/>
                <w:highlight w:val="none"/>
              </w:rPr>
            </w:pPr>
            <w:r>
              <w:rPr>
                <w:rFonts w:hint="eastAsia" w:ascii="宋体" w:hAnsi="宋体" w:cs="宋体"/>
                <w:color w:val="auto"/>
                <w:szCs w:val="21"/>
                <w:highlight w:val="none"/>
              </w:rPr>
              <w:sym w:font="Wingdings" w:char="00FE"/>
            </w:r>
            <w:r>
              <w:rPr>
                <w:rFonts w:hint="eastAsia" w:ascii="宋体" w:hAnsi="宋体"/>
                <w:color w:val="auto"/>
                <w:szCs w:val="21"/>
                <w:highlight w:val="none"/>
              </w:rPr>
              <w:t>不组织现场考察</w:t>
            </w:r>
          </w:p>
          <w:p w14:paraId="64099638">
            <w:pPr>
              <w:snapToGrid w:val="0"/>
              <w:spacing w:line="360" w:lineRule="auto"/>
              <w:rPr>
                <w:rFonts w:ascii="宋体" w:hAnsi="宋体"/>
                <w:color w:val="auto"/>
                <w:szCs w:val="21"/>
                <w:highlight w:val="none"/>
              </w:rPr>
            </w:pPr>
            <w:r>
              <w:rPr>
                <w:rFonts w:hint="eastAsia" w:ascii="宋体" w:hAnsi="宋体"/>
                <w:color w:val="auto"/>
                <w:szCs w:val="21"/>
                <w:highlight w:val="none"/>
              </w:rPr>
              <w:t>□组织现场考察：</w:t>
            </w:r>
          </w:p>
          <w:p w14:paraId="548BF752">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集中时间：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分</w:t>
            </w:r>
            <w:r>
              <w:rPr>
                <w:rFonts w:hint="eastAsia" w:ascii="宋体" w:hAnsi="宋体"/>
                <w:color w:val="auto"/>
                <w:szCs w:val="21"/>
                <w:highlight w:val="none"/>
              </w:rPr>
              <w:t>，逾期后果自负。集中地点：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07F3A417">
            <w:pPr>
              <w:snapToGrid w:val="0"/>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；联系电话：</w:t>
            </w:r>
            <w:r>
              <w:rPr>
                <w:rFonts w:ascii="宋体" w:hAnsi="宋体"/>
                <w:color w:val="auto"/>
                <w:szCs w:val="21"/>
                <w:highlight w:val="none"/>
                <w:u w:val="single"/>
              </w:rPr>
              <w:t xml:space="preserve">                </w:t>
            </w:r>
          </w:p>
        </w:tc>
      </w:tr>
      <w:tr w14:paraId="7010C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895" w:type="dxa"/>
            <w:vMerge w:val="continue"/>
            <w:tcBorders>
              <w:left w:val="single" w:color="auto" w:sz="4" w:space="0"/>
              <w:bottom w:val="single" w:color="auto" w:sz="4" w:space="0"/>
              <w:right w:val="single" w:color="auto" w:sz="4" w:space="0"/>
            </w:tcBorders>
            <w:vAlign w:val="center"/>
          </w:tcPr>
          <w:p w14:paraId="49860CB8">
            <w:pPr>
              <w:spacing w:line="360" w:lineRule="auto"/>
              <w:jc w:val="center"/>
              <w:rPr>
                <w:rFonts w:ascii="宋体" w:hAnsi="宋体"/>
                <w:color w:val="auto"/>
                <w:szCs w:val="21"/>
                <w:highlight w:val="none"/>
              </w:rPr>
            </w:pPr>
          </w:p>
        </w:tc>
        <w:tc>
          <w:tcPr>
            <w:tcW w:w="8670" w:type="dxa"/>
            <w:tcBorders>
              <w:top w:val="single" w:color="auto" w:sz="4" w:space="0"/>
              <w:left w:val="single" w:color="auto" w:sz="4" w:space="0"/>
              <w:bottom w:val="single" w:color="auto" w:sz="4" w:space="0"/>
              <w:right w:val="single" w:color="auto" w:sz="4" w:space="0"/>
            </w:tcBorders>
            <w:vAlign w:val="center"/>
          </w:tcPr>
          <w:p w14:paraId="0D792D22">
            <w:pPr>
              <w:snapToGrid w:val="0"/>
              <w:spacing w:line="360" w:lineRule="auto"/>
              <w:rPr>
                <w:rFonts w:ascii="宋体" w:hAnsi="宋体"/>
                <w:color w:val="auto"/>
                <w:szCs w:val="21"/>
                <w:highlight w:val="none"/>
              </w:rPr>
            </w:pPr>
            <w:r>
              <w:rPr>
                <w:rFonts w:hint="eastAsia" w:ascii="宋体" w:hAnsi="宋体" w:cs="宋体"/>
                <w:color w:val="auto"/>
                <w:szCs w:val="21"/>
                <w:highlight w:val="none"/>
              </w:rPr>
              <w:sym w:font="Wingdings" w:char="00FE"/>
            </w:r>
            <w:r>
              <w:rPr>
                <w:rFonts w:hint="eastAsia" w:ascii="宋体" w:hAnsi="宋体"/>
                <w:color w:val="auto"/>
                <w:szCs w:val="21"/>
                <w:highlight w:val="none"/>
              </w:rPr>
              <w:t>不组织召开开标前答疑会</w:t>
            </w:r>
          </w:p>
          <w:p w14:paraId="7CDD6D8D">
            <w:pPr>
              <w:snapToGrid w:val="0"/>
              <w:spacing w:line="360" w:lineRule="auto"/>
              <w:rPr>
                <w:rFonts w:ascii="宋体" w:hAnsi="宋体"/>
                <w:color w:val="auto"/>
                <w:szCs w:val="21"/>
                <w:highlight w:val="none"/>
              </w:rPr>
            </w:pPr>
            <w:r>
              <w:rPr>
                <w:rFonts w:hint="eastAsia" w:ascii="宋体" w:hAnsi="宋体"/>
                <w:color w:val="auto"/>
                <w:szCs w:val="21"/>
                <w:highlight w:val="none"/>
              </w:rPr>
              <w:t>□组织召开开标前答疑会</w:t>
            </w:r>
          </w:p>
          <w:p w14:paraId="72E22AA4">
            <w:pPr>
              <w:snapToGrid w:val="0"/>
              <w:spacing w:line="360" w:lineRule="auto"/>
              <w:rPr>
                <w:rFonts w:ascii="宋体" w:hAnsi="宋体"/>
                <w:color w:val="auto"/>
                <w:szCs w:val="21"/>
                <w:highlight w:val="none"/>
              </w:rPr>
            </w:pPr>
            <w:r>
              <w:rPr>
                <w:rFonts w:hint="eastAsia" w:ascii="宋体" w:hAnsi="宋体"/>
                <w:color w:val="auto"/>
                <w:szCs w:val="21"/>
                <w:highlight w:val="none"/>
              </w:rPr>
              <w:t>会议开始时间：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分</w:t>
            </w:r>
            <w:r>
              <w:rPr>
                <w:rFonts w:hint="eastAsia" w:ascii="宋体" w:hAnsi="宋体"/>
                <w:color w:val="auto"/>
                <w:szCs w:val="21"/>
                <w:highlight w:val="none"/>
              </w:rPr>
              <w:t>，逾期后果自负。会议地点：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14:paraId="5FBAC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restart"/>
            <w:tcBorders>
              <w:top w:val="single" w:color="auto" w:sz="4" w:space="0"/>
              <w:left w:val="single" w:color="auto" w:sz="4" w:space="0"/>
              <w:right w:val="single" w:color="auto" w:sz="4" w:space="0"/>
            </w:tcBorders>
            <w:vAlign w:val="center"/>
          </w:tcPr>
          <w:p w14:paraId="137195E0">
            <w:pPr>
              <w:spacing w:line="360" w:lineRule="auto"/>
              <w:jc w:val="center"/>
              <w:rPr>
                <w:rFonts w:ascii="宋体" w:hAnsi="宋体"/>
                <w:color w:val="auto"/>
                <w:szCs w:val="21"/>
                <w:highlight w:val="none"/>
              </w:rPr>
            </w:pPr>
            <w:bookmarkStart w:id="68" w:name="_13.1"/>
            <w:bookmarkEnd w:id="68"/>
            <w:r>
              <w:rPr>
                <w:rFonts w:hint="eastAsia" w:ascii="宋体" w:hAnsi="宋体"/>
                <w:color w:val="auto"/>
                <w:szCs w:val="21"/>
                <w:highlight w:val="none"/>
              </w:rPr>
              <w:t>13</w:t>
            </w:r>
          </w:p>
        </w:tc>
        <w:tc>
          <w:tcPr>
            <w:tcW w:w="8670" w:type="dxa"/>
            <w:tcBorders>
              <w:top w:val="single" w:color="auto" w:sz="4" w:space="0"/>
              <w:left w:val="single" w:color="auto" w:sz="4" w:space="0"/>
              <w:bottom w:val="single" w:color="auto" w:sz="4" w:space="0"/>
              <w:right w:val="single" w:color="auto" w:sz="4" w:space="0"/>
            </w:tcBorders>
            <w:vAlign w:val="center"/>
          </w:tcPr>
          <w:p w14:paraId="487CFFB2">
            <w:pPr>
              <w:snapToGrid w:val="0"/>
              <w:spacing w:line="360" w:lineRule="auto"/>
              <w:jc w:val="left"/>
              <w:rPr>
                <w:rFonts w:ascii="宋体" w:hAnsi="宋体" w:cs="Courier New"/>
                <w:b/>
                <w:color w:val="auto"/>
                <w:szCs w:val="21"/>
                <w:highlight w:val="none"/>
              </w:rPr>
            </w:pPr>
            <w:r>
              <w:rPr>
                <w:rFonts w:hint="eastAsia" w:ascii="宋体" w:hAnsi="宋体" w:cs="Courier New"/>
                <w:b/>
                <w:color w:val="auto"/>
                <w:szCs w:val="21"/>
                <w:highlight w:val="none"/>
              </w:rPr>
              <w:t>报价文件：</w:t>
            </w:r>
          </w:p>
          <w:p w14:paraId="41D6596C">
            <w:pPr>
              <w:tabs>
                <w:tab w:val="left" w:pos="459"/>
              </w:tabs>
              <w:snapToGrid w:val="0"/>
              <w:spacing w:line="360" w:lineRule="auto"/>
              <w:ind w:left="420"/>
              <w:jc w:val="left"/>
              <w:rPr>
                <w:rFonts w:ascii="宋体" w:hAnsi="宋体"/>
                <w:color w:val="auto"/>
                <w:szCs w:val="21"/>
                <w:highlight w:val="none"/>
              </w:rPr>
            </w:pPr>
            <w:r>
              <w:rPr>
                <w:rFonts w:hint="eastAsia" w:ascii="宋体" w:hAnsi="宋体"/>
                <w:color w:val="auto"/>
                <w:szCs w:val="21"/>
                <w:highlight w:val="none"/>
              </w:rPr>
              <w:t>1.投标函（格式后附）；</w:t>
            </w:r>
            <w:r>
              <w:rPr>
                <w:rFonts w:hint="eastAsia" w:ascii="宋体" w:hAnsi="宋体"/>
                <w:b/>
                <w:color w:val="auto"/>
                <w:szCs w:val="21"/>
                <w:highlight w:val="none"/>
              </w:rPr>
              <w:t>（必须提供，否则按无效投标处理）</w:t>
            </w:r>
          </w:p>
          <w:p w14:paraId="1525D429">
            <w:pPr>
              <w:tabs>
                <w:tab w:val="left" w:pos="459"/>
              </w:tabs>
              <w:snapToGrid w:val="0"/>
              <w:spacing w:line="360" w:lineRule="auto"/>
              <w:ind w:left="420"/>
              <w:jc w:val="left"/>
              <w:rPr>
                <w:rFonts w:ascii="宋体" w:hAnsi="宋体"/>
                <w:color w:val="auto"/>
                <w:szCs w:val="21"/>
                <w:highlight w:val="none"/>
              </w:rPr>
            </w:pPr>
            <w:bookmarkStart w:id="69" w:name="_Hlk71299233"/>
            <w:r>
              <w:rPr>
                <w:rFonts w:hint="eastAsia" w:ascii="宋体" w:hAnsi="宋体"/>
                <w:color w:val="auto"/>
                <w:szCs w:val="21"/>
                <w:highlight w:val="none"/>
              </w:rPr>
              <w:t>2.开标一览表</w:t>
            </w:r>
            <w:bookmarkEnd w:id="69"/>
            <w:r>
              <w:rPr>
                <w:rFonts w:hint="eastAsia" w:ascii="宋体" w:hAnsi="宋体"/>
                <w:color w:val="auto"/>
                <w:szCs w:val="21"/>
                <w:highlight w:val="none"/>
              </w:rPr>
              <w:t>（格式后附）； （</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1C80DD48">
            <w:pPr>
              <w:tabs>
                <w:tab w:val="left" w:pos="459"/>
              </w:tabs>
              <w:snapToGrid w:val="0"/>
              <w:spacing w:line="360" w:lineRule="auto"/>
              <w:ind w:left="420"/>
              <w:jc w:val="left"/>
              <w:rPr>
                <w:rFonts w:ascii="宋体" w:hAnsi="宋体"/>
                <w:color w:val="auto"/>
                <w:szCs w:val="21"/>
                <w:highlight w:val="none"/>
              </w:rPr>
            </w:pPr>
            <w:r>
              <w:rPr>
                <w:rFonts w:hint="eastAsia" w:ascii="宋体" w:hAnsi="宋体"/>
                <w:color w:val="auto"/>
                <w:szCs w:val="21"/>
                <w:highlight w:val="none"/>
              </w:rPr>
              <w:t>3.投标人针对报价需要说明的其他文件和说明（格式自拟）。</w:t>
            </w:r>
          </w:p>
          <w:p w14:paraId="1889EBB0">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注：</w:t>
            </w:r>
            <w:r>
              <w:rPr>
                <w:rFonts w:hint="eastAsia" w:ascii="宋体" w:hAnsi="宋体"/>
                <w:b/>
                <w:bCs/>
                <w:color w:val="auto"/>
                <w:szCs w:val="21"/>
                <w:highlight w:val="none"/>
              </w:rPr>
              <w:t>以上标明“必须提供”的材料，格式</w:t>
            </w:r>
            <w:r>
              <w:rPr>
                <w:rFonts w:hint="eastAsia" w:ascii="宋体" w:hAnsi="宋体" w:cs="宋体"/>
                <w:b/>
                <w:color w:val="auto"/>
                <w:szCs w:val="21"/>
                <w:highlight w:val="none"/>
              </w:rPr>
              <w:t>中有要求法定代表人或者委托代理人签字的，必须按要求签字并加盖投标人电子签章</w:t>
            </w:r>
            <w:r>
              <w:rPr>
                <w:rFonts w:hint="eastAsia" w:ascii="宋体" w:hAnsi="宋体"/>
                <w:b/>
                <w:bCs/>
                <w:color w:val="auto"/>
                <w:szCs w:val="21"/>
                <w:highlight w:val="none"/>
              </w:rPr>
              <w:t>，否则按无效投标</w:t>
            </w:r>
            <w:r>
              <w:rPr>
                <w:rFonts w:hint="eastAsia" w:ascii="宋体" w:hAnsi="宋体" w:cs="Courier New"/>
                <w:b/>
                <w:color w:val="auto"/>
                <w:szCs w:val="21"/>
                <w:highlight w:val="none"/>
              </w:rPr>
              <w:t>处理。</w:t>
            </w:r>
            <w:r>
              <w:rPr>
                <w:rFonts w:hint="eastAsia" w:ascii="宋体" w:hAnsi="宋体" w:cs="宋体"/>
                <w:b/>
                <w:color w:val="auto"/>
                <w:szCs w:val="21"/>
                <w:highlight w:val="none"/>
              </w:rPr>
              <w:t xml:space="preserve"> </w:t>
            </w:r>
          </w:p>
        </w:tc>
      </w:tr>
      <w:tr w14:paraId="4564E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vAlign w:val="center"/>
          </w:tcPr>
          <w:p w14:paraId="77E106D9">
            <w:pPr>
              <w:spacing w:line="360" w:lineRule="auto"/>
              <w:rPr>
                <w:rFonts w:ascii="宋体" w:hAnsi="宋体"/>
                <w:color w:val="auto"/>
                <w:szCs w:val="21"/>
                <w:highlight w:val="none"/>
              </w:rPr>
            </w:pPr>
            <w:bookmarkStart w:id="70" w:name="_13.2"/>
            <w:bookmarkEnd w:id="70"/>
          </w:p>
        </w:tc>
        <w:tc>
          <w:tcPr>
            <w:tcW w:w="8670" w:type="dxa"/>
            <w:tcBorders>
              <w:top w:val="single" w:color="auto" w:sz="4" w:space="0"/>
              <w:left w:val="single" w:color="auto" w:sz="4" w:space="0"/>
              <w:bottom w:val="single" w:color="auto" w:sz="4" w:space="0"/>
              <w:right w:val="single" w:color="auto" w:sz="4" w:space="0"/>
            </w:tcBorders>
            <w:vAlign w:val="center"/>
          </w:tcPr>
          <w:p w14:paraId="7BAD243E">
            <w:pPr>
              <w:snapToGrid w:val="0"/>
              <w:spacing w:line="360" w:lineRule="auto"/>
              <w:jc w:val="left"/>
              <w:rPr>
                <w:rFonts w:ascii="宋体" w:hAnsi="宋体" w:cs="Courier New"/>
                <w:b/>
                <w:color w:val="auto"/>
                <w:szCs w:val="21"/>
                <w:highlight w:val="none"/>
              </w:rPr>
            </w:pPr>
            <w:r>
              <w:rPr>
                <w:rFonts w:hint="eastAsia" w:ascii="宋体" w:hAnsi="宋体" w:cs="Courier New"/>
                <w:b/>
                <w:color w:val="auto"/>
                <w:szCs w:val="21"/>
                <w:highlight w:val="none"/>
              </w:rPr>
              <w:t>资格证明文件</w:t>
            </w:r>
          </w:p>
          <w:p w14:paraId="15085608">
            <w:pPr>
              <w:snapToGrid w:val="0"/>
              <w:spacing w:line="360" w:lineRule="auto"/>
              <w:ind w:firstLine="420" w:firstLineChars="200"/>
              <w:jc w:val="left"/>
              <w:rPr>
                <w:rFonts w:ascii="宋体" w:hAnsi="宋体" w:cs="Courier New"/>
                <w:b/>
                <w:color w:val="auto"/>
                <w:szCs w:val="21"/>
                <w:highlight w:val="none"/>
              </w:rPr>
            </w:pPr>
            <w:r>
              <w:rPr>
                <w:rFonts w:hint="eastAsia" w:ascii="宋体" w:hAnsi="宋体"/>
                <w:color w:val="auto"/>
                <w:szCs w:val="21"/>
                <w:highlight w:val="none"/>
              </w:rPr>
              <w:t>1.投标人为法人或者其他组织的，提供营业执照等证明文件</w:t>
            </w:r>
            <w:r>
              <w:rPr>
                <w:rFonts w:hint="eastAsia" w:ascii="宋体" w:hAnsi="宋体" w:cs="宋体"/>
                <w:color w:val="auto"/>
                <w:szCs w:val="21"/>
                <w:highlight w:val="none"/>
              </w:rPr>
              <w:t>（如营业执照或者事业单位法人证书或者</w:t>
            </w:r>
            <w:r>
              <w:rPr>
                <w:rStyle w:val="97"/>
                <w:color w:val="auto"/>
                <w:sz w:val="21"/>
                <w:szCs w:val="21"/>
                <w:highlight w:val="none"/>
              </w:rPr>
              <w:t>执业许可证</w:t>
            </w:r>
            <w:r>
              <w:rPr>
                <w:rFonts w:hint="eastAsia" w:ascii="宋体" w:hAnsi="宋体" w:cs="宋体"/>
                <w:color w:val="auto"/>
                <w:szCs w:val="21"/>
                <w:highlight w:val="none"/>
              </w:rPr>
              <w:t>或者登记证书等）</w:t>
            </w:r>
            <w:r>
              <w:rPr>
                <w:rFonts w:hint="eastAsia" w:ascii="宋体" w:hAnsi="宋体"/>
                <w:color w:val="auto"/>
                <w:szCs w:val="21"/>
                <w:highlight w:val="none"/>
              </w:rPr>
              <w:t>，投标人为自然人的，提供身份证</w:t>
            </w:r>
            <w:r>
              <w:rPr>
                <w:rFonts w:hint="eastAsia" w:ascii="宋体" w:hAnsi="宋体" w:cs="宋体"/>
                <w:color w:val="auto"/>
                <w:szCs w:val="21"/>
                <w:highlight w:val="none"/>
              </w:rPr>
              <w:t>复印件</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5C0462F4">
            <w:pPr>
              <w:snapToGrid w:val="0"/>
              <w:spacing w:line="360" w:lineRule="auto"/>
              <w:ind w:firstLine="420" w:firstLineChars="200"/>
              <w:jc w:val="left"/>
              <w:rPr>
                <w:rFonts w:ascii="宋体" w:hAnsi="宋体" w:cs="Courier New"/>
                <w:b/>
                <w:color w:val="auto"/>
                <w:szCs w:val="21"/>
                <w:highlight w:val="none"/>
              </w:rPr>
            </w:pPr>
            <w:r>
              <w:rPr>
                <w:rFonts w:hint="eastAsia" w:ascii="宋体" w:hAnsi="宋体" w:cs="宋体"/>
                <w:color w:val="auto"/>
                <w:szCs w:val="21"/>
                <w:highlight w:val="none"/>
              </w:rPr>
              <w:t>2.投标人依法缴纳税收的相关材料（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6</w:t>
            </w:r>
            <w:r>
              <w:rPr>
                <w:rFonts w:hint="eastAsia" w:ascii="宋体" w:hAnsi="宋体" w:cs="宋体"/>
                <w:color w:val="auto"/>
                <w:szCs w:val="21"/>
                <w:highlight w:val="none"/>
              </w:rPr>
              <w:t>月至</w:t>
            </w:r>
            <w:r>
              <w:rPr>
                <w:rFonts w:hint="eastAsia" w:ascii="宋体" w:hAnsi="宋体" w:cs="宋体"/>
                <w:color w:val="auto"/>
                <w:szCs w:val="21"/>
                <w:highlight w:val="none"/>
                <w:u w:val="single"/>
              </w:rPr>
              <w:t>投标文件提交截止之日</w:t>
            </w:r>
            <w:r>
              <w:rPr>
                <w:rFonts w:hint="eastAsia" w:ascii="宋体" w:hAnsi="宋体" w:cs="宋体"/>
                <w:color w:val="auto"/>
                <w:szCs w:val="21"/>
                <w:highlight w:val="none"/>
              </w:rPr>
              <w:t>连续</w:t>
            </w:r>
            <w:r>
              <w:rPr>
                <w:rFonts w:hint="eastAsia" w:ascii="宋体" w:hAnsi="宋体" w:cs="宋体"/>
                <w:color w:val="auto"/>
                <w:szCs w:val="21"/>
                <w:highlight w:val="none"/>
                <w:u w:val="single"/>
              </w:rPr>
              <w:t xml:space="preserve">3 </w:t>
            </w:r>
            <w:r>
              <w:rPr>
                <w:rFonts w:hint="eastAsia" w:ascii="宋体" w:hAnsi="宋体" w:cs="宋体"/>
                <w:color w:val="auto"/>
                <w:szCs w:val="21"/>
                <w:highlight w:val="none"/>
              </w:rPr>
              <w:t>个月的依法缴纳税收的</w:t>
            </w:r>
            <w:r>
              <w:rPr>
                <w:rFonts w:hint="eastAsia"/>
                <w:color w:val="auto"/>
                <w:highlight w:val="none"/>
              </w:rPr>
              <w:t>证明材料</w:t>
            </w:r>
            <w:r>
              <w:rPr>
                <w:rFonts w:hint="eastAsia" w:ascii="宋体" w:hAnsi="宋体" w:cs="宋体"/>
                <w:color w:val="auto"/>
                <w:szCs w:val="21"/>
                <w:highlight w:val="none"/>
              </w:rPr>
              <w:t>复印件；</w:t>
            </w:r>
            <w:r>
              <w:rPr>
                <w:rFonts w:hint="eastAsia" w:ascii="宋体" w:hAnsi="宋体"/>
                <w:color w:val="auto"/>
                <w:szCs w:val="21"/>
                <w:highlight w:val="none"/>
              </w:rPr>
              <w:t>依法免税的供应商，</w:t>
            </w:r>
            <w:r>
              <w:rPr>
                <w:rFonts w:hint="eastAsia"/>
                <w:color w:val="auto"/>
                <w:highlight w:val="none"/>
              </w:rPr>
              <w:t>必须提供符合免税条件的证明材料</w:t>
            </w:r>
            <w:r>
              <w:rPr>
                <w:rFonts w:hint="eastAsia" w:ascii="宋体" w:hAnsi="宋体"/>
                <w:color w:val="auto"/>
                <w:szCs w:val="21"/>
                <w:highlight w:val="none"/>
              </w:rPr>
              <w:t>。</w:t>
            </w:r>
            <w:r>
              <w:rPr>
                <w:rFonts w:hint="eastAsia" w:ascii="宋体" w:hAnsi="宋体" w:cs="宋体"/>
                <w:color w:val="auto"/>
                <w:szCs w:val="21"/>
                <w:highlight w:val="none"/>
              </w:rPr>
              <w:t>从</w:t>
            </w:r>
            <w:r>
              <w:rPr>
                <w:rFonts w:hint="eastAsia"/>
                <w:color w:val="auto"/>
                <w:szCs w:val="21"/>
                <w:highlight w:val="none"/>
              </w:rPr>
              <w:t>成立之日</w:t>
            </w:r>
            <w:r>
              <w:rPr>
                <w:rFonts w:hint="eastAsia" w:ascii="宋体" w:hAnsi="宋体" w:cs="宋体"/>
                <w:color w:val="auto"/>
                <w:szCs w:val="21"/>
                <w:highlight w:val="none"/>
              </w:rPr>
              <w:t>起到投标文件提交截止时间止不足要求月数的，只需提供从</w:t>
            </w:r>
            <w:r>
              <w:rPr>
                <w:rFonts w:hint="eastAsia"/>
                <w:color w:val="auto"/>
                <w:szCs w:val="21"/>
                <w:highlight w:val="none"/>
              </w:rPr>
              <w:t>成立之日起</w:t>
            </w:r>
            <w:r>
              <w:rPr>
                <w:rFonts w:hint="eastAsia" w:ascii="宋体" w:hAnsi="宋体" w:cs="宋体"/>
                <w:color w:val="auto"/>
                <w:szCs w:val="21"/>
                <w:highlight w:val="none"/>
              </w:rPr>
              <w:t>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4233E200">
            <w:pPr>
              <w:snapToGrid w:val="0"/>
              <w:spacing w:line="360" w:lineRule="auto"/>
              <w:ind w:firstLine="420" w:firstLineChars="200"/>
              <w:jc w:val="left"/>
              <w:rPr>
                <w:rFonts w:ascii="宋体" w:hAnsi="宋体" w:cs="Courier New"/>
                <w:b/>
                <w:color w:val="auto"/>
                <w:szCs w:val="21"/>
                <w:highlight w:val="none"/>
              </w:rPr>
            </w:pPr>
            <w:r>
              <w:rPr>
                <w:rFonts w:hint="eastAsia" w:ascii="宋体" w:hAnsi="宋体" w:cs="宋体"/>
                <w:color w:val="auto"/>
                <w:szCs w:val="21"/>
                <w:highlight w:val="none"/>
              </w:rPr>
              <w:t>3.投标人依法缴纳社会保障资金的相关材料[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6</w:t>
            </w:r>
            <w:r>
              <w:rPr>
                <w:rFonts w:hint="eastAsia" w:ascii="宋体" w:hAnsi="宋体" w:cs="宋体"/>
                <w:color w:val="auto"/>
                <w:szCs w:val="21"/>
                <w:highlight w:val="none"/>
              </w:rPr>
              <w:t>月至</w:t>
            </w:r>
            <w:r>
              <w:rPr>
                <w:rFonts w:hint="eastAsia" w:ascii="宋体" w:hAnsi="宋体" w:cs="宋体"/>
                <w:color w:val="auto"/>
                <w:szCs w:val="21"/>
                <w:highlight w:val="none"/>
                <w:u w:val="single"/>
              </w:rPr>
              <w:t>投标文件提交截止之日</w:t>
            </w:r>
            <w:r>
              <w:rPr>
                <w:rFonts w:hint="eastAsia" w:ascii="宋体" w:hAnsi="宋体" w:cs="宋体"/>
                <w:color w:val="auto"/>
                <w:szCs w:val="21"/>
                <w:highlight w:val="none"/>
              </w:rPr>
              <w:t>连续</w:t>
            </w:r>
            <w:r>
              <w:rPr>
                <w:rFonts w:hint="eastAsia" w:ascii="宋体" w:hAnsi="宋体" w:cs="宋体"/>
                <w:color w:val="auto"/>
                <w:szCs w:val="21"/>
                <w:highlight w:val="none"/>
                <w:u w:val="single"/>
              </w:rPr>
              <w:t xml:space="preserve">    3</w:t>
            </w:r>
            <w:r>
              <w:rPr>
                <w:rFonts w:hint="eastAsia" w:ascii="宋体" w:hAnsi="宋体" w:cs="宋体"/>
                <w:color w:val="auto"/>
                <w:szCs w:val="21"/>
                <w:highlight w:val="none"/>
              </w:rPr>
              <w:t>个月的依法缴纳社会保障资金的缴费</w:t>
            </w:r>
            <w:r>
              <w:rPr>
                <w:rFonts w:hint="eastAsia"/>
                <w:color w:val="auto"/>
                <w:highlight w:val="none"/>
              </w:rPr>
              <w:t>证明材料</w:t>
            </w:r>
            <w:r>
              <w:rPr>
                <w:rFonts w:hint="eastAsia" w:ascii="宋体" w:hAnsi="宋体" w:cs="宋体"/>
                <w:color w:val="auto"/>
                <w:szCs w:val="21"/>
                <w:highlight w:val="none"/>
              </w:rPr>
              <w:t>（</w:t>
            </w:r>
            <w:r>
              <w:rPr>
                <w:rFonts w:hint="eastAsia"/>
                <w:color w:val="auto"/>
                <w:highlight w:val="none"/>
              </w:rPr>
              <w:t>如：</w:t>
            </w:r>
            <w:r>
              <w:rPr>
                <w:rFonts w:hint="eastAsia" w:ascii="宋体" w:hAnsi="宋体" w:cs="宋体"/>
                <w:color w:val="auto"/>
                <w:szCs w:val="21"/>
                <w:highlight w:val="none"/>
              </w:rPr>
              <w:t>专用收据、社会保险缴纳清单或者社保部门的证明）复印件；</w:t>
            </w:r>
            <w:r>
              <w:rPr>
                <w:rFonts w:hint="eastAsia" w:ascii="宋体" w:hAnsi="宋体"/>
                <w:color w:val="auto"/>
                <w:szCs w:val="21"/>
                <w:highlight w:val="none"/>
              </w:rPr>
              <w:t>依法不需要缴纳社会保障资金的供应商，必须提供相应文件证明不需要缴纳社会保障资金。</w:t>
            </w:r>
            <w:r>
              <w:rPr>
                <w:rFonts w:hint="eastAsia" w:ascii="宋体" w:hAnsi="宋体" w:cs="宋体"/>
                <w:color w:val="auto"/>
                <w:szCs w:val="21"/>
                <w:highlight w:val="none"/>
              </w:rPr>
              <w:t>从</w:t>
            </w:r>
            <w:r>
              <w:rPr>
                <w:rFonts w:hint="eastAsia"/>
                <w:color w:val="auto"/>
                <w:szCs w:val="21"/>
                <w:highlight w:val="none"/>
              </w:rPr>
              <w:t>成立之日起</w:t>
            </w:r>
            <w:r>
              <w:rPr>
                <w:rFonts w:hint="eastAsia" w:ascii="宋体" w:hAnsi="宋体" w:cs="宋体"/>
                <w:color w:val="auto"/>
                <w:szCs w:val="21"/>
                <w:highlight w:val="none"/>
              </w:rPr>
              <w:t>到投标文件提交截止时间止不足要求月数的只需提供从</w:t>
            </w:r>
            <w:r>
              <w:rPr>
                <w:rFonts w:hint="eastAsia"/>
                <w:color w:val="auto"/>
                <w:szCs w:val="21"/>
                <w:highlight w:val="none"/>
              </w:rPr>
              <w:t>成立之日起</w:t>
            </w:r>
            <w:r>
              <w:rPr>
                <w:rFonts w:hint="eastAsia" w:ascii="宋体" w:hAnsi="宋体" w:cs="宋体"/>
                <w:color w:val="auto"/>
                <w:szCs w:val="21"/>
                <w:highlight w:val="none"/>
              </w:rPr>
              <w:t>的依法缴纳社会保障资金的</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01E99248">
            <w:pPr>
              <w:snapToGrid w:val="0"/>
              <w:spacing w:line="360" w:lineRule="auto"/>
              <w:ind w:firstLine="420" w:firstLineChars="200"/>
              <w:jc w:val="left"/>
              <w:rPr>
                <w:rFonts w:ascii="宋体" w:hAnsi="宋体" w:cs="Courier New"/>
                <w:b/>
                <w:color w:val="auto"/>
                <w:szCs w:val="21"/>
                <w:highlight w:val="none"/>
              </w:rPr>
            </w:pPr>
            <w:r>
              <w:rPr>
                <w:rFonts w:hint="eastAsia" w:ascii="宋体" w:hAnsi="宋体" w:cs="宋体"/>
                <w:color w:val="auto"/>
                <w:szCs w:val="21"/>
                <w:highlight w:val="none"/>
              </w:rPr>
              <w:t>4.投标人</w:t>
            </w:r>
            <w:r>
              <w:rPr>
                <w:rFonts w:hint="eastAsia"/>
                <w:color w:val="auto"/>
                <w:szCs w:val="21"/>
                <w:highlight w:val="none"/>
              </w:rPr>
              <w:t>财务状况报告</w:t>
            </w:r>
            <w:r>
              <w:rPr>
                <w:rFonts w:hint="eastAsia" w:ascii="宋体" w:hAnsi="宋体"/>
                <w:color w:val="auto"/>
                <w:szCs w:val="21"/>
                <w:highlight w:val="none"/>
              </w:rPr>
              <w:t>[</w:t>
            </w:r>
            <w:r>
              <w:rPr>
                <w:rFonts w:hint="eastAsia" w:ascii="宋体" w:hAnsi="宋体"/>
                <w:color w:val="auto"/>
                <w:szCs w:val="21"/>
                <w:highlight w:val="none"/>
                <w:u w:val="single"/>
              </w:rPr>
              <w:t>2023</w:t>
            </w:r>
            <w:r>
              <w:rPr>
                <w:rFonts w:hint="eastAsia" w:ascii="宋体" w:hAnsi="宋体"/>
                <w:color w:val="auto"/>
                <w:szCs w:val="21"/>
                <w:highlight w:val="none"/>
              </w:rPr>
              <w:t>年度财务报表复印件，或者银行出具的资信证明，或者中国人民银行征信中心出具的信用报告（企业投标的提供企业信用报告，自然人投标的提供个人信用报告</w:t>
            </w:r>
            <w:r>
              <w:rPr>
                <w:rFonts w:hint="eastAsia" w:ascii="宋体" w:hAnsi="宋体"/>
                <w:color w:val="auto"/>
                <w:highlight w:val="none"/>
              </w:rPr>
              <w:t>，投标人</w:t>
            </w:r>
            <w:r>
              <w:rPr>
                <w:rFonts w:ascii="宋体" w:hAnsi="宋体"/>
                <w:color w:val="auto"/>
                <w:highlight w:val="none"/>
              </w:rPr>
              <w:t>属于成立时间在规定年度之后的法人或其他组织</w:t>
            </w:r>
            <w:r>
              <w:rPr>
                <w:rFonts w:hint="eastAsia" w:ascii="宋体" w:hAnsi="宋体"/>
                <w:color w:val="auto"/>
                <w:highlight w:val="none"/>
              </w:rPr>
              <w:t>，需提供成立之日起至投标截止时间前的月报表</w:t>
            </w:r>
            <w:r>
              <w:rPr>
                <w:rFonts w:hint="eastAsia" w:ascii="宋体" w:hAnsi="宋体"/>
                <w:color w:val="auto"/>
                <w:szCs w:val="21"/>
                <w:highlight w:val="none"/>
              </w:rPr>
              <w:t>或银行出具的资信证明或者中国人民银行征信中心出具的企业信用报告；资信证明应在有效期内，未注明有效期的，银行出具时间至投标截止时间不超过一年]</w:t>
            </w:r>
            <w:r>
              <w:rPr>
                <w:rFonts w:hint="eastAsia"/>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4AF45EFF">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5.投标人直接控股股东信息表（格式后附）；（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23057A30">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 投标人直接管理关系信息表（格式后附）；（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3C8ACC38">
            <w:pPr>
              <w:snapToGrid w:val="0"/>
              <w:spacing w:line="360" w:lineRule="auto"/>
              <w:ind w:firstLine="420" w:firstLineChars="200"/>
              <w:jc w:val="left"/>
              <w:rPr>
                <w:rFonts w:ascii="宋体" w:hAnsi="宋体" w:cs="Courier New"/>
                <w:b/>
                <w:color w:val="auto"/>
                <w:szCs w:val="21"/>
                <w:highlight w:val="none"/>
              </w:rPr>
            </w:pPr>
            <w:r>
              <w:rPr>
                <w:rFonts w:hint="eastAsia" w:ascii="宋体" w:hAnsi="宋体"/>
                <w:color w:val="auto"/>
                <w:szCs w:val="21"/>
                <w:highlight w:val="none"/>
              </w:rPr>
              <w:t>7.投标声明（格式后附）；（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4A2C5882">
            <w:pPr>
              <w:snapToGrid w:val="0"/>
              <w:spacing w:line="360" w:lineRule="auto"/>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8.本项目特定资格：（</w:t>
            </w:r>
            <w:r>
              <w:rPr>
                <w:rFonts w:hint="eastAsia" w:ascii="宋体" w:hAnsi="宋体" w:cs="宋体"/>
                <w:b/>
                <w:color w:val="auto"/>
                <w:szCs w:val="21"/>
                <w:highlight w:val="none"/>
              </w:rPr>
              <w:t>必须提供，否则投标文件按无效处理</w:t>
            </w:r>
            <w:r>
              <w:rPr>
                <w:rFonts w:hint="eastAsia" w:ascii="宋体" w:hAnsi="宋体" w:cs="宋体"/>
                <w:color w:val="auto"/>
                <w:szCs w:val="21"/>
                <w:highlight w:val="none"/>
              </w:rPr>
              <w:t>）</w:t>
            </w:r>
          </w:p>
          <w:p w14:paraId="18F5EDD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标的属第二类医疗器械的，应提供有效的医疗器械经营备案凭证（经营范围包含采购的第二类医疗器械），符合《医疗器械监督管理条例》（国务院令第739号）第四十一条第二款规定的除外；如供应商符合《医疗器械监督管理条例》第四十三条“医疗器械注册人、备案人经营其注册、备案的医疗器械，无需办理医疗器械经营许可或者备案，但应当符合本条例规定的经营条件”规定的，仅需提供该医疗器械注册证（另附表格列明所投标对应产品的名称和规格型号，格式自拟）。</w:t>
            </w:r>
          </w:p>
          <w:p w14:paraId="7DE9A98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标的属第三类医疗器械的，应提供有效的医疗器械经营许可证（经营范围包含采购的第三类医疗器械）；如供应商符合《医疗器械监督管理条例》第四十三条“医疗器械注册人、备案人经营其注册、备案的医疗器械，无需办理医疗器械经营许可或者备案，但应当符合本条例规定的经营条件”规定的，仅需提供该医疗器械注册证（另附表格列明所投标对应产品的名称和规格型号，格式自拟）。</w:t>
            </w:r>
          </w:p>
          <w:p w14:paraId="66ABB1C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（3）标的有第二类和第三类医疗器械的，应按上述（1）（2）要求提供。</w:t>
            </w:r>
          </w:p>
          <w:p w14:paraId="35D748AC">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9.除招标文件规定必须提供以外，投标人认为需要提供的其他证明材料。</w:t>
            </w:r>
          </w:p>
          <w:p w14:paraId="180BA5A0">
            <w:pPr>
              <w:snapToGrid w:val="0"/>
              <w:spacing w:line="360" w:lineRule="auto"/>
              <w:jc w:val="left"/>
              <w:rPr>
                <w:rFonts w:ascii="宋体" w:hAnsi="宋体"/>
                <w:b/>
                <w:bCs/>
                <w:color w:val="auto"/>
                <w:szCs w:val="21"/>
                <w:highlight w:val="none"/>
              </w:rPr>
            </w:pPr>
            <w:r>
              <w:rPr>
                <w:rFonts w:hint="eastAsia" w:ascii="宋体" w:hAnsi="宋体"/>
                <w:b/>
                <w:bCs/>
                <w:color w:val="auto"/>
                <w:szCs w:val="21"/>
                <w:highlight w:val="none"/>
              </w:rPr>
              <w:t>注：1.</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以上标明“必须提供”的材料，格式</w:t>
            </w:r>
            <w:r>
              <w:rPr>
                <w:rFonts w:hint="eastAsia" w:ascii="宋体" w:hAnsi="宋体" w:cs="宋体"/>
                <w:b/>
                <w:color w:val="auto"/>
                <w:szCs w:val="21"/>
                <w:highlight w:val="none"/>
              </w:rPr>
              <w:t>中有要求法定代表人或者委托代理人签字的，必须按要求签字并加盖投标人电子签章</w:t>
            </w:r>
            <w:r>
              <w:rPr>
                <w:rFonts w:hint="eastAsia" w:ascii="宋体" w:hAnsi="宋体"/>
                <w:b/>
                <w:bCs/>
                <w:color w:val="auto"/>
                <w:szCs w:val="21"/>
                <w:highlight w:val="none"/>
              </w:rPr>
              <w:t>，否则按无效投标</w:t>
            </w:r>
            <w:r>
              <w:rPr>
                <w:rFonts w:hint="eastAsia" w:ascii="宋体" w:hAnsi="宋体" w:cs="Courier New"/>
                <w:b/>
                <w:color w:val="auto"/>
                <w:szCs w:val="21"/>
                <w:highlight w:val="none"/>
              </w:rPr>
              <w:t>处理。</w:t>
            </w:r>
          </w:p>
        </w:tc>
      </w:tr>
      <w:tr w14:paraId="1531F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vAlign w:val="center"/>
          </w:tcPr>
          <w:p w14:paraId="67764064">
            <w:pPr>
              <w:spacing w:line="360" w:lineRule="auto"/>
              <w:rPr>
                <w:rFonts w:ascii="宋体" w:hAnsi="宋体"/>
                <w:color w:val="auto"/>
                <w:szCs w:val="21"/>
                <w:highlight w:val="none"/>
              </w:rPr>
            </w:pPr>
            <w:bookmarkStart w:id="71" w:name="_13.3"/>
            <w:bookmarkEnd w:id="71"/>
          </w:p>
        </w:tc>
        <w:tc>
          <w:tcPr>
            <w:tcW w:w="8670" w:type="dxa"/>
            <w:tcBorders>
              <w:top w:val="single" w:color="auto" w:sz="4" w:space="0"/>
              <w:left w:val="single" w:color="auto" w:sz="4" w:space="0"/>
              <w:bottom w:val="single" w:color="auto" w:sz="4" w:space="0"/>
              <w:right w:val="single" w:color="auto" w:sz="4" w:space="0"/>
            </w:tcBorders>
            <w:vAlign w:val="center"/>
          </w:tcPr>
          <w:p w14:paraId="14767FF5">
            <w:pPr>
              <w:snapToGrid w:val="0"/>
              <w:spacing w:line="360" w:lineRule="auto"/>
              <w:jc w:val="left"/>
              <w:rPr>
                <w:rFonts w:ascii="宋体" w:hAnsi="宋体" w:cs="Courier New"/>
                <w:b/>
                <w:color w:val="auto"/>
                <w:szCs w:val="21"/>
                <w:highlight w:val="none"/>
              </w:rPr>
            </w:pPr>
            <w:r>
              <w:rPr>
                <w:rFonts w:hint="eastAsia"/>
                <w:b/>
                <w:color w:val="auto"/>
                <w:kern w:val="0"/>
                <w:highlight w:val="none"/>
                <w:u w:val="single"/>
              </w:rPr>
              <w:t>商务及技术文件</w:t>
            </w:r>
            <w:r>
              <w:rPr>
                <w:rFonts w:hint="eastAsia" w:ascii="宋体" w:hAnsi="宋体" w:cs="Courier New"/>
                <w:b/>
                <w:color w:val="auto"/>
                <w:szCs w:val="21"/>
                <w:highlight w:val="none"/>
              </w:rPr>
              <w:t>：</w:t>
            </w:r>
          </w:p>
          <w:p w14:paraId="4CF223B3">
            <w:pPr>
              <w:snapToGrid w:val="0"/>
              <w:spacing w:line="360" w:lineRule="auto"/>
              <w:ind w:left="413"/>
              <w:jc w:val="left"/>
              <w:rPr>
                <w:rFonts w:ascii="宋体" w:hAnsi="宋体"/>
                <w:color w:val="auto"/>
                <w:szCs w:val="21"/>
                <w:highlight w:val="none"/>
              </w:rPr>
            </w:pPr>
            <w:r>
              <w:rPr>
                <w:rFonts w:hint="eastAsia" w:ascii="宋体" w:hAnsi="宋体"/>
                <w:color w:val="auto"/>
                <w:szCs w:val="21"/>
                <w:highlight w:val="none"/>
              </w:rPr>
              <w:t>1.无串通投标行为的承诺函（格式后附）；（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350C316E">
            <w:pPr>
              <w:snapToGrid w:val="0"/>
              <w:spacing w:line="360" w:lineRule="auto"/>
              <w:ind w:left="413"/>
              <w:jc w:val="left"/>
              <w:rPr>
                <w:rFonts w:ascii="宋体" w:hAnsi="宋体"/>
                <w:color w:val="auto"/>
                <w:szCs w:val="21"/>
                <w:highlight w:val="none"/>
              </w:rPr>
            </w:pPr>
            <w:r>
              <w:rPr>
                <w:rFonts w:hint="eastAsia" w:ascii="宋体" w:hAnsi="宋体"/>
                <w:color w:val="auto"/>
                <w:szCs w:val="21"/>
                <w:highlight w:val="none"/>
              </w:rPr>
              <w:t>2.投标保证金提交凭证；（</w:t>
            </w:r>
            <w:r>
              <w:rPr>
                <w:rFonts w:hint="eastAsia"/>
                <w:b/>
                <w:bCs/>
                <w:color w:val="auto"/>
                <w:highlight w:val="none"/>
              </w:rPr>
              <w:t>必须提供</w:t>
            </w:r>
            <w:r>
              <w:rPr>
                <w:rFonts w:hint="eastAsia" w:ascii="宋体" w:hAnsi="宋体"/>
                <w:b/>
                <w:color w:val="auto"/>
                <w:szCs w:val="21"/>
                <w:highlight w:val="none"/>
              </w:rPr>
              <w:t>，否则按无效投标处理</w:t>
            </w:r>
            <w:r>
              <w:rPr>
                <w:rFonts w:hint="eastAsia" w:ascii="宋体" w:hAnsi="宋体"/>
                <w:color w:val="auto"/>
                <w:szCs w:val="21"/>
                <w:highlight w:val="none"/>
              </w:rPr>
              <w:t>）</w:t>
            </w:r>
          </w:p>
          <w:p w14:paraId="49362619">
            <w:pPr>
              <w:snapToGrid w:val="0"/>
              <w:spacing w:line="360" w:lineRule="auto"/>
              <w:ind w:left="413"/>
              <w:jc w:val="left"/>
              <w:rPr>
                <w:rFonts w:ascii="宋体" w:hAnsi="宋体"/>
                <w:color w:val="auto"/>
                <w:szCs w:val="21"/>
                <w:highlight w:val="none"/>
              </w:rPr>
            </w:pPr>
            <w:r>
              <w:rPr>
                <w:rFonts w:hint="eastAsia" w:ascii="宋体" w:hAnsi="宋体"/>
                <w:color w:val="auto"/>
                <w:szCs w:val="21"/>
                <w:highlight w:val="none"/>
              </w:rPr>
              <w:t>3.法定代表人身份证明及法定代表人有效身份证正反面复印件（格式后附）；（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47CC4E79">
            <w:pPr>
              <w:snapToGrid w:val="0"/>
              <w:spacing w:line="360" w:lineRule="auto"/>
              <w:ind w:left="413"/>
              <w:jc w:val="left"/>
              <w:rPr>
                <w:rFonts w:ascii="宋体" w:hAnsi="宋体"/>
                <w:color w:val="auto"/>
                <w:szCs w:val="21"/>
                <w:highlight w:val="none"/>
              </w:rPr>
            </w:pPr>
            <w:r>
              <w:rPr>
                <w:rFonts w:hint="eastAsia" w:ascii="宋体" w:hAnsi="宋体"/>
                <w:color w:val="auto"/>
                <w:szCs w:val="21"/>
                <w:highlight w:val="none"/>
              </w:rPr>
              <w:t>4.授权委托书及委托代理人有效身份证正反面复印件（格式后附）；（</w:t>
            </w:r>
            <w:r>
              <w:rPr>
                <w:rFonts w:hint="eastAsia" w:ascii="宋体" w:hAnsi="宋体"/>
                <w:b/>
                <w:color w:val="auto"/>
                <w:szCs w:val="21"/>
                <w:highlight w:val="none"/>
              </w:rPr>
              <w:t>委托时必须提供，否则按无效投标处理</w:t>
            </w:r>
            <w:r>
              <w:rPr>
                <w:rFonts w:hint="eastAsia" w:ascii="宋体" w:hAnsi="宋体"/>
                <w:color w:val="auto"/>
                <w:szCs w:val="21"/>
                <w:highlight w:val="none"/>
              </w:rPr>
              <w:t>）</w:t>
            </w:r>
          </w:p>
          <w:p w14:paraId="7521A15A">
            <w:pPr>
              <w:snapToGrid w:val="0"/>
              <w:spacing w:line="360" w:lineRule="auto"/>
              <w:ind w:left="413"/>
              <w:jc w:val="left"/>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商务要求偏离表（格式后附）；（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1E17BB75">
            <w:pPr>
              <w:snapToGrid w:val="0"/>
              <w:spacing w:line="360" w:lineRule="auto"/>
              <w:ind w:left="420"/>
              <w:jc w:val="left"/>
              <w:rPr>
                <w:rFonts w:ascii="宋体" w:hAnsi="宋体"/>
                <w:color w:val="auto"/>
                <w:szCs w:val="21"/>
                <w:highlight w:val="none"/>
              </w:rPr>
            </w:pPr>
            <w:r>
              <w:rPr>
                <w:rFonts w:hint="eastAsia" w:ascii="宋体" w:hAnsi="宋体"/>
                <w:color w:val="auto"/>
                <w:szCs w:val="21"/>
                <w:highlight w:val="none"/>
              </w:rPr>
              <w:t>6.设备性能配置清单（格式后附）；（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26CA5EFB">
            <w:pPr>
              <w:snapToGrid w:val="0"/>
              <w:spacing w:line="360" w:lineRule="auto"/>
              <w:ind w:left="420"/>
              <w:jc w:val="left"/>
              <w:rPr>
                <w:rFonts w:ascii="宋体" w:hAnsi="宋体"/>
                <w:color w:val="auto"/>
                <w:szCs w:val="21"/>
                <w:highlight w:val="none"/>
              </w:rPr>
            </w:pPr>
            <w:r>
              <w:rPr>
                <w:rFonts w:hint="eastAsia" w:ascii="宋体" w:hAnsi="宋体"/>
                <w:color w:val="auto"/>
                <w:szCs w:val="21"/>
                <w:highlight w:val="none"/>
              </w:rPr>
              <w:t>7.技术要求偏离表（格式后附）；（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4AB17B12">
            <w:pPr>
              <w:snapToGrid w:val="0"/>
              <w:spacing w:line="360" w:lineRule="auto"/>
              <w:ind w:left="420"/>
              <w:jc w:val="left"/>
              <w:rPr>
                <w:rFonts w:ascii="宋体" w:hAnsi="宋体"/>
                <w:color w:val="auto"/>
                <w:szCs w:val="21"/>
                <w:highlight w:val="none"/>
              </w:rPr>
            </w:pPr>
            <w:r>
              <w:rPr>
                <w:rFonts w:hint="eastAsia" w:ascii="宋体" w:hAnsi="宋体"/>
                <w:color w:val="auto"/>
                <w:szCs w:val="21"/>
                <w:highlight w:val="none"/>
              </w:rPr>
              <w:t>8.项目实施方案（格式自拟）；</w:t>
            </w:r>
          </w:p>
          <w:p w14:paraId="7FB96745">
            <w:pPr>
              <w:snapToGrid w:val="0"/>
              <w:spacing w:line="360" w:lineRule="auto"/>
              <w:ind w:left="420"/>
              <w:jc w:val="left"/>
              <w:rPr>
                <w:rFonts w:ascii="宋体" w:hAnsi="宋体"/>
                <w:color w:val="auto"/>
                <w:szCs w:val="21"/>
                <w:highlight w:val="none"/>
              </w:rPr>
            </w:pPr>
            <w:r>
              <w:rPr>
                <w:rFonts w:hint="eastAsia" w:ascii="宋体" w:hAnsi="宋体"/>
                <w:color w:val="auto"/>
                <w:szCs w:val="21"/>
                <w:highlight w:val="none"/>
              </w:rPr>
              <w:t>9.售后服务方案（格式自拟）；</w:t>
            </w:r>
          </w:p>
          <w:p w14:paraId="44B5052E">
            <w:pPr>
              <w:snapToGrid w:val="0"/>
              <w:spacing w:line="360" w:lineRule="auto"/>
              <w:ind w:left="420"/>
              <w:jc w:val="left"/>
              <w:rPr>
                <w:rFonts w:ascii="宋体" w:hAnsi="宋体"/>
                <w:bCs/>
                <w:color w:val="auto"/>
                <w:szCs w:val="21"/>
                <w:highlight w:val="none"/>
              </w:rPr>
            </w:pPr>
            <w:r>
              <w:rPr>
                <w:rFonts w:hint="eastAsia" w:ascii="宋体" w:hAnsi="宋体"/>
                <w:color w:val="auto"/>
                <w:szCs w:val="21"/>
                <w:highlight w:val="none"/>
              </w:rPr>
              <w:t>10.除招标文件规定必须提供以外，投标人认为需要提供的其他证明材料（格式自拟）。</w:t>
            </w:r>
          </w:p>
          <w:p w14:paraId="0C22D84C">
            <w:pPr>
              <w:snapToGrid w:val="0"/>
              <w:spacing w:line="360" w:lineRule="auto"/>
              <w:ind w:left="413"/>
              <w:jc w:val="left"/>
              <w:rPr>
                <w:rFonts w:ascii="宋体" w:hAnsi="宋体"/>
                <w:color w:val="auto"/>
                <w:szCs w:val="21"/>
                <w:highlight w:val="none"/>
              </w:rPr>
            </w:pPr>
            <w:r>
              <w:rPr>
                <w:rFonts w:hint="eastAsia" w:ascii="宋体" w:hAnsi="宋体"/>
                <w:color w:val="auto"/>
                <w:szCs w:val="21"/>
                <w:highlight w:val="none"/>
              </w:rPr>
              <w:t>（投标人根据“第二章 采购需求”及“第四章 评标方法及评标标准”提供有关证明材料）。</w:t>
            </w:r>
          </w:p>
          <w:p w14:paraId="2577558A">
            <w:pPr>
              <w:snapToGrid w:val="0"/>
              <w:spacing w:line="360" w:lineRule="auto"/>
              <w:jc w:val="left"/>
              <w:rPr>
                <w:rFonts w:ascii="宋体" w:hAnsi="宋体"/>
                <w:color w:val="auto"/>
                <w:szCs w:val="21"/>
                <w:highlight w:val="none"/>
              </w:rPr>
            </w:pPr>
            <w:r>
              <w:rPr>
                <w:rFonts w:hint="eastAsia" w:ascii="宋体" w:hAnsi="宋体"/>
                <w:b/>
                <w:bCs/>
                <w:color w:val="auto"/>
                <w:szCs w:val="21"/>
                <w:highlight w:val="none"/>
              </w:rPr>
              <w:t>注：以上标明“必须提供”的材料，格式</w:t>
            </w:r>
            <w:r>
              <w:rPr>
                <w:rFonts w:hint="eastAsia" w:ascii="宋体" w:hAnsi="宋体" w:cs="宋体"/>
                <w:b/>
                <w:color w:val="auto"/>
                <w:szCs w:val="21"/>
                <w:highlight w:val="none"/>
              </w:rPr>
              <w:t>中有要求法定代表人或者委托代理人签字的，必须按要求签字并加盖投标人电子签章</w:t>
            </w:r>
            <w:r>
              <w:rPr>
                <w:rFonts w:hint="eastAsia" w:ascii="宋体" w:hAnsi="宋体"/>
                <w:b/>
                <w:bCs/>
                <w:color w:val="auto"/>
                <w:szCs w:val="21"/>
                <w:highlight w:val="none"/>
              </w:rPr>
              <w:t>，否则按无效投标</w:t>
            </w:r>
            <w:r>
              <w:rPr>
                <w:rFonts w:hint="eastAsia" w:ascii="宋体" w:hAnsi="宋体" w:cs="Courier New"/>
                <w:b/>
                <w:color w:val="auto"/>
                <w:szCs w:val="21"/>
                <w:highlight w:val="none"/>
              </w:rPr>
              <w:t>处理。</w:t>
            </w:r>
          </w:p>
        </w:tc>
      </w:tr>
      <w:tr w14:paraId="0EC37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5E879BEE">
            <w:pPr>
              <w:spacing w:line="360" w:lineRule="auto"/>
              <w:jc w:val="center"/>
              <w:rPr>
                <w:rFonts w:ascii="宋体" w:hAnsi="宋体"/>
                <w:color w:val="auto"/>
                <w:szCs w:val="21"/>
                <w:highlight w:val="none"/>
              </w:rPr>
            </w:pPr>
            <w:bookmarkStart w:id="72" w:name="_13.4"/>
            <w:bookmarkEnd w:id="72"/>
            <w:bookmarkStart w:id="73" w:name="_16.2"/>
            <w:bookmarkEnd w:id="73"/>
            <w:bookmarkStart w:id="74" w:name="_13.5"/>
            <w:bookmarkEnd w:id="74"/>
            <w:r>
              <w:rPr>
                <w:rFonts w:hint="eastAsia" w:ascii="宋体" w:hAnsi="宋体"/>
                <w:color w:val="auto"/>
                <w:szCs w:val="21"/>
                <w:highlight w:val="none"/>
              </w:rPr>
              <w:t>16</w:t>
            </w:r>
            <w:bookmarkStart w:id="75" w:name="_Hlt19693759"/>
            <w:bookmarkStart w:id="76" w:name="_Hlt19194067"/>
            <w:bookmarkStart w:id="77" w:name="_Hlt19693758"/>
            <w:bookmarkStart w:id="78" w:name="_Hlt19194066"/>
            <w:r>
              <w:rPr>
                <w:rFonts w:hint="eastAsia" w:ascii="宋体" w:hAnsi="宋体"/>
                <w:color w:val="auto"/>
                <w:szCs w:val="21"/>
                <w:highlight w:val="none"/>
              </w:rPr>
              <w:t>.</w:t>
            </w:r>
            <w:bookmarkEnd w:id="75"/>
            <w:bookmarkEnd w:id="76"/>
            <w:bookmarkEnd w:id="77"/>
            <w:bookmarkEnd w:id="78"/>
            <w:r>
              <w:rPr>
                <w:rFonts w:hint="eastAsia" w:ascii="宋体" w:hAnsi="宋体"/>
                <w:color w:val="auto"/>
                <w:szCs w:val="21"/>
                <w:highlight w:val="none"/>
              </w:rPr>
              <w:t>2</w:t>
            </w:r>
          </w:p>
        </w:tc>
        <w:tc>
          <w:tcPr>
            <w:tcW w:w="8670" w:type="dxa"/>
            <w:tcBorders>
              <w:top w:val="single" w:color="auto" w:sz="4" w:space="0"/>
              <w:left w:val="single" w:color="auto" w:sz="4" w:space="0"/>
              <w:bottom w:val="single" w:color="auto" w:sz="4" w:space="0"/>
              <w:right w:val="single" w:color="auto" w:sz="4" w:space="0"/>
            </w:tcBorders>
            <w:vAlign w:val="center"/>
          </w:tcPr>
          <w:p w14:paraId="476A7937">
            <w:pPr>
              <w:snapToGrid w:val="0"/>
              <w:spacing w:line="360" w:lineRule="auto"/>
              <w:rPr>
                <w:rFonts w:ascii="宋体" w:hAnsi="宋体"/>
                <w:b/>
                <w:color w:val="auto"/>
                <w:szCs w:val="21"/>
                <w:highlight w:val="none"/>
              </w:rPr>
            </w:pPr>
            <w:r>
              <w:rPr>
                <w:rFonts w:hint="eastAsia" w:ascii="宋体" w:hAnsi="宋体"/>
                <w:color w:val="auto"/>
                <w:szCs w:val="21"/>
                <w:highlight w:val="none"/>
              </w:rPr>
              <w:t>投标报价是履行合同的最终价格，包括投标货物（包括备品备件、专用工具等）的价格（包括已在中国境内的进口货物完税后的仓库交货价、展室交货价或者货架交货价），投标货物运输（含保险）、安装（如有）、调试、检验、技术服务、培训和招标文件要求提供的所有伴随服务、工程等费用和税费。</w:t>
            </w:r>
            <w:r>
              <w:rPr>
                <w:rFonts w:hint="eastAsia" w:ascii="宋体" w:hAnsi="宋体"/>
                <w:b/>
                <w:color w:val="auto"/>
                <w:szCs w:val="21"/>
                <w:highlight w:val="none"/>
              </w:rPr>
              <w:t>（采购需求另有约定的，从其约定。）</w:t>
            </w:r>
          </w:p>
        </w:tc>
      </w:tr>
      <w:tr w14:paraId="36C44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0BEBB8A9">
            <w:pPr>
              <w:spacing w:line="360" w:lineRule="auto"/>
              <w:jc w:val="center"/>
              <w:rPr>
                <w:rFonts w:ascii="宋体" w:hAnsi="宋体"/>
                <w:color w:val="auto"/>
                <w:szCs w:val="21"/>
                <w:highlight w:val="none"/>
              </w:rPr>
            </w:pPr>
            <w:bookmarkStart w:id="79" w:name="_17.1"/>
            <w:bookmarkEnd w:id="79"/>
            <w:r>
              <w:rPr>
                <w:rFonts w:hint="eastAsia" w:ascii="宋体" w:hAnsi="宋体"/>
                <w:color w:val="auto"/>
                <w:szCs w:val="21"/>
                <w:highlight w:val="none"/>
              </w:rPr>
              <w:t>17.</w:t>
            </w:r>
            <w:r>
              <w:rPr>
                <w:rFonts w:ascii="宋体" w:hAnsi="宋体"/>
                <w:color w:val="auto"/>
                <w:szCs w:val="21"/>
                <w:highlight w:val="none"/>
              </w:rPr>
              <w:t>2</w:t>
            </w:r>
          </w:p>
        </w:tc>
        <w:tc>
          <w:tcPr>
            <w:tcW w:w="8670" w:type="dxa"/>
            <w:tcBorders>
              <w:top w:val="single" w:color="auto" w:sz="4" w:space="0"/>
              <w:left w:val="single" w:color="auto" w:sz="4" w:space="0"/>
              <w:bottom w:val="single" w:color="auto" w:sz="4" w:space="0"/>
              <w:right w:val="single" w:color="auto" w:sz="4" w:space="0"/>
            </w:tcBorders>
            <w:vAlign w:val="center"/>
          </w:tcPr>
          <w:p w14:paraId="05DA70A3">
            <w:pPr>
              <w:snapToGrid w:val="0"/>
              <w:spacing w:line="360" w:lineRule="auto"/>
              <w:rPr>
                <w:rFonts w:ascii="宋体" w:hAnsi="宋体"/>
                <w:color w:val="auto"/>
                <w:szCs w:val="21"/>
                <w:highlight w:val="none"/>
              </w:rPr>
            </w:pPr>
            <w:r>
              <w:rPr>
                <w:rFonts w:hint="eastAsia" w:ascii="宋体" w:hAnsi="宋体"/>
                <w:color w:val="auto"/>
                <w:szCs w:val="21"/>
                <w:highlight w:val="none"/>
              </w:rPr>
              <w:t>投标有效期：自投标截止之日起</w:t>
            </w:r>
            <w:r>
              <w:rPr>
                <w:rFonts w:hint="eastAsia" w:ascii="宋体" w:hAnsi="宋体"/>
                <w:color w:val="auto"/>
                <w:szCs w:val="21"/>
                <w:highlight w:val="none"/>
                <w:u w:val="single"/>
              </w:rPr>
              <w:t>120</w:t>
            </w:r>
            <w:r>
              <w:rPr>
                <w:rFonts w:hint="eastAsia" w:ascii="宋体" w:hAnsi="宋体"/>
                <w:color w:val="auto"/>
                <w:szCs w:val="21"/>
                <w:highlight w:val="none"/>
              </w:rPr>
              <w:t>日。</w:t>
            </w:r>
          </w:p>
        </w:tc>
      </w:tr>
      <w:tr w14:paraId="0270E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F0D222D">
            <w:pPr>
              <w:spacing w:line="360" w:lineRule="auto"/>
              <w:jc w:val="center"/>
              <w:rPr>
                <w:rFonts w:ascii="宋体" w:hAnsi="宋体"/>
                <w:color w:val="auto"/>
                <w:szCs w:val="21"/>
                <w:highlight w:val="none"/>
              </w:rPr>
            </w:pPr>
            <w:bookmarkStart w:id="80" w:name="_18"/>
            <w:bookmarkEnd w:id="80"/>
            <w:r>
              <w:rPr>
                <w:rFonts w:hint="eastAsia" w:ascii="宋体" w:hAnsi="宋体"/>
                <w:color w:val="auto"/>
                <w:szCs w:val="21"/>
                <w:highlight w:val="none"/>
              </w:rPr>
              <w:t>18</w:t>
            </w:r>
            <w:r>
              <w:rPr>
                <w:rFonts w:ascii="宋体" w:hAnsi="宋体"/>
                <w:color w:val="auto"/>
                <w:szCs w:val="21"/>
                <w:highlight w:val="none"/>
              </w:rPr>
              <w:t>.1</w:t>
            </w:r>
          </w:p>
        </w:tc>
        <w:tc>
          <w:tcPr>
            <w:tcW w:w="8670" w:type="dxa"/>
            <w:tcBorders>
              <w:top w:val="single" w:color="auto" w:sz="4" w:space="0"/>
              <w:left w:val="single" w:color="auto" w:sz="4" w:space="0"/>
              <w:bottom w:val="single" w:color="auto" w:sz="4" w:space="0"/>
              <w:right w:val="single" w:color="auto" w:sz="4" w:space="0"/>
            </w:tcBorders>
            <w:vAlign w:val="center"/>
          </w:tcPr>
          <w:p w14:paraId="0A91856B">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□本项目不收取投标保证金。</w:t>
            </w:r>
          </w:p>
          <w:p w14:paraId="59E15D2D">
            <w:pPr>
              <w:snapToGrid w:val="0"/>
              <w:spacing w:line="360" w:lineRule="auto"/>
              <w:rPr>
                <w:rFonts w:ascii="宋体" w:hAnsi="宋体"/>
                <w:color w:val="auto"/>
                <w:szCs w:val="21"/>
                <w:highlight w:val="none"/>
              </w:rPr>
            </w:pPr>
            <w:r>
              <w:rPr>
                <w:rFonts w:hint="eastAsia" w:ascii="宋体" w:hAnsi="宋体"/>
                <w:color w:val="auto"/>
                <w:szCs w:val="21"/>
                <w:highlight w:val="none"/>
              </w:rPr>
              <w:t>☑本项目收取投标保证金，具体规定如下：</w:t>
            </w:r>
          </w:p>
          <w:p w14:paraId="75037B38">
            <w:pPr>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投标保证金人民币</w:t>
            </w:r>
            <w:r>
              <w:rPr>
                <w:rFonts w:hint="eastAsia" w:ascii="宋体" w:hAnsi="宋体" w:cs="宋体"/>
                <w:color w:val="auto"/>
                <w:kern w:val="0"/>
                <w:szCs w:val="21"/>
                <w:highlight w:val="none"/>
                <w:u w:val="single"/>
              </w:rPr>
              <w:t>19900</w:t>
            </w:r>
            <w:r>
              <w:rPr>
                <w:rFonts w:hint="eastAsia" w:ascii="宋体" w:hAnsi="宋体" w:cs="宋体"/>
                <w:color w:val="auto"/>
                <w:kern w:val="0"/>
                <w:szCs w:val="21"/>
                <w:highlight w:val="none"/>
              </w:rPr>
              <w:t>元。</w:t>
            </w:r>
          </w:p>
          <w:p w14:paraId="1C0DD775">
            <w:pPr>
              <w:snapToGrid w:val="0"/>
              <w:spacing w:line="360" w:lineRule="auto"/>
              <w:ind w:firstLine="420"/>
              <w:rPr>
                <w:rFonts w:ascii="宋体" w:hAnsi="宋体"/>
                <w:color w:val="auto"/>
                <w:szCs w:val="21"/>
                <w:highlight w:val="none"/>
              </w:rPr>
            </w:pPr>
            <w:r>
              <w:rPr>
                <w:rFonts w:hint="eastAsia" w:ascii="宋体" w:hAnsi="宋体" w:cs="宋体"/>
                <w:color w:val="auto"/>
                <w:kern w:val="0"/>
                <w:szCs w:val="21"/>
                <w:highlight w:val="none"/>
              </w:rPr>
              <w:t>投标保证金的交纳方式：银行转账、支票、汇票、本票或者银行、保险机构出具的保函</w:t>
            </w:r>
            <w:r>
              <w:rPr>
                <w:rFonts w:hint="eastAsia"/>
                <w:color w:val="auto"/>
                <w:highlight w:val="none"/>
              </w:rPr>
              <w:t>（包含电子保函</w:t>
            </w:r>
            <w:r>
              <w:rPr>
                <w:rFonts w:hint="eastAsia" w:ascii="宋体" w:hAnsi="宋体" w:cs="宋体"/>
                <w:color w:val="auto"/>
                <w:szCs w:val="21"/>
                <w:highlight w:val="none"/>
              </w:rPr>
              <w:t>）</w:t>
            </w:r>
            <w:r>
              <w:rPr>
                <w:rFonts w:hint="eastAsia" w:ascii="宋体" w:hAnsi="宋体" w:cs="宋体"/>
                <w:color w:val="auto"/>
                <w:kern w:val="0"/>
                <w:szCs w:val="21"/>
                <w:highlight w:val="none"/>
              </w:rPr>
              <w:t>，禁止采用现钞方式。采用银行转账方式的，在投标截止时间前</w:t>
            </w:r>
            <w:r>
              <w:rPr>
                <w:rFonts w:hint="eastAsia" w:ascii="宋体" w:hAnsi="宋体" w:cs="宋体"/>
                <w:color w:val="auto"/>
                <w:szCs w:val="21"/>
                <w:highlight w:val="none"/>
              </w:rPr>
              <w:t>从投标人账户</w:t>
            </w:r>
            <w:r>
              <w:rPr>
                <w:rFonts w:hint="eastAsia" w:ascii="宋体" w:hAnsi="宋体" w:cs="宋体"/>
                <w:color w:val="auto"/>
                <w:kern w:val="0"/>
                <w:szCs w:val="21"/>
                <w:highlight w:val="none"/>
              </w:rPr>
              <w:t>交至指定账户并且到账（</w:t>
            </w:r>
            <w:r>
              <w:rPr>
                <w:rFonts w:hint="eastAsia" w:ascii="宋体" w:hAnsi="宋体" w:cs="宋体"/>
                <w:b/>
                <w:bCs/>
                <w:color w:val="auto"/>
                <w:kern w:val="0"/>
                <w:szCs w:val="21"/>
                <w:highlight w:val="none"/>
              </w:rPr>
              <w:t>开</w:t>
            </w:r>
            <w:r>
              <w:rPr>
                <w:rFonts w:hint="eastAsia" w:ascii="宋体" w:hAnsi="宋体" w:cs="宋体"/>
                <w:b/>
                <w:bCs/>
                <w:color w:val="auto"/>
                <w:kern w:val="0"/>
                <w:szCs w:val="21"/>
                <w:highlight w:val="none"/>
              </w:rPr>
              <w:t>户银行：中信银行南宁东葛支行，开户名称：云之龙咨询集团有限公司梧州分公司，银行账号：8113001013700074625</w:t>
            </w:r>
            <w:r>
              <w:rPr>
                <w:rFonts w:hint="eastAsia" w:ascii="宋体" w:hAnsi="宋体" w:cs="宋体"/>
                <w:color w:val="auto"/>
                <w:kern w:val="0"/>
                <w:szCs w:val="21"/>
                <w:highlight w:val="none"/>
              </w:rPr>
              <w:t>）；采用支票、汇票、本票或者保函等方式的，在投标截止时间前，投标人必须递交单独密封的支票、汇票、本票或者保函原件。</w:t>
            </w:r>
            <w:r>
              <w:rPr>
                <w:rFonts w:hint="eastAsia" w:ascii="宋体" w:hAnsi="宋体" w:cs="宋体"/>
                <w:b/>
                <w:color w:val="auto"/>
                <w:kern w:val="0"/>
                <w:szCs w:val="21"/>
                <w:highlight w:val="none"/>
              </w:rPr>
              <w:t>否则视为无效投标保证金。</w:t>
            </w:r>
          </w:p>
          <w:p w14:paraId="2350A793">
            <w:pPr>
              <w:snapToGrid w:val="0"/>
              <w:spacing w:line="360" w:lineRule="auto"/>
              <w:rPr>
                <w:rFonts w:ascii="宋体" w:hAnsi="宋体"/>
                <w:color w:val="auto"/>
                <w:szCs w:val="21"/>
                <w:highlight w:val="none"/>
              </w:rPr>
            </w:pPr>
            <w:r>
              <w:rPr>
                <w:rFonts w:hint="eastAsia" w:ascii="宋体" w:hAnsi="宋体"/>
                <w:color w:val="auto"/>
                <w:szCs w:val="21"/>
                <w:highlight w:val="none"/>
              </w:rPr>
              <w:t>相关要求：</w:t>
            </w:r>
          </w:p>
          <w:p w14:paraId="76A36363">
            <w:pPr>
              <w:pStyle w:val="19"/>
              <w:spacing w:line="360" w:lineRule="auto"/>
              <w:rPr>
                <w:rFonts w:ascii="宋体" w:hAnsi="宋体"/>
                <w:color w:val="auto"/>
                <w:szCs w:val="21"/>
                <w:highlight w:val="none"/>
              </w:rPr>
            </w:pPr>
            <w:r>
              <w:rPr>
                <w:rFonts w:hint="eastAsia" w:ascii="宋体" w:hAnsi="宋体"/>
                <w:color w:val="auto"/>
                <w:szCs w:val="21"/>
                <w:highlight w:val="none"/>
              </w:rPr>
              <w:t>1.投标保证金采用银行转账交纳方式，在投标截止时间前交至指定账户并且到账，投标人应将银行转账底单的复印件作为投标保证金提交凭证，放置于商务及技术文件中，</w:t>
            </w:r>
            <w:r>
              <w:rPr>
                <w:rFonts w:hint="eastAsia" w:ascii="宋体" w:hAnsi="宋体"/>
                <w:b/>
                <w:color w:val="auto"/>
                <w:szCs w:val="21"/>
                <w:highlight w:val="none"/>
              </w:rPr>
              <w:t>否则投标无效</w:t>
            </w:r>
            <w:r>
              <w:rPr>
                <w:rFonts w:hint="eastAsia" w:ascii="宋体" w:hAnsi="宋体"/>
                <w:color w:val="auto"/>
                <w:szCs w:val="21"/>
                <w:highlight w:val="none"/>
              </w:rPr>
              <w:t>。</w:t>
            </w:r>
          </w:p>
          <w:p w14:paraId="274B9A7E">
            <w:pPr>
              <w:snapToGrid w:val="0"/>
              <w:spacing w:line="360" w:lineRule="auto"/>
              <w:rPr>
                <w:rFonts w:ascii="宋体" w:hAnsi="宋体"/>
                <w:color w:val="auto"/>
                <w:szCs w:val="21"/>
                <w:highlight w:val="none"/>
              </w:rPr>
            </w:pPr>
            <w:r>
              <w:rPr>
                <w:rFonts w:hint="eastAsia" w:ascii="宋体" w:hAnsi="宋体"/>
                <w:color w:val="auto"/>
                <w:szCs w:val="21"/>
                <w:highlight w:val="none"/>
              </w:rPr>
              <w:t>2.投标保证金采用支票、汇票、本票或者银行、保险机构出具的保函</w:t>
            </w:r>
            <w:r>
              <w:rPr>
                <w:rFonts w:hint="eastAsia"/>
                <w:color w:val="auto"/>
                <w:highlight w:val="none"/>
              </w:rPr>
              <w:t>（包含电子保函）</w:t>
            </w:r>
            <w:r>
              <w:rPr>
                <w:rFonts w:hint="eastAsia" w:ascii="宋体" w:hAnsi="宋体"/>
                <w:color w:val="auto"/>
                <w:szCs w:val="21"/>
                <w:highlight w:val="none"/>
              </w:rPr>
              <w:t>交纳方式的，投标人应将支票、汇票、本票或者银行、保险机构出具的保函</w:t>
            </w:r>
            <w:r>
              <w:rPr>
                <w:rFonts w:hint="eastAsia"/>
                <w:color w:val="auto"/>
                <w:highlight w:val="none"/>
              </w:rPr>
              <w:t>（包含电子保函）</w:t>
            </w:r>
            <w:r>
              <w:rPr>
                <w:rFonts w:hint="eastAsia" w:ascii="宋体" w:hAnsi="宋体"/>
                <w:color w:val="auto"/>
                <w:szCs w:val="21"/>
                <w:highlight w:val="none"/>
              </w:rPr>
              <w:t>的复印件作为投标保证金提交凭证，放置于商务及技术文件中，</w:t>
            </w:r>
            <w:r>
              <w:rPr>
                <w:rFonts w:hint="eastAsia" w:ascii="宋体" w:hAnsi="宋体"/>
                <w:b/>
                <w:color w:val="auto"/>
                <w:szCs w:val="21"/>
                <w:highlight w:val="none"/>
              </w:rPr>
              <w:t>否则投标无效</w:t>
            </w:r>
            <w:r>
              <w:rPr>
                <w:rFonts w:hint="eastAsia" w:ascii="宋体" w:hAnsi="宋体"/>
                <w:color w:val="auto"/>
                <w:szCs w:val="21"/>
                <w:highlight w:val="none"/>
              </w:rPr>
              <w:t>。投标人必须</w:t>
            </w:r>
            <w:r>
              <w:rPr>
                <w:rFonts w:hint="eastAsia"/>
                <w:color w:val="auto"/>
                <w:highlight w:val="none"/>
              </w:rPr>
              <w:t>在投标截止时间前采用现场或邮寄方式（现场提交地址：</w:t>
            </w:r>
            <w:r>
              <w:rPr>
                <w:rFonts w:hint="eastAsia" w:ascii="宋体" w:hAnsi="宋体"/>
                <w:color w:val="auto"/>
                <w:szCs w:val="21"/>
                <w:highlight w:val="none"/>
                <w:u w:val="single"/>
              </w:rPr>
              <w:t>云之龙咨询集团有限公司（梧州市新兴三路30号神冠豪都B栋1单元1008号房）</w:t>
            </w:r>
            <w:r>
              <w:rPr>
                <w:rFonts w:hint="eastAsia"/>
                <w:color w:val="auto"/>
                <w:highlight w:val="none"/>
              </w:rPr>
              <w:t>；邮寄地址：</w:t>
            </w:r>
            <w:r>
              <w:rPr>
                <w:rFonts w:hint="eastAsia" w:ascii="宋体" w:hAnsi="宋体"/>
                <w:color w:val="auto"/>
                <w:szCs w:val="21"/>
                <w:highlight w:val="none"/>
                <w:u w:val="single"/>
              </w:rPr>
              <w:t>云之龙咨询集团有限公司（梧州市新兴三路30号神冠豪都B栋1单元1008号房）</w:t>
            </w:r>
            <w:r>
              <w:rPr>
                <w:rFonts w:hint="eastAsia"/>
                <w:color w:val="auto"/>
                <w:highlight w:val="none"/>
              </w:rPr>
              <w:t>，收件人：</w:t>
            </w:r>
            <w:r>
              <w:rPr>
                <w:rFonts w:hint="eastAsia"/>
                <w:color w:val="auto"/>
                <w:highlight w:val="none"/>
                <w:u w:val="single"/>
              </w:rPr>
              <w:t>周子然</w:t>
            </w:r>
            <w:r>
              <w:rPr>
                <w:rFonts w:hint="eastAsia"/>
                <w:color w:val="auto"/>
                <w:highlight w:val="none"/>
              </w:rPr>
              <w:t>，联系方式：</w:t>
            </w:r>
            <w:r>
              <w:rPr>
                <w:rFonts w:hint="eastAsia"/>
                <w:color w:val="auto"/>
                <w:highlight w:val="none"/>
                <w:u w:val="single"/>
              </w:rPr>
              <w:t>0774-3859935</w:t>
            </w:r>
            <w:r>
              <w:rPr>
                <w:rFonts w:hint="eastAsia"/>
                <w:color w:val="auto"/>
                <w:highlight w:val="none"/>
              </w:rPr>
              <w:t>））</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支票、汇票、本票或者银行、保险机构出具的保函原件提交给采购人或者采购代理机构，未按时提交的</w:t>
            </w:r>
            <w:r>
              <w:rPr>
                <w:rFonts w:hint="eastAsia" w:ascii="宋体" w:hAnsi="宋体"/>
                <w:b/>
                <w:color w:val="auto"/>
                <w:szCs w:val="21"/>
                <w:highlight w:val="none"/>
              </w:rPr>
              <w:t>，投标无效</w:t>
            </w:r>
            <w:r>
              <w:rPr>
                <w:rFonts w:hint="eastAsia" w:ascii="宋体" w:hAnsi="宋体"/>
                <w:color w:val="auto"/>
                <w:szCs w:val="21"/>
                <w:highlight w:val="none"/>
              </w:rPr>
              <w:t>，由采购人或者采购代理机构向投标人出具回执（邮寄方式的除外），并妥善保管。</w:t>
            </w:r>
          </w:p>
          <w:p w14:paraId="7FAFD6C4">
            <w:pPr>
              <w:snapToGrid w:val="0"/>
              <w:spacing w:line="360" w:lineRule="auto"/>
              <w:rPr>
                <w:rFonts w:ascii="宋体" w:hAnsi="宋体" w:cs="宋体"/>
                <w:color w:val="auto"/>
                <w:szCs w:val="21"/>
                <w:highlight w:val="none"/>
              </w:rPr>
            </w:pPr>
            <w:r>
              <w:rPr>
                <w:rFonts w:hint="eastAsia" w:ascii="宋体" w:hAnsi="宋体"/>
                <w:color w:val="auto"/>
                <w:szCs w:val="21"/>
                <w:highlight w:val="none"/>
              </w:rPr>
              <w:t>3</w:t>
            </w:r>
            <w:r>
              <w:rPr>
                <w:rFonts w:hint="eastAsia" w:ascii="宋体" w:hAnsi="宋体" w:cs="宋体"/>
                <w:color w:val="auto"/>
                <w:szCs w:val="21"/>
                <w:highlight w:val="none"/>
              </w:rPr>
              <w:t>.投标人为联合体的，可以由联合体中的一方或者多方共同交纳投标保证金，其交纳的保证金对联合体各方均具有约束力。</w:t>
            </w:r>
          </w:p>
          <w:p w14:paraId="22F83FFE">
            <w:pPr>
              <w:snapToGrid w:val="0"/>
              <w:spacing w:line="360" w:lineRule="auto"/>
              <w:rPr>
                <w:rFonts w:ascii="宋体" w:hAnsi="宋体"/>
                <w:color w:val="auto"/>
                <w:szCs w:val="21"/>
                <w:highlight w:val="none"/>
              </w:rPr>
            </w:pPr>
          </w:p>
          <w:p w14:paraId="4C86C951">
            <w:pPr>
              <w:snapToGrid w:val="0"/>
              <w:spacing w:line="360" w:lineRule="auto"/>
              <w:rPr>
                <w:rFonts w:ascii="宋体" w:hAnsi="宋体"/>
                <w:b/>
                <w:color w:val="auto"/>
                <w:szCs w:val="21"/>
                <w:highlight w:val="none"/>
              </w:rPr>
            </w:pPr>
            <w:r>
              <w:rPr>
                <w:rFonts w:hint="eastAsia" w:ascii="宋体" w:hAnsi="宋体"/>
                <w:b/>
                <w:color w:val="auto"/>
                <w:szCs w:val="21"/>
                <w:highlight w:val="none"/>
              </w:rPr>
              <w:t xml:space="preserve">备注： </w:t>
            </w:r>
          </w:p>
          <w:p w14:paraId="53D5411A">
            <w:pPr>
              <w:snapToGrid w:val="0"/>
              <w:spacing w:line="360" w:lineRule="auto"/>
              <w:rPr>
                <w:rFonts w:ascii="宋体" w:hAnsi="宋体"/>
                <w:b/>
                <w:color w:val="auto"/>
                <w:szCs w:val="21"/>
                <w:highlight w:val="none"/>
              </w:rPr>
            </w:pPr>
            <w:r>
              <w:rPr>
                <w:rFonts w:hint="eastAsia" w:ascii="宋体" w:hAnsi="宋体"/>
                <w:b/>
                <w:color w:val="auto"/>
                <w:szCs w:val="21"/>
                <w:highlight w:val="none"/>
              </w:rPr>
              <w:t>1. 投标保证金在投标截止时间后提交的，或者不按规定交纳方式交纳的，或者未足额交纳的（包含保函额度不足的），视为无效投标保证金。</w:t>
            </w:r>
          </w:p>
          <w:p w14:paraId="5BD66CB2">
            <w:pPr>
              <w:snapToGrid w:val="0"/>
              <w:spacing w:line="360" w:lineRule="auto"/>
              <w:rPr>
                <w:rFonts w:ascii="宋体" w:hAnsi="宋体"/>
                <w:b/>
                <w:color w:val="auto"/>
                <w:szCs w:val="21"/>
                <w:highlight w:val="none"/>
              </w:rPr>
            </w:pPr>
            <w:r>
              <w:rPr>
                <w:rFonts w:hint="eastAsia" w:ascii="宋体" w:hAnsi="宋体"/>
                <w:b/>
                <w:color w:val="auto"/>
                <w:szCs w:val="21"/>
                <w:highlight w:val="none"/>
              </w:rPr>
              <w:t>2.投标人采用现钞方式或者从个人账户（自然人投标除外）转出的投标保证金，视为无效投标保证金。</w:t>
            </w:r>
          </w:p>
          <w:p w14:paraId="5DCECBAD">
            <w:pPr>
              <w:snapToGrid w:val="0"/>
              <w:spacing w:line="360" w:lineRule="auto"/>
              <w:rPr>
                <w:rFonts w:ascii="宋体" w:hAnsi="宋体"/>
                <w:b/>
                <w:color w:val="auto"/>
                <w:szCs w:val="21"/>
                <w:highlight w:val="none"/>
              </w:rPr>
            </w:pPr>
            <w:r>
              <w:rPr>
                <w:rFonts w:hint="eastAsia" w:ascii="宋体" w:hAnsi="宋体"/>
                <w:b/>
                <w:color w:val="auto"/>
                <w:szCs w:val="21"/>
                <w:highlight w:val="none"/>
              </w:rPr>
              <w:t>3.支票、汇票或者本票出现无效或者背书情形的，视为无效投标保证金。</w:t>
            </w:r>
          </w:p>
          <w:p w14:paraId="5D2E0063">
            <w:pPr>
              <w:snapToGrid w:val="0"/>
              <w:spacing w:line="360" w:lineRule="auto"/>
              <w:rPr>
                <w:rFonts w:ascii="宋体" w:hAnsi="宋体"/>
                <w:b/>
                <w:color w:val="auto"/>
                <w:szCs w:val="21"/>
                <w:highlight w:val="none"/>
              </w:rPr>
            </w:pPr>
            <w:r>
              <w:rPr>
                <w:rFonts w:hint="eastAsia" w:ascii="宋体" w:hAnsi="宋体"/>
                <w:b/>
                <w:color w:val="auto"/>
                <w:szCs w:val="21"/>
                <w:highlight w:val="none"/>
              </w:rPr>
              <w:t>4.保函有效期低于投标有效期的，视为无效投标保证金。</w:t>
            </w:r>
          </w:p>
          <w:p w14:paraId="0E7BE6A0">
            <w:pPr>
              <w:snapToGrid w:val="0"/>
              <w:spacing w:line="360" w:lineRule="auto"/>
              <w:rPr>
                <w:color w:val="auto"/>
                <w:highlight w:val="none"/>
              </w:rPr>
            </w:pPr>
            <w:r>
              <w:rPr>
                <w:rFonts w:hint="eastAsia" w:ascii="宋体" w:hAnsi="宋体"/>
                <w:b/>
                <w:color w:val="auto"/>
                <w:szCs w:val="21"/>
                <w:highlight w:val="none"/>
              </w:rPr>
              <w:t>5.采用银行、保险机构出具保函的，必须为无条件保函，否则视为无效投标保证金。</w:t>
            </w:r>
          </w:p>
        </w:tc>
      </w:tr>
      <w:tr w14:paraId="4F28A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ECA88F1">
            <w:pPr>
              <w:spacing w:line="360" w:lineRule="auto"/>
              <w:jc w:val="center"/>
              <w:rPr>
                <w:rFonts w:ascii="宋体" w:hAnsi="宋体"/>
                <w:color w:val="auto"/>
                <w:szCs w:val="21"/>
                <w:highlight w:val="none"/>
              </w:rPr>
            </w:pPr>
            <w:bookmarkStart w:id="81" w:name="_19.2"/>
            <w:bookmarkEnd w:id="81"/>
            <w:r>
              <w:rPr>
                <w:rFonts w:hint="eastAsia" w:ascii="宋体" w:hAnsi="宋体"/>
                <w:color w:val="auto"/>
                <w:szCs w:val="21"/>
                <w:highlight w:val="none"/>
              </w:rPr>
              <w:t>20</w:t>
            </w:r>
          </w:p>
        </w:tc>
        <w:tc>
          <w:tcPr>
            <w:tcW w:w="8670" w:type="dxa"/>
            <w:tcBorders>
              <w:top w:val="single" w:color="auto" w:sz="4" w:space="0"/>
              <w:left w:val="single" w:color="auto" w:sz="4" w:space="0"/>
              <w:bottom w:val="single" w:color="auto" w:sz="4" w:space="0"/>
              <w:right w:val="single" w:color="auto" w:sz="4" w:space="0"/>
            </w:tcBorders>
            <w:vAlign w:val="center"/>
          </w:tcPr>
          <w:p w14:paraId="4FE34FAD">
            <w:pPr>
              <w:autoSpaceDE w:val="0"/>
              <w:autoSpaceDN w:val="0"/>
              <w:adjustRightIn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备份投标文件；</w:t>
            </w:r>
          </w:p>
          <w:p w14:paraId="21A1418A">
            <w:pPr>
              <w:autoSpaceDE w:val="0"/>
              <w:autoSpaceDN w:val="0"/>
              <w:adjustRightInd w:val="0"/>
              <w:spacing w:line="360" w:lineRule="auto"/>
              <w:textAlignment w:val="bottom"/>
              <w:rPr>
                <w:color w:val="auto"/>
                <w:highlight w:val="none"/>
              </w:rPr>
            </w:pPr>
            <w:r>
              <w:rPr>
                <w:rFonts w:hint="eastAsia" w:ascii="宋体" w:hAnsi="宋体"/>
                <w:color w:val="auto"/>
                <w:szCs w:val="21"/>
                <w:highlight w:val="none"/>
              </w:rPr>
              <w:t>□</w:t>
            </w:r>
            <w:r>
              <w:rPr>
                <w:rFonts w:hint="eastAsia"/>
                <w:color w:val="auto"/>
                <w:highlight w:val="none"/>
              </w:rPr>
              <w:t>本项目接受电子备份投标文件。</w:t>
            </w:r>
          </w:p>
          <w:p w14:paraId="52CDB757">
            <w:pPr>
              <w:autoSpaceDE w:val="0"/>
              <w:autoSpaceDN w:val="0"/>
              <w:adjustRightInd w:val="0"/>
              <w:spacing w:line="360" w:lineRule="auto"/>
              <w:ind w:firstLine="420" w:firstLineChars="200"/>
              <w:textAlignment w:val="bottom"/>
              <w:rPr>
                <w:color w:val="auto"/>
                <w:highlight w:val="none"/>
              </w:rPr>
            </w:pPr>
            <w:r>
              <w:rPr>
                <w:rFonts w:hint="eastAsia"/>
                <w:color w:val="auto"/>
                <w:highlight w:val="none"/>
              </w:rPr>
              <w:t>电子</w:t>
            </w:r>
            <w:r>
              <w:rPr>
                <w:rFonts w:hint="eastAsia" w:ascii="宋体" w:hAnsi="宋体"/>
                <w:color w:val="auto"/>
                <w:szCs w:val="21"/>
                <w:highlight w:val="none"/>
              </w:rPr>
              <w:t>备份投标文件</w:t>
            </w:r>
            <w:r>
              <w:rPr>
                <w:rFonts w:hint="eastAsia"/>
                <w:color w:val="auto"/>
                <w:highlight w:val="none"/>
              </w:rPr>
              <w:t>提交方式：投标人可以在投标截止时间前采用以下</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种方式向采购代理机构提交电子备份投标文件：</w:t>
            </w:r>
          </w:p>
          <w:p w14:paraId="03C93380">
            <w:pPr>
              <w:autoSpaceDE w:val="0"/>
              <w:autoSpaceDN w:val="0"/>
              <w:adjustRightInd w:val="0"/>
              <w:spacing w:line="360" w:lineRule="auto"/>
              <w:textAlignment w:val="bottom"/>
              <w:rPr>
                <w:color w:val="auto"/>
                <w:highlight w:val="none"/>
              </w:rPr>
            </w:pPr>
            <w:r>
              <w:rPr>
                <w:rFonts w:hint="eastAsia"/>
                <w:color w:val="auto"/>
                <w:highlight w:val="none"/>
              </w:rPr>
              <w:t>（</w:t>
            </w:r>
            <w:r>
              <w:rPr>
                <w:color w:val="auto"/>
                <w:highlight w:val="none"/>
              </w:rPr>
              <w:t>1</w:t>
            </w:r>
            <w:r>
              <w:rPr>
                <w:rFonts w:hint="eastAsia"/>
                <w:color w:val="auto"/>
                <w:highlight w:val="none"/>
              </w:rPr>
              <w:t>）现场提交方式，应采用</w:t>
            </w:r>
            <w:r>
              <w:rPr>
                <w:color w:val="auto"/>
                <w:highlight w:val="none"/>
              </w:rPr>
              <w:t>U</w:t>
            </w:r>
            <w:r>
              <w:rPr>
                <w:rFonts w:hint="eastAsia"/>
                <w:color w:val="auto"/>
                <w:highlight w:val="none"/>
              </w:rPr>
              <w:t>盘进行存储，提交地址：</w:t>
            </w:r>
            <w:r>
              <w:rPr>
                <w:rFonts w:hint="eastAsia" w:ascii="宋体" w:hAnsi="宋体"/>
                <w:color w:val="auto"/>
                <w:szCs w:val="21"/>
                <w:highlight w:val="none"/>
                <w:u w:val="single"/>
              </w:rPr>
              <w:t xml:space="preserve">    </w:t>
            </w:r>
            <w:r>
              <w:rPr>
                <w:rFonts w:hint="eastAsia"/>
                <w:color w:val="auto"/>
                <w:highlight w:val="none"/>
              </w:rPr>
              <w:t>；提交截止时间：</w:t>
            </w:r>
            <w:r>
              <w:rPr>
                <w:rFonts w:hint="eastAsia" w:ascii="宋体" w:hAnsi="宋体"/>
                <w:color w:val="auto"/>
                <w:szCs w:val="21"/>
                <w:highlight w:val="none"/>
                <w:u w:val="single"/>
              </w:rPr>
              <w:t xml:space="preserve">    </w:t>
            </w:r>
            <w:r>
              <w:rPr>
                <w:rFonts w:hint="eastAsia"/>
                <w:color w:val="auto"/>
                <w:highlight w:val="none"/>
              </w:rPr>
              <w:t>；外包装上注明投标人名称、项目名称及项目编号（外包装不作密封要求）。</w:t>
            </w:r>
          </w:p>
          <w:p w14:paraId="5391A75E">
            <w:pPr>
              <w:autoSpaceDE w:val="0"/>
              <w:autoSpaceDN w:val="0"/>
              <w:adjustRightInd w:val="0"/>
              <w:spacing w:line="360" w:lineRule="auto"/>
              <w:textAlignment w:val="bottom"/>
              <w:rPr>
                <w:color w:val="auto"/>
                <w:highlight w:val="none"/>
              </w:rPr>
            </w:pPr>
            <w:r>
              <w:rPr>
                <w:rFonts w:hint="eastAsia"/>
                <w:color w:val="auto"/>
                <w:highlight w:val="none"/>
              </w:rPr>
              <w:t>（</w:t>
            </w:r>
            <w:r>
              <w:rPr>
                <w:color w:val="auto"/>
                <w:highlight w:val="none"/>
              </w:rPr>
              <w:t>2</w:t>
            </w:r>
            <w:r>
              <w:rPr>
                <w:rFonts w:hint="eastAsia"/>
                <w:color w:val="auto"/>
                <w:highlight w:val="none"/>
              </w:rPr>
              <w:t>）电子邮件方式，接收电子备份投标文件的电子邮箱为：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p>
          <w:p w14:paraId="11B8BE3B">
            <w:pPr>
              <w:pStyle w:val="19"/>
              <w:spacing w:line="360" w:lineRule="auto"/>
              <w:rPr>
                <w:color w:val="auto"/>
                <w:highlight w:val="none"/>
              </w:rPr>
            </w:pPr>
            <w:r>
              <w:rPr>
                <w:rFonts w:hint="eastAsia"/>
                <w:color w:val="auto"/>
                <w:highlight w:val="none"/>
              </w:rPr>
              <w:t>（</w:t>
            </w:r>
            <w:r>
              <w:rPr>
                <w:color w:val="auto"/>
                <w:highlight w:val="none"/>
              </w:rPr>
              <w:t>3</w:t>
            </w:r>
            <w:r>
              <w:rPr>
                <w:rFonts w:hint="eastAsia"/>
                <w:color w:val="auto"/>
                <w:highlight w:val="none"/>
              </w:rPr>
              <w:t>）邮寄方式，应采用</w:t>
            </w:r>
            <w:r>
              <w:rPr>
                <w:color w:val="auto"/>
                <w:highlight w:val="none"/>
              </w:rPr>
              <w:t>U</w:t>
            </w:r>
            <w:r>
              <w:rPr>
                <w:rFonts w:hint="eastAsia"/>
                <w:color w:val="auto"/>
                <w:highlight w:val="none"/>
              </w:rPr>
              <w:t>盘进行存储，邮寄地址：</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，截止接收时间：</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p>
          <w:p w14:paraId="3C229B54">
            <w:pPr>
              <w:autoSpaceDE w:val="0"/>
              <w:autoSpaceDN w:val="0"/>
              <w:adjustRightInd w:val="0"/>
              <w:spacing w:line="360" w:lineRule="auto"/>
              <w:textAlignment w:val="bottom"/>
              <w:rPr>
                <w:color w:val="auto"/>
                <w:highlight w:val="none"/>
              </w:rPr>
            </w:pPr>
            <w:r>
              <w:rPr>
                <w:rFonts w:hint="eastAsia"/>
                <w:color w:val="auto"/>
                <w:highlight w:val="none"/>
              </w:rPr>
              <w:t>收件人：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，联系方式：</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；外包装上注明投标人名称、项目名称及项目编号（外包装不作密封要求）。</w:t>
            </w:r>
            <w:r>
              <w:rPr>
                <w:color w:val="auto"/>
                <w:highlight w:val="none"/>
              </w:rPr>
              <w:t xml:space="preserve"> </w:t>
            </w:r>
          </w:p>
          <w:p w14:paraId="37420268">
            <w:pPr>
              <w:autoSpaceDE w:val="0"/>
              <w:autoSpaceDN w:val="0"/>
              <w:snapToGrid w:val="0"/>
              <w:spacing w:line="360" w:lineRule="auto"/>
              <w:ind w:firstLine="420" w:firstLineChars="200"/>
              <w:textAlignment w:val="bottom"/>
              <w:rPr>
                <w:rFonts w:ascii="宋体" w:hAnsi="宋体"/>
                <w:color w:val="auto"/>
                <w:szCs w:val="21"/>
                <w:highlight w:val="none"/>
              </w:rPr>
            </w:pPr>
            <w:r>
              <w:rPr>
                <w:rFonts w:hint="eastAsia"/>
                <w:color w:val="auto"/>
                <w:highlight w:val="none"/>
              </w:rPr>
              <w:t>投标人未按上述规定提交的电子备份投标文件，采购代理机构不予接收或承认。若电子加密投标文件解密成功，电子备份投标文件自动失效。若投标人无法在规定的时间内解密投标文件或者解密失败的，采购代理机构将电子备份投标文件按“广西政府采购云平台”操作规范上传至“广西政府采购云平台”，电子备份投标文件上传成功后，投标人原上传的电子加密投标文件自动失效。若投标人在规定时间内无法解密或解密失败且未提供电子备份投标文件的（包含提供的电子备份投标文件无效或无法解读的情况），</w:t>
            </w:r>
            <w:r>
              <w:rPr>
                <w:rFonts w:hint="eastAsia"/>
                <w:b/>
                <w:color w:val="auto"/>
                <w:highlight w:val="none"/>
              </w:rPr>
              <w:t>投标人的投标文件作无效处理</w:t>
            </w:r>
            <w:r>
              <w:rPr>
                <w:rFonts w:hint="eastAsia"/>
                <w:color w:val="auto"/>
                <w:highlight w:val="none"/>
              </w:rPr>
              <w:t>。</w:t>
            </w:r>
          </w:p>
        </w:tc>
      </w:tr>
      <w:tr w14:paraId="7E528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95" w:type="dxa"/>
            <w:tcBorders>
              <w:top w:val="single" w:color="auto" w:sz="4" w:space="0"/>
              <w:left w:val="single" w:color="auto" w:sz="4" w:space="0"/>
              <w:bottom w:val="single" w:color="auto" w:sz="4" w:space="0"/>
              <w:right w:val="single" w:color="auto" w:sz="4" w:space="0"/>
            </w:tcBorders>
            <w:vAlign w:val="center"/>
          </w:tcPr>
          <w:p w14:paraId="5B2011E8">
            <w:pPr>
              <w:spacing w:line="360" w:lineRule="auto"/>
              <w:jc w:val="center"/>
              <w:rPr>
                <w:rFonts w:ascii="宋体" w:hAnsi="宋体"/>
                <w:color w:val="auto"/>
                <w:szCs w:val="21"/>
                <w:highlight w:val="none"/>
              </w:rPr>
            </w:pPr>
            <w:bookmarkStart w:id="82" w:name="_21.1"/>
            <w:bookmarkEnd w:id="82"/>
            <w:r>
              <w:rPr>
                <w:rFonts w:hint="eastAsia" w:ascii="宋体" w:hAnsi="宋体"/>
                <w:color w:val="auto"/>
                <w:szCs w:val="21"/>
                <w:highlight w:val="none"/>
              </w:rPr>
              <w:t>21.1</w:t>
            </w:r>
          </w:p>
        </w:tc>
        <w:tc>
          <w:tcPr>
            <w:tcW w:w="8670" w:type="dxa"/>
            <w:tcBorders>
              <w:top w:val="single" w:color="auto" w:sz="4" w:space="0"/>
              <w:left w:val="single" w:color="auto" w:sz="4" w:space="0"/>
              <w:bottom w:val="single" w:color="auto" w:sz="4" w:space="0"/>
              <w:right w:val="single" w:color="auto" w:sz="4" w:space="0"/>
            </w:tcBorders>
            <w:vAlign w:val="center"/>
          </w:tcPr>
          <w:p w14:paraId="756D2FCC">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1. 提交投标文件截止时间：详见招标公告</w:t>
            </w:r>
          </w:p>
          <w:p w14:paraId="0B4A883A">
            <w:pPr>
              <w:snapToGrid w:val="0"/>
              <w:spacing w:line="360" w:lineRule="auto"/>
              <w:rPr>
                <w:rFonts w:ascii="宋体" w:hAnsi="宋体"/>
                <w:color w:val="auto"/>
                <w:szCs w:val="21"/>
                <w:highlight w:val="none"/>
              </w:rPr>
            </w:pPr>
            <w:r>
              <w:rPr>
                <w:rFonts w:hint="eastAsia" w:ascii="宋体" w:hAnsi="宋体"/>
                <w:color w:val="auto"/>
                <w:szCs w:val="21"/>
                <w:highlight w:val="none"/>
              </w:rPr>
              <w:t>2.投标地点：详见招标公告</w:t>
            </w:r>
          </w:p>
        </w:tc>
      </w:tr>
      <w:tr w14:paraId="12448A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17FBF04F">
            <w:pPr>
              <w:spacing w:line="360" w:lineRule="auto"/>
              <w:jc w:val="center"/>
              <w:rPr>
                <w:rFonts w:ascii="宋体" w:hAnsi="宋体"/>
                <w:color w:val="auto"/>
                <w:szCs w:val="21"/>
                <w:highlight w:val="none"/>
              </w:rPr>
            </w:pPr>
            <w:bookmarkStart w:id="83" w:name="_23"/>
            <w:bookmarkEnd w:id="83"/>
            <w:r>
              <w:rPr>
                <w:rFonts w:hint="eastAsia" w:ascii="宋体" w:hAnsi="宋体"/>
                <w:color w:val="auto"/>
                <w:szCs w:val="21"/>
                <w:highlight w:val="none"/>
              </w:rPr>
              <w:t>23</w:t>
            </w:r>
          </w:p>
        </w:tc>
        <w:tc>
          <w:tcPr>
            <w:tcW w:w="8670" w:type="dxa"/>
            <w:tcBorders>
              <w:top w:val="single" w:color="auto" w:sz="4" w:space="0"/>
              <w:left w:val="single" w:color="auto" w:sz="4" w:space="0"/>
              <w:bottom w:val="single" w:color="auto" w:sz="4" w:space="0"/>
              <w:right w:val="single" w:color="auto" w:sz="4" w:space="0"/>
            </w:tcBorders>
            <w:vAlign w:val="center"/>
          </w:tcPr>
          <w:p w14:paraId="79CB5ABA">
            <w:pPr>
              <w:snapToGrid w:val="0"/>
              <w:spacing w:line="360" w:lineRule="auto"/>
              <w:rPr>
                <w:rFonts w:ascii="宋体" w:hAnsi="宋体"/>
                <w:color w:val="auto"/>
                <w:szCs w:val="21"/>
                <w:highlight w:val="none"/>
              </w:rPr>
            </w:pPr>
            <w:r>
              <w:rPr>
                <w:rFonts w:hint="eastAsia" w:ascii="宋体" w:hAnsi="宋体"/>
                <w:color w:val="auto"/>
                <w:szCs w:val="21"/>
                <w:highlight w:val="none"/>
              </w:rPr>
              <w:t>1.开标时间：详见招标公告</w:t>
            </w:r>
          </w:p>
          <w:p w14:paraId="4D1F5E7D">
            <w:pPr>
              <w:snapToGrid w:val="0"/>
              <w:spacing w:line="360" w:lineRule="auto"/>
              <w:rPr>
                <w:rFonts w:ascii="宋体" w:hAnsi="宋体"/>
                <w:color w:val="auto"/>
                <w:szCs w:val="21"/>
                <w:highlight w:val="none"/>
              </w:rPr>
            </w:pPr>
            <w:r>
              <w:rPr>
                <w:rFonts w:hint="eastAsia" w:ascii="宋体" w:hAnsi="宋体"/>
                <w:color w:val="auto"/>
                <w:szCs w:val="21"/>
                <w:highlight w:val="none"/>
              </w:rPr>
              <w:t>2.开标地点：详见招标公告</w:t>
            </w:r>
          </w:p>
        </w:tc>
      </w:tr>
      <w:tr w14:paraId="5F1DA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C56C01B">
            <w:pPr>
              <w:spacing w:line="360" w:lineRule="auto"/>
              <w:jc w:val="center"/>
              <w:rPr>
                <w:rFonts w:ascii="宋体" w:hAnsi="宋体"/>
                <w:color w:val="auto"/>
                <w:szCs w:val="21"/>
                <w:highlight w:val="none"/>
              </w:rPr>
            </w:pPr>
            <w:r>
              <w:rPr>
                <w:rFonts w:hint="eastAsia" w:ascii="宋体" w:hAnsi="宋体"/>
                <w:color w:val="auto"/>
                <w:szCs w:val="21"/>
                <w:highlight w:val="none"/>
              </w:rPr>
              <w:t>24.3（1）</w:t>
            </w:r>
          </w:p>
        </w:tc>
        <w:tc>
          <w:tcPr>
            <w:tcW w:w="8670" w:type="dxa"/>
            <w:tcBorders>
              <w:top w:val="single" w:color="auto" w:sz="4" w:space="0"/>
              <w:left w:val="single" w:color="auto" w:sz="4" w:space="0"/>
              <w:bottom w:val="single" w:color="auto" w:sz="4" w:space="0"/>
              <w:right w:val="single" w:color="auto" w:sz="4" w:space="0"/>
            </w:tcBorders>
            <w:vAlign w:val="center"/>
          </w:tcPr>
          <w:p w14:paraId="6FAF54C2">
            <w:pPr>
              <w:snapToGrid w:val="0"/>
              <w:spacing w:line="360" w:lineRule="auto"/>
              <w:rPr>
                <w:rFonts w:hAnsi="宋体"/>
                <w:color w:val="auto"/>
                <w:highlight w:val="none"/>
                <w:u w:val="single"/>
              </w:rPr>
            </w:pPr>
            <w:r>
              <w:rPr>
                <w:rFonts w:hint="eastAsia" w:hAnsi="宋体"/>
                <w:color w:val="auto"/>
                <w:highlight w:val="none"/>
              </w:rPr>
              <w:t>电子投标文件解密时间：</w:t>
            </w:r>
            <w:r>
              <w:rPr>
                <w:rFonts w:hint="eastAsia" w:hAnsi="宋体"/>
                <w:color w:val="auto"/>
                <w:highlight w:val="none"/>
                <w:u w:val="single"/>
              </w:rPr>
              <w:t>30</w:t>
            </w:r>
            <w:r>
              <w:rPr>
                <w:rFonts w:hint="eastAsia" w:hAnsi="宋体"/>
                <w:color w:val="auto"/>
                <w:highlight w:val="none"/>
              </w:rPr>
              <w:t>分钟</w:t>
            </w:r>
          </w:p>
        </w:tc>
      </w:tr>
      <w:tr w14:paraId="2D18B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D3D3B47">
            <w:pPr>
              <w:spacing w:line="360" w:lineRule="auto"/>
              <w:jc w:val="center"/>
              <w:rPr>
                <w:rFonts w:ascii="宋体" w:hAnsi="宋体"/>
                <w:color w:val="auto"/>
                <w:szCs w:val="21"/>
                <w:highlight w:val="none"/>
              </w:rPr>
            </w:pPr>
            <w:r>
              <w:rPr>
                <w:rFonts w:hint="eastAsia" w:ascii="宋体" w:hAnsi="宋体"/>
                <w:color w:val="auto"/>
                <w:szCs w:val="21"/>
                <w:highlight w:val="none"/>
              </w:rPr>
              <w:t>24</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p>
        </w:tc>
        <w:tc>
          <w:tcPr>
            <w:tcW w:w="8670" w:type="dxa"/>
            <w:tcBorders>
              <w:top w:val="single" w:color="auto" w:sz="4" w:space="0"/>
              <w:left w:val="single" w:color="auto" w:sz="4" w:space="0"/>
              <w:bottom w:val="single" w:color="auto" w:sz="4" w:space="0"/>
              <w:right w:val="single" w:color="auto" w:sz="4" w:space="0"/>
            </w:tcBorders>
            <w:vAlign w:val="center"/>
          </w:tcPr>
          <w:p w14:paraId="775EB455">
            <w:pPr>
              <w:snapToGrid w:val="0"/>
              <w:spacing w:line="360" w:lineRule="auto"/>
              <w:rPr>
                <w:rFonts w:ascii="宋体" w:hAnsi="宋体"/>
                <w:color w:val="auto"/>
                <w:szCs w:val="21"/>
                <w:highlight w:val="none"/>
              </w:rPr>
            </w:pPr>
            <w:r>
              <w:rPr>
                <w:rFonts w:hint="eastAsia"/>
                <w:color w:val="auto"/>
                <w:highlight w:val="none"/>
              </w:rPr>
              <w:t>宣布的内容</w:t>
            </w:r>
            <w:r>
              <w:rPr>
                <w:rFonts w:hint="eastAsia" w:hAnsi="宋体"/>
                <w:color w:val="auto"/>
                <w:highlight w:val="none"/>
              </w:rPr>
              <w:t>：投标人名称、投标价格</w:t>
            </w:r>
            <w:r>
              <w:rPr>
                <w:rFonts w:hAnsi="宋体"/>
                <w:color w:val="auto"/>
                <w:highlight w:val="none"/>
                <w:u w:val="single"/>
              </w:rPr>
              <w:t xml:space="preserve"> </w:t>
            </w:r>
          </w:p>
        </w:tc>
      </w:tr>
      <w:tr w14:paraId="21299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131045E8">
            <w:pPr>
              <w:spacing w:line="360" w:lineRule="auto"/>
              <w:jc w:val="center"/>
              <w:rPr>
                <w:rFonts w:ascii="宋体" w:hAnsi="宋体"/>
                <w:color w:val="auto"/>
                <w:szCs w:val="21"/>
                <w:highlight w:val="none"/>
              </w:rPr>
            </w:pPr>
            <w:bookmarkStart w:id="84" w:name="_25.3"/>
            <w:bookmarkEnd w:id="84"/>
            <w:r>
              <w:rPr>
                <w:rFonts w:hint="eastAsia" w:ascii="宋体" w:hAnsi="宋体"/>
                <w:color w:val="auto"/>
                <w:szCs w:val="21"/>
                <w:highlight w:val="none"/>
              </w:rPr>
              <w:t>25.3（</w:t>
            </w:r>
            <w:r>
              <w:rPr>
                <w:rFonts w:ascii="宋体" w:hAnsi="宋体"/>
                <w:color w:val="auto"/>
                <w:szCs w:val="21"/>
                <w:highlight w:val="none"/>
              </w:rPr>
              <w:t>2</w:t>
            </w:r>
            <w:r>
              <w:rPr>
                <w:rFonts w:hint="eastAsia" w:ascii="宋体" w:hAnsi="宋体"/>
                <w:color w:val="auto"/>
                <w:szCs w:val="21"/>
                <w:highlight w:val="none"/>
              </w:rPr>
              <w:t>）</w:t>
            </w:r>
          </w:p>
        </w:tc>
        <w:tc>
          <w:tcPr>
            <w:tcW w:w="8670" w:type="dxa"/>
            <w:tcBorders>
              <w:top w:val="single" w:color="auto" w:sz="4" w:space="0"/>
              <w:left w:val="single" w:color="auto" w:sz="4" w:space="0"/>
              <w:bottom w:val="single" w:color="auto" w:sz="4" w:space="0"/>
              <w:right w:val="single" w:color="auto" w:sz="4" w:space="0"/>
            </w:tcBorders>
            <w:vAlign w:val="center"/>
          </w:tcPr>
          <w:p w14:paraId="36FDDECE">
            <w:pPr>
              <w:snapToGrid w:val="0"/>
              <w:spacing w:line="360" w:lineRule="auto"/>
              <w:rPr>
                <w:rFonts w:ascii="宋体" w:hAnsi="宋体"/>
                <w:color w:val="auto"/>
                <w:szCs w:val="21"/>
                <w:highlight w:val="none"/>
              </w:rPr>
            </w:pPr>
            <w:r>
              <w:rPr>
                <w:rFonts w:hint="eastAsia" w:ascii="宋体" w:hAnsi="宋体"/>
                <w:color w:val="auto"/>
                <w:szCs w:val="21"/>
                <w:highlight w:val="none"/>
              </w:rPr>
              <w:t>采购人或者采购代理机构在资格审查结束前，对投标人进行信用查询。</w:t>
            </w:r>
          </w:p>
          <w:p w14:paraId="4F3F31BD">
            <w:pPr>
              <w:snapToGrid w:val="0"/>
              <w:spacing w:line="360" w:lineRule="auto"/>
              <w:rPr>
                <w:rFonts w:ascii="宋体" w:hAnsi="宋体"/>
                <w:color w:val="auto"/>
                <w:szCs w:val="21"/>
                <w:highlight w:val="none"/>
              </w:rPr>
            </w:pPr>
            <w:r>
              <w:rPr>
                <w:rFonts w:hint="eastAsia" w:ascii="宋体" w:hAnsi="宋体"/>
                <w:color w:val="auto"/>
                <w:szCs w:val="21"/>
                <w:highlight w:val="none"/>
              </w:rPr>
              <w:t>查询渠道：“信用中国”网站（www.creditchina.gov.cn） 、中国政府采购网（www.ccgp.gov.cn）。</w:t>
            </w:r>
          </w:p>
          <w:p w14:paraId="5BA60B66">
            <w:pPr>
              <w:snapToGrid w:val="0"/>
              <w:spacing w:line="360" w:lineRule="auto"/>
              <w:rPr>
                <w:rFonts w:ascii="宋体" w:hAnsi="宋体"/>
                <w:color w:val="auto"/>
                <w:szCs w:val="21"/>
                <w:highlight w:val="none"/>
              </w:rPr>
            </w:pPr>
            <w:r>
              <w:rPr>
                <w:rFonts w:hint="eastAsia" w:ascii="宋体" w:hAnsi="宋体"/>
                <w:color w:val="auto"/>
                <w:szCs w:val="21"/>
                <w:highlight w:val="none"/>
              </w:rPr>
              <w:t>信用查询截止时点：资格审查结束前</w:t>
            </w:r>
          </w:p>
          <w:p w14:paraId="1B37FB41">
            <w:pPr>
              <w:snapToGrid w:val="0"/>
              <w:spacing w:line="360" w:lineRule="auto"/>
              <w:rPr>
                <w:rFonts w:ascii="宋体" w:hAnsi="宋体"/>
                <w:color w:val="auto"/>
                <w:szCs w:val="21"/>
                <w:highlight w:val="none"/>
              </w:rPr>
            </w:pPr>
            <w:r>
              <w:rPr>
                <w:rFonts w:hint="eastAsia" w:ascii="宋体" w:hAnsi="宋体"/>
                <w:color w:val="auto"/>
                <w:szCs w:val="21"/>
                <w:highlight w:val="none"/>
              </w:rPr>
              <w:t>查询记录和证据留存方式：在查询网站中直接截图查询记录，截图作为在广西政府采购云平台（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）作为附件上传保存。</w:t>
            </w:r>
          </w:p>
          <w:p w14:paraId="3FC756CD">
            <w:pPr>
              <w:snapToGrid w:val="0"/>
              <w:spacing w:line="360" w:lineRule="auto"/>
              <w:rPr>
                <w:rFonts w:ascii="宋体" w:hAnsi="宋体"/>
                <w:b/>
                <w:color w:val="auto"/>
                <w:szCs w:val="21"/>
                <w:highlight w:val="none"/>
              </w:rPr>
            </w:pPr>
            <w:r>
              <w:rPr>
                <w:rFonts w:hint="eastAsia" w:ascii="宋体" w:hAnsi="宋体"/>
                <w:color w:val="auto"/>
                <w:szCs w:val="21"/>
                <w:highlight w:val="none"/>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1CC44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5841BA8">
            <w:pPr>
              <w:spacing w:line="360" w:lineRule="auto"/>
              <w:jc w:val="center"/>
              <w:rPr>
                <w:rFonts w:ascii="宋体" w:hAnsi="宋体"/>
                <w:color w:val="auto"/>
                <w:szCs w:val="21"/>
                <w:highlight w:val="none"/>
              </w:rPr>
            </w:pPr>
            <w:bookmarkStart w:id="85" w:name="_26"/>
            <w:bookmarkEnd w:id="85"/>
            <w:r>
              <w:rPr>
                <w:rFonts w:hint="eastAsia" w:ascii="宋体" w:hAnsi="宋体"/>
                <w:color w:val="auto"/>
                <w:szCs w:val="21"/>
                <w:highlight w:val="none"/>
              </w:rPr>
              <w:t>26</w:t>
            </w:r>
            <w:r>
              <w:rPr>
                <w:rFonts w:ascii="宋体" w:hAnsi="宋体"/>
                <w:color w:val="auto"/>
                <w:szCs w:val="21"/>
                <w:highlight w:val="none"/>
              </w:rPr>
              <w:t>.1</w:t>
            </w:r>
          </w:p>
        </w:tc>
        <w:tc>
          <w:tcPr>
            <w:tcW w:w="8670" w:type="dxa"/>
            <w:tcBorders>
              <w:top w:val="single" w:color="auto" w:sz="4" w:space="0"/>
              <w:left w:val="single" w:color="auto" w:sz="4" w:space="0"/>
              <w:bottom w:val="single" w:color="auto" w:sz="4" w:space="0"/>
              <w:right w:val="single" w:color="auto" w:sz="4" w:space="0"/>
            </w:tcBorders>
            <w:vAlign w:val="center"/>
          </w:tcPr>
          <w:p w14:paraId="59FFB10B">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评标委员会的人数：</w:t>
            </w:r>
            <w:r>
              <w:rPr>
                <w:rFonts w:hint="eastAsia" w:ascii="宋体" w:hAnsi="宋体"/>
                <w:color w:val="auto"/>
                <w:szCs w:val="21"/>
                <w:highlight w:val="none"/>
                <w:u w:val="single"/>
              </w:rPr>
              <w:t>5</w:t>
            </w:r>
            <w:r>
              <w:rPr>
                <w:rFonts w:hint="eastAsia" w:ascii="宋体" w:hAnsi="宋体"/>
                <w:color w:val="auto"/>
                <w:szCs w:val="21"/>
                <w:highlight w:val="none"/>
              </w:rPr>
              <w:t>人</w:t>
            </w:r>
          </w:p>
        </w:tc>
      </w:tr>
      <w:tr w14:paraId="06A9D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0B4BEEE0">
            <w:pPr>
              <w:spacing w:line="360" w:lineRule="auto"/>
              <w:jc w:val="center"/>
              <w:rPr>
                <w:rFonts w:ascii="宋体" w:hAnsi="宋体"/>
                <w:color w:val="auto"/>
                <w:szCs w:val="21"/>
                <w:highlight w:val="none"/>
              </w:rPr>
            </w:pPr>
            <w:bookmarkStart w:id="86" w:name="_28.3"/>
            <w:bookmarkEnd w:id="86"/>
            <w:r>
              <w:rPr>
                <w:rFonts w:ascii="宋体" w:hAnsi="宋体"/>
                <w:color w:val="auto"/>
                <w:szCs w:val="21"/>
                <w:highlight w:val="none"/>
              </w:rPr>
              <w:t>29.1</w:t>
            </w:r>
          </w:p>
        </w:tc>
        <w:tc>
          <w:tcPr>
            <w:tcW w:w="8670" w:type="dxa"/>
            <w:tcBorders>
              <w:top w:val="single" w:color="auto" w:sz="4" w:space="0"/>
              <w:left w:val="single" w:color="auto" w:sz="4" w:space="0"/>
              <w:bottom w:val="single" w:color="auto" w:sz="4" w:space="0"/>
              <w:right w:val="single" w:color="auto" w:sz="4" w:space="0"/>
            </w:tcBorders>
            <w:vAlign w:val="center"/>
          </w:tcPr>
          <w:p w14:paraId="4B34243E">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评标方法：</w:t>
            </w:r>
          </w:p>
          <w:p w14:paraId="505ACF55">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☑综合评分法</w:t>
            </w:r>
          </w:p>
          <w:p w14:paraId="6E669F8B">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□最低评标价法</w:t>
            </w:r>
          </w:p>
        </w:tc>
      </w:tr>
      <w:tr w14:paraId="7DDF9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tcBorders>
              <w:top w:val="single" w:color="auto" w:sz="4" w:space="0"/>
              <w:left w:val="single" w:color="auto" w:sz="4" w:space="0"/>
              <w:bottom w:val="single" w:color="auto" w:sz="4" w:space="0"/>
              <w:right w:val="single" w:color="auto" w:sz="4" w:space="0"/>
            </w:tcBorders>
            <w:vAlign w:val="center"/>
          </w:tcPr>
          <w:p w14:paraId="30949F28">
            <w:pPr>
              <w:spacing w:line="360" w:lineRule="auto"/>
              <w:jc w:val="center"/>
              <w:rPr>
                <w:rFonts w:ascii="宋体" w:hAnsi="宋体"/>
                <w:color w:val="auto"/>
                <w:szCs w:val="21"/>
                <w:highlight w:val="none"/>
              </w:rPr>
            </w:pPr>
            <w:bookmarkStart w:id="87" w:name="_29.2.2（2）"/>
            <w:bookmarkEnd w:id="87"/>
            <w:r>
              <w:rPr>
                <w:rFonts w:hint="eastAsia" w:ascii="宋体" w:hAnsi="宋体"/>
                <w:color w:val="auto"/>
                <w:szCs w:val="21"/>
                <w:highlight w:val="none"/>
              </w:rPr>
              <w:t>2</w:t>
            </w:r>
            <w:r>
              <w:rPr>
                <w:rFonts w:ascii="宋体" w:hAnsi="宋体"/>
                <w:color w:val="auto"/>
                <w:szCs w:val="21"/>
                <w:highlight w:val="none"/>
              </w:rPr>
              <w:t>9.2</w:t>
            </w:r>
          </w:p>
        </w:tc>
        <w:tc>
          <w:tcPr>
            <w:tcW w:w="8670" w:type="dxa"/>
            <w:tcBorders>
              <w:top w:val="single" w:color="auto" w:sz="4" w:space="0"/>
              <w:left w:val="single" w:color="auto" w:sz="4" w:space="0"/>
              <w:right w:val="single" w:color="auto" w:sz="4" w:space="0"/>
            </w:tcBorders>
            <w:vAlign w:val="center"/>
          </w:tcPr>
          <w:p w14:paraId="163DFAE4">
            <w:pPr>
              <w:snapToGrid w:val="0"/>
              <w:spacing w:line="360" w:lineRule="auto"/>
              <w:rPr>
                <w:rFonts w:ascii="宋体" w:hAnsi="宋体"/>
                <w:color w:val="auto"/>
                <w:szCs w:val="21"/>
                <w:highlight w:val="none"/>
              </w:rPr>
            </w:pPr>
            <w:r>
              <w:rPr>
                <w:rFonts w:hint="eastAsia" w:ascii="宋体" w:hAnsi="宋体" w:cs="宋体"/>
                <w:color w:val="auto"/>
                <w:szCs w:val="21"/>
                <w:highlight w:val="none"/>
              </w:rPr>
              <w:t>商务要求</w:t>
            </w:r>
            <w:r>
              <w:rPr>
                <w:rFonts w:hint="eastAsia" w:ascii="宋体" w:hAnsi="宋体"/>
                <w:color w:val="auto"/>
                <w:szCs w:val="21"/>
                <w:highlight w:val="none"/>
              </w:rPr>
              <w:t>评审中允许负偏离的条款数为</w:t>
            </w:r>
            <w:r>
              <w:rPr>
                <w:rFonts w:hint="eastAsia" w:ascii="宋体" w:hAnsi="宋体"/>
                <w:color w:val="auto"/>
                <w:szCs w:val="21"/>
                <w:highlight w:val="none"/>
                <w:u w:val="single"/>
              </w:rPr>
              <w:t xml:space="preserve"> 0</w:t>
            </w:r>
            <w:r>
              <w:rPr>
                <w:rFonts w:hint="eastAsia" w:ascii="宋体" w:hAnsi="宋体"/>
                <w:color w:val="auto"/>
                <w:szCs w:val="21"/>
                <w:highlight w:val="none"/>
              </w:rPr>
              <w:t>项。</w:t>
            </w:r>
          </w:p>
          <w:p w14:paraId="5B0A69FF">
            <w:pPr>
              <w:snapToGrid w:val="0"/>
              <w:spacing w:line="360" w:lineRule="auto"/>
              <w:rPr>
                <w:rFonts w:ascii="宋体" w:hAnsi="宋体"/>
                <w:color w:val="auto"/>
                <w:szCs w:val="21"/>
                <w:highlight w:val="none"/>
              </w:rPr>
            </w:pPr>
            <w:r>
              <w:rPr>
                <w:rFonts w:hint="eastAsia" w:ascii="宋体" w:hAnsi="宋体" w:cs="宋体"/>
                <w:color w:val="auto"/>
                <w:szCs w:val="21"/>
                <w:highlight w:val="none"/>
              </w:rPr>
              <w:t>技术要求</w:t>
            </w:r>
            <w:r>
              <w:rPr>
                <w:rFonts w:hint="eastAsia" w:ascii="宋体" w:hAnsi="宋体"/>
                <w:color w:val="auto"/>
                <w:szCs w:val="21"/>
                <w:highlight w:val="none"/>
              </w:rPr>
              <w:t>评审中允许负偏离的条款数为</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项</w:t>
            </w:r>
            <w:r>
              <w:rPr>
                <w:rFonts w:hint="eastAsia" w:ascii="宋体" w:hAnsi="宋体"/>
                <w:color w:val="auto"/>
                <w:szCs w:val="21"/>
                <w:highlight w:val="none"/>
              </w:rPr>
              <w:t>。</w:t>
            </w:r>
            <w:r>
              <w:rPr>
                <w:rFonts w:hint="eastAsia" w:ascii="宋体" w:hAnsi="宋体"/>
                <w:b/>
                <w:bCs/>
                <w:color w:val="auto"/>
                <w:szCs w:val="21"/>
                <w:highlight w:val="none"/>
              </w:rPr>
              <w:t>（非标</w:t>
            </w:r>
            <w:r>
              <w:rPr>
                <w:rFonts w:hint="eastAsia" w:ascii="宋体" w:hAnsi="宋体" w:cs="宋体"/>
                <w:b/>
                <w:bCs/>
                <w:color w:val="auto"/>
                <w:szCs w:val="21"/>
                <w:highlight w:val="none"/>
              </w:rPr>
              <w:t>“▲”的技术条款，负偏离</w:t>
            </w: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项或以上按无效投标处理</w:t>
            </w:r>
            <w:r>
              <w:rPr>
                <w:rFonts w:hint="eastAsia" w:ascii="宋体" w:hAnsi="宋体"/>
                <w:b/>
                <w:bCs/>
                <w:color w:val="auto"/>
                <w:szCs w:val="21"/>
                <w:highlight w:val="none"/>
              </w:rPr>
              <w:t>）</w:t>
            </w:r>
          </w:p>
        </w:tc>
      </w:tr>
      <w:tr w14:paraId="36837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tcBorders>
              <w:top w:val="single" w:color="auto" w:sz="4" w:space="0"/>
              <w:left w:val="single" w:color="auto" w:sz="4" w:space="0"/>
              <w:bottom w:val="single" w:color="auto" w:sz="4" w:space="0"/>
              <w:right w:val="single" w:color="auto" w:sz="4" w:space="0"/>
            </w:tcBorders>
            <w:vAlign w:val="center"/>
          </w:tcPr>
          <w:p w14:paraId="4202D619">
            <w:pPr>
              <w:spacing w:line="360" w:lineRule="auto"/>
              <w:jc w:val="cente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9.3</w:t>
            </w:r>
          </w:p>
        </w:tc>
        <w:tc>
          <w:tcPr>
            <w:tcW w:w="8670" w:type="dxa"/>
            <w:tcBorders>
              <w:top w:val="single" w:color="auto" w:sz="4" w:space="0"/>
              <w:left w:val="single" w:color="auto" w:sz="4" w:space="0"/>
              <w:right w:val="single" w:color="auto" w:sz="4" w:space="0"/>
            </w:tcBorders>
            <w:vAlign w:val="center"/>
          </w:tcPr>
          <w:p w14:paraId="2D631C42">
            <w:pPr>
              <w:snapToGrid w:val="0"/>
              <w:spacing w:line="360" w:lineRule="auto"/>
              <w:rPr>
                <w:rFonts w:hAnsi="宋体"/>
                <w:color w:val="auto"/>
                <w:highlight w:val="none"/>
              </w:rPr>
            </w:pPr>
            <w:r>
              <w:rPr>
                <w:rFonts w:hAnsi="宋体"/>
                <w:color w:val="auto"/>
                <w:highlight w:val="none"/>
              </w:rPr>
              <w:t>中标候选人推荐数量</w:t>
            </w:r>
            <w:r>
              <w:rPr>
                <w:rFonts w:hint="eastAsia" w:hAnsi="宋体"/>
                <w:color w:val="auto"/>
                <w:highlight w:val="none"/>
              </w:rPr>
              <w:t>：</w:t>
            </w:r>
          </w:p>
          <w:p w14:paraId="0F334378">
            <w:pPr>
              <w:snapToGrid w:val="0"/>
              <w:spacing w:line="360" w:lineRule="auto"/>
              <w:rPr>
                <w:rFonts w:hAnsi="宋体"/>
                <w:color w:val="auto"/>
                <w:highlight w:val="none"/>
              </w:rPr>
            </w:pPr>
            <w:r>
              <w:rPr>
                <w:rFonts w:hint="eastAsia" w:ascii="宋体" w:hAnsi="宋体"/>
                <w:color w:val="auto"/>
                <w:szCs w:val="21"/>
                <w:highlight w:val="none"/>
              </w:rPr>
              <w:t>☑</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3</w:t>
            </w:r>
            <w:r>
              <w:rPr>
                <w:rFonts w:hAnsi="宋体"/>
                <w:color w:val="auto"/>
                <w:highlight w:val="none"/>
                <w:u w:val="single"/>
              </w:rPr>
              <w:t xml:space="preserve"> </w:t>
            </w:r>
            <w:r>
              <w:rPr>
                <w:rFonts w:hAnsi="宋体"/>
                <w:color w:val="auto"/>
                <w:highlight w:val="none"/>
              </w:rPr>
              <w:t>名</w:t>
            </w:r>
            <w:r>
              <w:rPr>
                <w:rFonts w:hint="eastAsia" w:hAnsi="宋体"/>
                <w:color w:val="auto"/>
                <w:highlight w:val="none"/>
              </w:rPr>
              <w:t>，根据总得分由高到低（综合评分法）排列次序，总得分前三名推荐为中标候选人</w:t>
            </w:r>
          </w:p>
          <w:p w14:paraId="0DC75D23">
            <w:pPr>
              <w:snapToGrid w:val="0"/>
              <w:spacing w:line="360" w:lineRule="auto"/>
              <w:rPr>
                <w:rFonts w:ascii="宋体" w:hAnsi="宋体" w:cs="宋体"/>
                <w:color w:val="auto"/>
                <w:szCs w:val="21"/>
                <w:highlight w:val="none"/>
                <w:u w:val="single"/>
              </w:rPr>
            </w:pPr>
            <w:r>
              <w:rPr>
                <w:rFonts w:hint="eastAsia" w:ascii="宋体" w:hAnsi="宋体"/>
                <w:color w:val="auto"/>
                <w:szCs w:val="21"/>
                <w:highlight w:val="none"/>
              </w:rPr>
              <w:t>□</w:t>
            </w:r>
            <w:r>
              <w:rPr>
                <w:rFonts w:hint="eastAsia" w:hAnsi="宋体"/>
                <w:color w:val="auto"/>
                <w:highlight w:val="none"/>
              </w:rPr>
              <w:t>根据[总得分由高到低（综合评分法）/评标报价从低到高（最低评标价法）</w:t>
            </w:r>
            <w:r>
              <w:rPr>
                <w:rFonts w:hAnsi="宋体"/>
                <w:color w:val="auto"/>
                <w:highlight w:val="none"/>
              </w:rPr>
              <w:t>]</w:t>
            </w:r>
            <w:r>
              <w:rPr>
                <w:rFonts w:hint="eastAsia" w:hAnsi="宋体"/>
                <w:color w:val="auto"/>
                <w:highlight w:val="none"/>
              </w:rPr>
              <w:t>排列次序并全部推荐为中标候选人</w:t>
            </w:r>
          </w:p>
        </w:tc>
      </w:tr>
      <w:tr w14:paraId="09D06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68A2AB9">
            <w:pPr>
              <w:spacing w:line="360" w:lineRule="auto"/>
              <w:jc w:val="center"/>
              <w:rPr>
                <w:rFonts w:ascii="宋体" w:hAnsi="宋体"/>
                <w:color w:val="auto"/>
                <w:szCs w:val="21"/>
                <w:highlight w:val="none"/>
              </w:rPr>
            </w:pPr>
            <w:r>
              <w:rPr>
                <w:rFonts w:hint="eastAsia" w:ascii="宋体" w:hAnsi="宋体"/>
                <w:color w:val="auto"/>
                <w:szCs w:val="21"/>
                <w:highlight w:val="none"/>
              </w:rPr>
              <w:t>30</w:t>
            </w:r>
            <w:r>
              <w:rPr>
                <w:rFonts w:ascii="宋体" w:hAnsi="宋体"/>
                <w:color w:val="auto"/>
                <w:szCs w:val="21"/>
                <w:highlight w:val="none"/>
              </w:rPr>
              <w:t>.1</w:t>
            </w:r>
          </w:p>
        </w:tc>
        <w:tc>
          <w:tcPr>
            <w:tcW w:w="8670" w:type="dxa"/>
            <w:tcBorders>
              <w:top w:val="single" w:color="auto" w:sz="4" w:space="0"/>
              <w:left w:val="single" w:color="auto" w:sz="4" w:space="0"/>
              <w:bottom w:val="single" w:color="auto" w:sz="4" w:space="0"/>
              <w:right w:val="single" w:color="auto" w:sz="4" w:space="0"/>
            </w:tcBorders>
            <w:vAlign w:val="center"/>
          </w:tcPr>
          <w:p w14:paraId="1E35C47E">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 w:val="22"/>
                <w:szCs w:val="22"/>
                <w:highlight w:val="none"/>
              </w:rPr>
              <w:t>采用综合评分法的采购项目，</w:t>
            </w:r>
            <w:r>
              <w:rPr>
                <w:rFonts w:hint="eastAsia" w:ascii="宋体" w:hAnsi="宋体"/>
                <w:color w:val="auto"/>
                <w:szCs w:val="21"/>
                <w:highlight w:val="none"/>
              </w:rPr>
              <w:t>采购人确定中标人时，出现中标候选人并列的情形，采购人按以下的方式确定中标人：</w:t>
            </w:r>
          </w:p>
          <w:p w14:paraId="3A7D630A">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☑依次按投标报价低的优先、政策分得分高的优先、技术评分高的优先、商务评分高的优先、质保期长优先、交货期短优先、故障响应时间短优先的顺序确定；</w:t>
            </w:r>
          </w:p>
          <w:p w14:paraId="6A225712">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□随机抽取；</w:t>
            </w:r>
          </w:p>
        </w:tc>
      </w:tr>
      <w:tr w14:paraId="5CD76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auto" w:sz="4" w:space="0"/>
              <w:left w:val="single" w:color="auto" w:sz="4" w:space="0"/>
              <w:bottom w:val="single" w:color="auto" w:sz="4" w:space="0"/>
              <w:right w:val="single" w:color="auto" w:sz="4" w:space="0"/>
            </w:tcBorders>
            <w:vAlign w:val="center"/>
          </w:tcPr>
          <w:p w14:paraId="54B5FA0B">
            <w:pPr>
              <w:spacing w:line="360" w:lineRule="auto"/>
              <w:jc w:val="center"/>
              <w:rPr>
                <w:rFonts w:ascii="宋体" w:hAnsi="宋体"/>
                <w:color w:val="auto"/>
                <w:szCs w:val="21"/>
                <w:highlight w:val="none"/>
              </w:rPr>
            </w:pPr>
            <w:bookmarkStart w:id="88" w:name="_39.1"/>
            <w:bookmarkEnd w:id="88"/>
            <w:r>
              <w:rPr>
                <w:rFonts w:hint="eastAsia" w:ascii="宋体" w:hAnsi="宋体"/>
                <w:color w:val="auto"/>
                <w:szCs w:val="21"/>
                <w:highlight w:val="none"/>
              </w:rPr>
              <w:t>35</w:t>
            </w:r>
            <w:r>
              <w:rPr>
                <w:rFonts w:ascii="宋体" w:hAnsi="宋体"/>
                <w:color w:val="auto"/>
                <w:szCs w:val="21"/>
                <w:highlight w:val="none"/>
              </w:rPr>
              <w:t>.1</w:t>
            </w:r>
          </w:p>
        </w:tc>
        <w:tc>
          <w:tcPr>
            <w:tcW w:w="8670" w:type="dxa"/>
            <w:tcBorders>
              <w:top w:val="single" w:color="auto" w:sz="4" w:space="0"/>
              <w:left w:val="single" w:color="auto" w:sz="4" w:space="0"/>
              <w:bottom w:val="single" w:color="auto" w:sz="4" w:space="0"/>
              <w:right w:val="single" w:color="auto" w:sz="4" w:space="0"/>
            </w:tcBorders>
            <w:vAlign w:val="center"/>
          </w:tcPr>
          <w:p w14:paraId="2270C8AC">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本项目不收取履约保证金。</w:t>
            </w:r>
          </w:p>
          <w:p w14:paraId="47616CA1">
            <w:pPr>
              <w:pStyle w:val="19"/>
              <w:spacing w:line="360" w:lineRule="auto"/>
              <w:rPr>
                <w:rFonts w:ascii="宋体" w:hAnsi="宋体"/>
                <w:color w:val="auto"/>
                <w:szCs w:val="21"/>
                <w:highlight w:val="none"/>
              </w:rPr>
            </w:pPr>
            <w:r>
              <w:rPr>
                <w:rFonts w:hint="eastAsia" w:ascii="宋体" w:hAnsi="宋体"/>
                <w:color w:val="auto"/>
                <w:szCs w:val="21"/>
                <w:highlight w:val="none"/>
              </w:rPr>
              <w:t>履约保证金金额：每分标按中标金额的</w:t>
            </w:r>
            <w:r>
              <w:rPr>
                <w:rFonts w:hint="eastAsia" w:ascii="宋体" w:hAnsi="宋体" w:cs="Arial"/>
                <w:color w:val="auto"/>
                <w:szCs w:val="21"/>
                <w:highlight w:val="none"/>
                <w:u w:val="single"/>
              </w:rPr>
              <w:t xml:space="preserve">  / </w:t>
            </w:r>
            <w:r>
              <w:rPr>
                <w:rFonts w:hint="eastAsia" w:ascii="宋体" w:hAnsi="宋体"/>
                <w:color w:val="auto"/>
                <w:szCs w:val="21"/>
                <w:highlight w:val="none"/>
              </w:rPr>
              <w:t>。（若中标人为中小企业则按中标金额的</w:t>
            </w:r>
            <w:r>
              <w:rPr>
                <w:rFonts w:hint="eastAsia" w:ascii="宋体" w:hAnsi="宋体" w:cs="Arial"/>
                <w:color w:val="auto"/>
                <w:szCs w:val="21"/>
                <w:highlight w:val="none"/>
                <w:u w:val="single"/>
              </w:rPr>
              <w:t xml:space="preserve">2 </w:t>
            </w:r>
            <w:r>
              <w:rPr>
                <w:rFonts w:hint="eastAsia" w:ascii="宋体" w:hAnsi="宋体"/>
                <w:color w:val="auto"/>
                <w:szCs w:val="21"/>
                <w:highlight w:val="none"/>
              </w:rPr>
              <w:t>%收取。）</w:t>
            </w:r>
          </w:p>
          <w:p w14:paraId="5F36B5B2">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履约保证金递交方式：银行转账、支票、汇票、本票或者银行、保险机构出具的保函等非现金方式（参照投标保证金）</w:t>
            </w:r>
          </w:p>
          <w:p w14:paraId="0EF623C1">
            <w:pPr>
              <w:autoSpaceDE w:val="0"/>
              <w:autoSpaceDN w:val="0"/>
              <w:snapToGrid w:val="0"/>
              <w:spacing w:line="360" w:lineRule="auto"/>
              <w:textAlignment w:val="bottom"/>
              <w:rPr>
                <w:rFonts w:ascii="宋体" w:hAnsi="宋体"/>
                <w:color w:val="auto"/>
                <w:szCs w:val="21"/>
                <w:highlight w:val="none"/>
              </w:rPr>
            </w:pPr>
            <w:r>
              <w:rPr>
                <w:rFonts w:ascii="宋体" w:hAnsi="宋体"/>
                <w:color w:val="auto"/>
                <w:szCs w:val="21"/>
                <w:highlight w:val="none"/>
              </w:rPr>
              <w:t>履约保证金缴纳期限</w:t>
            </w:r>
            <w:r>
              <w:rPr>
                <w:rFonts w:hint="eastAsia" w:ascii="宋体" w:hAnsi="宋体"/>
                <w:color w:val="auto"/>
                <w:szCs w:val="21"/>
                <w:highlight w:val="none"/>
              </w:rPr>
              <w:t>:</w:t>
            </w:r>
            <w:r>
              <w:rPr>
                <w:rFonts w:hint="eastAsia"/>
                <w:color w:val="auto"/>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1F8EE33">
            <w:pPr>
              <w:autoSpaceDE w:val="0"/>
              <w:autoSpaceDN w:val="0"/>
              <w:snapToGrid w:val="0"/>
              <w:spacing w:line="360" w:lineRule="auto"/>
              <w:textAlignment w:val="bottom"/>
              <w:rPr>
                <w:rFonts w:ascii="宋体" w:hAnsi="宋体"/>
                <w:color w:val="auto"/>
                <w:szCs w:val="21"/>
                <w:highlight w:val="none"/>
                <w:u w:val="single"/>
              </w:rPr>
            </w:pPr>
            <w:r>
              <w:rPr>
                <w:rFonts w:hint="eastAsia" w:ascii="宋体" w:hAnsi="宋体"/>
                <w:color w:val="auto"/>
                <w:szCs w:val="21"/>
                <w:highlight w:val="none"/>
              </w:rPr>
              <w:t>履约保证金退付方式、时间及条件：</w:t>
            </w:r>
            <w:r>
              <w:rPr>
                <w:rFonts w:hint="eastAsia" w:ascii="宋体" w:hAnsi="宋体"/>
                <w:color w:val="auto"/>
                <w:szCs w:val="21"/>
                <w:highlight w:val="none"/>
                <w:u w:val="single"/>
              </w:rPr>
              <w:t>由中标人向采购人提供《广西壮族自治区政府采购项目合同验收书》（详见桂财采〔2015〕22号），保证金收取单位在收到合格材料后5个工作日内办理退还手续（不计利息）。</w:t>
            </w:r>
          </w:p>
          <w:p w14:paraId="5A06674E">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履约保证金指定账户：</w:t>
            </w:r>
          </w:p>
          <w:p w14:paraId="2BC855BA">
            <w:pPr>
              <w:spacing w:line="360" w:lineRule="auto"/>
              <w:jc w:val="left"/>
              <w:rPr>
                <w:rFonts w:ascii="宋体" w:hAnsi="宋体" w:cs="Courier New"/>
                <w:color w:val="auto"/>
                <w:szCs w:val="21"/>
                <w:highlight w:val="none"/>
              </w:rPr>
            </w:pPr>
            <w:r>
              <w:rPr>
                <w:rFonts w:hint="eastAsia" w:ascii="宋体" w:hAnsi="宋体" w:cs="Courier New"/>
                <w:color w:val="auto"/>
                <w:szCs w:val="21"/>
                <w:highlight w:val="none"/>
              </w:rPr>
              <w:t>开户银行：</w:t>
            </w:r>
            <w:r>
              <w:rPr>
                <w:rFonts w:hint="eastAsia" w:ascii="宋体" w:hAnsi="宋体" w:cs="Courier New"/>
                <w:color w:val="auto"/>
                <w:szCs w:val="21"/>
                <w:highlight w:val="none"/>
                <w:u w:val="single"/>
              </w:rPr>
              <w:t xml:space="preserve">     /      ；</w:t>
            </w:r>
          </w:p>
          <w:p w14:paraId="153C495B">
            <w:pPr>
              <w:spacing w:line="360" w:lineRule="auto"/>
              <w:jc w:val="left"/>
              <w:rPr>
                <w:rFonts w:ascii="宋体" w:hAnsi="宋体" w:cs="Courier New"/>
                <w:color w:val="auto"/>
                <w:szCs w:val="21"/>
                <w:highlight w:val="none"/>
              </w:rPr>
            </w:pPr>
            <w:r>
              <w:rPr>
                <w:rFonts w:hint="eastAsia" w:ascii="宋体" w:hAnsi="宋体" w:cs="Courier New"/>
                <w:color w:val="auto"/>
                <w:szCs w:val="21"/>
                <w:highlight w:val="none"/>
              </w:rPr>
              <w:t>开户名称：</w:t>
            </w:r>
            <w:r>
              <w:rPr>
                <w:rFonts w:hint="eastAsia" w:ascii="宋体" w:hAnsi="宋体" w:cs="Courier New"/>
                <w:color w:val="auto"/>
                <w:szCs w:val="21"/>
                <w:highlight w:val="none"/>
                <w:u w:val="single"/>
              </w:rPr>
              <w:t xml:space="preserve">     /      ；</w:t>
            </w:r>
          </w:p>
          <w:p w14:paraId="6688168B">
            <w:pPr>
              <w:spacing w:line="360" w:lineRule="auto"/>
              <w:jc w:val="left"/>
              <w:rPr>
                <w:rFonts w:ascii="宋体" w:hAnsi="宋体" w:cs="Courier New"/>
                <w:color w:val="auto"/>
                <w:szCs w:val="21"/>
                <w:highlight w:val="none"/>
                <w:u w:val="single"/>
              </w:rPr>
            </w:pPr>
            <w:r>
              <w:rPr>
                <w:rFonts w:hint="eastAsia" w:ascii="宋体" w:hAnsi="宋体" w:cs="Courier New"/>
                <w:color w:val="auto"/>
                <w:szCs w:val="21"/>
                <w:highlight w:val="none"/>
              </w:rPr>
              <w:t>银行账号：</w:t>
            </w:r>
            <w:r>
              <w:rPr>
                <w:rFonts w:hint="eastAsia" w:ascii="宋体" w:hAnsi="宋体" w:cs="Courier New"/>
                <w:color w:val="auto"/>
                <w:szCs w:val="21"/>
                <w:highlight w:val="none"/>
                <w:u w:val="single"/>
              </w:rPr>
              <w:t xml:space="preserve">     /      ；</w:t>
            </w:r>
          </w:p>
          <w:p w14:paraId="75B1335D">
            <w:pPr>
              <w:spacing w:line="360" w:lineRule="auto"/>
              <w:jc w:val="left"/>
              <w:rPr>
                <w:rFonts w:ascii="宋体" w:hAnsi="宋体" w:cs="Courier New"/>
                <w:color w:val="auto"/>
                <w:szCs w:val="21"/>
                <w:highlight w:val="none"/>
              </w:rPr>
            </w:pPr>
            <w:r>
              <w:rPr>
                <w:rFonts w:ascii="宋体" w:hAnsi="宋体" w:cs="Courier New"/>
                <w:color w:val="auto"/>
                <w:szCs w:val="21"/>
                <w:highlight w:val="none"/>
              </w:rPr>
              <w:t>备注：</w:t>
            </w:r>
          </w:p>
          <w:p w14:paraId="0ED7386A">
            <w:pPr>
              <w:spacing w:line="360" w:lineRule="auto"/>
              <w:jc w:val="left"/>
              <w:rPr>
                <w:rFonts w:ascii="宋体" w:hAnsi="宋体"/>
                <w:b/>
                <w:color w:val="auto"/>
                <w:szCs w:val="21"/>
                <w:highlight w:val="none"/>
              </w:rPr>
            </w:pPr>
            <w:bookmarkStart w:id="89" w:name="_Hlk54170335"/>
            <w:r>
              <w:rPr>
                <w:rFonts w:hint="eastAsia" w:ascii="宋体" w:hAnsi="宋体"/>
                <w:b/>
                <w:color w:val="auto"/>
                <w:szCs w:val="21"/>
                <w:highlight w:val="none"/>
              </w:rPr>
              <w:t>1.根据</w:t>
            </w:r>
            <w:bookmarkEnd w:id="89"/>
            <w:r>
              <w:rPr>
                <w:rFonts w:hint="eastAsia" w:ascii="宋体" w:hAnsi="宋体"/>
                <w:b/>
                <w:color w:val="auto"/>
                <w:szCs w:val="21"/>
                <w:highlight w:val="none"/>
              </w:rPr>
              <w:t>《广西壮族自治区财政厅关于持续优化政府采购营商环境推动高质量发展的通知》（桂财采（2024）55号）规定，履约保证金数额不得超过政府采购合同金额的5%，对中小企业收取的履约保证金数额不得超过政府采购合同金额的2%。预算单位（采购人）可根据供应商的资信等情况减免履约保证金。</w:t>
            </w:r>
          </w:p>
          <w:p w14:paraId="10762BA1">
            <w:pPr>
              <w:spacing w:line="360" w:lineRule="auto"/>
              <w:jc w:val="left"/>
              <w:rPr>
                <w:rFonts w:ascii="宋体" w:hAnsi="宋体"/>
                <w:b/>
                <w:color w:val="auto"/>
                <w:szCs w:val="21"/>
                <w:highlight w:val="none"/>
              </w:rPr>
            </w:pPr>
            <w:r>
              <w:rPr>
                <w:rFonts w:ascii="宋体" w:hAnsi="宋体"/>
                <w:b/>
                <w:color w:val="auto"/>
                <w:szCs w:val="21"/>
                <w:highlight w:val="none"/>
              </w:rPr>
              <w:t>2.</w:t>
            </w:r>
            <w:r>
              <w:rPr>
                <w:rFonts w:hint="eastAsia" w:ascii="宋体" w:hAnsi="宋体"/>
                <w:color w:val="auto"/>
                <w:szCs w:val="21"/>
                <w:highlight w:val="none"/>
              </w:rPr>
              <w:t xml:space="preserve"> </w:t>
            </w:r>
            <w:r>
              <w:rPr>
                <w:rFonts w:hint="eastAsia" w:ascii="宋体" w:hAnsi="宋体"/>
                <w:b/>
                <w:color w:val="auto"/>
                <w:szCs w:val="21"/>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3414C15B">
            <w:pPr>
              <w:spacing w:line="360" w:lineRule="auto"/>
              <w:jc w:val="left"/>
              <w:rPr>
                <w:rFonts w:ascii="宋体" w:hAnsi="宋体"/>
                <w:b/>
                <w:color w:val="auto"/>
                <w:szCs w:val="21"/>
                <w:highlight w:val="none"/>
              </w:rPr>
            </w:pPr>
            <w:r>
              <w:rPr>
                <w:rFonts w:ascii="宋体" w:hAnsi="宋体"/>
                <w:b/>
                <w:color w:val="auto"/>
                <w:szCs w:val="21"/>
                <w:highlight w:val="none"/>
              </w:rPr>
              <w:t>3.采用银行、保险机构出具的保函的，必须为无条件保函，否则不予签订合同。</w:t>
            </w:r>
          </w:p>
          <w:p w14:paraId="43161B08">
            <w:pPr>
              <w:spacing w:line="360" w:lineRule="auto"/>
              <w:jc w:val="left"/>
              <w:rPr>
                <w:rFonts w:ascii="宋体" w:hAnsi="宋体" w:cs="宋体"/>
                <w:color w:val="auto"/>
                <w:kern w:val="0"/>
                <w:szCs w:val="21"/>
                <w:highlight w:val="none"/>
              </w:rPr>
            </w:pPr>
            <w:r>
              <w:rPr>
                <w:rFonts w:ascii="宋体" w:hAnsi="宋体"/>
                <w:b/>
                <w:color w:val="auto"/>
                <w:szCs w:val="21"/>
                <w:highlight w:val="none"/>
              </w:rPr>
              <w:t>4.</w:t>
            </w:r>
            <w:r>
              <w:rPr>
                <w:rFonts w:hint="eastAsia" w:ascii="宋体" w:hAnsi="宋体"/>
                <w:b/>
                <w:color w:val="auto"/>
                <w:szCs w:val="21"/>
                <w:highlight w:val="none"/>
              </w:rPr>
              <w:t>投标人为联合体的，由联合体其中一方按规定提交的履约保证金，视为有效履约保证金。</w:t>
            </w:r>
          </w:p>
        </w:tc>
      </w:tr>
      <w:tr w14:paraId="418E88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5E16899">
            <w:pPr>
              <w:spacing w:line="360" w:lineRule="auto"/>
              <w:jc w:val="center"/>
              <w:rPr>
                <w:rFonts w:ascii="宋体" w:hAnsi="宋体"/>
                <w:color w:val="auto"/>
                <w:szCs w:val="21"/>
                <w:highlight w:val="none"/>
              </w:rPr>
            </w:pPr>
            <w:bookmarkStart w:id="90" w:name="_40.1"/>
            <w:bookmarkEnd w:id="90"/>
            <w:r>
              <w:rPr>
                <w:rFonts w:hint="eastAsia" w:ascii="宋体" w:hAnsi="宋体"/>
                <w:color w:val="auto"/>
                <w:szCs w:val="21"/>
                <w:highlight w:val="none"/>
              </w:rPr>
              <w:t>36.1</w:t>
            </w:r>
          </w:p>
        </w:tc>
        <w:tc>
          <w:tcPr>
            <w:tcW w:w="8670" w:type="dxa"/>
            <w:tcBorders>
              <w:top w:val="single" w:color="auto" w:sz="4" w:space="0"/>
              <w:left w:val="single" w:color="auto" w:sz="4" w:space="0"/>
              <w:bottom w:val="single" w:color="auto" w:sz="4" w:space="0"/>
              <w:right w:val="single" w:color="auto" w:sz="4" w:space="0"/>
            </w:tcBorders>
            <w:vAlign w:val="center"/>
          </w:tcPr>
          <w:p w14:paraId="37A8D6B8">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 xml:space="preserve">签订合同携带的证明材料： </w:t>
            </w:r>
          </w:p>
          <w:p w14:paraId="3D8CEF0D">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0BD8736E">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12285E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1745F40A">
            <w:pPr>
              <w:spacing w:line="360" w:lineRule="auto"/>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8.2</w:t>
            </w:r>
          </w:p>
        </w:tc>
        <w:tc>
          <w:tcPr>
            <w:tcW w:w="8670" w:type="dxa"/>
            <w:tcBorders>
              <w:top w:val="single" w:color="auto" w:sz="4" w:space="0"/>
              <w:left w:val="single" w:color="auto" w:sz="4" w:space="0"/>
              <w:bottom w:val="single" w:color="auto" w:sz="4" w:space="0"/>
              <w:right w:val="single" w:color="auto" w:sz="4" w:space="0"/>
            </w:tcBorders>
            <w:vAlign w:val="center"/>
          </w:tcPr>
          <w:p w14:paraId="73D697DE">
            <w:pPr>
              <w:snapToGrid w:val="0"/>
              <w:spacing w:line="360" w:lineRule="auto"/>
              <w:rPr>
                <w:rFonts w:ascii="宋体" w:hAnsi="宋体"/>
                <w:color w:val="auto"/>
                <w:szCs w:val="21"/>
                <w:highlight w:val="none"/>
              </w:rPr>
            </w:pPr>
            <w:r>
              <w:rPr>
                <w:rFonts w:hint="eastAsia" w:ascii="宋体" w:hAnsi="宋体"/>
                <w:color w:val="auto"/>
                <w:szCs w:val="21"/>
                <w:highlight w:val="none"/>
              </w:rPr>
              <w:t>接收质疑函方式：以书面形式</w:t>
            </w:r>
          </w:p>
          <w:p w14:paraId="7E00B292">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质疑联系部门及联系方式：云之龙咨询集团有限公司，联系电话：0774-3859935，通讯地址：（梧州市新兴三路30号神冠豪都B栋1单元1008号房）</w:t>
            </w:r>
          </w:p>
          <w:p w14:paraId="6AB19E3F">
            <w:pPr>
              <w:autoSpaceDE w:val="0"/>
              <w:autoSpaceDN w:val="0"/>
              <w:snapToGrid w:val="0"/>
              <w:spacing w:line="360" w:lineRule="auto"/>
              <w:textAlignment w:val="bottom"/>
              <w:rPr>
                <w:rFonts w:ascii="宋体" w:hAnsi="宋体"/>
                <w:color w:val="auto"/>
                <w:szCs w:val="21"/>
                <w:highlight w:val="none"/>
              </w:rPr>
            </w:pPr>
            <w:r>
              <w:rPr>
                <w:rFonts w:hint="eastAsia" w:hAnsi="宋体" w:cs="宋体"/>
                <w:color w:val="auto"/>
                <w:highlight w:val="none"/>
              </w:rPr>
              <w:t>业务时间：工作日每天上午</w:t>
            </w:r>
            <w:r>
              <w:rPr>
                <w:rFonts w:hAnsi="宋体" w:cs="宋体"/>
                <w:color w:val="auto"/>
                <w:highlight w:val="none"/>
              </w:rPr>
              <w:t>8</w:t>
            </w:r>
            <w:r>
              <w:rPr>
                <w:rFonts w:hint="eastAsia" w:hAnsi="宋体" w:cs="宋体"/>
                <w:color w:val="auto"/>
                <w:highlight w:val="none"/>
              </w:rPr>
              <w:t>时</w:t>
            </w:r>
            <w:r>
              <w:rPr>
                <w:rFonts w:hAnsi="宋体" w:cs="宋体"/>
                <w:color w:val="auto"/>
                <w:highlight w:val="none"/>
              </w:rPr>
              <w:t>00</w:t>
            </w:r>
            <w:r>
              <w:rPr>
                <w:rFonts w:hint="eastAsia" w:hAnsi="宋体" w:cs="宋体"/>
                <w:color w:val="auto"/>
                <w:highlight w:val="none"/>
              </w:rPr>
              <w:t>分到</w:t>
            </w:r>
            <w:r>
              <w:rPr>
                <w:rFonts w:hAnsi="宋体" w:cs="宋体"/>
                <w:color w:val="auto"/>
                <w:highlight w:val="none"/>
              </w:rPr>
              <w:t>12</w:t>
            </w:r>
            <w:r>
              <w:rPr>
                <w:rFonts w:hint="eastAsia" w:hAnsi="宋体" w:cs="宋体"/>
                <w:color w:val="auto"/>
                <w:highlight w:val="none"/>
              </w:rPr>
              <w:t>时</w:t>
            </w:r>
            <w:r>
              <w:rPr>
                <w:rFonts w:hAnsi="宋体" w:cs="宋体"/>
                <w:color w:val="auto"/>
                <w:highlight w:val="none"/>
              </w:rPr>
              <w:t>00</w:t>
            </w:r>
            <w:r>
              <w:rPr>
                <w:rFonts w:hint="eastAsia" w:hAnsi="宋体" w:cs="宋体"/>
                <w:color w:val="auto"/>
                <w:highlight w:val="none"/>
              </w:rPr>
              <w:t>分，下午</w:t>
            </w:r>
            <w:r>
              <w:rPr>
                <w:rFonts w:hAnsi="宋体" w:cs="宋体"/>
                <w:color w:val="auto"/>
                <w:highlight w:val="none"/>
              </w:rPr>
              <w:t>3</w:t>
            </w:r>
            <w:r>
              <w:rPr>
                <w:rFonts w:hint="eastAsia" w:hAnsi="宋体" w:cs="宋体"/>
                <w:color w:val="auto"/>
                <w:highlight w:val="none"/>
              </w:rPr>
              <w:t>时</w:t>
            </w:r>
            <w:r>
              <w:rPr>
                <w:rFonts w:hAnsi="宋体" w:cs="宋体"/>
                <w:color w:val="auto"/>
                <w:highlight w:val="none"/>
              </w:rPr>
              <w:t>00</w:t>
            </w:r>
            <w:r>
              <w:rPr>
                <w:rFonts w:hint="eastAsia" w:hAnsi="宋体" w:cs="宋体"/>
                <w:color w:val="auto"/>
                <w:highlight w:val="none"/>
              </w:rPr>
              <w:t>分到</w:t>
            </w:r>
            <w:r>
              <w:rPr>
                <w:rFonts w:hAnsi="宋体" w:cs="宋体"/>
                <w:color w:val="auto"/>
                <w:highlight w:val="none"/>
              </w:rPr>
              <w:t>6</w:t>
            </w:r>
            <w:r>
              <w:rPr>
                <w:rFonts w:hint="eastAsia" w:hAnsi="宋体" w:cs="宋体"/>
                <w:color w:val="auto"/>
                <w:highlight w:val="none"/>
              </w:rPr>
              <w:t>时</w:t>
            </w:r>
            <w:r>
              <w:rPr>
                <w:rFonts w:hAnsi="宋体" w:cs="宋体"/>
                <w:color w:val="auto"/>
                <w:highlight w:val="none"/>
              </w:rPr>
              <w:t>00</w:t>
            </w:r>
            <w:r>
              <w:rPr>
                <w:rFonts w:hint="eastAsia" w:hAnsi="宋体" w:cs="宋体"/>
                <w:color w:val="auto"/>
                <w:highlight w:val="none"/>
              </w:rPr>
              <w:t>分。</w:t>
            </w:r>
          </w:p>
        </w:tc>
      </w:tr>
      <w:tr w14:paraId="6B5CB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2866BD8">
            <w:pPr>
              <w:spacing w:line="360" w:lineRule="auto"/>
              <w:jc w:val="center"/>
              <w:rPr>
                <w:rFonts w:ascii="宋体" w:hAnsi="宋体"/>
                <w:color w:val="auto"/>
                <w:szCs w:val="21"/>
                <w:highlight w:val="none"/>
              </w:rPr>
            </w:pPr>
            <w:bookmarkStart w:id="91" w:name="_42"/>
            <w:bookmarkEnd w:id="91"/>
            <w:bookmarkStart w:id="92" w:name="_41"/>
            <w:bookmarkEnd w:id="92"/>
            <w:bookmarkStart w:id="93" w:name="_Hlt17709148"/>
            <w:r>
              <w:rPr>
                <w:rFonts w:hint="eastAsia" w:ascii="宋体" w:hAnsi="宋体"/>
                <w:color w:val="auto"/>
                <w:szCs w:val="21"/>
                <w:highlight w:val="none"/>
              </w:rPr>
              <w:t>3</w:t>
            </w:r>
            <w:bookmarkEnd w:id="93"/>
            <w:r>
              <w:rPr>
                <w:rFonts w:ascii="宋体" w:hAnsi="宋体"/>
                <w:color w:val="auto"/>
                <w:szCs w:val="21"/>
                <w:highlight w:val="none"/>
              </w:rPr>
              <w:t>9.1</w:t>
            </w:r>
          </w:p>
        </w:tc>
        <w:tc>
          <w:tcPr>
            <w:tcW w:w="8670" w:type="dxa"/>
            <w:tcBorders>
              <w:top w:val="single" w:color="auto" w:sz="4" w:space="0"/>
              <w:left w:val="single" w:color="auto" w:sz="4" w:space="0"/>
              <w:bottom w:val="single" w:color="auto" w:sz="4" w:space="0"/>
              <w:right w:val="single" w:color="auto" w:sz="4" w:space="0"/>
            </w:tcBorders>
            <w:vAlign w:val="center"/>
          </w:tcPr>
          <w:p w14:paraId="04D9D841">
            <w:pPr>
              <w:pStyle w:val="26"/>
              <w:snapToGrid w:val="0"/>
              <w:spacing w:line="360" w:lineRule="auto"/>
              <w:rPr>
                <w:rFonts w:hAnsi="宋体" w:cs="宋体"/>
                <w:color w:val="auto"/>
                <w:sz w:val="21"/>
                <w:highlight w:val="none"/>
              </w:rPr>
            </w:pPr>
            <w:r>
              <w:rPr>
                <w:rFonts w:hint="eastAsia" w:hAnsi="宋体" w:cs="宋体"/>
                <w:color w:val="auto"/>
                <w:sz w:val="21"/>
                <w:highlight w:val="none"/>
              </w:rPr>
              <w:t>1.采购代理费支付方式：</w:t>
            </w:r>
          </w:p>
          <w:p w14:paraId="512385F7">
            <w:pPr>
              <w:pStyle w:val="26"/>
              <w:snapToGrid w:val="0"/>
              <w:spacing w:line="360" w:lineRule="auto"/>
              <w:rPr>
                <w:rFonts w:hAnsi="宋体" w:cs="宋体"/>
                <w:color w:val="auto"/>
                <w:sz w:val="21"/>
                <w:highlight w:val="none"/>
              </w:rPr>
            </w:pPr>
            <w:r>
              <w:rPr>
                <w:rFonts w:hint="eastAsia" w:hAnsi="宋体"/>
                <w:color w:val="auto"/>
                <w:highlight w:val="none"/>
              </w:rPr>
              <w:t xml:space="preserve">☑ </w:t>
            </w:r>
            <w:r>
              <w:rPr>
                <w:rFonts w:hint="eastAsia" w:hAnsi="宋体" w:cs="宋体"/>
                <w:color w:val="auto"/>
                <w:sz w:val="21"/>
                <w:highlight w:val="none"/>
              </w:rPr>
              <w:t>本项目代理服务费由</w:t>
            </w:r>
            <w:r>
              <w:rPr>
                <w:rFonts w:hint="eastAsia" w:hAnsi="宋体" w:cs="宋体"/>
                <w:color w:val="auto"/>
                <w:sz w:val="21"/>
                <w:highlight w:val="none"/>
                <w:u w:val="single"/>
              </w:rPr>
              <w:t>中标人</w:t>
            </w:r>
            <w:r>
              <w:rPr>
                <w:rFonts w:hint="eastAsia" w:hAnsi="宋体" w:cs="宋体"/>
                <w:color w:val="auto"/>
                <w:sz w:val="21"/>
                <w:highlight w:val="none"/>
              </w:rPr>
              <w:t>一次性向采购代理机构支付。</w:t>
            </w:r>
          </w:p>
          <w:p w14:paraId="1FC25326">
            <w:pPr>
              <w:pStyle w:val="26"/>
              <w:snapToGrid w:val="0"/>
              <w:spacing w:line="360" w:lineRule="auto"/>
              <w:rPr>
                <w:rFonts w:hAnsi="宋体" w:cs="宋体"/>
                <w:color w:val="auto"/>
                <w:sz w:val="21"/>
                <w:highlight w:val="none"/>
              </w:rPr>
            </w:pPr>
            <w:r>
              <w:rPr>
                <w:rFonts w:hint="eastAsia" w:hAnsi="宋体" w:cs="宋体"/>
                <w:color w:val="auto"/>
                <w:sz w:val="21"/>
                <w:highlight w:val="none"/>
              </w:rPr>
              <w:t>□采购人支付。</w:t>
            </w:r>
          </w:p>
          <w:p w14:paraId="01A890C6">
            <w:pPr>
              <w:pStyle w:val="26"/>
              <w:snapToGrid w:val="0"/>
              <w:spacing w:line="360" w:lineRule="auto"/>
              <w:rPr>
                <w:rFonts w:hAnsi="宋体" w:cs="宋体"/>
                <w:color w:val="auto"/>
                <w:sz w:val="21"/>
                <w:highlight w:val="none"/>
              </w:rPr>
            </w:pPr>
            <w:r>
              <w:rPr>
                <w:rFonts w:hint="eastAsia" w:hAnsi="宋体" w:cs="宋体"/>
                <w:color w:val="auto"/>
                <w:sz w:val="21"/>
                <w:highlight w:val="none"/>
              </w:rPr>
              <w:t>2.采购代理费收取标准：</w:t>
            </w:r>
          </w:p>
          <w:p w14:paraId="0BE40F30">
            <w:pPr>
              <w:pStyle w:val="26"/>
              <w:snapToGrid w:val="0"/>
              <w:spacing w:line="360" w:lineRule="auto"/>
              <w:rPr>
                <w:rFonts w:hAnsi="宋体" w:cs="宋体"/>
                <w:color w:val="auto"/>
                <w:sz w:val="21"/>
                <w:highlight w:val="none"/>
              </w:rPr>
            </w:pPr>
            <w:r>
              <w:rPr>
                <w:rFonts w:hint="eastAsia" w:hAnsi="宋体"/>
                <w:color w:val="auto"/>
                <w:highlight w:val="none"/>
              </w:rPr>
              <w:t>☑</w:t>
            </w:r>
            <w:r>
              <w:rPr>
                <w:rFonts w:hint="eastAsia" w:hAnsi="宋体" w:cs="宋体"/>
                <w:color w:val="auto"/>
                <w:sz w:val="21"/>
                <w:highlight w:val="none"/>
              </w:rPr>
              <w:t>以分标中标金额为计费额，按本须知正文第</w:t>
            </w:r>
            <w:r>
              <w:rPr>
                <w:rFonts w:hAnsi="宋体" w:cs="宋体"/>
                <w:color w:val="auto"/>
                <w:sz w:val="21"/>
                <w:highlight w:val="none"/>
              </w:rPr>
              <w:t>39</w:t>
            </w:r>
            <w:r>
              <w:rPr>
                <w:rFonts w:hint="eastAsia" w:hAnsi="宋体" w:cs="宋体"/>
                <w:color w:val="auto"/>
                <w:sz w:val="21"/>
                <w:highlight w:val="none"/>
              </w:rPr>
              <w:t>.</w:t>
            </w:r>
            <w:r>
              <w:rPr>
                <w:rFonts w:hAnsi="宋体" w:cs="宋体"/>
                <w:color w:val="auto"/>
                <w:sz w:val="21"/>
                <w:highlight w:val="none"/>
              </w:rPr>
              <w:t>2</w:t>
            </w:r>
            <w:r>
              <w:rPr>
                <w:rFonts w:hint="eastAsia" w:hAnsi="宋体" w:cs="宋体"/>
                <w:color w:val="auto"/>
                <w:sz w:val="21"/>
                <w:highlight w:val="none"/>
              </w:rPr>
              <w:t>条规定的收费计算标准货物招标采用差额定率累进法计算出收费基准价格，采购代理收费以收费基准价格收取。</w:t>
            </w:r>
          </w:p>
          <w:p w14:paraId="2FEAEFB8">
            <w:pPr>
              <w:pStyle w:val="26"/>
              <w:snapToGrid w:val="0"/>
              <w:spacing w:line="360" w:lineRule="auto"/>
              <w:rPr>
                <w:rFonts w:hAnsi="宋体" w:cs="宋体"/>
                <w:color w:val="auto"/>
                <w:sz w:val="21"/>
                <w:highlight w:val="none"/>
                <w:u w:val="single"/>
              </w:rPr>
            </w:pPr>
            <w:r>
              <w:rPr>
                <w:rFonts w:hint="eastAsia" w:hAnsi="宋体" w:cs="宋体"/>
                <w:color w:val="auto"/>
                <w:sz w:val="21"/>
                <w:highlight w:val="none"/>
              </w:rPr>
              <w:t>□固定采购代理收费</w:t>
            </w:r>
            <w:r>
              <w:rPr>
                <w:rFonts w:hint="eastAsia" w:hAnsi="宋体" w:cs="宋体"/>
                <w:color w:val="auto"/>
                <w:sz w:val="21"/>
                <w:highlight w:val="none"/>
                <w:u w:val="single"/>
              </w:rPr>
              <w:t xml:space="preserve">                           。</w:t>
            </w:r>
          </w:p>
          <w:p w14:paraId="56DD4B15">
            <w:pPr>
              <w:pStyle w:val="26"/>
              <w:snapToGrid w:val="0"/>
              <w:spacing w:line="360" w:lineRule="auto"/>
              <w:rPr>
                <w:rFonts w:hAnsi="宋体" w:cs="宋体"/>
                <w:color w:val="auto"/>
                <w:sz w:val="21"/>
                <w:highlight w:val="none"/>
              </w:rPr>
            </w:pPr>
            <w:r>
              <w:rPr>
                <w:rFonts w:hint="eastAsia" w:hAnsi="宋体" w:cs="宋体"/>
                <w:color w:val="auto"/>
                <w:sz w:val="21"/>
                <w:highlight w:val="none"/>
              </w:rPr>
              <w:t>3. 采购代理费收取银行账户</w:t>
            </w:r>
          </w:p>
          <w:p w14:paraId="083F82DF">
            <w:pPr>
              <w:pStyle w:val="26"/>
              <w:snapToGrid w:val="0"/>
              <w:spacing w:line="360" w:lineRule="auto"/>
              <w:rPr>
                <w:rFonts w:hAnsi="宋体" w:cs="宋体"/>
                <w:color w:val="auto"/>
                <w:sz w:val="21"/>
                <w:highlight w:val="none"/>
              </w:rPr>
            </w:pPr>
            <w:r>
              <w:rPr>
                <w:rFonts w:hint="eastAsia" w:hAnsi="宋体" w:cs="宋体"/>
                <w:color w:val="auto"/>
                <w:sz w:val="21"/>
                <w:highlight w:val="none"/>
              </w:rPr>
              <w:t>账户名称：云之龙咨询集团有限公司苍梧分公司</w:t>
            </w:r>
          </w:p>
          <w:p w14:paraId="4D231C6B">
            <w:pPr>
              <w:pStyle w:val="26"/>
              <w:snapToGrid w:val="0"/>
              <w:spacing w:line="360" w:lineRule="auto"/>
              <w:rPr>
                <w:rFonts w:hAnsi="宋体" w:cs="宋体"/>
                <w:color w:val="auto"/>
                <w:sz w:val="21"/>
                <w:highlight w:val="none"/>
              </w:rPr>
            </w:pPr>
            <w:r>
              <w:rPr>
                <w:rFonts w:hint="eastAsia" w:hAnsi="宋体" w:cs="宋体"/>
                <w:color w:val="auto"/>
                <w:sz w:val="21"/>
                <w:highlight w:val="none"/>
              </w:rPr>
              <w:t>开户银行：中信银行南宁东葛支行</w:t>
            </w:r>
          </w:p>
          <w:p w14:paraId="33C18067">
            <w:pPr>
              <w:pStyle w:val="26"/>
              <w:snapToGrid w:val="0"/>
              <w:spacing w:line="360" w:lineRule="auto"/>
              <w:rPr>
                <w:rFonts w:hAnsi="宋体" w:cs="宋体"/>
                <w:color w:val="auto"/>
                <w:sz w:val="21"/>
                <w:highlight w:val="none"/>
              </w:rPr>
            </w:pPr>
            <w:r>
              <w:rPr>
                <w:rFonts w:hint="eastAsia" w:hAnsi="宋体" w:cs="宋体"/>
                <w:color w:val="auto"/>
                <w:sz w:val="21"/>
                <w:highlight w:val="none"/>
              </w:rPr>
              <w:t>银行账号：8113001013600159873</w:t>
            </w:r>
          </w:p>
        </w:tc>
      </w:tr>
      <w:tr w14:paraId="1194E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564D9F77">
            <w:pPr>
              <w:snapToGrid w:val="0"/>
              <w:spacing w:line="360" w:lineRule="auto"/>
              <w:jc w:val="center"/>
              <w:rPr>
                <w:rFonts w:ascii="宋体" w:hAnsi="宋体"/>
                <w:color w:val="auto"/>
                <w:szCs w:val="21"/>
                <w:highlight w:val="none"/>
              </w:rPr>
            </w:pPr>
            <w:r>
              <w:rPr>
                <w:rFonts w:ascii="宋体" w:hAnsi="宋体"/>
                <w:color w:val="auto"/>
                <w:szCs w:val="21"/>
                <w:highlight w:val="none"/>
              </w:rPr>
              <w:t>40.1</w:t>
            </w:r>
          </w:p>
        </w:tc>
        <w:tc>
          <w:tcPr>
            <w:tcW w:w="8670" w:type="dxa"/>
            <w:tcBorders>
              <w:top w:val="single" w:color="auto" w:sz="4" w:space="0"/>
              <w:left w:val="single" w:color="auto" w:sz="4" w:space="0"/>
              <w:bottom w:val="single" w:color="auto" w:sz="4" w:space="0"/>
              <w:right w:val="single" w:color="auto" w:sz="4" w:space="0"/>
            </w:tcBorders>
            <w:vAlign w:val="center"/>
          </w:tcPr>
          <w:p w14:paraId="371B8F06">
            <w:pPr>
              <w:snapToGrid w:val="0"/>
              <w:spacing w:line="360" w:lineRule="auto"/>
              <w:rPr>
                <w:rFonts w:ascii="宋体" w:hAnsi="宋体"/>
                <w:color w:val="auto"/>
                <w:szCs w:val="21"/>
                <w:highlight w:val="none"/>
              </w:rPr>
            </w:pPr>
            <w:r>
              <w:rPr>
                <w:rFonts w:hint="eastAsia" w:ascii="宋体" w:hAnsi="宋体"/>
                <w:color w:val="auto"/>
                <w:szCs w:val="21"/>
                <w:highlight w:val="none"/>
              </w:rPr>
              <w:t>解释：</w:t>
            </w:r>
            <w:r>
              <w:rPr>
                <w:rFonts w:ascii="宋体" w:hAnsi="宋体"/>
                <w:color w:val="auto"/>
                <w:szCs w:val="21"/>
                <w:highlight w:val="none"/>
              </w:rPr>
              <w:t>构成本招标文件的各个组成文件应互为解释，互为说明；除招标文件中有特别规定外，仅适用于招标投标阶段的规定，按</w:t>
            </w:r>
            <w:r>
              <w:rPr>
                <w:rFonts w:hint="eastAsia" w:ascii="宋体" w:hAnsi="宋体"/>
                <w:color w:val="auto"/>
                <w:szCs w:val="21"/>
                <w:highlight w:val="none"/>
              </w:rPr>
              <w:t>更正公告（澄清公告）</w:t>
            </w:r>
            <w:r>
              <w:rPr>
                <w:rFonts w:ascii="宋体" w:hAnsi="宋体"/>
                <w:color w:val="auto"/>
                <w:szCs w:val="21"/>
                <w:highlight w:val="none"/>
              </w:rPr>
              <w:t>、招标公告、</w:t>
            </w:r>
            <w:r>
              <w:rPr>
                <w:rFonts w:hint="eastAsia" w:ascii="宋体" w:hAnsi="宋体"/>
                <w:color w:val="auto"/>
                <w:szCs w:val="21"/>
                <w:highlight w:val="none"/>
              </w:rPr>
              <w:t>采购需求、</w:t>
            </w:r>
            <w:r>
              <w:rPr>
                <w:rFonts w:ascii="宋体" w:hAnsi="宋体"/>
                <w:color w:val="auto"/>
                <w:szCs w:val="21"/>
                <w:highlight w:val="none"/>
              </w:rPr>
              <w:t>投标人须知、</w:t>
            </w:r>
            <w:r>
              <w:rPr>
                <w:rFonts w:hint="eastAsia" w:ascii="宋体" w:hAnsi="宋体"/>
                <w:color w:val="auto"/>
                <w:szCs w:val="21"/>
                <w:highlight w:val="none"/>
              </w:rPr>
              <w:t>评标方法及评标标准</w:t>
            </w:r>
            <w:r>
              <w:rPr>
                <w:rFonts w:ascii="宋体" w:hAnsi="宋体"/>
                <w:color w:val="auto"/>
                <w:szCs w:val="21"/>
                <w:highlight w:val="none"/>
              </w:rPr>
              <w:t>、</w:t>
            </w:r>
            <w:r>
              <w:rPr>
                <w:rFonts w:hint="eastAsia" w:ascii="宋体" w:hAnsi="宋体"/>
                <w:color w:val="auto"/>
                <w:szCs w:val="21"/>
                <w:highlight w:val="none"/>
              </w:rPr>
              <w:t>拟签订的合同文本、</w:t>
            </w:r>
            <w:r>
              <w:rPr>
                <w:rFonts w:ascii="宋体" w:hAnsi="宋体"/>
                <w:color w:val="auto"/>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highlight w:val="none"/>
              </w:rPr>
              <w:t>更正公告（澄清公告）</w:t>
            </w:r>
            <w:r>
              <w:rPr>
                <w:rFonts w:ascii="宋体" w:hAnsi="宋体"/>
                <w:color w:val="auto"/>
                <w:szCs w:val="21"/>
                <w:highlight w:val="none"/>
              </w:rPr>
              <w:t>与同步更新的招标文件不一致时以</w:t>
            </w:r>
            <w:r>
              <w:rPr>
                <w:rFonts w:hint="eastAsia" w:ascii="宋体" w:hAnsi="宋体"/>
                <w:color w:val="auto"/>
                <w:szCs w:val="21"/>
                <w:highlight w:val="none"/>
              </w:rPr>
              <w:t>更正公告（澄清公告）</w:t>
            </w:r>
            <w:r>
              <w:rPr>
                <w:rFonts w:ascii="宋体" w:hAnsi="宋体"/>
                <w:color w:val="auto"/>
                <w:szCs w:val="21"/>
                <w:highlight w:val="none"/>
              </w:rPr>
              <w:t>为准。按本款前述规定仍不能形成结论的，由</w:t>
            </w:r>
            <w:r>
              <w:rPr>
                <w:rFonts w:hint="eastAsia" w:ascii="宋体" w:hAnsi="宋体"/>
                <w:color w:val="auto"/>
                <w:szCs w:val="21"/>
                <w:highlight w:val="none"/>
              </w:rPr>
              <w:t>采购</w:t>
            </w:r>
            <w:r>
              <w:rPr>
                <w:rFonts w:ascii="宋体" w:hAnsi="宋体"/>
                <w:color w:val="auto"/>
                <w:szCs w:val="21"/>
                <w:highlight w:val="none"/>
              </w:rPr>
              <w:t>人</w:t>
            </w:r>
            <w:r>
              <w:rPr>
                <w:rFonts w:hint="eastAsia" w:ascii="宋体" w:hAnsi="宋体"/>
                <w:color w:val="auto"/>
                <w:szCs w:val="21"/>
                <w:highlight w:val="none"/>
              </w:rPr>
              <w:t>或者采购代理机构</w:t>
            </w:r>
            <w:r>
              <w:rPr>
                <w:rFonts w:ascii="宋体" w:hAnsi="宋体"/>
                <w:color w:val="auto"/>
                <w:szCs w:val="21"/>
                <w:highlight w:val="none"/>
              </w:rPr>
              <w:t>负责解释。</w:t>
            </w:r>
          </w:p>
        </w:tc>
      </w:tr>
      <w:tr w14:paraId="7666F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5804CBAB">
            <w:pPr>
              <w:snapToGrid w:val="0"/>
              <w:spacing w:line="360" w:lineRule="auto"/>
              <w:jc w:val="center"/>
              <w:rPr>
                <w:rFonts w:ascii="宋体" w:hAnsi="宋体"/>
                <w:color w:val="auto"/>
                <w:szCs w:val="21"/>
                <w:highlight w:val="none"/>
              </w:rPr>
            </w:pPr>
            <w:r>
              <w:rPr>
                <w:rFonts w:ascii="宋体" w:hAnsi="宋体"/>
                <w:color w:val="auto"/>
                <w:szCs w:val="21"/>
                <w:highlight w:val="none"/>
              </w:rPr>
              <w:t>40.2</w:t>
            </w:r>
          </w:p>
        </w:tc>
        <w:tc>
          <w:tcPr>
            <w:tcW w:w="8670" w:type="dxa"/>
            <w:tcBorders>
              <w:top w:val="single" w:color="auto" w:sz="4" w:space="0"/>
              <w:left w:val="single" w:color="auto" w:sz="4" w:space="0"/>
              <w:bottom w:val="single" w:color="auto" w:sz="4" w:space="0"/>
              <w:right w:val="single" w:color="auto" w:sz="4" w:space="0"/>
            </w:tcBorders>
            <w:vAlign w:val="center"/>
          </w:tcPr>
          <w:p w14:paraId="44256423">
            <w:pPr>
              <w:pStyle w:val="26"/>
              <w:snapToGrid w:val="0"/>
              <w:spacing w:line="360" w:lineRule="auto"/>
              <w:rPr>
                <w:rFonts w:hAnsi="宋体" w:cs="宋体"/>
                <w:bCs/>
                <w:color w:val="auto"/>
                <w:sz w:val="21"/>
                <w:highlight w:val="none"/>
              </w:rPr>
            </w:pPr>
            <w:r>
              <w:rPr>
                <w:rFonts w:hint="eastAsia" w:hAnsi="宋体" w:cs="宋体"/>
                <w:bCs/>
                <w:color w:val="auto"/>
                <w:sz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41C75C96">
            <w:pPr>
              <w:pStyle w:val="26"/>
              <w:snapToGrid w:val="0"/>
              <w:spacing w:line="360" w:lineRule="auto"/>
              <w:rPr>
                <w:rFonts w:hAnsi="宋体" w:cs="宋体"/>
                <w:bCs/>
                <w:color w:val="auto"/>
                <w:sz w:val="21"/>
                <w:highlight w:val="none"/>
              </w:rPr>
            </w:pPr>
            <w:r>
              <w:rPr>
                <w:rFonts w:hint="eastAsia" w:hAnsi="宋体" w:cs="宋体"/>
                <w:bCs/>
                <w:color w:val="auto"/>
                <w:sz w:val="21"/>
                <w:highlight w:val="none"/>
              </w:rPr>
              <w:t>2.本招标文件所称的“</w:t>
            </w:r>
            <w:r>
              <w:rPr>
                <w:rFonts w:hint="eastAsia" w:hAnsi="宋体"/>
                <w:color w:val="auto"/>
                <w:sz w:val="21"/>
                <w:highlight w:val="none"/>
              </w:rPr>
              <w:t>电子签章</w:t>
            </w:r>
            <w:r>
              <w:rPr>
                <w:rFonts w:hint="eastAsia" w:hAnsi="宋体" w:cs="宋体"/>
                <w:bCs/>
                <w:color w:val="auto"/>
                <w:sz w:val="21"/>
                <w:highlight w:val="none"/>
              </w:rPr>
              <w:t>”、“电子签名”</w:t>
            </w:r>
            <w:r>
              <w:rPr>
                <w:rFonts w:hint="eastAsia" w:hAnsi="宋体"/>
                <w:color w:val="auto"/>
                <w:sz w:val="21"/>
                <w:highlight w:val="none"/>
              </w:rPr>
              <w:t>，是指经广西政府采购云平台认可的CA认证的电子签名数据为表现形式的印章，可用于签署电子投标文件，电子印章与实物印章具有同等法律效力，不因其采用电子化表现形式而否定其法律效力。</w:t>
            </w:r>
          </w:p>
          <w:p w14:paraId="28047DDE">
            <w:pPr>
              <w:pStyle w:val="26"/>
              <w:snapToGrid w:val="0"/>
              <w:spacing w:line="360" w:lineRule="auto"/>
              <w:rPr>
                <w:rFonts w:hAnsi="宋体" w:cs="宋体"/>
                <w:bCs/>
                <w:color w:val="auto"/>
                <w:sz w:val="21"/>
                <w:highlight w:val="none"/>
              </w:rPr>
            </w:pPr>
            <w:r>
              <w:rPr>
                <w:rFonts w:hint="eastAsia" w:hAnsi="宋体" w:cs="宋体"/>
                <w:bCs/>
                <w:color w:val="auto"/>
                <w:sz w:val="21"/>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3F527C9B">
            <w:pPr>
              <w:pStyle w:val="26"/>
              <w:snapToGrid w:val="0"/>
              <w:spacing w:line="360" w:lineRule="auto"/>
              <w:rPr>
                <w:rFonts w:hAnsi="宋体" w:cs="宋体"/>
                <w:bCs/>
                <w:color w:val="auto"/>
                <w:sz w:val="21"/>
                <w:highlight w:val="none"/>
              </w:rPr>
            </w:pPr>
            <w:r>
              <w:rPr>
                <w:rFonts w:hint="eastAsia" w:hAnsi="宋体" w:cs="宋体"/>
                <w:bCs/>
                <w:color w:val="auto"/>
                <w:sz w:val="21"/>
                <w:highlight w:val="none"/>
              </w:rPr>
              <w:t>4.本招标文件中描述投标人的“签字”是指投标人的法定代表人或者委托代理人亲自在文件规定签字处亲笔写上个人的名字的行为，私章、签字章、印鉴、影印等其他形式均不能代替亲笔签字。</w:t>
            </w:r>
          </w:p>
          <w:p w14:paraId="459D8AC5">
            <w:pPr>
              <w:pStyle w:val="26"/>
              <w:snapToGrid w:val="0"/>
              <w:spacing w:line="360" w:lineRule="auto"/>
              <w:rPr>
                <w:color w:val="auto"/>
                <w:sz w:val="21"/>
                <w:highlight w:val="none"/>
              </w:rPr>
            </w:pPr>
            <w:r>
              <w:rPr>
                <w:rFonts w:hint="eastAsia" w:hAnsi="宋体" w:cs="宋体"/>
                <w:bCs/>
                <w:color w:val="auto"/>
                <w:sz w:val="21"/>
                <w:highlight w:val="none"/>
              </w:rPr>
              <w:t>5.本招标文件所称的“以上”“以下”“以内”“届满”，包括本数；所称的“不满”“超过”“以外”，不包括本数。</w:t>
            </w:r>
          </w:p>
        </w:tc>
      </w:tr>
    </w:tbl>
    <w:p w14:paraId="5E012C63">
      <w:pPr>
        <w:snapToGrid w:val="0"/>
        <w:rPr>
          <w:rFonts w:ascii="宋体" w:hAnsi="宋体"/>
          <w:color w:val="auto"/>
          <w:sz w:val="24"/>
          <w:szCs w:val="20"/>
          <w:highlight w:val="none"/>
        </w:rPr>
      </w:pPr>
    </w:p>
    <w:p w14:paraId="33296A4F">
      <w:pPr>
        <w:snapToGrid w:val="0"/>
        <w:rPr>
          <w:rFonts w:ascii="宋体" w:hAnsi="宋体"/>
          <w:color w:val="auto"/>
          <w:sz w:val="24"/>
          <w:szCs w:val="20"/>
          <w:highlight w:val="none"/>
        </w:rPr>
      </w:pPr>
    </w:p>
    <w:p w14:paraId="4D24C8C4">
      <w:pPr>
        <w:pStyle w:val="7"/>
        <w:keepNext w:val="0"/>
        <w:keepLines w:val="0"/>
        <w:jc w:val="center"/>
        <w:rPr>
          <w:color w:val="auto"/>
          <w:highlight w:val="none"/>
        </w:rPr>
      </w:pPr>
      <w:r>
        <w:rPr>
          <w:color w:val="auto"/>
          <w:highlight w:val="none"/>
        </w:rPr>
        <w:br w:type="page"/>
      </w:r>
      <w:r>
        <w:rPr>
          <w:rFonts w:hint="eastAsia"/>
          <w:color w:val="auto"/>
          <w:highlight w:val="none"/>
        </w:rPr>
        <w:t>投标人须知正文</w:t>
      </w:r>
    </w:p>
    <w:p w14:paraId="306EB658">
      <w:pPr>
        <w:pStyle w:val="7"/>
        <w:keepNext w:val="0"/>
        <w:keepLines w:val="0"/>
        <w:jc w:val="center"/>
        <w:rPr>
          <w:color w:val="auto"/>
          <w:highlight w:val="none"/>
        </w:rPr>
      </w:pPr>
      <w:r>
        <w:rPr>
          <w:rFonts w:hint="eastAsia"/>
          <w:color w:val="auto"/>
          <w:highlight w:val="none"/>
        </w:rPr>
        <w:t>一、总  则</w:t>
      </w:r>
    </w:p>
    <w:p w14:paraId="3362B2C9">
      <w:pPr>
        <w:pStyle w:val="8"/>
        <w:keepNext w:val="0"/>
        <w:keepLines w:val="0"/>
        <w:spacing w:before="0" w:after="0" w:line="360" w:lineRule="auto"/>
        <w:ind w:left="420" w:leftChars="200"/>
        <w:rPr>
          <w:rFonts w:ascii="黑体" w:hAnsi="黑体" w:eastAsia="黑体"/>
          <w:color w:val="auto"/>
          <w:sz w:val="24"/>
          <w:highlight w:val="none"/>
        </w:rPr>
      </w:pPr>
      <w:bookmarkStart w:id="94" w:name="_Toc254970527"/>
      <w:bookmarkStart w:id="95" w:name="_Toc254970668"/>
      <w:r>
        <w:rPr>
          <w:rFonts w:hint="eastAsia" w:ascii="黑体" w:hAnsi="黑体" w:eastAsia="黑体"/>
          <w:color w:val="auto"/>
          <w:sz w:val="24"/>
          <w:highlight w:val="none"/>
        </w:rPr>
        <w:t>1.适用范围</w:t>
      </w:r>
      <w:bookmarkEnd w:id="94"/>
      <w:bookmarkEnd w:id="95"/>
    </w:p>
    <w:p w14:paraId="2FA7318B">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0A10F80B">
      <w:pPr>
        <w:snapToGrid w:val="0"/>
        <w:spacing w:line="360" w:lineRule="auto"/>
        <w:ind w:firstLine="420" w:firstLineChars="200"/>
        <w:jc w:val="left"/>
        <w:rPr>
          <w:rFonts w:ascii="宋体" w:hAnsi="宋体" w:cs="宋体"/>
          <w:color w:val="auto"/>
          <w:spacing w:val="-6"/>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1ED98EA6">
      <w:pPr>
        <w:pStyle w:val="8"/>
        <w:keepNext w:val="0"/>
        <w:keepLines w:val="0"/>
        <w:spacing w:before="0" w:after="0" w:line="360" w:lineRule="auto"/>
        <w:ind w:left="420" w:leftChars="200"/>
        <w:rPr>
          <w:rFonts w:ascii="黑体" w:hAnsi="黑体" w:eastAsia="黑体"/>
          <w:color w:val="auto"/>
          <w:sz w:val="24"/>
          <w:highlight w:val="none"/>
        </w:rPr>
      </w:pPr>
      <w:bookmarkStart w:id="96" w:name="_Toc254970669"/>
      <w:bookmarkStart w:id="97" w:name="_Toc254970528"/>
      <w:r>
        <w:rPr>
          <w:rFonts w:hint="eastAsia" w:ascii="黑体" w:hAnsi="黑体" w:eastAsia="黑体"/>
          <w:color w:val="auto"/>
          <w:sz w:val="24"/>
          <w:highlight w:val="none"/>
        </w:rPr>
        <w:t>2.定义</w:t>
      </w:r>
      <w:bookmarkEnd w:id="96"/>
      <w:bookmarkEnd w:id="97"/>
    </w:p>
    <w:p w14:paraId="2C2F1145">
      <w:pPr>
        <w:pStyle w:val="8"/>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2.1“采购人”是指依法进行政府采购的国家机关、事业单位、团体组织。</w:t>
      </w:r>
    </w:p>
    <w:p w14:paraId="524385F7">
      <w:pPr>
        <w:pStyle w:val="8"/>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2.2“采购代理机构”是指政府采购集中采购机构和集中采购机构以外的采购代理机构。</w:t>
      </w:r>
    </w:p>
    <w:p w14:paraId="21EAACC4">
      <w:pPr>
        <w:pStyle w:val="8"/>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2.3“供应商”是指向采购人提供货物、工程或者服务的法人、其他组织或者自然人。</w:t>
      </w:r>
    </w:p>
    <w:p w14:paraId="539FA6D1">
      <w:pPr>
        <w:pStyle w:val="9"/>
        <w:spacing w:line="360" w:lineRule="auto"/>
        <w:rPr>
          <w:rFonts w:ascii="宋体" w:hAnsi="宋体"/>
          <w:color w:val="auto"/>
          <w:szCs w:val="21"/>
          <w:highlight w:val="none"/>
        </w:rPr>
      </w:pPr>
      <w:r>
        <w:rPr>
          <w:rFonts w:hint="eastAsia" w:ascii="宋体" w:hAnsi="宋体"/>
          <w:color w:val="auto"/>
          <w:szCs w:val="21"/>
          <w:highlight w:val="none"/>
        </w:rPr>
        <w:t>2.4“投标人”是指响应招标、参加投标竞争的法人、其他组织或者自然人。</w:t>
      </w:r>
    </w:p>
    <w:p w14:paraId="08F1F6F3">
      <w:pPr>
        <w:pStyle w:val="8"/>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2.5“货物”是指各种形态和种类的物品，包括原材料、燃料、设备、产品等。</w:t>
      </w:r>
    </w:p>
    <w:p w14:paraId="49A239C8">
      <w:pPr>
        <w:pStyle w:val="8"/>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2.6“售后服务” 是指商品出售以后所提供的各种服务，包含但不限于投标人须承担的备品备件、包装、运输、装卸、保险、货到就位以及安装、调试、培训、质保以及其他各种服务。</w:t>
      </w:r>
    </w:p>
    <w:p w14:paraId="75BD3A49">
      <w:pPr>
        <w:pStyle w:val="8"/>
        <w:keepNext w:val="0"/>
        <w:keepLines w:val="0"/>
        <w:spacing w:before="0" w:after="0" w:line="360" w:lineRule="auto"/>
        <w:rPr>
          <w:rFonts w:ascii="宋体" w:hAnsi="宋体"/>
          <w:b w:val="0"/>
          <w:color w:val="auto"/>
          <w:sz w:val="21"/>
          <w:szCs w:val="21"/>
          <w:highlight w:val="none"/>
        </w:rPr>
      </w:pPr>
      <w:r>
        <w:rPr>
          <w:rFonts w:hint="eastAsia" w:ascii="宋体" w:hAnsi="宋体"/>
          <w:b w:val="0"/>
          <w:color w:val="auto"/>
          <w:sz w:val="21"/>
          <w:szCs w:val="21"/>
          <w:highlight w:val="none"/>
        </w:rPr>
        <w:t xml:space="preserve">    2.7“书面形式”是指合同书、信件和数据电文（包括电报、电传、传真、电子数据交换和电子邮件）等可以有形地表现所载内容的形式。</w:t>
      </w:r>
    </w:p>
    <w:p w14:paraId="589840FD">
      <w:pPr>
        <w:pStyle w:val="8"/>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2.8“实质性要求”是指招标文件中已经指明不满足则投标无效的条款，或者不能负偏离的条款，或者采购需求中带“▲”的条款。</w:t>
      </w:r>
    </w:p>
    <w:p w14:paraId="5C5546A5">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 xml:space="preserve">2.9 </w:t>
      </w:r>
      <w:r>
        <w:rPr>
          <w:rFonts w:hint="eastAsia" w:ascii="宋体" w:hAnsi="宋体" w:cs="宋体"/>
          <w:color w:val="auto"/>
          <w:szCs w:val="21"/>
          <w:highlight w:val="none"/>
        </w:rPr>
        <w:t>“正偏离”，是指投标文件对招标文件“采购需求”中有关条款作出的响应优于条款要求并有利于采购人的情形。</w:t>
      </w:r>
    </w:p>
    <w:p w14:paraId="4B564483">
      <w:pPr>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2.10</w:t>
      </w:r>
      <w:r>
        <w:rPr>
          <w:rFonts w:hint="eastAsia" w:ascii="宋体" w:hAnsi="宋体" w:cs="宋体"/>
          <w:color w:val="auto"/>
          <w:szCs w:val="21"/>
          <w:highlight w:val="none"/>
        </w:rPr>
        <w:t>“负偏离”，是指投标文件对招标文件“采购需求”中有关条款作出的响应不满足条款要求，导致采购人要求不能得到满足的情形。</w:t>
      </w:r>
    </w:p>
    <w:p w14:paraId="0213052F">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s="宋体"/>
          <w:color w:val="auto"/>
          <w:szCs w:val="21"/>
          <w:highlight w:val="none"/>
        </w:rPr>
        <w:t>“允许负偏离的条款”是指采购需求中的不属于“实质性要求”的条款。</w:t>
      </w:r>
      <w:bookmarkStart w:id="98" w:name="_Toc254970670"/>
      <w:bookmarkStart w:id="99" w:name="_Toc254970529"/>
    </w:p>
    <w:p w14:paraId="2B868C26">
      <w:pPr>
        <w:pStyle w:val="8"/>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w:t>
      </w:r>
      <w:bookmarkEnd w:id="98"/>
      <w:bookmarkEnd w:id="99"/>
      <w:r>
        <w:rPr>
          <w:rFonts w:hint="eastAsia" w:ascii="黑体" w:hAnsi="黑体" w:eastAsia="黑体"/>
          <w:color w:val="auto"/>
          <w:sz w:val="24"/>
          <w:highlight w:val="none"/>
        </w:rPr>
        <w:t>投标人的资格要求</w:t>
      </w:r>
    </w:p>
    <w:p w14:paraId="1285E249">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投标人的资格要求详见“投标人须知前附表”。</w:t>
      </w:r>
    </w:p>
    <w:p w14:paraId="743637E1">
      <w:pPr>
        <w:pStyle w:val="8"/>
        <w:keepNext w:val="0"/>
        <w:keepLines w:val="0"/>
        <w:spacing w:before="0" w:after="0" w:line="360" w:lineRule="auto"/>
        <w:ind w:left="420" w:leftChars="200"/>
        <w:rPr>
          <w:rFonts w:ascii="黑体" w:hAnsi="黑体" w:eastAsia="黑体"/>
          <w:color w:val="auto"/>
          <w:sz w:val="24"/>
          <w:highlight w:val="none"/>
        </w:rPr>
      </w:pPr>
      <w:bookmarkStart w:id="100" w:name="_Toc254970530"/>
      <w:bookmarkStart w:id="101" w:name="_Toc254970671"/>
      <w:r>
        <w:rPr>
          <w:rFonts w:hint="eastAsia" w:ascii="黑体" w:hAnsi="黑体" w:eastAsia="黑体"/>
          <w:color w:val="auto"/>
          <w:sz w:val="24"/>
          <w:highlight w:val="none"/>
        </w:rPr>
        <w:t>4.投标委托</w:t>
      </w:r>
      <w:bookmarkEnd w:id="100"/>
      <w:bookmarkEnd w:id="101"/>
    </w:p>
    <w:p w14:paraId="10E99F4A">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投标人代表参加投标活动过程中必须携带个人有效身份证件。如投标人代表不是法定代表人，须持有授权委托书（按第六章要求格式填写）。</w:t>
      </w:r>
    </w:p>
    <w:p w14:paraId="0400D104">
      <w:pPr>
        <w:pStyle w:val="8"/>
        <w:keepNext w:val="0"/>
        <w:keepLines w:val="0"/>
        <w:spacing w:before="0" w:after="0" w:line="360" w:lineRule="auto"/>
        <w:ind w:left="420" w:leftChars="200"/>
        <w:rPr>
          <w:rFonts w:ascii="黑体" w:hAnsi="黑体" w:eastAsia="黑体"/>
          <w:color w:val="auto"/>
          <w:sz w:val="24"/>
          <w:highlight w:val="none"/>
        </w:rPr>
      </w:pPr>
      <w:bookmarkStart w:id="102" w:name="_5.投标费用"/>
      <w:bookmarkEnd w:id="102"/>
      <w:bookmarkStart w:id="103" w:name="_Toc254970531"/>
      <w:bookmarkStart w:id="104" w:name="_Toc254970672"/>
      <w:r>
        <w:rPr>
          <w:rFonts w:hint="eastAsia" w:ascii="黑体" w:hAnsi="黑体" w:eastAsia="黑体"/>
          <w:color w:val="auto"/>
          <w:sz w:val="24"/>
          <w:highlight w:val="none"/>
        </w:rPr>
        <w:t>5.投标费用</w:t>
      </w:r>
      <w:bookmarkEnd w:id="103"/>
      <w:bookmarkEnd w:id="104"/>
    </w:p>
    <w:p w14:paraId="76095B82">
      <w:pPr>
        <w:snapToGrid w:val="0"/>
        <w:spacing w:line="360" w:lineRule="auto"/>
        <w:ind w:firstLine="420" w:firstLineChars="200"/>
        <w:jc w:val="left"/>
        <w:rPr>
          <w:rFonts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681A405E">
      <w:pPr>
        <w:pStyle w:val="8"/>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6.联合体投标</w:t>
      </w:r>
    </w:p>
    <w:p w14:paraId="341C8618">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14:paraId="43413BBD">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14:paraId="447FDD5F">
      <w:pPr>
        <w:pStyle w:val="8"/>
        <w:keepNext w:val="0"/>
        <w:keepLines w:val="0"/>
        <w:spacing w:before="0" w:after="0" w:line="360" w:lineRule="auto"/>
        <w:ind w:firstLine="424" w:firstLineChars="202"/>
        <w:rPr>
          <w:rFonts w:ascii="黑体" w:hAnsi="黑体" w:eastAsia="黑体"/>
          <w:color w:val="auto"/>
          <w:sz w:val="24"/>
          <w:highlight w:val="none"/>
        </w:rPr>
      </w:pPr>
      <w:r>
        <w:rPr>
          <w:rFonts w:hint="eastAsia" w:ascii="宋体" w:hAnsi="宋体"/>
          <w:b w:val="0"/>
          <w:bCs/>
          <w:color w:val="auto"/>
          <w:sz w:val="21"/>
          <w:szCs w:val="21"/>
          <w:highlight w:val="none"/>
        </w:rPr>
        <w:t>6.3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4B888575">
      <w:pPr>
        <w:pStyle w:val="8"/>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 xml:space="preserve">7.转包与分包             </w:t>
      </w:r>
    </w:p>
    <w:p w14:paraId="41503683">
      <w:pPr>
        <w:pStyle w:val="8"/>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7.1本项目不允许转包。</w:t>
      </w:r>
    </w:p>
    <w:p w14:paraId="3AD584E9">
      <w:pPr>
        <w:pStyle w:val="8"/>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58A529A4">
      <w:pPr>
        <w:pStyle w:val="8"/>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0D1C65D9">
      <w:pPr>
        <w:pStyle w:val="8"/>
        <w:keepNext w:val="0"/>
        <w:keepLines w:val="0"/>
        <w:spacing w:before="0" w:after="0" w:line="360" w:lineRule="auto"/>
        <w:ind w:left="420" w:leftChars="200"/>
        <w:rPr>
          <w:rFonts w:ascii="黑体" w:hAnsi="黑体" w:eastAsia="黑体"/>
          <w:color w:val="auto"/>
          <w:sz w:val="24"/>
          <w:highlight w:val="none"/>
        </w:rPr>
      </w:pPr>
      <w:bookmarkStart w:id="105" w:name="_Toc254970673"/>
      <w:bookmarkStart w:id="106" w:name="_Toc254970532"/>
      <w:r>
        <w:rPr>
          <w:rFonts w:hint="eastAsia" w:ascii="黑体" w:hAnsi="黑体" w:eastAsia="黑体"/>
          <w:color w:val="auto"/>
          <w:sz w:val="24"/>
          <w:highlight w:val="none"/>
        </w:rPr>
        <w:t>8.特别说明</w:t>
      </w:r>
      <w:bookmarkEnd w:id="105"/>
      <w:bookmarkEnd w:id="106"/>
    </w:p>
    <w:p w14:paraId="00165A61">
      <w:pPr>
        <w:pStyle w:val="8"/>
        <w:keepNext w:val="0"/>
        <w:keepLines w:val="0"/>
        <w:spacing w:before="0" w:after="0" w:line="360" w:lineRule="auto"/>
        <w:ind w:firstLine="420" w:firstLineChars="200"/>
        <w:rPr>
          <w:rFonts w:ascii="宋体" w:hAnsi="宋体"/>
          <w:b w:val="0"/>
          <w:color w:val="auto"/>
          <w:sz w:val="21"/>
          <w:szCs w:val="21"/>
          <w:highlight w:val="none"/>
        </w:rPr>
      </w:pPr>
      <w:bookmarkStart w:id="107" w:name="_8.1提供相同品牌产品且通过资格审查、符合性审查的不同投标人参加同一合"/>
      <w:bookmarkEnd w:id="107"/>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HYPERLINK  \l "_8.1" </w:instrText>
      </w:r>
      <w:r>
        <w:rPr>
          <w:rFonts w:ascii="宋体" w:hAnsi="宋体"/>
          <w:b w:val="0"/>
          <w:color w:val="auto"/>
          <w:sz w:val="21"/>
          <w:szCs w:val="21"/>
          <w:highlight w:val="none"/>
        </w:rPr>
        <w:fldChar w:fldCharType="separate"/>
      </w:r>
      <w:r>
        <w:rPr>
          <w:rFonts w:hint="eastAsia" w:ascii="宋体" w:hAnsi="宋体"/>
          <w:b w:val="0"/>
          <w:color w:val="auto"/>
          <w:sz w:val="21"/>
          <w:szCs w:val="21"/>
          <w:highlight w:val="none"/>
        </w:rPr>
        <w:t>8.1</w:t>
      </w:r>
      <w:r>
        <w:rPr>
          <w:rFonts w:ascii="宋体" w:hAnsi="宋体"/>
          <w:b w:val="0"/>
          <w:color w:val="auto"/>
          <w:sz w:val="21"/>
          <w:szCs w:val="21"/>
          <w:highlight w:val="none"/>
        </w:rPr>
        <w:fldChar w:fldCharType="end"/>
      </w:r>
      <w:r>
        <w:rPr>
          <w:rFonts w:hint="eastAsia" w:ascii="宋体" w:hAnsi="宋体"/>
          <w:b w:val="0"/>
          <w:color w:val="auto"/>
          <w:sz w:val="21"/>
          <w:szCs w:val="21"/>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color w:val="auto"/>
          <w:sz w:val="22"/>
          <w:szCs w:val="22"/>
          <w:highlight w:val="none"/>
        </w:rPr>
        <w:t>其他投标无效。</w:t>
      </w:r>
    </w:p>
    <w:p w14:paraId="02729594">
      <w:pPr>
        <w:pStyle w:val="8"/>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54F1E288">
      <w:pPr>
        <w:pStyle w:val="26"/>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非单一产品采购项目，多家投标人提供的核心产品品牌相同的，</w:t>
      </w:r>
      <w:r>
        <w:rPr>
          <w:rFonts w:hint="eastAsia" w:hAnsi="宋体"/>
          <w:color w:val="auto"/>
          <w:sz w:val="22"/>
          <w:szCs w:val="22"/>
          <w:highlight w:val="none"/>
        </w:rPr>
        <w:t>按前两款规定处理</w:t>
      </w:r>
      <w:r>
        <w:rPr>
          <w:rFonts w:hint="eastAsia" w:hAnsi="宋体"/>
          <w:color w:val="auto"/>
          <w:kern w:val="2"/>
          <w:sz w:val="21"/>
          <w:highlight w:val="none"/>
        </w:rPr>
        <w:t>。</w:t>
      </w:r>
    </w:p>
    <w:p w14:paraId="5B3C79C8">
      <w:pPr>
        <w:pStyle w:val="8"/>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 xml:space="preserve"> 8.2如果本招标文件要求提供投标人或制造商的资格、信誉、荣誉、业绩与企业认证等材料的，资格、信誉、荣誉、业绩与企业认证等必须为投标人或者制造商所拥有或自身获得 。</w:t>
      </w:r>
    </w:p>
    <w:p w14:paraId="1B0FDFD7">
      <w:pPr>
        <w:pStyle w:val="8"/>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 xml:space="preserve"> 8.3投标人应仔细阅读招标文件的所有内容，按照招标文件的要求提交投标文件，并对所提供的全部资料的真实性承担法律责任。</w:t>
      </w:r>
    </w:p>
    <w:p w14:paraId="5632FECA">
      <w:pPr>
        <w:pStyle w:val="8"/>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14:paraId="221DFFEF">
      <w:pPr>
        <w:pStyle w:val="8"/>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9.</w:t>
      </w:r>
      <w:r>
        <w:rPr>
          <w:rFonts w:hint="eastAsia" w:ascii="黑体" w:hAnsi="黑体" w:eastAsia="黑体"/>
          <w:color w:val="auto"/>
          <w:sz w:val="24"/>
          <w:highlight w:val="none"/>
        </w:rPr>
        <w:t>回避与串通投标</w:t>
      </w:r>
    </w:p>
    <w:p w14:paraId="3ECB9A5F">
      <w:pPr>
        <w:pStyle w:val="8"/>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9</w:t>
      </w:r>
      <w:r>
        <w:rPr>
          <w:rFonts w:ascii="宋体" w:hAnsi="宋体"/>
          <w:b w:val="0"/>
          <w:color w:val="auto"/>
          <w:sz w:val="21"/>
          <w:szCs w:val="21"/>
          <w:highlight w:val="none"/>
        </w:rPr>
        <w:t>.1在政府采购活动中，采购人员及相关人员与</w:t>
      </w:r>
      <w:r>
        <w:rPr>
          <w:rFonts w:hint="eastAsia" w:ascii="宋体" w:hAnsi="宋体"/>
          <w:b w:val="0"/>
          <w:color w:val="auto"/>
          <w:sz w:val="21"/>
          <w:szCs w:val="21"/>
          <w:highlight w:val="none"/>
        </w:rPr>
        <w:t>供应商</w:t>
      </w:r>
      <w:r>
        <w:rPr>
          <w:rFonts w:ascii="宋体" w:hAnsi="宋体"/>
          <w:b w:val="0"/>
          <w:color w:val="auto"/>
          <w:sz w:val="21"/>
          <w:szCs w:val="21"/>
          <w:highlight w:val="none"/>
        </w:rPr>
        <w:t>有下列利害关系之一的，应当回避：</w:t>
      </w:r>
    </w:p>
    <w:p w14:paraId="607225A3">
      <w:pPr>
        <w:pStyle w:val="26"/>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1</w:t>
      </w:r>
      <w:r>
        <w:rPr>
          <w:rFonts w:hAnsi="宋体"/>
          <w:color w:val="auto"/>
          <w:kern w:val="2"/>
          <w:sz w:val="21"/>
          <w:highlight w:val="none"/>
        </w:rPr>
        <w:t>）参加采购活动前3年内与</w:t>
      </w:r>
      <w:r>
        <w:rPr>
          <w:rFonts w:hint="eastAsia" w:hAnsi="宋体"/>
          <w:color w:val="auto"/>
          <w:kern w:val="2"/>
          <w:sz w:val="21"/>
          <w:highlight w:val="none"/>
        </w:rPr>
        <w:t>供应商</w:t>
      </w:r>
      <w:r>
        <w:rPr>
          <w:rFonts w:hAnsi="宋体"/>
          <w:color w:val="auto"/>
          <w:kern w:val="2"/>
          <w:sz w:val="21"/>
          <w:highlight w:val="none"/>
        </w:rPr>
        <w:t>存在劳动关系；</w:t>
      </w:r>
    </w:p>
    <w:p w14:paraId="0E29CD97">
      <w:pPr>
        <w:pStyle w:val="26"/>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2</w:t>
      </w:r>
      <w:r>
        <w:rPr>
          <w:rFonts w:hAnsi="宋体"/>
          <w:color w:val="auto"/>
          <w:kern w:val="2"/>
          <w:sz w:val="21"/>
          <w:highlight w:val="none"/>
        </w:rPr>
        <w:t>）参加采购活动前3年内担任</w:t>
      </w:r>
      <w:r>
        <w:rPr>
          <w:rFonts w:hint="eastAsia" w:hAnsi="宋体"/>
          <w:color w:val="auto"/>
          <w:kern w:val="2"/>
          <w:sz w:val="21"/>
          <w:highlight w:val="none"/>
        </w:rPr>
        <w:t>供应商</w:t>
      </w:r>
      <w:r>
        <w:rPr>
          <w:rFonts w:hAnsi="宋体"/>
          <w:color w:val="auto"/>
          <w:kern w:val="2"/>
          <w:sz w:val="21"/>
          <w:highlight w:val="none"/>
        </w:rPr>
        <w:t>的董事、监事；</w:t>
      </w:r>
    </w:p>
    <w:p w14:paraId="2346B9C0">
      <w:pPr>
        <w:pStyle w:val="26"/>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3</w:t>
      </w:r>
      <w:r>
        <w:rPr>
          <w:rFonts w:hAnsi="宋体"/>
          <w:color w:val="auto"/>
          <w:kern w:val="2"/>
          <w:sz w:val="21"/>
          <w:highlight w:val="none"/>
        </w:rPr>
        <w:t>）参加采购活动前3年内是</w:t>
      </w:r>
      <w:r>
        <w:rPr>
          <w:rFonts w:hint="eastAsia" w:hAnsi="宋体"/>
          <w:color w:val="auto"/>
          <w:kern w:val="2"/>
          <w:sz w:val="21"/>
          <w:highlight w:val="none"/>
        </w:rPr>
        <w:t>供应商</w:t>
      </w:r>
      <w:r>
        <w:rPr>
          <w:rFonts w:hAnsi="宋体"/>
          <w:color w:val="auto"/>
          <w:kern w:val="2"/>
          <w:sz w:val="21"/>
          <w:highlight w:val="none"/>
        </w:rPr>
        <w:t>的控股股东或者实际控制人；</w:t>
      </w:r>
    </w:p>
    <w:p w14:paraId="2800E0B8">
      <w:pPr>
        <w:pStyle w:val="26"/>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4</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的法定代表人或者负责人有夫妻、直系血亲、三代以内旁系血亲或者近姻亲关系；</w:t>
      </w:r>
    </w:p>
    <w:p w14:paraId="0056982C">
      <w:pPr>
        <w:pStyle w:val="26"/>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5</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有其他可能影响政府采购活动公平、公正进行的关系。</w:t>
      </w:r>
    </w:p>
    <w:p w14:paraId="486FFBAE">
      <w:pPr>
        <w:pStyle w:val="26"/>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供应商</w:t>
      </w:r>
      <w:r>
        <w:rPr>
          <w:rFonts w:hAnsi="宋体"/>
          <w:color w:val="auto"/>
          <w:kern w:val="2"/>
          <w:sz w:val="21"/>
          <w:highlight w:val="none"/>
        </w:rPr>
        <w:t>认为采购人员及相关人员与其他</w:t>
      </w:r>
      <w:r>
        <w:rPr>
          <w:rFonts w:hint="eastAsia" w:hAnsi="宋体"/>
          <w:color w:val="auto"/>
          <w:kern w:val="2"/>
          <w:sz w:val="21"/>
          <w:highlight w:val="none"/>
        </w:rPr>
        <w:t>供应商</w:t>
      </w:r>
      <w:r>
        <w:rPr>
          <w:rFonts w:hAnsi="宋体"/>
          <w:color w:val="auto"/>
          <w:kern w:val="2"/>
          <w:sz w:val="21"/>
          <w:highlight w:val="none"/>
        </w:rPr>
        <w:t>有利害关系的，可以向采购人或者采购代理机构书面提出回避申请，并说明理由。采购人或者采购代理机构应当及时询问被申请回避人员，有利害关系的被申请回避人员应当回避。</w:t>
      </w:r>
    </w:p>
    <w:p w14:paraId="5AA18FB0">
      <w:pPr>
        <w:pStyle w:val="8"/>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9.2</w:t>
      </w:r>
      <w:r>
        <w:rPr>
          <w:rFonts w:hint="eastAsia" w:ascii="宋体" w:hAnsi="宋体"/>
          <w:color w:val="auto"/>
          <w:sz w:val="21"/>
          <w:szCs w:val="21"/>
          <w:highlight w:val="none"/>
        </w:rPr>
        <w:t>有下列情形之一的视为投标人相互串通投标，投标文件将被视为无效：</w:t>
      </w:r>
    </w:p>
    <w:p w14:paraId="1668540F">
      <w:pPr>
        <w:pStyle w:val="26"/>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 xml:space="preserve">（1）不同投标人的投标文件由同一单位或者个人编制； </w:t>
      </w:r>
    </w:p>
    <w:p w14:paraId="77645D8A">
      <w:pPr>
        <w:pStyle w:val="26"/>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（2）不同投标人委托同一单位或者个人办理投标事宜；</w:t>
      </w:r>
    </w:p>
    <w:p w14:paraId="5443BD25">
      <w:pPr>
        <w:pStyle w:val="26"/>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（3）不同的投标人的投标文件载明的项目管理员为同一个人；</w:t>
      </w:r>
    </w:p>
    <w:p w14:paraId="7FB76831">
      <w:pPr>
        <w:pStyle w:val="26"/>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（4）不同投标人的投标文件异常一致或者投标报价呈规律性差异；</w:t>
      </w:r>
    </w:p>
    <w:p w14:paraId="0C904BC4">
      <w:pPr>
        <w:pStyle w:val="26"/>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（5）不同投标人的投标文件相互混装；</w:t>
      </w:r>
    </w:p>
    <w:p w14:paraId="3EF8EBCF">
      <w:pPr>
        <w:pStyle w:val="26"/>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（6）不同投标人的投标保证金从同一单位或者个人账户转出。</w:t>
      </w:r>
    </w:p>
    <w:p w14:paraId="351780CE">
      <w:pPr>
        <w:pStyle w:val="8"/>
        <w:keepNext w:val="0"/>
        <w:keepLines w:val="0"/>
        <w:spacing w:before="0" w:after="0" w:line="360" w:lineRule="auto"/>
        <w:ind w:left="420" w:leftChars="200"/>
        <w:rPr>
          <w:rFonts w:ascii="宋体" w:hAnsi="宋体"/>
          <w:b w:val="0"/>
          <w:color w:val="auto"/>
          <w:sz w:val="21"/>
          <w:szCs w:val="21"/>
          <w:highlight w:val="none"/>
        </w:rPr>
      </w:pPr>
      <w:r>
        <w:rPr>
          <w:rFonts w:ascii="宋体" w:hAnsi="宋体"/>
          <w:b w:val="0"/>
          <w:color w:val="auto"/>
          <w:sz w:val="21"/>
          <w:szCs w:val="21"/>
          <w:highlight w:val="none"/>
        </w:rPr>
        <w:t>9.3</w:t>
      </w:r>
      <w:r>
        <w:rPr>
          <w:rFonts w:hint="eastAsia" w:ascii="宋体" w:hAnsi="宋体"/>
          <w:b w:val="0"/>
          <w:color w:val="auto"/>
          <w:sz w:val="21"/>
          <w:szCs w:val="21"/>
          <w:highlight w:val="none"/>
        </w:rPr>
        <w:t>供应商有下列情形之一的，属于恶意串通行为，将报同级监督管理部门：</w:t>
      </w:r>
    </w:p>
    <w:p w14:paraId="7D842E63">
      <w:pPr>
        <w:pStyle w:val="26"/>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（1）供应商直接或者间接从采购人或者采购代理机构处获得其他供应商的相关信息并修改其投标文件或者响应文件；</w:t>
      </w:r>
    </w:p>
    <w:p w14:paraId="28E37E3D">
      <w:pPr>
        <w:pStyle w:val="26"/>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（2）供应商按照采购人或者采购代理机构的授意撤换、修改投标文件或者响应文件；</w:t>
      </w:r>
    </w:p>
    <w:p w14:paraId="519B2DE6">
      <w:pPr>
        <w:pStyle w:val="26"/>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（3）供应商之间协商报价、技术方案等投标文件或者响应文件的实质性内容；</w:t>
      </w:r>
    </w:p>
    <w:p w14:paraId="34BFB865">
      <w:pPr>
        <w:pStyle w:val="26"/>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（4）属于同一集团、协会、商会等组织成员的供应商按照该组织要求协同参加政府采购活动；</w:t>
      </w:r>
    </w:p>
    <w:p w14:paraId="11813308">
      <w:pPr>
        <w:pStyle w:val="26"/>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76AD0BBD">
      <w:pPr>
        <w:pStyle w:val="26"/>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（6）供应商之间商定部分供应商放弃参加政府采购活动或者放弃中标；</w:t>
      </w:r>
    </w:p>
    <w:p w14:paraId="406121D6">
      <w:pPr>
        <w:pStyle w:val="26"/>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（7）供应商与采购人或者采购代理机构之间、供应商相互之间，为谋求特定供应商中标或者排斥其他供应商的其他串通行为。</w:t>
      </w:r>
    </w:p>
    <w:p w14:paraId="3A36630D">
      <w:pPr>
        <w:pStyle w:val="26"/>
        <w:snapToGrid w:val="0"/>
        <w:spacing w:line="360" w:lineRule="auto"/>
        <w:ind w:left="2" w:leftChars="1" w:firstLine="422" w:firstLineChars="200"/>
        <w:rPr>
          <w:rFonts w:hAnsi="宋体"/>
          <w:b/>
          <w:color w:val="auto"/>
          <w:kern w:val="2"/>
          <w:sz w:val="21"/>
          <w:highlight w:val="none"/>
        </w:rPr>
      </w:pPr>
    </w:p>
    <w:p w14:paraId="5A2CE5EB">
      <w:pPr>
        <w:pStyle w:val="7"/>
        <w:keepNext w:val="0"/>
        <w:keepLines w:val="0"/>
        <w:jc w:val="center"/>
        <w:rPr>
          <w:color w:val="auto"/>
          <w:highlight w:val="none"/>
        </w:rPr>
      </w:pPr>
      <w:bookmarkStart w:id="108" w:name="_Toc254970675"/>
      <w:bookmarkStart w:id="109" w:name="_Toc254970534"/>
      <w:r>
        <w:rPr>
          <w:rFonts w:hint="eastAsia"/>
          <w:color w:val="auto"/>
          <w:highlight w:val="none"/>
        </w:rPr>
        <w:t>二、招标文件</w:t>
      </w:r>
      <w:bookmarkEnd w:id="108"/>
      <w:bookmarkEnd w:id="109"/>
    </w:p>
    <w:p w14:paraId="7E9DB1A3">
      <w:pPr>
        <w:pStyle w:val="8"/>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10.招标文件的组成</w:t>
      </w:r>
    </w:p>
    <w:p w14:paraId="0A90D78B">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（1）招标公告；</w:t>
      </w:r>
    </w:p>
    <w:p w14:paraId="2B1B226A">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 xml:space="preserve">（2）采购需求； </w:t>
      </w:r>
    </w:p>
    <w:p w14:paraId="17A46A53">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（3）投标人须知；</w:t>
      </w:r>
    </w:p>
    <w:p w14:paraId="6DA16CDB">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（4）评标方法及评标标准；</w:t>
      </w:r>
    </w:p>
    <w:p w14:paraId="5F97C360">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（5）拟签订的合同文本；</w:t>
      </w:r>
    </w:p>
    <w:p w14:paraId="10903C01">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（6）投标文件格式。</w:t>
      </w:r>
    </w:p>
    <w:p w14:paraId="6818883F">
      <w:pPr>
        <w:pStyle w:val="8"/>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14:paraId="1186CC9A">
      <w:pPr>
        <w:pStyle w:val="8"/>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2FA14A2C">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5C95D701">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1</w:t>
      </w:r>
      <w:r>
        <w:rPr>
          <w:rFonts w:hAnsi="宋体"/>
          <w:color w:val="auto"/>
          <w:sz w:val="21"/>
          <w:highlight w:val="none"/>
        </w:rPr>
        <w:t>1.2</w:t>
      </w:r>
      <w:bookmarkStart w:id="110" w:name="_Hlk53134511"/>
      <w:r>
        <w:rPr>
          <w:rFonts w:hint="eastAsia" w:hAnsi="宋体"/>
          <w:color w:val="auto"/>
          <w:sz w:val="21"/>
          <w:highlight w:val="none"/>
        </w:rPr>
        <w:t>采购人或者采购代理机构可以在招标文件提供期限截止后，组织已获取招标文件的潜在投标人现场考察或者召开开标前答疑会，具体详见“投标人须知前附表”。</w:t>
      </w:r>
    </w:p>
    <w:bookmarkEnd w:id="110"/>
    <w:p w14:paraId="05FF838F">
      <w:pPr>
        <w:pStyle w:val="7"/>
        <w:keepNext w:val="0"/>
        <w:keepLines w:val="0"/>
        <w:jc w:val="center"/>
        <w:rPr>
          <w:color w:val="auto"/>
          <w:highlight w:val="none"/>
        </w:rPr>
      </w:pPr>
      <w:bookmarkStart w:id="111" w:name="_Toc254970676"/>
      <w:bookmarkStart w:id="112" w:name="_Toc254970535"/>
      <w:r>
        <w:rPr>
          <w:rFonts w:hint="eastAsia"/>
          <w:color w:val="auto"/>
          <w:highlight w:val="none"/>
        </w:rPr>
        <w:t>三、投标文件的编制</w:t>
      </w:r>
      <w:bookmarkEnd w:id="111"/>
      <w:bookmarkEnd w:id="112"/>
    </w:p>
    <w:p w14:paraId="24275AD4">
      <w:pPr>
        <w:pStyle w:val="8"/>
        <w:keepNext w:val="0"/>
        <w:keepLines w:val="0"/>
        <w:spacing w:before="0" w:after="0" w:line="360" w:lineRule="auto"/>
        <w:ind w:left="420" w:leftChars="200"/>
        <w:rPr>
          <w:rFonts w:ascii="黑体" w:hAnsi="黑体" w:eastAsia="黑体"/>
          <w:color w:val="auto"/>
          <w:sz w:val="24"/>
          <w:highlight w:val="none"/>
        </w:rPr>
      </w:pPr>
      <w:bookmarkStart w:id="113" w:name="_Toc254970677"/>
      <w:bookmarkStart w:id="114" w:name="_Toc254970536"/>
      <w:r>
        <w:rPr>
          <w:rFonts w:hint="eastAsia" w:ascii="黑体" w:hAnsi="黑体" w:eastAsia="黑体"/>
          <w:color w:val="auto"/>
          <w:sz w:val="24"/>
          <w:highlight w:val="none"/>
        </w:rPr>
        <w:t>12.投标文件的编制原则</w:t>
      </w:r>
    </w:p>
    <w:p w14:paraId="360E5978">
      <w:pPr>
        <w:snapToGrid w:val="0"/>
        <w:spacing w:line="360" w:lineRule="auto"/>
        <w:ind w:firstLine="420"/>
        <w:jc w:val="left"/>
        <w:rPr>
          <w:rFonts w:ascii="宋体" w:hAnsi="宋体" w:cs="Courier New"/>
          <w:color w:val="auto"/>
          <w:szCs w:val="21"/>
          <w:highlight w:val="none"/>
        </w:rPr>
      </w:pPr>
      <w:r>
        <w:rPr>
          <w:rFonts w:ascii="宋体" w:hAnsi="宋体"/>
          <w:color w:val="auto"/>
          <w:szCs w:val="21"/>
          <w:highlight w:val="none"/>
        </w:rPr>
        <w:t>投标人必须按照招标文件的要求编制投标文件。投标文件必须对招标文件提出的要求和条件作出明确响应。</w:t>
      </w:r>
    </w:p>
    <w:p w14:paraId="38091662">
      <w:pPr>
        <w:pStyle w:val="8"/>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13.投标文件的组成</w:t>
      </w:r>
      <w:bookmarkEnd w:id="113"/>
      <w:bookmarkEnd w:id="114"/>
    </w:p>
    <w:p w14:paraId="59C22ECC">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投标文件由报价文件、资格证明文件、商务及技术文件三部分组成。</w:t>
      </w:r>
    </w:p>
    <w:p w14:paraId="3A7FF34F">
      <w:pPr>
        <w:pStyle w:val="8"/>
        <w:keepNext w:val="0"/>
        <w:keepLines w:val="0"/>
        <w:spacing w:before="0" w:after="0" w:line="360" w:lineRule="auto"/>
        <w:ind w:left="420" w:leftChars="200"/>
        <w:rPr>
          <w:rFonts w:ascii="宋体" w:hAnsi="宋体"/>
          <w:b w:val="0"/>
          <w:color w:val="auto"/>
          <w:sz w:val="21"/>
          <w:szCs w:val="21"/>
          <w:highlight w:val="none"/>
        </w:rPr>
      </w:pPr>
      <w:bookmarkStart w:id="115" w:name="_13.1报价文件:_具体材料见“投标人须知前附表”。"/>
      <w:bookmarkEnd w:id="115"/>
      <w:r>
        <w:rPr>
          <w:rFonts w:hint="eastAsia" w:ascii="宋体" w:hAnsi="宋体"/>
          <w:b w:val="0"/>
          <w:color w:val="auto"/>
          <w:sz w:val="21"/>
          <w:szCs w:val="21"/>
          <w:highlight w:val="none"/>
        </w:rPr>
        <w:t>（1）报价文件：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0C99A29E">
      <w:pPr>
        <w:pStyle w:val="8"/>
        <w:keepNext w:val="0"/>
        <w:keepLines w:val="0"/>
        <w:spacing w:before="0" w:after="0" w:line="360" w:lineRule="auto"/>
        <w:ind w:left="420" w:leftChars="200"/>
        <w:rPr>
          <w:rFonts w:ascii="宋体" w:hAnsi="宋体"/>
          <w:b w:val="0"/>
          <w:color w:val="auto"/>
          <w:sz w:val="21"/>
          <w:szCs w:val="21"/>
          <w:highlight w:val="none"/>
        </w:rPr>
      </w:pPr>
      <w:bookmarkStart w:id="116" w:name="_13.2资格证明文件：具体材料见“投标人须知前附表”。"/>
      <w:bookmarkEnd w:id="116"/>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）资格证明文件：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63C1A575">
      <w:pPr>
        <w:pStyle w:val="8"/>
        <w:keepNext w:val="0"/>
        <w:keepLines w:val="0"/>
        <w:spacing w:before="0" w:after="0" w:line="360" w:lineRule="auto"/>
        <w:ind w:left="420" w:leftChars="200"/>
        <w:rPr>
          <w:rFonts w:ascii="宋体" w:hAnsi="宋体"/>
          <w:b w:val="0"/>
          <w:color w:val="auto"/>
          <w:sz w:val="21"/>
          <w:szCs w:val="21"/>
          <w:highlight w:val="none"/>
        </w:rPr>
      </w:pPr>
      <w:bookmarkStart w:id="117" w:name="_13.3商务文件:_具体材料见“投标人须知前附表”。"/>
      <w:bookmarkEnd w:id="117"/>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）商务及技术文件：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5CDB6E20">
      <w:pPr>
        <w:pStyle w:val="8"/>
        <w:keepNext w:val="0"/>
        <w:keepLines w:val="0"/>
        <w:spacing w:before="0" w:after="0" w:line="360" w:lineRule="auto"/>
        <w:ind w:left="420" w:leftChars="200"/>
        <w:rPr>
          <w:rFonts w:ascii="黑体" w:hAnsi="黑体" w:eastAsia="黑体"/>
          <w:color w:val="auto"/>
          <w:sz w:val="24"/>
          <w:highlight w:val="none"/>
        </w:rPr>
      </w:pPr>
      <w:bookmarkStart w:id="118" w:name="_13.4技术文件：具体材料见“投标人须知前附表”。"/>
      <w:bookmarkEnd w:id="118"/>
      <w:bookmarkStart w:id="119" w:name="_13.5投标文件电子版：具体材料见“投标人须知前附表”。"/>
      <w:bookmarkEnd w:id="119"/>
      <w:bookmarkStart w:id="120" w:name="_Toc254970678"/>
      <w:bookmarkStart w:id="121" w:name="_Toc254970537"/>
      <w:r>
        <w:rPr>
          <w:rFonts w:hint="eastAsia" w:ascii="黑体" w:hAnsi="黑体" w:eastAsia="黑体"/>
          <w:color w:val="auto"/>
          <w:sz w:val="24"/>
          <w:highlight w:val="none"/>
        </w:rPr>
        <w:t>14.投标文件的语言及计量</w:t>
      </w:r>
      <w:bookmarkEnd w:id="120"/>
      <w:bookmarkEnd w:id="121"/>
    </w:p>
    <w:p w14:paraId="3BD060A6">
      <w:pPr>
        <w:pStyle w:val="8"/>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14.1语言文字</w:t>
      </w:r>
    </w:p>
    <w:p w14:paraId="6DC5F74B">
      <w:pPr>
        <w:pStyle w:val="8"/>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7C857A87">
      <w:pPr>
        <w:pStyle w:val="8"/>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14.2投标计量单位</w:t>
      </w:r>
    </w:p>
    <w:p w14:paraId="2BCC9AEB">
      <w:pPr>
        <w:pStyle w:val="8"/>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招标文件已有明确规定的，使用招标文件规定的计量单位；招标文件没有规定的，应采用中华人民共和国法定计量单位，货币种类为人民币，</w:t>
      </w:r>
      <w:r>
        <w:rPr>
          <w:rFonts w:hint="eastAsia" w:ascii="宋体" w:hAnsi="宋体"/>
          <w:color w:val="auto"/>
          <w:sz w:val="21"/>
          <w:szCs w:val="21"/>
          <w:highlight w:val="none"/>
        </w:rPr>
        <w:t>否则视同未响应。</w:t>
      </w:r>
    </w:p>
    <w:p w14:paraId="5D67D464">
      <w:pPr>
        <w:pStyle w:val="8"/>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15.投标的风险</w:t>
      </w:r>
    </w:p>
    <w:p w14:paraId="0159A053">
      <w:pPr>
        <w:pStyle w:val="26"/>
        <w:snapToGrid w:val="0"/>
        <w:spacing w:line="360" w:lineRule="auto"/>
        <w:ind w:firstLine="420" w:firstLineChars="200"/>
        <w:jc w:val="left"/>
        <w:rPr>
          <w:rFonts w:hAnsi="宋体"/>
          <w:color w:val="auto"/>
          <w:sz w:val="21"/>
          <w:highlight w:val="none"/>
        </w:rPr>
      </w:pPr>
      <w:r>
        <w:rPr>
          <w:rFonts w:hint="eastAsia" w:hAnsi="宋体"/>
          <w:color w:val="auto"/>
          <w:sz w:val="21"/>
          <w:highlight w:val="none"/>
        </w:rPr>
        <w:t>投标人没有按照招标文件要求提供全部资料，或者投标人没有对招标文件作出实质性响应是投标人的风险，并可能导致其投标被拒绝。</w:t>
      </w:r>
    </w:p>
    <w:p w14:paraId="249F76E7">
      <w:pPr>
        <w:pStyle w:val="8"/>
        <w:keepNext w:val="0"/>
        <w:keepLines w:val="0"/>
        <w:spacing w:before="0" w:after="0" w:line="360" w:lineRule="auto"/>
        <w:ind w:left="420" w:leftChars="200"/>
        <w:rPr>
          <w:rFonts w:ascii="黑体" w:hAnsi="黑体" w:eastAsia="黑体"/>
          <w:color w:val="auto"/>
          <w:sz w:val="24"/>
          <w:highlight w:val="none"/>
        </w:rPr>
      </w:pPr>
      <w:bookmarkStart w:id="122" w:name="_Toc254970538"/>
      <w:bookmarkStart w:id="123" w:name="_Toc254970679"/>
      <w:r>
        <w:rPr>
          <w:rFonts w:hint="eastAsia" w:ascii="黑体" w:hAnsi="黑体" w:eastAsia="黑体"/>
          <w:color w:val="auto"/>
          <w:sz w:val="24"/>
          <w:highlight w:val="none"/>
        </w:rPr>
        <w:t>16.投标报价</w:t>
      </w:r>
      <w:bookmarkEnd w:id="122"/>
      <w:bookmarkEnd w:id="123"/>
    </w:p>
    <w:p w14:paraId="2401796B">
      <w:pPr>
        <w:pStyle w:val="8"/>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16.1投标报价应按“第六章　投标文件格式”中“开标一览表”格式填写。</w:t>
      </w:r>
    </w:p>
    <w:p w14:paraId="0D7D3A2F">
      <w:pPr>
        <w:pStyle w:val="8"/>
        <w:keepNext w:val="0"/>
        <w:keepLines w:val="0"/>
        <w:spacing w:before="0" w:after="0" w:line="360" w:lineRule="auto"/>
        <w:ind w:left="420" w:leftChars="200"/>
        <w:rPr>
          <w:rFonts w:ascii="宋体" w:hAnsi="宋体"/>
          <w:b w:val="0"/>
          <w:color w:val="auto"/>
          <w:sz w:val="21"/>
          <w:szCs w:val="21"/>
          <w:highlight w:val="none"/>
        </w:rPr>
      </w:pPr>
      <w:bookmarkStart w:id="124" w:name="_16.2投标报价具体定义见投标人须知前附表。"/>
      <w:bookmarkEnd w:id="124"/>
      <w:r>
        <w:rPr>
          <w:rFonts w:hint="eastAsia" w:ascii="宋体" w:hAnsi="宋体"/>
          <w:b w:val="0"/>
          <w:color w:val="auto"/>
          <w:sz w:val="21"/>
          <w:szCs w:val="21"/>
          <w:highlight w:val="none"/>
        </w:rPr>
        <w:t>16.2投标报价具体包括内容详见“投标人须知前附表”。</w:t>
      </w:r>
    </w:p>
    <w:p w14:paraId="1023C9BC">
      <w:pPr>
        <w:pStyle w:val="8"/>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16.3投标人必须就所投每个分标的全部内容分别作完整唯一总价报价，不得存在漏项报价；投标人必须就所投分标的单项内容作唯一报价。</w:t>
      </w:r>
    </w:p>
    <w:p w14:paraId="0AAC1EC2">
      <w:pPr>
        <w:pStyle w:val="8"/>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17.投标有效期</w:t>
      </w:r>
    </w:p>
    <w:p w14:paraId="7F293646">
      <w:pPr>
        <w:pStyle w:val="8"/>
        <w:keepNext w:val="0"/>
        <w:keepLines w:val="0"/>
        <w:spacing w:before="0" w:after="0" w:line="360" w:lineRule="auto"/>
        <w:ind w:firstLine="420" w:firstLineChars="200"/>
        <w:rPr>
          <w:rFonts w:ascii="宋体" w:hAnsi="宋体"/>
          <w:b w:val="0"/>
          <w:color w:val="auto"/>
          <w:sz w:val="21"/>
          <w:szCs w:val="21"/>
          <w:highlight w:val="none"/>
        </w:rPr>
      </w:pPr>
      <w:bookmarkStart w:id="125" w:name="_17.1投标有效期应按“投标人须知中的前附表”规定的期限。"/>
      <w:bookmarkEnd w:id="125"/>
      <w:r>
        <w:rPr>
          <w:rFonts w:hint="eastAsia" w:ascii="宋体" w:hAnsi="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6E110EAB">
      <w:pPr>
        <w:pStyle w:val="8"/>
        <w:keepNext w:val="0"/>
        <w:keepLines w:val="0"/>
        <w:spacing w:before="0" w:after="0" w:line="360" w:lineRule="auto"/>
        <w:ind w:firstLine="424" w:firstLineChars="202"/>
        <w:rPr>
          <w:rFonts w:ascii="宋体" w:hAnsi="宋体"/>
          <w:b w:val="0"/>
          <w:color w:val="auto"/>
          <w:sz w:val="21"/>
          <w:szCs w:val="21"/>
          <w:highlight w:val="none"/>
        </w:rPr>
      </w:pPr>
      <w:r>
        <w:rPr>
          <w:rFonts w:hint="eastAsia" w:ascii="宋体" w:hAnsi="宋体"/>
          <w:b w:val="0"/>
          <w:color w:val="auto"/>
          <w:sz w:val="21"/>
          <w:szCs w:val="21"/>
          <w:highlight w:val="none"/>
        </w:rPr>
        <w:t>17.2</w:t>
      </w:r>
      <w:bookmarkStart w:id="126" w:name="_Toc254970681"/>
      <w:bookmarkStart w:id="127" w:name="_Toc254970540"/>
      <w:r>
        <w:rPr>
          <w:rFonts w:hint="eastAsia" w:ascii="宋体" w:hAnsi="宋体"/>
          <w:b w:val="0"/>
          <w:color w:val="auto"/>
          <w:sz w:val="21"/>
          <w:szCs w:val="21"/>
          <w:highlight w:val="none"/>
        </w:rPr>
        <w:t xml:space="preserve"> 投标有效期应按招标文件规定的期限作出承诺，具体详见“投标人须知前附表”。</w:t>
      </w:r>
      <w:r>
        <w:rPr>
          <w:rFonts w:hint="eastAsia" w:ascii="宋体" w:hAnsi="宋体"/>
          <w:color w:val="auto"/>
          <w:sz w:val="21"/>
          <w:szCs w:val="21"/>
          <w:highlight w:val="none"/>
        </w:rPr>
        <w:t>承诺的投标有效期低于招标文件规定期限的，按无效投标处理</w:t>
      </w:r>
      <w:r>
        <w:rPr>
          <w:rFonts w:hint="eastAsia" w:ascii="宋体" w:hAnsi="宋体"/>
          <w:b w:val="0"/>
          <w:color w:val="auto"/>
          <w:sz w:val="21"/>
          <w:szCs w:val="21"/>
          <w:highlight w:val="none"/>
        </w:rPr>
        <w:t>。</w:t>
      </w:r>
    </w:p>
    <w:p w14:paraId="0DB07B20">
      <w:pPr>
        <w:pStyle w:val="8"/>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17.3投标人的投标文件在投标有效期内均保持有效。</w:t>
      </w:r>
      <w:bookmarkEnd w:id="126"/>
      <w:bookmarkEnd w:id="127"/>
    </w:p>
    <w:p w14:paraId="562346E6">
      <w:pPr>
        <w:pStyle w:val="8"/>
        <w:keepNext w:val="0"/>
        <w:keepLines w:val="0"/>
        <w:spacing w:before="0" w:after="0" w:line="360" w:lineRule="auto"/>
        <w:ind w:left="420" w:leftChars="200"/>
        <w:rPr>
          <w:rFonts w:ascii="宋体" w:hAnsi="宋体"/>
          <w:b w:val="0"/>
          <w:color w:val="auto"/>
          <w:sz w:val="21"/>
          <w:szCs w:val="21"/>
          <w:highlight w:val="none"/>
        </w:rPr>
      </w:pPr>
    </w:p>
    <w:p w14:paraId="75255D66">
      <w:pPr>
        <w:pStyle w:val="8"/>
        <w:keepNext w:val="0"/>
        <w:keepLines w:val="0"/>
        <w:spacing w:before="0" w:after="0" w:line="360" w:lineRule="auto"/>
        <w:ind w:left="420" w:leftChars="200"/>
        <w:rPr>
          <w:rFonts w:ascii="黑体" w:hAnsi="黑体" w:eastAsia="黑体"/>
          <w:color w:val="auto"/>
          <w:sz w:val="24"/>
          <w:highlight w:val="none"/>
        </w:rPr>
      </w:pPr>
      <w:bookmarkStart w:id="128" w:name="_18.投标保证金"/>
      <w:bookmarkEnd w:id="128"/>
      <w:bookmarkStart w:id="129" w:name="_Toc254970541"/>
      <w:bookmarkStart w:id="130" w:name="_Toc254970682"/>
      <w:r>
        <w:rPr>
          <w:rFonts w:hint="eastAsia" w:ascii="黑体" w:hAnsi="黑体" w:eastAsia="黑体"/>
          <w:color w:val="auto"/>
          <w:sz w:val="24"/>
          <w:highlight w:val="none"/>
        </w:rPr>
        <w:t>18.投标保证金</w:t>
      </w:r>
      <w:bookmarkEnd w:id="129"/>
      <w:bookmarkEnd w:id="130"/>
    </w:p>
    <w:p w14:paraId="5C3783E0">
      <w:pPr>
        <w:pStyle w:val="8"/>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18.1投标人须按“投标人须知前附表” 的规定提交投标保证金。</w:t>
      </w:r>
    </w:p>
    <w:p w14:paraId="7CA96968">
      <w:pPr>
        <w:pStyle w:val="8"/>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18.2投标保证金的退还</w:t>
      </w:r>
    </w:p>
    <w:p w14:paraId="7DAD5304">
      <w:pPr>
        <w:pStyle w:val="8"/>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 xml:space="preserve">未中标人的投标保证金自中标通知书发出之日起5个工作日内退还；中标人的投标保证金自政府采购合同签订之日起5个工作日内退还。 </w:t>
      </w:r>
    </w:p>
    <w:p w14:paraId="19B7FBA4">
      <w:pPr>
        <w:pStyle w:val="8"/>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18.3除逾期退还投标保证金和终止招标的情形以外，投标保证金不计息。</w:t>
      </w:r>
    </w:p>
    <w:p w14:paraId="7B9D7365">
      <w:pPr>
        <w:pStyle w:val="8"/>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 xml:space="preserve">18.4投标人有下列情形之一的，投标保证金将不予退还： </w:t>
      </w:r>
    </w:p>
    <w:p w14:paraId="56C90D3B">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（1）投标人在投标有效期内撤销投标文件的；</w:t>
      </w:r>
    </w:p>
    <w:p w14:paraId="7AB3E447">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（2）未按规定提交履约保证金的；</w:t>
      </w:r>
    </w:p>
    <w:p w14:paraId="54E7D0B3">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（3）投标人在投标过程中弄虚作假，提供虚假材料的；</w:t>
      </w:r>
    </w:p>
    <w:p w14:paraId="7D40BF88">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（4）中标人无正当理由不与采购人签订合同的；</w:t>
      </w:r>
    </w:p>
    <w:p w14:paraId="602FB554">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（5）投标人出现本章第9.2、9.3情形的；</w:t>
      </w:r>
    </w:p>
    <w:p w14:paraId="1378434D">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法律法规规定的其他情形</w:t>
      </w:r>
      <w:r>
        <w:rPr>
          <w:rFonts w:hint="eastAsia" w:ascii="宋体" w:hAnsi="宋体"/>
          <w:color w:val="auto"/>
          <w:szCs w:val="21"/>
          <w:highlight w:val="none"/>
        </w:rPr>
        <w:t>。</w:t>
      </w:r>
    </w:p>
    <w:p w14:paraId="7E326CB4">
      <w:pPr>
        <w:pStyle w:val="8"/>
        <w:keepNext w:val="0"/>
        <w:keepLines w:val="0"/>
        <w:spacing w:before="0" w:after="0" w:line="360" w:lineRule="auto"/>
        <w:ind w:left="420" w:leftChars="200"/>
        <w:rPr>
          <w:rFonts w:ascii="黑体" w:hAnsi="黑体" w:eastAsia="黑体"/>
          <w:color w:val="auto"/>
          <w:sz w:val="24"/>
          <w:highlight w:val="none"/>
        </w:rPr>
      </w:pPr>
      <w:bookmarkStart w:id="131" w:name="_Toc254970542"/>
      <w:bookmarkStart w:id="132" w:name="_Toc254970683"/>
      <w:r>
        <w:rPr>
          <w:rFonts w:hint="eastAsia" w:ascii="黑体" w:hAnsi="黑体" w:eastAsia="黑体"/>
          <w:color w:val="auto"/>
          <w:sz w:val="24"/>
          <w:highlight w:val="none"/>
        </w:rPr>
        <w:t>19.投标文件的</w:t>
      </w:r>
      <w:bookmarkEnd w:id="131"/>
      <w:bookmarkEnd w:id="132"/>
      <w:r>
        <w:rPr>
          <w:rFonts w:hint="eastAsia" w:ascii="黑体" w:hAnsi="黑体" w:eastAsia="黑体"/>
          <w:color w:val="auto"/>
          <w:sz w:val="24"/>
          <w:highlight w:val="none"/>
        </w:rPr>
        <w:t>编制</w:t>
      </w:r>
    </w:p>
    <w:p w14:paraId="32571EDE">
      <w:pPr>
        <w:pStyle w:val="8"/>
        <w:keepNext w:val="0"/>
        <w:keepLines w:val="0"/>
        <w:numPr>
          <w:ilvl w:val="4"/>
          <w:numId w:val="6"/>
        </w:numPr>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w:t>
      </w:r>
      <w:bookmarkStart w:id="133" w:name="_Toc254970544"/>
      <w:bookmarkStart w:id="134" w:name="_Toc254970685"/>
      <w:r>
        <w:rPr>
          <w:rFonts w:hint="eastAsia" w:ascii="宋体" w:hAnsi="宋体"/>
          <w:b w:val="0"/>
          <w:color w:val="auto"/>
          <w:sz w:val="21"/>
          <w:szCs w:val="21"/>
          <w:highlight w:val="none"/>
        </w:rPr>
        <w:t xml:space="preserve"> 19.1投标人应按照本项目招标文件规定的格式和顺序和广西政府采购云平台的要求编制投标文件并加密。投标文件内容不完整、编排混乱导致投标文件被误读、漏读或者查找不到相关内容的，由此引发的后果由投标人承担。</w:t>
      </w:r>
    </w:p>
    <w:p w14:paraId="2123E1F2">
      <w:pPr>
        <w:pStyle w:val="8"/>
        <w:keepNext w:val="0"/>
        <w:keepLines w:val="0"/>
        <w:numPr>
          <w:ilvl w:val="4"/>
          <w:numId w:val="6"/>
        </w:numPr>
        <w:spacing w:before="0" w:after="0" w:line="360" w:lineRule="auto"/>
        <w:ind w:firstLine="315" w:firstLineChars="150"/>
        <w:rPr>
          <w:rFonts w:ascii="宋体" w:hAnsi="宋体"/>
          <w:b w:val="0"/>
          <w:color w:val="auto"/>
          <w:sz w:val="21"/>
          <w:szCs w:val="21"/>
          <w:highlight w:val="none"/>
        </w:rPr>
      </w:pPr>
      <w:bookmarkStart w:id="135" w:name="_19.2投标文件应按报价文件、资格证明文件、商务文件、技术文件分别编制"/>
      <w:bookmarkEnd w:id="135"/>
      <w:r>
        <w:rPr>
          <w:rFonts w:hint="eastAsia" w:ascii="宋体" w:hAnsi="宋体"/>
          <w:b w:val="0"/>
          <w:color w:val="auto"/>
          <w:sz w:val="21"/>
          <w:szCs w:val="21"/>
          <w:highlight w:val="none"/>
        </w:rPr>
        <w:t xml:space="preserve"> 19.2为确保网上操作合法、有效和安全，投标人应当在投标截止时间前完成在广西政府采购云平台的身份认证，确保在电子投标过程中能够对相关数据电文进行加密和使用电子签章。</w:t>
      </w:r>
    </w:p>
    <w:p w14:paraId="25AABEF7">
      <w:pPr>
        <w:pStyle w:val="8"/>
        <w:keepNext w:val="0"/>
        <w:keepLines w:val="0"/>
        <w:numPr>
          <w:ilvl w:val="4"/>
          <w:numId w:val="6"/>
        </w:numPr>
        <w:spacing w:before="0" w:after="0" w:line="360" w:lineRule="auto"/>
        <w:rPr>
          <w:rFonts w:ascii="宋体" w:hAnsi="宋体"/>
          <w:b w:val="0"/>
          <w:color w:val="auto"/>
          <w:sz w:val="21"/>
          <w:szCs w:val="21"/>
          <w:highlight w:val="none"/>
        </w:rPr>
      </w:pPr>
      <w:r>
        <w:rPr>
          <w:rFonts w:hint="eastAsia" w:ascii="宋体" w:hAnsi="宋体"/>
          <w:b w:val="0"/>
          <w:color w:val="auto"/>
          <w:sz w:val="21"/>
          <w:szCs w:val="21"/>
          <w:highlight w:val="none"/>
        </w:rPr>
        <w:t xml:space="preserve">    19.3投标文件须由投标人在规定位置签字（或者电子签名）、盖章（具体以投标人须知前附表或投标文件格式规定为准），</w:t>
      </w:r>
      <w:r>
        <w:rPr>
          <w:rFonts w:hint="eastAsia" w:ascii="宋体" w:hAnsi="宋体"/>
          <w:bCs/>
          <w:color w:val="auto"/>
          <w:sz w:val="21"/>
          <w:szCs w:val="21"/>
          <w:highlight w:val="none"/>
        </w:rPr>
        <w:t>否则按无效投标处理</w:t>
      </w:r>
      <w:r>
        <w:rPr>
          <w:rFonts w:hint="eastAsia" w:ascii="宋体" w:hAnsi="宋体"/>
          <w:b w:val="0"/>
          <w:color w:val="auto"/>
          <w:sz w:val="21"/>
          <w:szCs w:val="21"/>
          <w:highlight w:val="none"/>
        </w:rPr>
        <w:t>。</w:t>
      </w:r>
    </w:p>
    <w:p w14:paraId="4189888D">
      <w:pPr>
        <w:pStyle w:val="8"/>
        <w:keepNext w:val="0"/>
        <w:keepLines w:val="0"/>
        <w:numPr>
          <w:ilvl w:val="4"/>
          <w:numId w:val="6"/>
        </w:numPr>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ascii="宋体" w:hAnsi="宋体"/>
          <w:color w:val="auto"/>
          <w:sz w:val="21"/>
          <w:szCs w:val="21"/>
          <w:highlight w:val="none"/>
        </w:rPr>
        <w:t>否则按无效投标处理</w:t>
      </w:r>
      <w:r>
        <w:rPr>
          <w:rFonts w:hint="eastAsia" w:ascii="宋体" w:hAnsi="宋体"/>
          <w:b w:val="0"/>
          <w:color w:val="auto"/>
          <w:sz w:val="21"/>
          <w:szCs w:val="21"/>
          <w:highlight w:val="none"/>
        </w:rPr>
        <w:t>。</w:t>
      </w:r>
    </w:p>
    <w:p w14:paraId="5A6D4E47">
      <w:pPr>
        <w:pStyle w:val="8"/>
        <w:keepNext w:val="0"/>
        <w:keepLines w:val="0"/>
        <w:numPr>
          <w:ilvl w:val="4"/>
          <w:numId w:val="6"/>
        </w:numPr>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202F9C14">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20.电子备份投标文件</w:t>
      </w:r>
    </w:p>
    <w:p w14:paraId="4A5D8C09">
      <w:pPr>
        <w:spacing w:line="360" w:lineRule="auto"/>
        <w:ind w:firstLine="420" w:firstLineChars="200"/>
        <w:rPr>
          <w:rFonts w:ascii="黑体" w:hAnsi="黑体" w:eastAsia="黑体"/>
          <w:color w:val="auto"/>
          <w:sz w:val="24"/>
          <w:highlight w:val="none"/>
        </w:rPr>
      </w:pPr>
      <w:r>
        <w:rPr>
          <w:rFonts w:hint="eastAsia"/>
          <w:color w:val="auto"/>
          <w:highlight w:val="none"/>
        </w:rPr>
        <w:t>电子备份投标文件是指通过在线编制生成且后缀名为“</w:t>
      </w:r>
      <w:r>
        <w:rPr>
          <w:color w:val="auto"/>
          <w:highlight w:val="none"/>
        </w:rPr>
        <w:t>bfbs</w:t>
      </w:r>
      <w:r>
        <w:rPr>
          <w:rFonts w:hint="eastAsia"/>
          <w:color w:val="auto"/>
          <w:highlight w:val="none"/>
        </w:rPr>
        <w:t>”的文件，是否接受电子备份投标文件</w:t>
      </w:r>
      <w:r>
        <w:rPr>
          <w:rFonts w:hint="eastAsia" w:hAnsi="宋体"/>
          <w:bCs/>
          <w:color w:val="auto"/>
          <w:szCs w:val="21"/>
          <w:highlight w:val="none"/>
        </w:rPr>
        <w:t>详见在“投标人须知前附表”。</w:t>
      </w:r>
    </w:p>
    <w:p w14:paraId="21D34805">
      <w:pPr>
        <w:pStyle w:val="8"/>
        <w:keepNext w:val="0"/>
        <w:keepLines w:val="0"/>
        <w:numPr>
          <w:ilvl w:val="4"/>
          <w:numId w:val="6"/>
        </w:numPr>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21.投标文件的提交</w:t>
      </w:r>
    </w:p>
    <w:p w14:paraId="4D6B77E5">
      <w:pPr>
        <w:spacing w:line="360" w:lineRule="auto"/>
        <w:ind w:firstLine="420" w:firstLineChars="200"/>
        <w:rPr>
          <w:rFonts w:hAnsi="宋体"/>
          <w:b/>
          <w:color w:val="auto"/>
          <w:highlight w:val="none"/>
        </w:rPr>
      </w:pPr>
      <w:bookmarkStart w:id="136" w:name="_21.1投标人必须在“投标人须知中的前附表”规定的投标文件接收时间和投"/>
      <w:bookmarkEnd w:id="136"/>
      <w:r>
        <w:rPr>
          <w:rFonts w:hAnsi="宋体"/>
          <w:bCs/>
          <w:color w:val="auto"/>
          <w:szCs w:val="21"/>
          <w:highlight w:val="none"/>
        </w:rPr>
        <w:t>21.1</w:t>
      </w:r>
      <w:r>
        <w:rPr>
          <w:rFonts w:hint="eastAsia" w:hAnsi="宋体"/>
          <w:bCs/>
          <w:color w:val="auto"/>
          <w:szCs w:val="21"/>
          <w:highlight w:val="none"/>
        </w:rPr>
        <w:t>投标人必须在“投标人须知前附表”规定的</w:t>
      </w:r>
      <w:r>
        <w:rPr>
          <w:rFonts w:hint="eastAsia" w:ascii="宋体" w:hAnsi="宋体"/>
          <w:color w:val="auto"/>
          <w:szCs w:val="21"/>
          <w:highlight w:val="none"/>
        </w:rPr>
        <w:t>提交投标文件截止时间前将</w:t>
      </w:r>
      <w:r>
        <w:rPr>
          <w:rFonts w:hint="eastAsia" w:hAnsi="宋体"/>
          <w:bCs/>
          <w:color w:val="auto"/>
          <w:szCs w:val="21"/>
          <w:highlight w:val="none"/>
        </w:rPr>
        <w:t>电子投标文件提交至投标地点。电子投标文件应在制作完成后，在投标截止时间前通过有效数字证书（</w:t>
      </w:r>
      <w:r>
        <w:rPr>
          <w:rFonts w:hAnsi="宋体"/>
          <w:bCs/>
          <w:color w:val="auto"/>
          <w:szCs w:val="21"/>
          <w:highlight w:val="none"/>
        </w:rPr>
        <w:t>CA</w:t>
      </w:r>
      <w:r>
        <w:rPr>
          <w:rFonts w:hint="eastAsia" w:hAnsi="宋体"/>
          <w:bCs/>
          <w:color w:val="auto"/>
          <w:szCs w:val="21"/>
          <w:highlight w:val="none"/>
        </w:rPr>
        <w:t>认证锁）进行电子签章、加密，然后通过网络将加密的电子投标文件递交至</w:t>
      </w:r>
      <w:r>
        <w:rPr>
          <w:rFonts w:hint="eastAsia" w:ascii="宋体" w:hAnsi="宋体"/>
          <w:b/>
          <w:color w:val="auto"/>
          <w:szCs w:val="21"/>
          <w:highlight w:val="none"/>
        </w:rPr>
        <w:t>广西政府采购云平台</w:t>
      </w:r>
      <w:r>
        <w:rPr>
          <w:rFonts w:hint="eastAsia" w:hAnsi="宋体"/>
          <w:bCs/>
          <w:color w:val="auto"/>
          <w:szCs w:val="21"/>
          <w:highlight w:val="none"/>
        </w:rPr>
        <w:t>。</w:t>
      </w:r>
      <w:r>
        <w:rPr>
          <w:rFonts w:hAnsi="宋体"/>
          <w:bCs/>
          <w:color w:val="auto"/>
          <w:szCs w:val="21"/>
          <w:highlight w:val="none"/>
        </w:rPr>
        <w:t xml:space="preserve"> </w:t>
      </w:r>
      <w:r>
        <w:rPr>
          <w:rFonts w:hAnsi="宋体"/>
          <w:b/>
          <w:color w:val="auto"/>
          <w:highlight w:val="none"/>
        </w:rPr>
        <w:t xml:space="preserve"> </w:t>
      </w:r>
    </w:p>
    <w:p w14:paraId="1623B5A6">
      <w:pPr>
        <w:spacing w:line="360" w:lineRule="auto"/>
        <w:ind w:firstLine="422" w:firstLineChars="200"/>
        <w:rPr>
          <w:rFonts w:ascii="宋体" w:hAnsi="宋体"/>
          <w:b/>
          <w:color w:val="auto"/>
          <w:szCs w:val="20"/>
          <w:highlight w:val="none"/>
        </w:rPr>
      </w:pPr>
      <w:r>
        <w:rPr>
          <w:rFonts w:hint="eastAsia" w:ascii="宋体" w:hAnsi="宋体"/>
          <w:b/>
          <w:color w:val="auto"/>
          <w:szCs w:val="21"/>
          <w:highlight w:val="none"/>
        </w:rPr>
        <w:t>21.2未在规定时间内提交或者未按照招标文件要求加密的电子投标文件，广西政府采购云平台将拒收。</w:t>
      </w:r>
    </w:p>
    <w:p w14:paraId="62CB9279">
      <w:pPr>
        <w:pStyle w:val="8"/>
        <w:keepNext w:val="0"/>
        <w:keepLines w:val="0"/>
        <w:numPr>
          <w:ilvl w:val="4"/>
          <w:numId w:val="6"/>
        </w:numPr>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22. 投标文件的补充、修改、撤回与退回</w:t>
      </w:r>
    </w:p>
    <w:p w14:paraId="185A7178">
      <w:pPr>
        <w:snapToGrid w:val="0"/>
        <w:spacing w:line="360" w:lineRule="auto"/>
        <w:ind w:firstLine="420"/>
        <w:jc w:val="left"/>
        <w:rPr>
          <w:rFonts w:ascii="宋体" w:hAnsi="宋体"/>
          <w:color w:val="auto"/>
          <w:szCs w:val="21"/>
          <w:highlight w:val="none"/>
        </w:rPr>
      </w:pPr>
      <w:bookmarkStart w:id="137" w:name="_Toc254970684"/>
      <w:bookmarkStart w:id="138" w:name="_Toc254970543"/>
      <w:r>
        <w:rPr>
          <w:rFonts w:hint="eastAsia" w:ascii="宋体" w:hAnsi="宋体" w:cs="宋体"/>
          <w:color w:val="auto"/>
          <w:szCs w:val="21"/>
          <w:highlight w:val="none"/>
        </w:rPr>
        <w:t>22.1</w:t>
      </w:r>
      <w:r>
        <w:rPr>
          <w:rFonts w:hint="eastAsia" w:ascii="宋体" w:hAnsi="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依次进入“服务中心”中查看</w:t>
      </w:r>
      <w:r>
        <w:rPr>
          <w:rFonts w:hint="eastAsia" w:ascii="宋体" w:hAnsi="宋体" w:cs="宋体"/>
          <w:color w:val="auto"/>
          <w:szCs w:val="21"/>
          <w:highlight w:val="none"/>
        </w:rPr>
        <w:t xml:space="preserve"> “电子投标文件制作与投送教程”）</w:t>
      </w:r>
    </w:p>
    <w:bookmarkEnd w:id="137"/>
    <w:bookmarkEnd w:id="138"/>
    <w:p w14:paraId="36C712C5">
      <w:pPr>
        <w:pStyle w:val="116"/>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22.2“广西政府采购云平台收到投标文件后向供应商发出确认回执通知。在投标截止时间前，除供应商补充、修改或者撤回投标文件外，任何单位和个人不得解密或提取投标文件。</w:t>
      </w:r>
    </w:p>
    <w:p w14:paraId="311D5D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22.3在投标截止时间后，采购人和采购代理机构对已提交的投标文件概不退回。</w:t>
      </w:r>
    </w:p>
    <w:p w14:paraId="2A793294">
      <w:pPr>
        <w:pStyle w:val="7"/>
        <w:keepNext w:val="0"/>
        <w:keepLines w:val="0"/>
        <w:jc w:val="center"/>
        <w:rPr>
          <w:color w:val="auto"/>
          <w:highlight w:val="none"/>
        </w:rPr>
      </w:pPr>
      <w:r>
        <w:rPr>
          <w:rFonts w:hint="eastAsia"/>
          <w:color w:val="auto"/>
          <w:highlight w:val="none"/>
        </w:rPr>
        <w:t>四、开    标</w:t>
      </w:r>
      <w:bookmarkEnd w:id="133"/>
      <w:bookmarkEnd w:id="134"/>
    </w:p>
    <w:p w14:paraId="1CCE0708">
      <w:pPr>
        <w:pStyle w:val="8"/>
        <w:keepNext w:val="0"/>
        <w:keepLines w:val="0"/>
        <w:spacing w:before="0" w:after="0" w:line="360" w:lineRule="auto"/>
        <w:ind w:left="420" w:leftChars="200"/>
        <w:rPr>
          <w:rFonts w:ascii="黑体" w:hAnsi="黑体" w:eastAsia="黑体"/>
          <w:color w:val="auto"/>
          <w:sz w:val="24"/>
          <w:highlight w:val="none"/>
        </w:rPr>
      </w:pPr>
      <w:bookmarkStart w:id="139" w:name="_23.开标时间和地点"/>
      <w:bookmarkEnd w:id="139"/>
      <w:r>
        <w:rPr>
          <w:rFonts w:hint="eastAsia" w:ascii="黑体" w:hAnsi="黑体" w:eastAsia="黑体"/>
          <w:color w:val="auto"/>
          <w:sz w:val="24"/>
          <w:highlight w:val="none"/>
        </w:rPr>
        <w:t>23.开标时间和地点</w:t>
      </w:r>
    </w:p>
    <w:p w14:paraId="73216794">
      <w:pPr>
        <w:spacing w:line="360" w:lineRule="auto"/>
        <w:ind w:firstLine="420" w:firstLineChars="200"/>
        <w:rPr>
          <w:rFonts w:hAnsi="宋体"/>
          <w:bCs/>
          <w:color w:val="auto"/>
          <w:highlight w:val="none"/>
        </w:rPr>
      </w:pPr>
      <w:r>
        <w:rPr>
          <w:rFonts w:hint="eastAsia" w:hAnsi="宋体"/>
          <w:bCs/>
          <w:color w:val="auto"/>
          <w:highlight w:val="none"/>
        </w:rPr>
        <w:t>开标时间及地点详见“投标人须知前附表”</w:t>
      </w:r>
    </w:p>
    <w:p w14:paraId="166573D2">
      <w:pPr>
        <w:pStyle w:val="8"/>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24.开标程序</w:t>
      </w:r>
    </w:p>
    <w:p w14:paraId="6946B0D2">
      <w:pPr>
        <w:pStyle w:val="9"/>
        <w:spacing w:line="360" w:lineRule="auto"/>
        <w:rPr>
          <w:color w:val="auto"/>
          <w:highlight w:val="none"/>
        </w:rPr>
      </w:pPr>
      <w:r>
        <w:rPr>
          <w:color w:val="auto"/>
          <w:highlight w:val="none"/>
        </w:rPr>
        <w:t>24.1</w:t>
      </w:r>
      <w:r>
        <w:rPr>
          <w:rFonts w:hint="eastAsia"/>
          <w:color w:val="auto"/>
          <w:highlight w:val="none"/>
        </w:rPr>
        <w:t>提交投标文件截止时间止，投标人不足</w:t>
      </w:r>
      <w:r>
        <w:rPr>
          <w:color w:val="auto"/>
          <w:highlight w:val="none"/>
        </w:rPr>
        <w:t>3</w:t>
      </w:r>
      <w:r>
        <w:rPr>
          <w:rFonts w:hint="eastAsia"/>
          <w:color w:val="auto"/>
          <w:highlight w:val="none"/>
        </w:rPr>
        <w:t>家的，不得开标。</w:t>
      </w:r>
    </w:p>
    <w:p w14:paraId="6C9FC89E">
      <w:pPr>
        <w:pStyle w:val="9"/>
        <w:spacing w:line="360" w:lineRule="auto"/>
        <w:rPr>
          <w:color w:val="auto"/>
          <w:highlight w:val="none"/>
        </w:rPr>
      </w:pPr>
      <w:r>
        <w:rPr>
          <w:color w:val="auto"/>
          <w:highlight w:val="none"/>
        </w:rPr>
        <w:t>24.2</w:t>
      </w:r>
      <w:r>
        <w:rPr>
          <w:rFonts w:hint="eastAsia"/>
          <w:color w:val="auto"/>
          <w:highlight w:val="none"/>
        </w:rPr>
        <w:t>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77B4EC79">
      <w:pPr>
        <w:pStyle w:val="9"/>
        <w:spacing w:line="360" w:lineRule="auto"/>
        <w:rPr>
          <w:color w:val="auto"/>
          <w:highlight w:val="none"/>
        </w:rPr>
      </w:pPr>
      <w:r>
        <w:rPr>
          <w:color w:val="auto"/>
          <w:highlight w:val="none"/>
        </w:rPr>
        <w:t>24.3</w:t>
      </w:r>
      <w:r>
        <w:rPr>
          <w:rFonts w:hint="eastAsia"/>
          <w:color w:val="auto"/>
          <w:highlight w:val="none"/>
        </w:rPr>
        <w:t>开标程序</w:t>
      </w:r>
    </w:p>
    <w:p w14:paraId="1790C72D">
      <w:pPr>
        <w:pStyle w:val="9"/>
        <w:spacing w:line="360" w:lineRule="auto"/>
        <w:rPr>
          <w:color w:val="auto"/>
          <w:highlight w:val="none"/>
        </w:rPr>
      </w:pPr>
      <w:r>
        <w:rPr>
          <w:rFonts w:hint="eastAsia"/>
          <w:color w:val="auto"/>
          <w:highlight w:val="none"/>
        </w:rPr>
        <w:t>（</w:t>
      </w:r>
      <w:r>
        <w:rPr>
          <w:color w:val="auto"/>
          <w:highlight w:val="none"/>
        </w:rPr>
        <w:t>1</w:t>
      </w:r>
      <w:r>
        <w:rPr>
          <w:rFonts w:hint="eastAsia"/>
          <w:color w:val="auto"/>
          <w:highlight w:val="none"/>
        </w:rPr>
        <w:t>）解密电子投标文件。“广西政府采购云平台按开标时间自动提取所有投标文件。采购代理机构依托广西政府采购云平台向各投标人发出电子加密投标文件【开始解密】通知，由投标人按</w:t>
      </w:r>
      <w:r>
        <w:rPr>
          <w:rFonts w:hint="eastAsia" w:hAnsi="宋体"/>
          <w:bCs/>
          <w:color w:val="auto"/>
          <w:szCs w:val="21"/>
          <w:highlight w:val="none"/>
        </w:rPr>
        <w:t>“投标人须知前附表”</w:t>
      </w:r>
      <w:r>
        <w:rPr>
          <w:rFonts w:hint="eastAsia"/>
          <w:color w:val="auto"/>
          <w:highlight w:val="none"/>
        </w:rPr>
        <w:t>规定的时间内自行进行投标文件解密。投标人的法定代表人或其委托代理人须凭加密时所用的</w:t>
      </w:r>
      <w:r>
        <w:rPr>
          <w:color w:val="auto"/>
          <w:highlight w:val="none"/>
        </w:rPr>
        <w:t>CA</w:t>
      </w:r>
      <w:r>
        <w:rPr>
          <w:rFonts w:hint="eastAsia"/>
          <w:color w:val="auto"/>
          <w:highlight w:val="none"/>
        </w:rPr>
        <w:t>锁准时登录到广西政府采购云平台电子开标大厅签到并对电子投标文件解密。</w:t>
      </w:r>
      <w:r>
        <w:rPr>
          <w:rFonts w:hint="eastAsia"/>
          <w:b/>
          <w:color w:val="auto"/>
          <w:highlight w:val="none"/>
        </w:rPr>
        <w:t>投标人未在规定的时间内解密投标文件或者解密失败的，</w:t>
      </w:r>
      <w:r>
        <w:rPr>
          <w:rFonts w:hint="eastAsia" w:ascii="宋体" w:hAnsi="宋体"/>
          <w:b/>
          <w:color w:val="auto"/>
          <w:szCs w:val="21"/>
          <w:highlight w:val="none"/>
        </w:rPr>
        <w:t>投标人的投标文件作无效处理</w:t>
      </w:r>
      <w:r>
        <w:rPr>
          <w:rFonts w:hint="eastAsia"/>
          <w:b/>
          <w:color w:val="auto"/>
          <w:highlight w:val="none"/>
        </w:rPr>
        <w:t>。</w:t>
      </w:r>
    </w:p>
    <w:p w14:paraId="4955B556">
      <w:pPr>
        <w:pStyle w:val="9"/>
        <w:spacing w:line="360" w:lineRule="auto"/>
        <w:rPr>
          <w:color w:val="auto"/>
          <w:highlight w:val="none"/>
        </w:rPr>
      </w:pPr>
      <w:r>
        <w:rPr>
          <w:rFonts w:hint="eastAsia"/>
          <w:color w:val="auto"/>
          <w:highlight w:val="none"/>
        </w:rPr>
        <w:t>（</w:t>
      </w:r>
      <w:r>
        <w:rPr>
          <w:color w:val="auto"/>
          <w:highlight w:val="none"/>
        </w:rPr>
        <w:t>2</w:t>
      </w:r>
      <w:r>
        <w:rPr>
          <w:rFonts w:hint="eastAsia"/>
          <w:color w:val="auto"/>
          <w:highlight w:val="none"/>
        </w:rPr>
        <w:t>）电子唱标。投标文件解密结束，宣布的内容均在广西政府采购云平台远程开标大厅展示，具体详见</w:t>
      </w:r>
      <w:r>
        <w:rPr>
          <w:rFonts w:hint="eastAsia" w:hAnsi="宋体"/>
          <w:bCs/>
          <w:color w:val="auto"/>
          <w:highlight w:val="none"/>
        </w:rPr>
        <w:t>“投标人须知前附表”</w:t>
      </w:r>
      <w:r>
        <w:rPr>
          <w:rFonts w:hint="eastAsia"/>
          <w:color w:val="auto"/>
          <w:highlight w:val="none"/>
        </w:rPr>
        <w:t>；</w:t>
      </w:r>
    </w:p>
    <w:p w14:paraId="44FD58CF">
      <w:pPr>
        <w:pStyle w:val="9"/>
        <w:spacing w:line="360" w:lineRule="auto"/>
        <w:rPr>
          <w:color w:val="auto"/>
          <w:highlight w:val="none"/>
        </w:rPr>
      </w:pPr>
      <w:r>
        <w:rPr>
          <w:rFonts w:hint="eastAsia"/>
          <w:color w:val="auto"/>
          <w:highlight w:val="none"/>
        </w:rPr>
        <w:t>（</w:t>
      </w:r>
      <w:r>
        <w:rPr>
          <w:color w:val="auto"/>
          <w:highlight w:val="none"/>
        </w:rPr>
        <w:t>3</w:t>
      </w:r>
      <w:r>
        <w:rPr>
          <w:rFonts w:hint="eastAsia"/>
          <w:color w:val="auto"/>
          <w:highlight w:val="none"/>
        </w:rPr>
        <w:t>）开标过程由采购代理机构如实记录，并电子留痕，由参加电子开标的各投标人代表对电子开标记录在开标记录公布后</w:t>
      </w:r>
      <w:r>
        <w:rPr>
          <w:color w:val="auto"/>
          <w:highlight w:val="none"/>
        </w:rPr>
        <w:t>15</w:t>
      </w:r>
      <w:r>
        <w:rPr>
          <w:rFonts w:hint="eastAsia"/>
          <w:color w:val="auto"/>
          <w:highlight w:val="none"/>
        </w:rPr>
        <w:t>分钟内进行当场校核及勘误，并线上确认是否有异议，未确认的视同认可开标结果。</w:t>
      </w:r>
    </w:p>
    <w:p w14:paraId="5FEF7DDE">
      <w:pPr>
        <w:pStyle w:val="9"/>
        <w:spacing w:line="360" w:lineRule="auto"/>
        <w:rPr>
          <w:color w:val="auto"/>
          <w:highlight w:val="none"/>
        </w:rPr>
      </w:pPr>
      <w:r>
        <w:rPr>
          <w:rFonts w:hint="eastAsia"/>
          <w:color w:val="auto"/>
          <w:highlight w:val="none"/>
        </w:rPr>
        <w:t>（</w:t>
      </w:r>
      <w:r>
        <w:rPr>
          <w:color w:val="auto"/>
          <w:highlight w:val="none"/>
        </w:rPr>
        <w:t>4</w:t>
      </w:r>
      <w:r>
        <w:rPr>
          <w:rFonts w:hint="eastAsia"/>
          <w:color w:val="auto"/>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40308A75">
      <w:pPr>
        <w:pStyle w:val="9"/>
        <w:spacing w:line="360" w:lineRule="auto"/>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）开标结束。</w:t>
      </w:r>
    </w:p>
    <w:p w14:paraId="1C974208">
      <w:pPr>
        <w:pStyle w:val="26"/>
        <w:snapToGrid w:val="0"/>
        <w:spacing w:line="360" w:lineRule="auto"/>
        <w:ind w:firstLine="420" w:firstLineChars="200"/>
        <w:rPr>
          <w:rFonts w:hAnsi="宋体"/>
          <w:color w:val="auto"/>
          <w:sz w:val="21"/>
          <w:highlight w:val="none"/>
        </w:rPr>
      </w:pPr>
      <w:r>
        <w:rPr>
          <w:rFonts w:hint="eastAsia"/>
          <w:color w:val="auto"/>
          <w:sz w:val="21"/>
          <w:highlight w:val="none"/>
        </w:rPr>
        <w:t>特别说明：如遇广西政府采购云平台电子化开标或评审程序调整的，按调整后执行。</w:t>
      </w:r>
    </w:p>
    <w:p w14:paraId="21F437E1">
      <w:pPr>
        <w:pStyle w:val="26"/>
        <w:snapToGrid w:val="0"/>
        <w:spacing w:line="360" w:lineRule="auto"/>
        <w:ind w:left="689" w:leftChars="228" w:hanging="210" w:hangingChars="100"/>
        <w:rPr>
          <w:rFonts w:hAnsi="宋体"/>
          <w:color w:val="auto"/>
          <w:sz w:val="21"/>
          <w:highlight w:val="none"/>
        </w:rPr>
      </w:pPr>
    </w:p>
    <w:p w14:paraId="08F2AF2A">
      <w:pPr>
        <w:pStyle w:val="7"/>
        <w:keepNext w:val="0"/>
        <w:keepLines w:val="0"/>
        <w:jc w:val="center"/>
        <w:rPr>
          <w:color w:val="auto"/>
          <w:highlight w:val="none"/>
        </w:rPr>
      </w:pPr>
      <w:r>
        <w:rPr>
          <w:rFonts w:hint="eastAsia"/>
          <w:color w:val="auto"/>
          <w:highlight w:val="none"/>
        </w:rPr>
        <w:t>五、资格审查</w:t>
      </w:r>
    </w:p>
    <w:p w14:paraId="359521B3">
      <w:pPr>
        <w:pStyle w:val="8"/>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25.资格审查</w:t>
      </w:r>
    </w:p>
    <w:p w14:paraId="12D7B17F">
      <w:pPr>
        <w:pStyle w:val="8"/>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25.1</w:t>
      </w:r>
      <w:r>
        <w:rPr>
          <w:rFonts w:ascii="宋体" w:hAnsi="宋体"/>
          <w:b w:val="0"/>
          <w:color w:val="auto"/>
          <w:sz w:val="21"/>
          <w:szCs w:val="21"/>
          <w:highlight w:val="none"/>
        </w:rPr>
        <w:t>开标结束后，</w:t>
      </w:r>
      <w:r>
        <w:rPr>
          <w:rFonts w:hint="eastAsia" w:ascii="宋体" w:hAnsi="宋体"/>
          <w:b w:val="0"/>
          <w:color w:val="auto"/>
          <w:sz w:val="21"/>
          <w:szCs w:val="21"/>
          <w:highlight w:val="none"/>
        </w:rPr>
        <w:t>采购人或者采购代理机构通过电子开评标系统依据招标文件对电子投标文件进行线上资格审查</w:t>
      </w:r>
      <w:r>
        <w:rPr>
          <w:rFonts w:ascii="宋体" w:hAnsi="宋体"/>
          <w:b w:val="0"/>
          <w:color w:val="auto"/>
          <w:sz w:val="21"/>
          <w:szCs w:val="21"/>
          <w:highlight w:val="none"/>
        </w:rPr>
        <w:t>。</w:t>
      </w:r>
    </w:p>
    <w:p w14:paraId="6DCE90BB">
      <w:pPr>
        <w:pStyle w:val="8"/>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5AA06C43">
      <w:pPr>
        <w:pStyle w:val="8"/>
        <w:keepNext w:val="0"/>
        <w:keepLines w:val="0"/>
        <w:numPr>
          <w:ilvl w:val="0"/>
          <w:numId w:val="0"/>
        </w:numPr>
        <w:spacing w:before="0" w:after="0" w:line="360" w:lineRule="auto"/>
        <w:ind w:firstLine="422" w:firstLineChars="200"/>
        <w:rPr>
          <w:rFonts w:ascii="宋体" w:hAnsi="宋体"/>
          <w:color w:val="auto"/>
          <w:sz w:val="21"/>
          <w:szCs w:val="21"/>
          <w:highlight w:val="none"/>
        </w:rPr>
      </w:pPr>
      <w:bookmarkStart w:id="140" w:name="_25.3_投标人有下列情形之一的，资格审查不通过而导致其投标无效："/>
      <w:bookmarkEnd w:id="140"/>
      <w:r>
        <w:rPr>
          <w:rFonts w:hint="eastAsia" w:ascii="宋体" w:hAnsi="宋体"/>
          <w:color w:val="auto"/>
          <w:sz w:val="21"/>
          <w:szCs w:val="21"/>
          <w:highlight w:val="none"/>
        </w:rPr>
        <w:t>25.3 投标人有下列情形之一的，资格审查不通过，作无效投标处理：</w:t>
      </w:r>
    </w:p>
    <w:p w14:paraId="1C9BD1E6">
      <w:pPr>
        <w:pStyle w:val="26"/>
        <w:snapToGrid w:val="0"/>
        <w:spacing w:line="360" w:lineRule="auto"/>
        <w:ind w:firstLine="422" w:firstLineChars="200"/>
        <w:rPr>
          <w:rFonts w:hAnsi="宋体"/>
          <w:b/>
          <w:color w:val="auto"/>
          <w:sz w:val="21"/>
          <w:highlight w:val="none"/>
        </w:rPr>
      </w:pPr>
      <w:r>
        <w:rPr>
          <w:rFonts w:hint="eastAsia" w:hAnsi="宋体"/>
          <w:b/>
          <w:color w:val="auto"/>
          <w:sz w:val="21"/>
          <w:highlight w:val="none"/>
        </w:rPr>
        <w:t>（1）不具备招标文件中规定的资格要求的；</w:t>
      </w:r>
    </w:p>
    <w:p w14:paraId="6EC35966">
      <w:pPr>
        <w:pStyle w:val="26"/>
        <w:snapToGrid w:val="0"/>
        <w:spacing w:line="360" w:lineRule="auto"/>
        <w:ind w:firstLine="422" w:firstLineChars="200"/>
        <w:rPr>
          <w:rFonts w:hAnsi="宋体"/>
          <w:b/>
          <w:color w:val="auto"/>
          <w:sz w:val="21"/>
          <w:highlight w:val="none"/>
        </w:rPr>
      </w:pPr>
      <w:r>
        <w:rPr>
          <w:rFonts w:hint="eastAsia" w:hAnsi="宋体"/>
          <w:b/>
          <w:color w:val="auto"/>
          <w:sz w:val="21"/>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14:paraId="4D5C6700">
      <w:pPr>
        <w:pStyle w:val="26"/>
        <w:snapToGrid w:val="0"/>
        <w:spacing w:line="360" w:lineRule="auto"/>
        <w:ind w:firstLine="422" w:firstLineChars="200"/>
        <w:rPr>
          <w:rFonts w:hAnsi="宋体"/>
          <w:b/>
          <w:color w:val="auto"/>
          <w:sz w:val="21"/>
          <w:highlight w:val="none"/>
        </w:rPr>
      </w:pPr>
      <w:r>
        <w:rPr>
          <w:rFonts w:hint="eastAsia" w:hAnsi="宋体"/>
          <w:b/>
          <w:color w:val="auto"/>
          <w:sz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1696CAED">
      <w:pPr>
        <w:pStyle w:val="26"/>
        <w:snapToGrid w:val="0"/>
        <w:spacing w:line="360" w:lineRule="auto"/>
        <w:ind w:firstLine="422" w:firstLineChars="200"/>
        <w:rPr>
          <w:rFonts w:hAnsi="宋体"/>
          <w:b/>
          <w:color w:val="auto"/>
          <w:sz w:val="21"/>
          <w:highlight w:val="none"/>
        </w:rPr>
      </w:pPr>
      <w:r>
        <w:rPr>
          <w:rFonts w:hint="eastAsia" w:hAnsi="宋体"/>
          <w:b/>
          <w:color w:val="auto"/>
          <w:sz w:val="21"/>
          <w:highlight w:val="none"/>
        </w:rPr>
        <w:t>（4）投标文件中的资格证明文件缺少任一项“投标人须知前附表”资格证明文件规定“必须提供”的文件资料的；</w:t>
      </w:r>
    </w:p>
    <w:p w14:paraId="60749055">
      <w:pPr>
        <w:pStyle w:val="26"/>
        <w:snapToGrid w:val="0"/>
        <w:spacing w:line="360" w:lineRule="auto"/>
        <w:ind w:firstLine="422" w:firstLineChars="200"/>
        <w:rPr>
          <w:rFonts w:hAnsi="宋体"/>
          <w:b/>
          <w:color w:val="auto"/>
          <w:sz w:val="21"/>
          <w:highlight w:val="none"/>
        </w:rPr>
      </w:pPr>
      <w:r>
        <w:rPr>
          <w:rFonts w:hint="eastAsia" w:hAnsi="宋体"/>
          <w:b/>
          <w:color w:val="auto"/>
          <w:sz w:val="21"/>
          <w:highlight w:val="none"/>
        </w:rPr>
        <w:t>（5）投标文件中的资格证明文件出现任一项不符合“投标人须知前附表”资格证明文件规定“必须提供”的文件资料要求或者无效的。</w:t>
      </w:r>
    </w:p>
    <w:p w14:paraId="64F902E8">
      <w:pPr>
        <w:pStyle w:val="8"/>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color w:val="auto"/>
          <w:sz w:val="21"/>
          <w:szCs w:val="21"/>
          <w:highlight w:val="none"/>
        </w:rPr>
        <w:t>25.4</w:t>
      </w:r>
      <w:r>
        <w:rPr>
          <w:rFonts w:ascii="宋体" w:hAnsi="宋体"/>
          <w:color w:val="auto"/>
          <w:sz w:val="21"/>
          <w:szCs w:val="21"/>
          <w:highlight w:val="none"/>
        </w:rPr>
        <w:t>合格投标人不足3家的，不得评标。</w:t>
      </w:r>
    </w:p>
    <w:p w14:paraId="3578B9B6">
      <w:pPr>
        <w:pStyle w:val="26"/>
        <w:snapToGrid w:val="0"/>
        <w:spacing w:line="360" w:lineRule="auto"/>
        <w:ind w:left="689" w:leftChars="228" w:hanging="210" w:hangingChars="100"/>
        <w:rPr>
          <w:rFonts w:hAnsi="宋体"/>
          <w:color w:val="auto"/>
          <w:sz w:val="21"/>
          <w:highlight w:val="none"/>
        </w:rPr>
      </w:pPr>
    </w:p>
    <w:p w14:paraId="47BF7A2E">
      <w:pPr>
        <w:pStyle w:val="7"/>
        <w:keepNext w:val="0"/>
        <w:keepLines w:val="0"/>
        <w:jc w:val="center"/>
        <w:rPr>
          <w:color w:val="auto"/>
          <w:highlight w:val="none"/>
        </w:rPr>
      </w:pPr>
      <w:r>
        <w:rPr>
          <w:rFonts w:hint="eastAsia"/>
          <w:color w:val="auto"/>
          <w:highlight w:val="none"/>
        </w:rPr>
        <w:t>六、评   标</w:t>
      </w:r>
    </w:p>
    <w:p w14:paraId="7A5E8766">
      <w:pPr>
        <w:pStyle w:val="8"/>
        <w:keepNext w:val="0"/>
        <w:keepLines w:val="0"/>
        <w:spacing w:before="0" w:after="0" w:line="360" w:lineRule="auto"/>
        <w:ind w:left="420" w:leftChars="200"/>
        <w:rPr>
          <w:rFonts w:ascii="黑体" w:hAnsi="黑体" w:eastAsia="黑体"/>
          <w:color w:val="auto"/>
          <w:sz w:val="24"/>
          <w:highlight w:val="none"/>
        </w:rPr>
      </w:pPr>
      <w:bookmarkStart w:id="141" w:name="_26.组建评标委员会"/>
      <w:bookmarkEnd w:id="141"/>
      <w:r>
        <w:rPr>
          <w:rFonts w:hint="eastAsia" w:ascii="黑体" w:hAnsi="黑体" w:eastAsia="黑体"/>
          <w:color w:val="auto"/>
          <w:sz w:val="24"/>
          <w:highlight w:val="none"/>
        </w:rPr>
        <w:t>26.组建评标委员会</w:t>
      </w:r>
    </w:p>
    <w:p w14:paraId="22320E57">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26.1评标委员会由采购人代表和评审专家组成，具体人数详见“投标人须知前附表”，其中评审专家不得少于成员总数的三分之二。</w:t>
      </w:r>
    </w:p>
    <w:p w14:paraId="6969CBF4">
      <w:pPr>
        <w:pStyle w:val="26"/>
        <w:snapToGrid w:val="0"/>
        <w:spacing w:line="360" w:lineRule="auto"/>
        <w:ind w:left="2" w:leftChars="1" w:firstLine="420" w:firstLineChars="200"/>
        <w:rPr>
          <w:rFonts w:hAnsi="宋体"/>
          <w:color w:val="auto"/>
          <w:sz w:val="21"/>
          <w:highlight w:val="none"/>
        </w:rPr>
      </w:pPr>
      <w:r>
        <w:rPr>
          <w:rFonts w:hint="eastAsia" w:hAnsi="宋体"/>
          <w:color w:val="auto"/>
          <w:sz w:val="21"/>
          <w:highlight w:val="none"/>
        </w:rPr>
        <w:t>26.2参加过采购项目前期咨询论证的专家，不得参加该采购项目的评审活动。</w:t>
      </w:r>
    </w:p>
    <w:p w14:paraId="7E932327">
      <w:pPr>
        <w:pStyle w:val="26"/>
        <w:snapToGrid w:val="0"/>
        <w:spacing w:line="360" w:lineRule="auto"/>
        <w:ind w:left="2" w:leftChars="1" w:firstLine="420" w:firstLineChars="200"/>
        <w:rPr>
          <w:rFonts w:hAnsi="宋体"/>
          <w:color w:val="auto"/>
          <w:sz w:val="21"/>
          <w:highlight w:val="none"/>
        </w:rPr>
      </w:pPr>
      <w:r>
        <w:rPr>
          <w:rFonts w:hint="eastAsia" w:hAnsi="宋体"/>
          <w:color w:val="auto"/>
          <w:sz w:val="21"/>
          <w:highlight w:val="none"/>
        </w:rPr>
        <w:t>26.3</w:t>
      </w:r>
      <w:r>
        <w:rPr>
          <w:rFonts w:hint="eastAsia" w:hAnsi="宋体"/>
          <w:bCs/>
          <w:color w:val="auto"/>
          <w:sz w:val="21"/>
          <w:highlight w:val="none"/>
        </w:rPr>
        <w:t>采购代理机构应当基于广西政府采购云平台抽（选）取评审专家。</w:t>
      </w:r>
    </w:p>
    <w:p w14:paraId="1B0D32F2">
      <w:pPr>
        <w:pStyle w:val="8"/>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27.评标的依据</w:t>
      </w:r>
    </w:p>
    <w:p w14:paraId="719AE304">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评标委员会以</w:t>
      </w:r>
      <w:r>
        <w:rPr>
          <w:rFonts w:hint="eastAsia" w:hAnsi="宋体" w:cs="宋体"/>
          <w:color w:val="auto"/>
          <w:sz w:val="21"/>
          <w:highlight w:val="none"/>
        </w:rPr>
        <w:t>“第四章 评标方法和评标标准”</w:t>
      </w:r>
      <w:r>
        <w:rPr>
          <w:rFonts w:hint="eastAsia" w:hAnsi="宋体"/>
          <w:color w:val="auto"/>
          <w:sz w:val="21"/>
          <w:highlight w:val="none"/>
        </w:rPr>
        <w:t>为依据对投标文件进行评审，</w:t>
      </w:r>
      <w:r>
        <w:rPr>
          <w:rFonts w:hAnsi="宋体"/>
          <w:color w:val="auto"/>
          <w:sz w:val="21"/>
          <w:highlight w:val="none"/>
        </w:rPr>
        <w:t>没有规定的方法、评审因素和标准，不作为评标依据。</w:t>
      </w:r>
    </w:p>
    <w:p w14:paraId="40640EC7">
      <w:pPr>
        <w:pStyle w:val="8"/>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28.评标原则</w:t>
      </w:r>
    </w:p>
    <w:p w14:paraId="21E68B4F">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02E2D5F4">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28.2</w:t>
      </w:r>
      <w:bookmarkStart w:id="142" w:name="_28.3评标方法。本项目将按须知前附表规定的评标办法进行评标，具体评标"/>
      <w:bookmarkEnd w:id="142"/>
      <w:r>
        <w:rPr>
          <w:rFonts w:hint="eastAsia" w:hAnsi="宋体"/>
          <w:color w:val="auto"/>
          <w:sz w:val="21"/>
          <w:highlight w:val="none"/>
        </w:rPr>
        <w:t>评委表决。评标委员会成员对需要共同认定的事项存在争议的，应当按照少数服从多数的原则作出结论。</w:t>
      </w:r>
    </w:p>
    <w:p w14:paraId="18DEF3BC">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28.</w:t>
      </w:r>
      <w:r>
        <w:rPr>
          <w:rFonts w:hAnsi="宋体"/>
          <w:color w:val="auto"/>
          <w:sz w:val="21"/>
          <w:highlight w:val="none"/>
        </w:rPr>
        <w:t>3</w:t>
      </w:r>
      <w:r>
        <w:rPr>
          <w:rFonts w:hint="eastAsia" w:hAnsi="宋体"/>
          <w:color w:val="auto"/>
          <w:sz w:val="21"/>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3A17CD99">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8.4</w:t>
      </w:r>
      <w:r>
        <w:rPr>
          <w:rFonts w:hint="eastAsia" w:hAnsi="宋体"/>
          <w:color w:val="auto"/>
          <w:sz w:val="21"/>
          <w:highlight w:val="none"/>
        </w:rPr>
        <w:t>评标过程的监控。本项目电子评标过程实行网上留痕、全程录音、录像监控，</w:t>
      </w:r>
      <w:r>
        <w:rPr>
          <w:rFonts w:hint="eastAsia" w:hAnsi="宋体"/>
          <w:b/>
          <w:color w:val="auto"/>
          <w:sz w:val="21"/>
          <w:highlight w:val="none"/>
        </w:rPr>
        <w:t>投标人在评标过程中所进行的试图影响评标结果的不公正活动，可能导致其投标按无效处理。</w:t>
      </w:r>
    </w:p>
    <w:p w14:paraId="2E9BA361">
      <w:pPr>
        <w:pStyle w:val="8"/>
        <w:keepNext w:val="0"/>
        <w:keepLines w:val="0"/>
        <w:spacing w:before="0" w:after="0" w:line="360" w:lineRule="auto"/>
        <w:ind w:left="420" w:leftChars="200"/>
        <w:rPr>
          <w:rFonts w:ascii="黑体" w:hAnsi="黑体" w:eastAsia="黑体"/>
          <w:color w:val="auto"/>
          <w:sz w:val="21"/>
          <w:szCs w:val="21"/>
          <w:highlight w:val="none"/>
        </w:rPr>
      </w:pPr>
      <w:r>
        <w:rPr>
          <w:rFonts w:hint="eastAsia" w:ascii="黑体" w:hAnsi="黑体" w:eastAsia="黑体"/>
          <w:color w:val="auto"/>
          <w:sz w:val="21"/>
          <w:szCs w:val="21"/>
          <w:highlight w:val="none"/>
        </w:rPr>
        <w:t>29.评标方法及中标候选人推荐</w:t>
      </w:r>
    </w:p>
    <w:p w14:paraId="4DEA056A">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9.1</w:t>
      </w:r>
      <w:r>
        <w:rPr>
          <w:rFonts w:hint="eastAsia" w:hAnsi="宋体"/>
          <w:color w:val="auto"/>
          <w:sz w:val="21"/>
          <w:highlight w:val="none"/>
        </w:rPr>
        <w:t>本项目的评标方法详见“投标人须知前附表”。</w:t>
      </w:r>
    </w:p>
    <w:p w14:paraId="0DC2F8B7">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9.2</w:t>
      </w:r>
      <w:r>
        <w:rPr>
          <w:rFonts w:hAnsi="宋体" w:cs="宋体"/>
          <w:color w:val="auto"/>
          <w:sz w:val="21"/>
          <w:highlight w:val="none"/>
        </w:rPr>
        <w:t xml:space="preserve"> </w:t>
      </w:r>
      <w:r>
        <w:rPr>
          <w:rFonts w:hint="eastAsia" w:hAnsi="宋体" w:cs="宋体"/>
          <w:color w:val="auto"/>
          <w:sz w:val="21"/>
          <w:highlight w:val="none"/>
        </w:rPr>
        <w:t>商务/技术要求</w:t>
      </w:r>
      <w:r>
        <w:rPr>
          <w:rFonts w:hint="eastAsia" w:hAnsi="宋体"/>
          <w:color w:val="auto"/>
          <w:sz w:val="21"/>
          <w:highlight w:val="none"/>
        </w:rPr>
        <w:t>允许负偏离的条款数</w:t>
      </w:r>
      <w:r>
        <w:rPr>
          <w:rFonts w:hAnsi="宋体"/>
          <w:color w:val="auto"/>
          <w:sz w:val="21"/>
          <w:highlight w:val="none"/>
        </w:rPr>
        <w:t>详见</w:t>
      </w:r>
      <w:r>
        <w:rPr>
          <w:rFonts w:hint="eastAsia" w:hAnsi="宋体"/>
          <w:color w:val="auto"/>
          <w:sz w:val="21"/>
          <w:highlight w:val="none"/>
        </w:rPr>
        <w:t>“投标人须知前附表”。</w:t>
      </w:r>
    </w:p>
    <w:p w14:paraId="00DE4F4D">
      <w:pPr>
        <w:pStyle w:val="26"/>
        <w:snapToGrid w:val="0"/>
        <w:spacing w:line="360" w:lineRule="auto"/>
        <w:ind w:firstLine="420" w:firstLineChars="200"/>
        <w:rPr>
          <w:rFonts w:hAnsi="宋体" w:cs="宋体"/>
          <w:color w:val="auto"/>
          <w:sz w:val="21"/>
          <w:highlight w:val="none"/>
        </w:rPr>
      </w:pPr>
      <w:r>
        <w:rPr>
          <w:rFonts w:hint="eastAsia" w:hAnsi="宋体"/>
          <w:color w:val="auto"/>
          <w:sz w:val="21"/>
          <w:highlight w:val="none"/>
        </w:rPr>
        <w:t>2</w:t>
      </w:r>
      <w:r>
        <w:rPr>
          <w:rFonts w:hAnsi="宋体"/>
          <w:color w:val="auto"/>
          <w:sz w:val="21"/>
          <w:highlight w:val="none"/>
        </w:rPr>
        <w:t>9.3</w:t>
      </w:r>
      <w:r>
        <w:rPr>
          <w:rFonts w:hAnsi="宋体" w:cs="宋体"/>
          <w:color w:val="auto"/>
          <w:sz w:val="21"/>
          <w:highlight w:val="none"/>
        </w:rPr>
        <w:t xml:space="preserve"> </w:t>
      </w:r>
      <w:r>
        <w:rPr>
          <w:rFonts w:hAnsi="宋体"/>
          <w:color w:val="auto"/>
          <w:sz w:val="21"/>
          <w:highlight w:val="none"/>
        </w:rPr>
        <w:t>中标候选人推荐数量详见</w:t>
      </w:r>
      <w:r>
        <w:rPr>
          <w:rFonts w:hint="eastAsia" w:hAnsi="宋体"/>
          <w:color w:val="auto"/>
          <w:sz w:val="21"/>
          <w:highlight w:val="none"/>
        </w:rPr>
        <w:t>“投标人须知前附表”。</w:t>
      </w:r>
    </w:p>
    <w:p w14:paraId="07A9D5E9">
      <w:pPr>
        <w:spacing w:line="360" w:lineRule="auto"/>
        <w:ind w:firstLine="420" w:firstLineChars="200"/>
        <w:rPr>
          <w:rFonts w:hAnsi="宋体"/>
          <w:color w:val="auto"/>
          <w:szCs w:val="21"/>
          <w:highlight w:val="none"/>
        </w:rPr>
      </w:pPr>
      <w:r>
        <w:rPr>
          <w:rFonts w:hint="eastAsia" w:hAnsi="宋体"/>
          <w:color w:val="auto"/>
          <w:szCs w:val="21"/>
          <w:highlight w:val="none"/>
        </w:rPr>
        <w:t>29.</w:t>
      </w:r>
      <w:r>
        <w:rPr>
          <w:rFonts w:hAnsi="宋体"/>
          <w:color w:val="auto"/>
          <w:szCs w:val="21"/>
          <w:highlight w:val="none"/>
        </w:rPr>
        <w:t>4</w:t>
      </w:r>
      <w:r>
        <w:rPr>
          <w:rFonts w:hint="eastAsia" w:hAnsi="宋体"/>
          <w:color w:val="auto"/>
          <w:szCs w:val="21"/>
          <w:highlight w:val="none"/>
        </w:rPr>
        <w:t xml:space="preserve"> 电子交易活动的中止。采购过程中出现以下情形，导致电子交易平台无法正常运行，或者无法保证电子交易的公平、公正和安全时，采购代理机构可以中止电子交易活动：</w:t>
      </w:r>
    </w:p>
    <w:p w14:paraId="160E17B5">
      <w:pPr>
        <w:spacing w:line="360" w:lineRule="auto"/>
        <w:ind w:firstLine="420" w:firstLineChars="200"/>
        <w:rPr>
          <w:rFonts w:hAnsi="宋体"/>
          <w:color w:val="auto"/>
          <w:szCs w:val="21"/>
          <w:highlight w:val="none"/>
        </w:rPr>
      </w:pPr>
      <w:r>
        <w:rPr>
          <w:rFonts w:hint="eastAsia" w:hAnsi="宋体"/>
          <w:color w:val="auto"/>
          <w:szCs w:val="21"/>
          <w:highlight w:val="none"/>
        </w:rPr>
        <w:t xml:space="preserve">（1）电子交易平台发生故障而无法登录访问的； </w:t>
      </w:r>
    </w:p>
    <w:p w14:paraId="732EB44A">
      <w:pPr>
        <w:spacing w:line="360" w:lineRule="auto"/>
        <w:ind w:firstLine="420" w:firstLineChars="200"/>
        <w:rPr>
          <w:rFonts w:hAnsi="宋体"/>
          <w:color w:val="auto"/>
          <w:szCs w:val="21"/>
          <w:highlight w:val="none"/>
        </w:rPr>
      </w:pPr>
      <w:r>
        <w:rPr>
          <w:rFonts w:hint="eastAsia" w:hAnsi="宋体"/>
          <w:color w:val="auto"/>
          <w:szCs w:val="21"/>
          <w:highlight w:val="none"/>
        </w:rPr>
        <w:t>（2）电子交易平台应用或数据库出现错误，不能进行正常操作的；</w:t>
      </w:r>
    </w:p>
    <w:p w14:paraId="635919D9">
      <w:pPr>
        <w:spacing w:line="360" w:lineRule="auto"/>
        <w:ind w:firstLine="420" w:firstLineChars="200"/>
        <w:rPr>
          <w:rFonts w:hAnsi="宋体"/>
          <w:color w:val="auto"/>
          <w:szCs w:val="21"/>
          <w:highlight w:val="none"/>
        </w:rPr>
      </w:pPr>
      <w:r>
        <w:rPr>
          <w:rFonts w:hint="eastAsia" w:hAnsi="宋体"/>
          <w:color w:val="auto"/>
          <w:szCs w:val="21"/>
          <w:highlight w:val="none"/>
        </w:rPr>
        <w:t>（3）电子交易平台发现严重安全漏洞，有潜在泄密危险的；</w:t>
      </w:r>
    </w:p>
    <w:p w14:paraId="7514EB08">
      <w:pPr>
        <w:spacing w:line="360" w:lineRule="auto"/>
        <w:ind w:firstLine="420" w:firstLineChars="200"/>
        <w:rPr>
          <w:rFonts w:hAnsi="宋体"/>
          <w:color w:val="auto"/>
          <w:szCs w:val="21"/>
          <w:highlight w:val="none"/>
        </w:rPr>
      </w:pPr>
      <w:r>
        <w:rPr>
          <w:rFonts w:hint="eastAsia" w:hAnsi="宋体"/>
          <w:color w:val="auto"/>
          <w:szCs w:val="21"/>
          <w:highlight w:val="none"/>
        </w:rPr>
        <w:t xml:space="preserve">（4）病毒发作导致不能进行正常操作的； </w:t>
      </w:r>
    </w:p>
    <w:p w14:paraId="05EA7B0B">
      <w:pPr>
        <w:spacing w:line="360" w:lineRule="auto"/>
        <w:ind w:firstLine="420" w:firstLineChars="200"/>
        <w:rPr>
          <w:rFonts w:hAnsi="宋体"/>
          <w:color w:val="auto"/>
          <w:szCs w:val="21"/>
          <w:highlight w:val="none"/>
        </w:rPr>
      </w:pPr>
      <w:r>
        <w:rPr>
          <w:rFonts w:hint="eastAsia" w:hAnsi="宋体"/>
          <w:color w:val="auto"/>
          <w:szCs w:val="21"/>
          <w:highlight w:val="none"/>
        </w:rPr>
        <w:t>（5）其他无法保证电子交易的公平、公正和安全的情况。</w:t>
      </w:r>
    </w:p>
    <w:p w14:paraId="42B0D83D">
      <w:pPr>
        <w:spacing w:line="360" w:lineRule="auto"/>
        <w:ind w:firstLine="420" w:firstLineChars="200"/>
        <w:rPr>
          <w:rFonts w:hAnsi="宋体"/>
          <w:color w:val="auto"/>
          <w:szCs w:val="21"/>
          <w:highlight w:val="none"/>
        </w:rPr>
      </w:pPr>
      <w:r>
        <w:rPr>
          <w:rFonts w:hint="eastAsia" w:hAnsi="宋体"/>
          <w:color w:val="auto"/>
          <w:szCs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7B4AC001">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29.5出现下列情形之一的，应予废标：</w:t>
      </w:r>
    </w:p>
    <w:p w14:paraId="70AF7076">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（1）符合专业条件的供应商或者对招标文件作实质响应的供应商不足三家的；</w:t>
      </w:r>
    </w:p>
    <w:p w14:paraId="31F15658">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（2）出现影响采购公正的违法、违规行为的；</w:t>
      </w:r>
    </w:p>
    <w:p w14:paraId="019EF455">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（3）投标人的报价均超过了采购预算，采购人不能支付的；</w:t>
      </w:r>
    </w:p>
    <w:p w14:paraId="2E0C3CD4">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（4）因重大变故，采购任务取消的。</w:t>
      </w:r>
    </w:p>
    <w:p w14:paraId="392FB6F9">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废标后，采购人应当将废标理由通知所有投标人。</w:t>
      </w:r>
    </w:p>
    <w:p w14:paraId="572C2DDB">
      <w:pPr>
        <w:pStyle w:val="26"/>
        <w:snapToGrid w:val="0"/>
        <w:spacing w:line="360" w:lineRule="auto"/>
        <w:rPr>
          <w:rFonts w:hAnsi="宋体"/>
          <w:color w:val="auto"/>
          <w:sz w:val="21"/>
          <w:highlight w:val="none"/>
        </w:rPr>
      </w:pPr>
    </w:p>
    <w:p w14:paraId="3D7DD3C2">
      <w:pPr>
        <w:pStyle w:val="7"/>
        <w:keepNext w:val="0"/>
        <w:keepLines w:val="0"/>
        <w:jc w:val="center"/>
        <w:rPr>
          <w:color w:val="auto"/>
          <w:highlight w:val="none"/>
        </w:rPr>
      </w:pPr>
      <w:bookmarkStart w:id="143" w:name="_Toc254970546"/>
      <w:bookmarkStart w:id="144" w:name="_Toc254970687"/>
      <w:r>
        <w:rPr>
          <w:rFonts w:hint="eastAsia"/>
          <w:color w:val="auto"/>
          <w:highlight w:val="none"/>
        </w:rPr>
        <w:t>七、</w:t>
      </w:r>
      <w:bookmarkEnd w:id="143"/>
      <w:bookmarkEnd w:id="144"/>
      <w:r>
        <w:rPr>
          <w:rFonts w:hint="eastAsia"/>
          <w:color w:val="auto"/>
          <w:highlight w:val="none"/>
        </w:rPr>
        <w:t>中标和合同</w:t>
      </w:r>
    </w:p>
    <w:p w14:paraId="0FBEE323">
      <w:pPr>
        <w:pStyle w:val="8"/>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30</w:t>
      </w:r>
      <w:r>
        <w:rPr>
          <w:rFonts w:ascii="黑体" w:hAnsi="黑体" w:eastAsia="黑体"/>
          <w:color w:val="auto"/>
          <w:sz w:val="24"/>
          <w:highlight w:val="none"/>
        </w:rPr>
        <w:t xml:space="preserve"> </w:t>
      </w:r>
      <w:r>
        <w:rPr>
          <w:rFonts w:hint="eastAsia" w:ascii="黑体" w:hAnsi="黑体" w:eastAsia="黑体"/>
          <w:color w:val="auto"/>
          <w:sz w:val="24"/>
          <w:highlight w:val="none"/>
        </w:rPr>
        <w:t>.确定中标人</w:t>
      </w:r>
    </w:p>
    <w:p w14:paraId="2A29C5AB">
      <w:pPr>
        <w:pStyle w:val="8"/>
        <w:keepNext w:val="0"/>
        <w:keepLines w:val="0"/>
        <w:spacing w:before="0" w:after="0" w:line="360" w:lineRule="auto"/>
        <w:ind w:firstLine="420" w:firstLineChars="200"/>
        <w:rPr>
          <w:rFonts w:ascii="宋体" w:hAnsi="宋体"/>
          <w:b w:val="0"/>
          <w:color w:val="auto"/>
          <w:sz w:val="21"/>
          <w:szCs w:val="21"/>
          <w:highlight w:val="none"/>
        </w:rPr>
      </w:pPr>
      <w:r>
        <w:rPr>
          <w:rFonts w:ascii="宋体" w:hAnsi="宋体"/>
          <w:b w:val="0"/>
          <w:color w:val="auto"/>
          <w:sz w:val="21"/>
          <w:szCs w:val="21"/>
          <w:highlight w:val="none"/>
        </w:rPr>
        <w:t>30.1</w:t>
      </w:r>
      <w:r>
        <w:rPr>
          <w:rFonts w:hint="eastAsia" w:ascii="宋体" w:hAnsi="宋体"/>
          <w:b w:val="0"/>
          <w:color w:val="auto"/>
          <w:sz w:val="21"/>
          <w:szCs w:val="21"/>
          <w:highlight w:val="none"/>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2428693C">
      <w:pPr>
        <w:snapToGrid w:val="0"/>
        <w:spacing w:line="360" w:lineRule="auto"/>
        <w:ind w:firstLine="420" w:firstLineChars="200"/>
        <w:rPr>
          <w:rFonts w:ascii="宋体" w:hAnsi="宋体" w:cs="Courier New"/>
          <w:color w:val="auto"/>
          <w:szCs w:val="21"/>
          <w:highlight w:val="none"/>
        </w:rPr>
      </w:pPr>
      <w:r>
        <w:rPr>
          <w:rFonts w:ascii="宋体" w:hAnsi="宋体" w:cs="Courier New"/>
          <w:color w:val="auto"/>
          <w:szCs w:val="21"/>
          <w:highlight w:val="none"/>
        </w:rPr>
        <w:t>30.2</w:t>
      </w:r>
      <w:r>
        <w:rPr>
          <w:rFonts w:hint="eastAsia" w:ascii="宋体" w:hAnsi="宋体" w:cs="Courier New"/>
          <w:color w:val="auto"/>
          <w:szCs w:val="21"/>
          <w:highlight w:val="none"/>
        </w:rPr>
        <w:t>采购人在收到评标报告5个工作日内未按评标报告推荐的中标候选人顺序确定中标人，又不能说明合法理由的，视同按评标报告推荐的顺序确定排名第一的中标候选人为中标人。</w:t>
      </w:r>
    </w:p>
    <w:p w14:paraId="19A30699">
      <w:pPr>
        <w:pStyle w:val="8"/>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31. 结果公告</w:t>
      </w:r>
    </w:p>
    <w:p w14:paraId="138B25E6">
      <w:pPr>
        <w:pStyle w:val="8"/>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1.1</w:t>
      </w:r>
      <w:r>
        <w:rPr>
          <w:rFonts w:hint="eastAsia" w:ascii="宋体" w:hAnsi="宋体"/>
          <w:b w:val="0"/>
          <w:color w:val="auto"/>
          <w:sz w:val="21"/>
          <w:szCs w:val="21"/>
          <w:highlight w:val="none"/>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3B9DA9F6">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以上信息查询记录及相关证据与招标文件一并保存。</w:t>
      </w:r>
    </w:p>
    <w:p w14:paraId="11E69F40">
      <w:pPr>
        <w:pStyle w:val="8"/>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2DE758F1">
      <w:pPr>
        <w:pStyle w:val="8"/>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32.发出中标通知书</w:t>
      </w:r>
    </w:p>
    <w:p w14:paraId="3309C4FB">
      <w:pPr>
        <w:pStyle w:val="8"/>
        <w:keepNext w:val="0"/>
        <w:keepLines w:val="0"/>
        <w:spacing w:before="0" w:after="0" w:line="360" w:lineRule="auto"/>
        <w:rPr>
          <w:rFonts w:ascii="宋体" w:hAnsi="宋体"/>
          <w:b w:val="0"/>
          <w:color w:val="auto"/>
          <w:sz w:val="21"/>
          <w:szCs w:val="21"/>
          <w:highlight w:val="none"/>
        </w:rPr>
      </w:pPr>
      <w:r>
        <w:rPr>
          <w:rFonts w:hint="eastAsia" w:ascii="宋体" w:hAnsi="宋体"/>
          <w:b w:val="0"/>
          <w:color w:val="auto"/>
          <w:sz w:val="21"/>
          <w:szCs w:val="21"/>
          <w:highlight w:val="none"/>
        </w:rPr>
        <w:t xml:space="preserve"> </w:t>
      </w:r>
      <w:r>
        <w:rPr>
          <w:rFonts w:ascii="宋体" w:hAnsi="宋体"/>
          <w:b w:val="0"/>
          <w:color w:val="auto"/>
          <w:sz w:val="21"/>
          <w:szCs w:val="21"/>
          <w:highlight w:val="none"/>
        </w:rPr>
        <w:t xml:space="preserve">   </w:t>
      </w:r>
      <w:r>
        <w:rPr>
          <w:rFonts w:hint="eastAsia" w:ascii="宋体" w:hAnsi="宋体"/>
          <w:b w:val="0"/>
          <w:color w:val="auto"/>
          <w:sz w:val="21"/>
          <w:szCs w:val="21"/>
          <w:highlight w:val="none"/>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41F3AE52">
      <w:pPr>
        <w:pStyle w:val="8"/>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33. 无义务解释未中标原因</w:t>
      </w:r>
    </w:p>
    <w:p w14:paraId="43D97002">
      <w:pPr>
        <w:pStyle w:val="8"/>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采购代理机构无义务向未中标的投标人解释未中标原因。</w:t>
      </w:r>
    </w:p>
    <w:p w14:paraId="47040712">
      <w:pPr>
        <w:pStyle w:val="8"/>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34.合同授予标准</w:t>
      </w:r>
    </w:p>
    <w:p w14:paraId="01889198">
      <w:pPr>
        <w:snapToGrid w:val="0"/>
        <w:spacing w:line="360" w:lineRule="auto"/>
        <w:ind w:firstLine="420" w:firstLineChars="200"/>
        <w:rPr>
          <w:rFonts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w:t>
      </w:r>
    </w:p>
    <w:p w14:paraId="749A3602">
      <w:pPr>
        <w:pStyle w:val="8"/>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35.履约保证金</w:t>
      </w:r>
    </w:p>
    <w:p w14:paraId="2AF3508C">
      <w:pPr>
        <w:pStyle w:val="8"/>
        <w:keepNext w:val="0"/>
        <w:keepLines w:val="0"/>
        <w:spacing w:before="0" w:after="0" w:line="360" w:lineRule="auto"/>
        <w:ind w:firstLine="315" w:firstLineChars="150"/>
        <w:rPr>
          <w:rFonts w:ascii="宋体" w:hAnsi="宋体"/>
          <w:b w:val="0"/>
          <w:color w:val="auto"/>
          <w:sz w:val="21"/>
          <w:szCs w:val="21"/>
          <w:highlight w:val="none"/>
        </w:rPr>
      </w:pPr>
      <w:bookmarkStart w:id="145" w:name="_39.1中标人须于签订合同前按本须知前附表规定的金额转账或电汇到指定账"/>
      <w:bookmarkEnd w:id="145"/>
      <w:r>
        <w:rPr>
          <w:rFonts w:ascii="宋体" w:hAnsi="宋体"/>
          <w:b w:val="0"/>
          <w:color w:val="auto"/>
          <w:sz w:val="21"/>
          <w:szCs w:val="21"/>
          <w:highlight w:val="none"/>
        </w:rPr>
        <w:t xml:space="preserve"> </w:t>
      </w:r>
      <w:r>
        <w:rPr>
          <w:rFonts w:hint="eastAsia" w:ascii="宋体" w:hAnsi="宋体"/>
          <w:b w:val="0"/>
          <w:color w:val="auto"/>
          <w:sz w:val="21"/>
          <w:szCs w:val="21"/>
          <w:highlight w:val="none"/>
        </w:rPr>
        <w:t>3</w:t>
      </w:r>
      <w:r>
        <w:rPr>
          <w:rFonts w:ascii="宋体" w:hAnsi="宋体"/>
          <w:b w:val="0"/>
          <w:color w:val="auto"/>
          <w:sz w:val="21"/>
          <w:szCs w:val="21"/>
          <w:highlight w:val="none"/>
        </w:rPr>
        <w:t>5</w:t>
      </w:r>
      <w:r>
        <w:rPr>
          <w:rFonts w:hint="eastAsia" w:ascii="宋体" w:hAnsi="宋体"/>
          <w:b w:val="0"/>
          <w:color w:val="auto"/>
          <w:sz w:val="21"/>
          <w:szCs w:val="21"/>
          <w:highlight w:val="none"/>
        </w:rPr>
        <w:t>.1 履约保证金的金额、提交方式、缴纳期限、退付的时间和条件详见 “投标人须知前附表”。中标人未按规定提交履约保证金的，视为拒绝与采购人签订合同。</w:t>
      </w:r>
    </w:p>
    <w:p w14:paraId="23FF7518">
      <w:pPr>
        <w:pStyle w:val="8"/>
        <w:keepNext w:val="0"/>
        <w:keepLines w:val="0"/>
        <w:spacing w:before="0" w:after="0" w:line="360" w:lineRule="auto"/>
        <w:ind w:firstLine="316" w:firstLineChars="150"/>
        <w:rPr>
          <w:rFonts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b w:val="0"/>
          <w:bCs/>
          <w:color w:val="auto"/>
          <w:sz w:val="21"/>
          <w:szCs w:val="21"/>
          <w:highlight w:val="none"/>
        </w:rPr>
        <w:t>35.2在履约保证金退还日期前，若中标人的开户名称、开户银行、账号有变动的，请以书面形式通知履约保证金收取单位，否则由此产生的后果由中标人自行承担。</w:t>
      </w:r>
    </w:p>
    <w:p w14:paraId="3AF82666">
      <w:pPr>
        <w:pStyle w:val="8"/>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36.签订合同</w:t>
      </w:r>
    </w:p>
    <w:p w14:paraId="6B99A336">
      <w:pPr>
        <w:pStyle w:val="8"/>
        <w:keepNext w:val="0"/>
        <w:keepLines w:val="0"/>
        <w:spacing w:before="0" w:after="0" w:line="360" w:lineRule="auto"/>
        <w:ind w:firstLine="315" w:firstLineChars="150"/>
        <w:rPr>
          <w:rFonts w:ascii="宋体" w:hAnsi="宋体"/>
          <w:b w:val="0"/>
          <w:color w:val="auto"/>
          <w:sz w:val="21"/>
          <w:szCs w:val="21"/>
          <w:highlight w:val="none"/>
        </w:rPr>
      </w:pPr>
      <w:bookmarkStart w:id="146" w:name="_40.1投标人接到中标通知书后，按须知前附表规定向采购人出示相关资格证"/>
      <w:bookmarkEnd w:id="146"/>
      <w:r>
        <w:rPr>
          <w:rFonts w:hint="eastAsia" w:ascii="宋体" w:hAnsi="宋体"/>
          <w:b w:val="0"/>
          <w:color w:val="auto"/>
          <w:sz w:val="21"/>
          <w:szCs w:val="21"/>
          <w:highlight w:val="none"/>
        </w:rPr>
        <w:t xml:space="preserve"> </w:t>
      </w:r>
      <w:r>
        <w:rPr>
          <w:rFonts w:hint="eastAsia" w:ascii="宋体" w:hAnsi="宋体"/>
          <w:color w:val="auto"/>
          <w:sz w:val="21"/>
          <w:szCs w:val="21"/>
          <w:highlight w:val="none"/>
        </w:rPr>
        <w:t>36.1签订电子采购合同：中标人领取电子中标通知书后，</w:t>
      </w:r>
      <w:r>
        <w:rPr>
          <w:rFonts w:hint="eastAsia" w:ascii="宋体" w:hAnsi="宋体"/>
          <w:color w:val="auto"/>
          <w:kern w:val="0"/>
          <w:sz w:val="21"/>
          <w:szCs w:val="21"/>
          <w:highlight w:val="none"/>
        </w:rPr>
        <w:t>在</w:t>
      </w:r>
      <w:r>
        <w:rPr>
          <w:rFonts w:hint="eastAsia" w:ascii="宋体" w:hAnsi="宋体"/>
          <w:color w:val="auto"/>
          <w:kern w:val="0"/>
          <w:sz w:val="21"/>
          <w:szCs w:val="21"/>
          <w:highlight w:val="none"/>
          <w:lang w:val="zh-CN"/>
        </w:rPr>
        <w:t>规定的日期、时间、地点，由法定代表人或其授权代表与采购人代表签订电子采购合同。如中标人为联合体的，由联合体成员各方法定代表人或其授权代表与采购人代表签订合同。</w:t>
      </w:r>
    </w:p>
    <w:p w14:paraId="7CE40E51">
      <w:pPr>
        <w:pStyle w:val="8"/>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线下签订纸质合同：投标人领取中标通知书后，按“投标人须知前附表”规定向采购人出示相关证明材料，经采购人核验合格后方可签订合同。</w:t>
      </w:r>
    </w:p>
    <w:p w14:paraId="4546323D">
      <w:pPr>
        <w:pStyle w:val="8"/>
        <w:keepNext w:val="0"/>
        <w:keepLines w:val="0"/>
        <w:numPr>
          <w:ilvl w:val="0"/>
          <w:numId w:val="0"/>
        </w:numPr>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36.2签订合同时间：按中标通知书规定的时间与采购人签订合同。</w:t>
      </w:r>
    </w:p>
    <w:p w14:paraId="172F88D2">
      <w:pPr>
        <w:pStyle w:val="8"/>
        <w:keepNext w:val="0"/>
        <w:keepLines w:val="0"/>
        <w:spacing w:before="0" w:after="0" w:line="360" w:lineRule="auto"/>
        <w:rPr>
          <w:rFonts w:ascii="宋体" w:hAnsi="宋体"/>
          <w:b w:val="0"/>
          <w:color w:val="auto"/>
          <w:sz w:val="21"/>
          <w:szCs w:val="21"/>
          <w:highlight w:val="none"/>
        </w:rPr>
      </w:pPr>
      <w:r>
        <w:rPr>
          <w:rFonts w:hint="eastAsia" w:ascii="宋体" w:hAnsi="宋体"/>
          <w:b w:val="0"/>
          <w:color w:val="auto"/>
          <w:sz w:val="21"/>
          <w:szCs w:val="21"/>
          <w:highlight w:val="none"/>
        </w:rPr>
        <w:t xml:space="preserve">    36.</w:t>
      </w:r>
      <w:r>
        <w:rPr>
          <w:rFonts w:ascii="宋体" w:hAnsi="宋体"/>
          <w:b w:val="0"/>
          <w:color w:val="auto"/>
          <w:sz w:val="21"/>
          <w:szCs w:val="21"/>
          <w:highlight w:val="none"/>
        </w:rPr>
        <w:t>3</w:t>
      </w:r>
      <w:r>
        <w:rPr>
          <w:rFonts w:hint="eastAsia" w:ascii="宋体" w:hAnsi="宋体"/>
          <w:b w:val="0"/>
          <w:color w:val="auto"/>
          <w:sz w:val="21"/>
          <w:szCs w:val="21"/>
          <w:highlight w:val="none"/>
        </w:rPr>
        <w:t>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4B6CCC4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DF5DDE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36.5采购人或中标供应商不得单方面向合同另一方提出任何招标文件没有约定的条件或不合理的要求，作为签订合同的条件；也不得协商另行订立背离招标文件和合同实质性内容的协议。</w:t>
      </w:r>
    </w:p>
    <w:p w14:paraId="3021D8A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36.6</w:t>
      </w:r>
      <w:r>
        <w:rPr>
          <w:rFonts w:hint="eastAsia" w:ascii="宋体" w:hAnsi="宋体" w:cs="仿宋_GB2312"/>
          <w:color w:val="auto"/>
          <w:szCs w:val="21"/>
          <w:highlight w:val="none"/>
        </w:rPr>
        <w:t>如签订合同并生效后，供应商无故拒绝或延期，除按照合同条款处理外，将承担相应的法律责任。</w:t>
      </w:r>
    </w:p>
    <w:p w14:paraId="14CE27D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36.7</w:t>
      </w:r>
      <w:r>
        <w:rPr>
          <w:rFonts w:hint="eastAsia" w:ascii="宋体" w:hAnsi="宋体" w:cs="宋体"/>
          <w:color w:val="auto"/>
          <w:szCs w:val="21"/>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政府采购合同履行中，采购人需追加与合同标的相同的货物、工程或者服务的，在不改变合同其他条款的前提下，可以与供应商协商签订补充合同，但所有补充合同的采购金额不得超过原合同采购金额的10%。</w:t>
      </w:r>
    </w:p>
    <w:p w14:paraId="08B44488">
      <w:pPr>
        <w:pStyle w:val="8"/>
        <w:keepNext w:val="0"/>
        <w:keepLines w:val="0"/>
        <w:spacing w:before="0" w:after="0" w:line="360" w:lineRule="auto"/>
        <w:ind w:left="420" w:leftChars="200"/>
        <w:rPr>
          <w:rFonts w:ascii="黑体" w:hAnsi="黑体" w:eastAsia="黑体"/>
          <w:color w:val="auto"/>
          <w:sz w:val="24"/>
          <w:highlight w:val="none"/>
        </w:rPr>
      </w:pPr>
      <w:bookmarkStart w:id="147" w:name="_41.政府采购合同公告"/>
      <w:bookmarkEnd w:id="147"/>
      <w:r>
        <w:rPr>
          <w:rFonts w:hint="eastAsia" w:ascii="黑体" w:hAnsi="黑体" w:eastAsia="黑体"/>
          <w:color w:val="auto"/>
          <w:sz w:val="24"/>
          <w:highlight w:val="none"/>
        </w:rPr>
        <w:t>37.政府采购合同公告</w:t>
      </w:r>
    </w:p>
    <w:p w14:paraId="06472862">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采购人或者受托采购代理机构应当自政府采购合同签订之日起2个工作日内，将政府采购合同在省级以上人民政府财政部门指定的媒体上公告，</w:t>
      </w:r>
      <w:r>
        <w:rPr>
          <w:rFonts w:hAnsi="宋体"/>
          <w:color w:val="auto"/>
          <w:sz w:val="21"/>
          <w:highlight w:val="none"/>
        </w:rPr>
        <w:t>但政府采购合同中涉及国家秘密、商业秘密的内容除外。</w:t>
      </w:r>
    </w:p>
    <w:p w14:paraId="0B259D1E">
      <w:pPr>
        <w:pStyle w:val="8"/>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w:t>
      </w:r>
      <w:r>
        <w:rPr>
          <w:rFonts w:ascii="黑体" w:hAnsi="黑体" w:eastAsia="黑体"/>
          <w:color w:val="auto"/>
          <w:sz w:val="24"/>
          <w:highlight w:val="none"/>
        </w:rPr>
        <w:t>8.</w:t>
      </w:r>
      <w:r>
        <w:rPr>
          <w:rFonts w:hint="eastAsia" w:ascii="黑体" w:hAnsi="黑体" w:eastAsia="黑体"/>
          <w:color w:val="auto"/>
          <w:sz w:val="24"/>
          <w:highlight w:val="none"/>
        </w:rPr>
        <w:t xml:space="preserve"> 询问、质疑和投诉</w:t>
      </w:r>
    </w:p>
    <w:p w14:paraId="74C530A6">
      <w:pPr>
        <w:pStyle w:val="9"/>
        <w:spacing w:line="360" w:lineRule="auto"/>
        <w:rPr>
          <w:rFonts w:ascii="宋体" w:hAnsi="宋体"/>
          <w:color w:val="auto"/>
          <w:szCs w:val="21"/>
          <w:highlight w:val="none"/>
        </w:rPr>
      </w:pPr>
      <w:r>
        <w:rPr>
          <w:rFonts w:ascii="宋体" w:hAnsi="宋体"/>
          <w:color w:val="auto"/>
          <w:szCs w:val="21"/>
          <w:highlight w:val="none"/>
        </w:rPr>
        <w:t>38.1</w:t>
      </w:r>
      <w:r>
        <w:rPr>
          <w:rFonts w:hint="eastAsia" w:ascii="宋体" w:hAnsi="宋体"/>
          <w:color w:val="auto"/>
          <w:szCs w:val="21"/>
          <w:highlight w:val="none"/>
        </w:rPr>
        <w:t>供应商对政府采购活动事项有疑问的，可以向采购人提出询问，采购人或者采购代理机构应当在3个工作日内对供应商依法提出的询问作出答复，但答复的内容不得涉及商业秘密。</w:t>
      </w:r>
    </w:p>
    <w:p w14:paraId="4E5EFF53">
      <w:pPr>
        <w:pStyle w:val="8"/>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w:t>
      </w: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0DD5AF81">
      <w:pPr>
        <w:pStyle w:val="26"/>
        <w:snapToGrid w:val="0"/>
        <w:spacing w:line="360" w:lineRule="auto"/>
        <w:ind w:firstLine="420" w:firstLineChars="200"/>
        <w:rPr>
          <w:rFonts w:hAnsi="宋体"/>
          <w:color w:val="auto"/>
          <w:sz w:val="21"/>
          <w:highlight w:val="none"/>
        </w:rPr>
      </w:pPr>
      <w:r>
        <w:rPr>
          <w:rFonts w:hAnsi="宋体"/>
          <w:color w:val="auto"/>
          <w:sz w:val="21"/>
          <w:highlight w:val="none"/>
        </w:rPr>
        <w:t>（</w:t>
      </w:r>
      <w:r>
        <w:rPr>
          <w:rFonts w:hint="eastAsia" w:hAnsi="宋体"/>
          <w:color w:val="auto"/>
          <w:sz w:val="21"/>
          <w:highlight w:val="none"/>
        </w:rPr>
        <w:t>1</w:t>
      </w:r>
      <w:r>
        <w:rPr>
          <w:rFonts w:hAnsi="宋体"/>
          <w:color w:val="auto"/>
          <w:sz w:val="21"/>
          <w:highlight w:val="none"/>
        </w:rPr>
        <w:t>）对可以质疑的</w:t>
      </w:r>
      <w:r>
        <w:rPr>
          <w:rFonts w:hint="eastAsia" w:hAnsi="宋体"/>
          <w:color w:val="auto"/>
          <w:sz w:val="21"/>
          <w:highlight w:val="none"/>
        </w:rPr>
        <w:t>招标</w:t>
      </w:r>
      <w:r>
        <w:rPr>
          <w:rFonts w:hAnsi="宋体"/>
          <w:color w:val="auto"/>
          <w:sz w:val="21"/>
          <w:highlight w:val="none"/>
        </w:rPr>
        <w:t>文件提出质疑的，为收到</w:t>
      </w:r>
      <w:r>
        <w:rPr>
          <w:rFonts w:hint="eastAsia" w:hAnsi="宋体"/>
          <w:color w:val="auto"/>
          <w:sz w:val="21"/>
          <w:highlight w:val="none"/>
        </w:rPr>
        <w:t>招标</w:t>
      </w:r>
      <w:r>
        <w:rPr>
          <w:rFonts w:hAnsi="宋体"/>
          <w:color w:val="auto"/>
          <w:sz w:val="21"/>
          <w:highlight w:val="none"/>
        </w:rPr>
        <w:t>文件之日</w:t>
      </w:r>
      <w:r>
        <w:rPr>
          <w:rFonts w:hint="eastAsia" w:hAnsi="宋体"/>
          <w:color w:val="auto"/>
          <w:sz w:val="21"/>
          <w:highlight w:val="none"/>
        </w:rPr>
        <w:t>或者招标文件公告期限届满之日</w:t>
      </w:r>
      <w:r>
        <w:rPr>
          <w:rFonts w:hAnsi="宋体"/>
          <w:color w:val="auto"/>
          <w:sz w:val="21"/>
          <w:highlight w:val="none"/>
        </w:rPr>
        <w:t>；</w:t>
      </w:r>
    </w:p>
    <w:p w14:paraId="13C592B7">
      <w:pPr>
        <w:pStyle w:val="26"/>
        <w:snapToGrid w:val="0"/>
        <w:spacing w:line="360" w:lineRule="auto"/>
        <w:ind w:firstLine="420" w:firstLineChars="200"/>
        <w:rPr>
          <w:rFonts w:hAnsi="宋体"/>
          <w:color w:val="auto"/>
          <w:sz w:val="21"/>
          <w:highlight w:val="none"/>
        </w:rPr>
      </w:pPr>
      <w:r>
        <w:rPr>
          <w:rFonts w:hAnsi="宋体"/>
          <w:color w:val="auto"/>
          <w:sz w:val="21"/>
          <w:highlight w:val="none"/>
        </w:rPr>
        <w:t>（</w:t>
      </w:r>
      <w:r>
        <w:rPr>
          <w:rFonts w:hint="eastAsia" w:hAnsi="宋体"/>
          <w:color w:val="auto"/>
          <w:sz w:val="21"/>
          <w:highlight w:val="none"/>
        </w:rPr>
        <w:t>2</w:t>
      </w:r>
      <w:r>
        <w:rPr>
          <w:rFonts w:hAnsi="宋体"/>
          <w:color w:val="auto"/>
          <w:sz w:val="21"/>
          <w:highlight w:val="none"/>
        </w:rPr>
        <w:t>）对</w:t>
      </w:r>
      <w:r>
        <w:rPr>
          <w:rFonts w:hint="eastAsia" w:hAnsi="宋体"/>
          <w:color w:val="auto"/>
          <w:sz w:val="21"/>
          <w:highlight w:val="none"/>
        </w:rPr>
        <w:t>采购</w:t>
      </w:r>
      <w:r>
        <w:rPr>
          <w:rFonts w:hAnsi="宋体"/>
          <w:color w:val="auto"/>
          <w:sz w:val="21"/>
          <w:highlight w:val="none"/>
        </w:rPr>
        <w:t>过程提出质疑的，为各采购程序环节结束之日；</w:t>
      </w:r>
    </w:p>
    <w:p w14:paraId="5F452D84">
      <w:pPr>
        <w:pStyle w:val="26"/>
        <w:snapToGrid w:val="0"/>
        <w:spacing w:line="360" w:lineRule="auto"/>
        <w:ind w:firstLine="420" w:firstLineChars="200"/>
        <w:rPr>
          <w:rFonts w:hAnsi="宋体"/>
          <w:bCs/>
          <w:color w:val="auto"/>
          <w:sz w:val="21"/>
          <w:highlight w:val="none"/>
        </w:rPr>
      </w:pPr>
      <w:r>
        <w:rPr>
          <w:rFonts w:hAnsi="宋体"/>
          <w:color w:val="auto"/>
          <w:sz w:val="21"/>
          <w:highlight w:val="none"/>
        </w:rPr>
        <w:t>（</w:t>
      </w:r>
      <w:r>
        <w:rPr>
          <w:rFonts w:hint="eastAsia" w:hAnsi="宋体"/>
          <w:color w:val="auto"/>
          <w:sz w:val="21"/>
          <w:highlight w:val="none"/>
        </w:rPr>
        <w:t>3</w:t>
      </w:r>
      <w:r>
        <w:rPr>
          <w:rFonts w:hAnsi="宋体"/>
          <w:color w:val="auto"/>
          <w:sz w:val="21"/>
          <w:highlight w:val="none"/>
        </w:rPr>
        <w:t>）对中标结果提出质疑的，为中标结果公告期限届满之日。</w:t>
      </w:r>
    </w:p>
    <w:p w14:paraId="347CC34A">
      <w:pPr>
        <w:pStyle w:val="8"/>
        <w:keepNext w:val="0"/>
        <w:keepLines w:val="0"/>
        <w:spacing w:before="0" w:after="0" w:line="360" w:lineRule="auto"/>
        <w:ind w:firstLine="315" w:firstLineChars="150"/>
        <w:rPr>
          <w:rFonts w:ascii="宋体" w:hAnsi="宋体"/>
          <w:b w:val="0"/>
          <w:color w:val="auto"/>
          <w:sz w:val="21"/>
          <w:szCs w:val="21"/>
          <w:highlight w:val="none"/>
        </w:rPr>
      </w:pP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 xml:space="preserve"> </w:t>
      </w:r>
      <w:r>
        <w:rPr>
          <w:rFonts w:hAnsi="宋体"/>
          <w:b w:val="0"/>
          <w:bCs/>
          <w:color w:val="auto"/>
          <w:sz w:val="21"/>
          <w:highlight w:val="none"/>
        </w:rPr>
        <w:t>供应商提出质疑应当提交质疑函和必要的证明材料</w:t>
      </w:r>
      <w:r>
        <w:rPr>
          <w:rFonts w:hint="eastAsia" w:hAnsi="宋体"/>
          <w:b w:val="0"/>
          <w:bCs/>
          <w:color w:val="auto"/>
          <w:sz w:val="21"/>
          <w:highlight w:val="none"/>
        </w:rPr>
        <w:t>，</w:t>
      </w:r>
      <w:r>
        <w:rPr>
          <w:rFonts w:hAnsi="宋体"/>
          <w:b w:val="0"/>
          <w:bCs/>
          <w:color w:val="auto"/>
          <w:sz w:val="21"/>
          <w:highlight w:val="none"/>
        </w:rPr>
        <w:t>针对同一采购程序环节的质疑</w:t>
      </w:r>
      <w:r>
        <w:rPr>
          <w:rFonts w:hint="eastAsia" w:hAnsi="宋体"/>
          <w:b w:val="0"/>
          <w:bCs/>
          <w:color w:val="auto"/>
          <w:sz w:val="21"/>
          <w:highlight w:val="none"/>
        </w:rPr>
        <w:t>必须</w:t>
      </w:r>
      <w:r>
        <w:rPr>
          <w:rFonts w:hAnsi="宋体"/>
          <w:b w:val="0"/>
          <w:bCs/>
          <w:color w:val="auto"/>
          <w:sz w:val="21"/>
          <w:highlight w:val="none"/>
        </w:rPr>
        <w:t>在法定质疑期内一次性提出。质疑函应当包括下列内容</w:t>
      </w:r>
      <w:r>
        <w:rPr>
          <w:rFonts w:hint="eastAsia" w:hAnsi="宋体"/>
          <w:b w:val="0"/>
          <w:bCs/>
          <w:color w:val="auto"/>
          <w:sz w:val="21"/>
          <w:highlight w:val="none"/>
        </w:rPr>
        <w:t>（质疑函格式后附）</w:t>
      </w:r>
      <w:r>
        <w:rPr>
          <w:rFonts w:hAnsi="宋体"/>
          <w:b w:val="0"/>
          <w:bCs/>
          <w:color w:val="auto"/>
          <w:sz w:val="21"/>
          <w:highlight w:val="none"/>
        </w:rPr>
        <w:t>：</w:t>
      </w:r>
    </w:p>
    <w:p w14:paraId="3CBDC0AB">
      <w:pPr>
        <w:pStyle w:val="26"/>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1</w:t>
      </w:r>
      <w:r>
        <w:rPr>
          <w:rFonts w:hAnsi="宋体"/>
          <w:bCs/>
          <w:color w:val="auto"/>
          <w:sz w:val="21"/>
          <w:highlight w:val="none"/>
        </w:rPr>
        <w:t>）供应商的姓名或者名称、地址、邮编、联系人及联系电话；</w:t>
      </w:r>
    </w:p>
    <w:p w14:paraId="72CBD21D">
      <w:pPr>
        <w:pStyle w:val="26"/>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2</w:t>
      </w:r>
      <w:r>
        <w:rPr>
          <w:rFonts w:hAnsi="宋体"/>
          <w:bCs/>
          <w:color w:val="auto"/>
          <w:sz w:val="21"/>
          <w:highlight w:val="none"/>
        </w:rPr>
        <w:t>）质疑项目的名称、编号；</w:t>
      </w:r>
    </w:p>
    <w:p w14:paraId="4AAB86EE">
      <w:pPr>
        <w:pStyle w:val="26"/>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3</w:t>
      </w:r>
      <w:r>
        <w:rPr>
          <w:rFonts w:hAnsi="宋体"/>
          <w:bCs/>
          <w:color w:val="auto"/>
          <w:sz w:val="21"/>
          <w:highlight w:val="none"/>
        </w:rPr>
        <w:t>）具体、明确的质疑事项和与质疑事项相关的请求；</w:t>
      </w:r>
    </w:p>
    <w:p w14:paraId="65F8F825">
      <w:pPr>
        <w:pStyle w:val="26"/>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4</w:t>
      </w:r>
      <w:r>
        <w:rPr>
          <w:rFonts w:hAnsi="宋体"/>
          <w:bCs/>
          <w:color w:val="auto"/>
          <w:sz w:val="21"/>
          <w:highlight w:val="none"/>
        </w:rPr>
        <w:t>）事实依据；</w:t>
      </w:r>
    </w:p>
    <w:p w14:paraId="32717624">
      <w:pPr>
        <w:pStyle w:val="26"/>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5</w:t>
      </w:r>
      <w:r>
        <w:rPr>
          <w:rFonts w:hAnsi="宋体"/>
          <w:bCs/>
          <w:color w:val="auto"/>
          <w:sz w:val="21"/>
          <w:highlight w:val="none"/>
        </w:rPr>
        <w:t>）必要的法律依据；</w:t>
      </w:r>
    </w:p>
    <w:p w14:paraId="04DA16FC">
      <w:pPr>
        <w:pStyle w:val="26"/>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6</w:t>
      </w:r>
      <w:r>
        <w:rPr>
          <w:rFonts w:hAnsi="宋体"/>
          <w:bCs/>
          <w:color w:val="auto"/>
          <w:sz w:val="21"/>
          <w:highlight w:val="none"/>
        </w:rPr>
        <w:t>）提出质疑的日期。</w:t>
      </w:r>
    </w:p>
    <w:p w14:paraId="7BA26F89">
      <w:pPr>
        <w:pStyle w:val="26"/>
        <w:snapToGrid w:val="0"/>
        <w:spacing w:line="360" w:lineRule="auto"/>
        <w:ind w:firstLine="420" w:firstLineChars="200"/>
        <w:rPr>
          <w:rFonts w:hAnsi="宋体"/>
          <w:bCs/>
          <w:color w:val="auto"/>
          <w:sz w:val="21"/>
          <w:highlight w:val="none"/>
        </w:rPr>
      </w:pPr>
      <w:r>
        <w:rPr>
          <w:rFonts w:hAnsi="宋体"/>
          <w:bCs/>
          <w:color w:val="auto"/>
          <w:sz w:val="21"/>
          <w:highlight w:val="none"/>
        </w:rPr>
        <w:t>供应商为自然人的，应当由本人签字；供应商为法人或者其他组织的，应当由法定代表人、主要负责人，或者其委托代理人签字或者盖章，并加盖公章</w:t>
      </w:r>
      <w:r>
        <w:rPr>
          <w:rFonts w:hint="eastAsia" w:hAnsi="宋体"/>
          <w:bCs/>
          <w:color w:val="auto"/>
          <w:sz w:val="21"/>
          <w:highlight w:val="none"/>
        </w:rPr>
        <w:t>。</w:t>
      </w:r>
    </w:p>
    <w:p w14:paraId="7E5EACBE">
      <w:pPr>
        <w:pStyle w:val="8"/>
        <w:keepNext w:val="0"/>
        <w:keepLines w:val="0"/>
        <w:snapToGrid w:val="0"/>
        <w:spacing w:before="0" w:after="0" w:line="360" w:lineRule="auto"/>
        <w:ind w:firstLine="420" w:firstLineChars="200"/>
        <w:rPr>
          <w:rFonts w:ascii="宋体" w:hAnsi="宋体"/>
          <w:b w:val="0"/>
          <w:bCs/>
          <w:color w:val="auto"/>
          <w:sz w:val="21"/>
          <w:szCs w:val="21"/>
          <w:highlight w:val="none"/>
        </w:rPr>
      </w:pPr>
      <w:r>
        <w:rPr>
          <w:rFonts w:ascii="宋体" w:hAnsi="宋体"/>
          <w:b w:val="0"/>
          <w:color w:val="auto"/>
          <w:sz w:val="21"/>
          <w:szCs w:val="21"/>
          <w:highlight w:val="none"/>
        </w:rPr>
        <w:t>3</w:t>
      </w:r>
      <w:r>
        <w:rPr>
          <w:rFonts w:ascii="宋体" w:hAnsi="宋体"/>
          <w:b w:val="0"/>
          <w:bCs/>
          <w:color w:val="auto"/>
          <w:sz w:val="21"/>
          <w:szCs w:val="21"/>
          <w:highlight w:val="none"/>
        </w:rPr>
        <w:t>8.4</w:t>
      </w:r>
      <w:r>
        <w:rPr>
          <w:rFonts w:hint="eastAsia" w:ascii="宋体" w:hAnsi="宋体"/>
          <w:b w:val="0"/>
          <w:bCs/>
          <w:color w:val="auto"/>
          <w:sz w:val="21"/>
          <w:szCs w:val="21"/>
          <w:highlight w:val="none"/>
        </w:rPr>
        <w:t>采购人、采购代理机构认为供应商质疑不成立，或者成立但未对中标结果构成影响的，继续开展采购活动；认为供应商质疑成立且影响或者可能影响中标结果的，按照下列情况处理：</w:t>
      </w:r>
    </w:p>
    <w:p w14:paraId="3CEFC74A">
      <w:pPr>
        <w:pStyle w:val="26"/>
        <w:snapToGrid w:val="0"/>
        <w:spacing w:line="360" w:lineRule="auto"/>
        <w:rPr>
          <w:rFonts w:hAnsi="宋体"/>
          <w:bCs/>
          <w:color w:val="auto"/>
          <w:sz w:val="21"/>
          <w:highlight w:val="none"/>
        </w:rPr>
      </w:pPr>
      <w:r>
        <w:rPr>
          <w:rFonts w:hint="eastAsia" w:hAnsi="宋体"/>
          <w:bCs/>
          <w:color w:val="auto"/>
          <w:sz w:val="21"/>
          <w:highlight w:val="none"/>
        </w:rPr>
        <w:t>　　（一）对招标文件提出的质疑，依法通过澄清或者修改可以继续开展采购活动的，澄清或者修改招标文件后继续开展采购活动；否则应当修改招标文件后重新开展采购活动。</w:t>
      </w:r>
    </w:p>
    <w:p w14:paraId="32B7A95D">
      <w:pPr>
        <w:pStyle w:val="26"/>
        <w:snapToGrid w:val="0"/>
        <w:spacing w:line="360" w:lineRule="auto"/>
        <w:rPr>
          <w:rFonts w:hAnsi="宋体"/>
          <w:bCs/>
          <w:color w:val="auto"/>
          <w:sz w:val="21"/>
          <w:highlight w:val="none"/>
        </w:rPr>
      </w:pPr>
      <w:r>
        <w:rPr>
          <w:rFonts w:hint="eastAsia" w:hAnsi="宋体"/>
          <w:bCs/>
          <w:color w:val="auto"/>
          <w:sz w:val="21"/>
          <w:highlight w:val="none"/>
        </w:rPr>
        <w:t>　　（二）对采购过程、中标结果提出的质疑，合格供应商符合法定数量时，可以从合格的中标候选人中另行确定中标供应商的，应当依法另行确定中标供应商；否则应当重新开展采购活动。</w:t>
      </w:r>
    </w:p>
    <w:p w14:paraId="4B412486">
      <w:pPr>
        <w:pStyle w:val="26"/>
        <w:snapToGrid w:val="0"/>
        <w:spacing w:line="360" w:lineRule="auto"/>
        <w:ind w:firstLine="420"/>
        <w:rPr>
          <w:rFonts w:hAnsi="宋体"/>
          <w:bCs/>
          <w:color w:val="auto"/>
          <w:sz w:val="21"/>
          <w:highlight w:val="none"/>
        </w:rPr>
      </w:pPr>
      <w:r>
        <w:rPr>
          <w:rFonts w:hint="eastAsia" w:hAnsi="宋体"/>
          <w:bCs/>
          <w:color w:val="auto"/>
          <w:sz w:val="21"/>
          <w:highlight w:val="none"/>
        </w:rPr>
        <w:t>质疑答复导致中标结果改变的，采购人或者采购代理机构应当将有关情况书面报告本级财政部门。</w:t>
      </w:r>
    </w:p>
    <w:p w14:paraId="14255A55">
      <w:pPr>
        <w:pStyle w:val="26"/>
        <w:snapToGrid w:val="0"/>
        <w:spacing w:line="360" w:lineRule="auto"/>
        <w:ind w:firstLine="420" w:firstLineChars="200"/>
        <w:rPr>
          <w:rFonts w:hAnsi="宋体"/>
          <w:color w:val="auto"/>
          <w:sz w:val="21"/>
          <w:highlight w:val="none"/>
        </w:rPr>
      </w:pPr>
      <w:r>
        <w:rPr>
          <w:rFonts w:hAnsi="宋体"/>
          <w:color w:val="auto"/>
          <w:sz w:val="21"/>
          <w:highlight w:val="none"/>
        </w:rPr>
        <w:t>38</w:t>
      </w:r>
      <w:r>
        <w:rPr>
          <w:rFonts w:hint="eastAsia" w:hAnsi="宋体"/>
          <w:color w:val="auto"/>
          <w:sz w:val="21"/>
          <w:highlight w:val="none"/>
        </w:rPr>
        <w:t>.</w:t>
      </w:r>
      <w:r>
        <w:rPr>
          <w:rFonts w:hAnsi="宋体"/>
          <w:color w:val="auto"/>
          <w:sz w:val="21"/>
          <w:highlight w:val="none"/>
        </w:rPr>
        <w:t>5</w:t>
      </w:r>
      <w:r>
        <w:rPr>
          <w:rFonts w:hint="eastAsia" w:hAnsi="宋体"/>
          <w:color w:val="auto"/>
          <w:sz w:val="21"/>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74854060">
      <w:pPr>
        <w:pStyle w:val="7"/>
        <w:keepNext w:val="0"/>
        <w:keepLines w:val="0"/>
        <w:jc w:val="center"/>
        <w:rPr>
          <w:color w:val="auto"/>
          <w:highlight w:val="none"/>
        </w:rPr>
      </w:pPr>
      <w:r>
        <w:rPr>
          <w:rFonts w:hint="eastAsia"/>
          <w:color w:val="auto"/>
          <w:highlight w:val="none"/>
        </w:rPr>
        <w:t>八、其他事项</w:t>
      </w:r>
    </w:p>
    <w:p w14:paraId="08569A5B">
      <w:pPr>
        <w:pStyle w:val="8"/>
        <w:keepNext w:val="0"/>
        <w:keepLines w:val="0"/>
        <w:spacing w:before="0" w:after="0" w:line="360" w:lineRule="auto"/>
        <w:ind w:left="420" w:leftChars="200"/>
        <w:rPr>
          <w:rFonts w:ascii="黑体" w:hAnsi="黑体" w:eastAsia="黑体"/>
          <w:color w:val="auto"/>
          <w:sz w:val="24"/>
          <w:highlight w:val="none"/>
        </w:rPr>
      </w:pPr>
      <w:bookmarkStart w:id="148" w:name="_42.代理服务费"/>
      <w:bookmarkEnd w:id="148"/>
      <w:r>
        <w:rPr>
          <w:rFonts w:hint="eastAsia" w:ascii="黑体" w:hAnsi="黑体" w:eastAsia="黑体"/>
          <w:color w:val="auto"/>
          <w:sz w:val="24"/>
          <w:highlight w:val="none"/>
        </w:rPr>
        <w:t>3</w:t>
      </w:r>
      <w:r>
        <w:rPr>
          <w:rFonts w:ascii="黑体" w:hAnsi="黑体" w:eastAsia="黑体"/>
          <w:color w:val="auto"/>
          <w:sz w:val="24"/>
          <w:highlight w:val="none"/>
        </w:rPr>
        <w:t>9</w:t>
      </w:r>
      <w:r>
        <w:rPr>
          <w:rFonts w:hint="eastAsia" w:ascii="黑体" w:hAnsi="黑体" w:eastAsia="黑体"/>
          <w:color w:val="auto"/>
          <w:sz w:val="24"/>
          <w:highlight w:val="none"/>
        </w:rPr>
        <w:t>.代理服务费</w:t>
      </w:r>
    </w:p>
    <w:p w14:paraId="2A0D3E96">
      <w:pPr>
        <w:pStyle w:val="8"/>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9</w:t>
      </w:r>
      <w:r>
        <w:rPr>
          <w:rFonts w:hint="eastAsia" w:ascii="宋体" w:hAnsi="宋体"/>
          <w:b w:val="0"/>
          <w:color w:val="auto"/>
          <w:sz w:val="21"/>
          <w:szCs w:val="21"/>
          <w:highlight w:val="none"/>
        </w:rPr>
        <w:t>.1代理服务收取标准及缴费账户详见“投标人须知前附表”，投标人为联合体的，可以由联合体中的一方或者多方共同交纳代理服务费。</w:t>
      </w:r>
    </w:p>
    <w:p w14:paraId="21FB82D6">
      <w:pPr>
        <w:pStyle w:val="8"/>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9</w:t>
      </w:r>
      <w:r>
        <w:rPr>
          <w:rFonts w:hint="eastAsia" w:ascii="宋体" w:hAnsi="宋体"/>
          <w:b w:val="0"/>
          <w:color w:val="auto"/>
          <w:sz w:val="21"/>
          <w:szCs w:val="21"/>
          <w:highlight w:val="none"/>
        </w:rPr>
        <w:t>.2代理服务收费标准：</w:t>
      </w:r>
    </w:p>
    <w:p w14:paraId="7AD53118">
      <w:pPr>
        <w:spacing w:line="360" w:lineRule="auto"/>
        <w:rPr>
          <w:rFonts w:ascii="宋体" w:hAnsi="宋体"/>
          <w:color w:val="auto"/>
          <w:szCs w:val="21"/>
          <w:highlight w:val="none"/>
        </w:rPr>
      </w:pPr>
    </w:p>
    <w:tbl>
      <w:tblPr>
        <w:tblStyle w:val="47"/>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6CB08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14:paraId="15B20160">
            <w:pPr>
              <w:spacing w:line="360" w:lineRule="auto"/>
              <w:rPr>
                <w:rFonts w:ascii="宋体" w:hAnsi="宋体"/>
                <w:color w:val="auto"/>
                <w:szCs w:val="21"/>
                <w:highlight w:val="none"/>
              </w:rPr>
            </w:pPr>
            <w:r>
              <w:rPr>
                <w:rFonts w:hint="eastAsia" w:ascii="宋体" w:hAnsi="宋体"/>
                <w:color w:val="auto"/>
                <w:szCs w:val="21"/>
                <w:highlight w:val="none"/>
              </w:rPr>
              <w:t xml:space="preserve">               费率</w:t>
            </w:r>
          </w:p>
          <w:p w14:paraId="21CA3AC8">
            <w:pPr>
              <w:spacing w:line="360" w:lineRule="auto"/>
              <w:rPr>
                <w:rFonts w:ascii="宋体" w:hAnsi="宋体"/>
                <w:color w:val="auto"/>
                <w:szCs w:val="21"/>
                <w:highlight w:val="none"/>
              </w:rPr>
            </w:pPr>
            <w:r>
              <w:rPr>
                <w:rFonts w:hint="eastAsia" w:ascii="宋体" w:hAnsi="宋体"/>
                <w:color w:val="auto"/>
                <w:szCs w:val="21"/>
                <w:highlight w:val="none"/>
              </w:rPr>
              <w:t>中标金额</w:t>
            </w:r>
          </w:p>
        </w:tc>
        <w:tc>
          <w:tcPr>
            <w:tcW w:w="1659" w:type="dxa"/>
            <w:tcBorders>
              <w:top w:val="single" w:color="auto" w:sz="4" w:space="0"/>
              <w:left w:val="single" w:color="auto" w:sz="4" w:space="0"/>
              <w:bottom w:val="single" w:color="auto" w:sz="4" w:space="0"/>
              <w:right w:val="single" w:color="auto" w:sz="4" w:space="0"/>
            </w:tcBorders>
            <w:vAlign w:val="center"/>
          </w:tcPr>
          <w:p w14:paraId="73E89204">
            <w:pPr>
              <w:spacing w:line="360" w:lineRule="auto"/>
              <w:ind w:firstLine="105" w:firstLineChars="50"/>
              <w:jc w:val="center"/>
              <w:rPr>
                <w:rFonts w:ascii="宋体" w:hAnsi="宋体"/>
                <w:color w:val="auto"/>
                <w:szCs w:val="21"/>
                <w:highlight w:val="none"/>
              </w:rPr>
            </w:pPr>
            <w:r>
              <w:rPr>
                <w:rFonts w:hint="eastAsia" w:ascii="宋体" w:hAnsi="宋体"/>
                <w:color w:val="auto"/>
                <w:szCs w:val="21"/>
                <w:highlight w:val="none"/>
              </w:rPr>
              <w:t>货物招标</w:t>
            </w:r>
          </w:p>
        </w:tc>
        <w:tc>
          <w:tcPr>
            <w:tcW w:w="1687" w:type="dxa"/>
            <w:tcBorders>
              <w:top w:val="single" w:color="auto" w:sz="4" w:space="0"/>
              <w:left w:val="single" w:color="auto" w:sz="4" w:space="0"/>
              <w:bottom w:val="single" w:color="auto" w:sz="4" w:space="0"/>
              <w:right w:val="single" w:color="auto" w:sz="4" w:space="0"/>
            </w:tcBorders>
            <w:vAlign w:val="center"/>
          </w:tcPr>
          <w:p w14:paraId="361A4FAD">
            <w:pPr>
              <w:spacing w:line="360" w:lineRule="auto"/>
              <w:jc w:val="center"/>
              <w:rPr>
                <w:rFonts w:ascii="宋体" w:hAnsi="宋体"/>
                <w:color w:val="auto"/>
                <w:szCs w:val="21"/>
                <w:highlight w:val="none"/>
              </w:rPr>
            </w:pPr>
            <w:r>
              <w:rPr>
                <w:rFonts w:hint="eastAsia" w:ascii="宋体" w:hAnsi="宋体"/>
                <w:color w:val="auto"/>
                <w:szCs w:val="21"/>
                <w:highlight w:val="none"/>
              </w:rPr>
              <w:t>服务招标</w:t>
            </w:r>
          </w:p>
        </w:tc>
        <w:tc>
          <w:tcPr>
            <w:tcW w:w="1659" w:type="dxa"/>
            <w:tcBorders>
              <w:top w:val="single" w:color="auto" w:sz="4" w:space="0"/>
              <w:left w:val="single" w:color="auto" w:sz="4" w:space="0"/>
              <w:bottom w:val="single" w:color="auto" w:sz="4" w:space="0"/>
              <w:right w:val="single" w:color="auto" w:sz="4" w:space="0"/>
            </w:tcBorders>
            <w:vAlign w:val="center"/>
          </w:tcPr>
          <w:p w14:paraId="284B7D0D">
            <w:pPr>
              <w:spacing w:line="360" w:lineRule="auto"/>
              <w:jc w:val="center"/>
              <w:rPr>
                <w:rFonts w:ascii="宋体" w:hAnsi="宋体"/>
                <w:color w:val="auto"/>
                <w:szCs w:val="21"/>
                <w:highlight w:val="none"/>
              </w:rPr>
            </w:pPr>
            <w:r>
              <w:rPr>
                <w:rFonts w:hint="eastAsia" w:ascii="宋体" w:hAnsi="宋体"/>
                <w:color w:val="auto"/>
                <w:szCs w:val="21"/>
                <w:highlight w:val="none"/>
              </w:rPr>
              <w:t>工程招标</w:t>
            </w:r>
          </w:p>
        </w:tc>
      </w:tr>
      <w:tr w14:paraId="7002E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14:paraId="69733235">
            <w:pPr>
              <w:spacing w:line="360" w:lineRule="auto"/>
              <w:rPr>
                <w:rFonts w:ascii="宋体" w:hAnsi="宋体"/>
                <w:color w:val="auto"/>
                <w:szCs w:val="21"/>
                <w:highlight w:val="none"/>
              </w:rPr>
            </w:pPr>
            <w:r>
              <w:rPr>
                <w:rFonts w:hint="eastAsia" w:ascii="宋体" w:hAnsi="宋体"/>
                <w:color w:val="auto"/>
                <w:szCs w:val="21"/>
                <w:highlight w:val="none"/>
              </w:rPr>
              <w:t>100万元以下</w:t>
            </w:r>
          </w:p>
        </w:tc>
        <w:tc>
          <w:tcPr>
            <w:tcW w:w="1659" w:type="dxa"/>
            <w:tcBorders>
              <w:top w:val="single" w:color="auto" w:sz="4" w:space="0"/>
              <w:left w:val="single" w:color="auto" w:sz="4" w:space="0"/>
              <w:bottom w:val="single" w:color="auto" w:sz="4" w:space="0"/>
              <w:right w:val="single" w:color="auto" w:sz="4" w:space="0"/>
            </w:tcBorders>
          </w:tcPr>
          <w:p w14:paraId="1C7CFE3F">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  1.5%                </w:t>
            </w:r>
          </w:p>
        </w:tc>
        <w:tc>
          <w:tcPr>
            <w:tcW w:w="1687" w:type="dxa"/>
            <w:tcBorders>
              <w:top w:val="single" w:color="auto" w:sz="4" w:space="0"/>
              <w:left w:val="single" w:color="auto" w:sz="4" w:space="0"/>
              <w:bottom w:val="single" w:color="auto" w:sz="4" w:space="0"/>
              <w:right w:val="single" w:color="auto" w:sz="4" w:space="0"/>
            </w:tcBorders>
          </w:tcPr>
          <w:p w14:paraId="3B00B3B4">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1.5%</w:t>
            </w:r>
          </w:p>
        </w:tc>
        <w:tc>
          <w:tcPr>
            <w:tcW w:w="1659" w:type="dxa"/>
            <w:tcBorders>
              <w:top w:val="single" w:color="auto" w:sz="4" w:space="0"/>
              <w:left w:val="single" w:color="auto" w:sz="4" w:space="0"/>
              <w:bottom w:val="single" w:color="auto" w:sz="4" w:space="0"/>
              <w:right w:val="single" w:color="auto" w:sz="4" w:space="0"/>
            </w:tcBorders>
          </w:tcPr>
          <w:p w14:paraId="17A705E3">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 xml:space="preserve">1.0% </w:t>
            </w:r>
          </w:p>
        </w:tc>
      </w:tr>
      <w:tr w14:paraId="4631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14:paraId="2C329C9F">
            <w:pPr>
              <w:spacing w:line="360" w:lineRule="auto"/>
              <w:rPr>
                <w:rFonts w:ascii="宋体" w:hAnsi="宋体"/>
                <w:color w:val="auto"/>
                <w:szCs w:val="21"/>
                <w:highlight w:val="none"/>
              </w:rPr>
            </w:pPr>
            <w:r>
              <w:rPr>
                <w:rFonts w:hint="eastAsia" w:ascii="宋体" w:hAnsi="宋体"/>
                <w:color w:val="auto"/>
                <w:szCs w:val="21"/>
                <w:highlight w:val="none"/>
              </w:rPr>
              <w:t>100万元～500万元</w:t>
            </w:r>
          </w:p>
        </w:tc>
        <w:tc>
          <w:tcPr>
            <w:tcW w:w="1659" w:type="dxa"/>
            <w:tcBorders>
              <w:top w:val="single" w:color="auto" w:sz="4" w:space="0"/>
              <w:left w:val="single" w:color="auto" w:sz="4" w:space="0"/>
              <w:bottom w:val="single" w:color="auto" w:sz="4" w:space="0"/>
              <w:right w:val="single" w:color="auto" w:sz="4" w:space="0"/>
            </w:tcBorders>
          </w:tcPr>
          <w:p w14:paraId="62361380">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 xml:space="preserve">1.1%                 </w:t>
            </w:r>
          </w:p>
        </w:tc>
        <w:tc>
          <w:tcPr>
            <w:tcW w:w="1687" w:type="dxa"/>
            <w:tcBorders>
              <w:top w:val="single" w:color="auto" w:sz="4" w:space="0"/>
              <w:left w:val="single" w:color="auto" w:sz="4" w:space="0"/>
              <w:bottom w:val="single" w:color="auto" w:sz="4" w:space="0"/>
              <w:right w:val="single" w:color="auto" w:sz="4" w:space="0"/>
            </w:tcBorders>
          </w:tcPr>
          <w:p w14:paraId="7EDB67DF">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0.8%</w:t>
            </w:r>
          </w:p>
        </w:tc>
        <w:tc>
          <w:tcPr>
            <w:tcW w:w="1659" w:type="dxa"/>
            <w:tcBorders>
              <w:top w:val="single" w:color="auto" w:sz="4" w:space="0"/>
              <w:left w:val="single" w:color="auto" w:sz="4" w:space="0"/>
              <w:bottom w:val="single" w:color="auto" w:sz="4" w:space="0"/>
              <w:right w:val="single" w:color="auto" w:sz="4" w:space="0"/>
            </w:tcBorders>
          </w:tcPr>
          <w:p w14:paraId="2BCBF15F">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 xml:space="preserve">0.7% </w:t>
            </w:r>
          </w:p>
        </w:tc>
      </w:tr>
      <w:tr w14:paraId="2D90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14:paraId="6123A787">
            <w:pPr>
              <w:spacing w:line="360" w:lineRule="auto"/>
              <w:rPr>
                <w:rFonts w:ascii="宋体" w:hAnsi="宋体"/>
                <w:color w:val="auto"/>
                <w:szCs w:val="21"/>
                <w:highlight w:val="none"/>
              </w:rPr>
            </w:pPr>
            <w:r>
              <w:rPr>
                <w:rFonts w:hint="eastAsia" w:ascii="宋体" w:hAnsi="宋体"/>
                <w:color w:val="auto"/>
                <w:szCs w:val="21"/>
                <w:highlight w:val="none"/>
              </w:rPr>
              <w:t>500万元～1000万元</w:t>
            </w:r>
          </w:p>
        </w:tc>
        <w:tc>
          <w:tcPr>
            <w:tcW w:w="1659" w:type="dxa"/>
            <w:tcBorders>
              <w:top w:val="single" w:color="auto" w:sz="4" w:space="0"/>
              <w:left w:val="single" w:color="auto" w:sz="4" w:space="0"/>
              <w:bottom w:val="single" w:color="auto" w:sz="4" w:space="0"/>
              <w:right w:val="single" w:color="auto" w:sz="4" w:space="0"/>
            </w:tcBorders>
          </w:tcPr>
          <w:p w14:paraId="55B24B50">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  0.8%                </w:t>
            </w:r>
          </w:p>
        </w:tc>
        <w:tc>
          <w:tcPr>
            <w:tcW w:w="1687" w:type="dxa"/>
            <w:tcBorders>
              <w:top w:val="single" w:color="auto" w:sz="4" w:space="0"/>
              <w:left w:val="single" w:color="auto" w:sz="4" w:space="0"/>
              <w:bottom w:val="single" w:color="auto" w:sz="4" w:space="0"/>
              <w:right w:val="single" w:color="auto" w:sz="4" w:space="0"/>
            </w:tcBorders>
          </w:tcPr>
          <w:p w14:paraId="495EB5DC">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0.45%</w:t>
            </w:r>
          </w:p>
        </w:tc>
        <w:tc>
          <w:tcPr>
            <w:tcW w:w="1659" w:type="dxa"/>
            <w:tcBorders>
              <w:top w:val="single" w:color="auto" w:sz="4" w:space="0"/>
              <w:left w:val="single" w:color="auto" w:sz="4" w:space="0"/>
              <w:bottom w:val="single" w:color="auto" w:sz="4" w:space="0"/>
              <w:right w:val="single" w:color="auto" w:sz="4" w:space="0"/>
            </w:tcBorders>
          </w:tcPr>
          <w:p w14:paraId="4CE4D5AA">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0.55%</w:t>
            </w:r>
          </w:p>
        </w:tc>
      </w:tr>
      <w:tr w14:paraId="45AF1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14:paraId="652F8CB1">
            <w:pPr>
              <w:spacing w:line="360" w:lineRule="auto"/>
              <w:rPr>
                <w:rFonts w:ascii="宋体" w:hAnsi="宋体"/>
                <w:color w:val="auto"/>
                <w:szCs w:val="21"/>
                <w:highlight w:val="none"/>
              </w:rPr>
            </w:pPr>
            <w:r>
              <w:rPr>
                <w:rFonts w:hint="eastAsia" w:ascii="宋体" w:hAnsi="宋体"/>
                <w:color w:val="auto"/>
                <w:szCs w:val="21"/>
                <w:highlight w:val="none"/>
              </w:rPr>
              <w:t>1000万元～5000万元</w:t>
            </w:r>
          </w:p>
        </w:tc>
        <w:tc>
          <w:tcPr>
            <w:tcW w:w="1659" w:type="dxa"/>
            <w:tcBorders>
              <w:top w:val="single" w:color="auto" w:sz="4" w:space="0"/>
              <w:left w:val="single" w:color="auto" w:sz="4" w:space="0"/>
              <w:bottom w:val="single" w:color="auto" w:sz="4" w:space="0"/>
              <w:right w:val="single" w:color="auto" w:sz="4" w:space="0"/>
            </w:tcBorders>
          </w:tcPr>
          <w:p w14:paraId="5F7C7245">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 xml:space="preserve">0.5%                </w:t>
            </w:r>
          </w:p>
        </w:tc>
        <w:tc>
          <w:tcPr>
            <w:tcW w:w="1687" w:type="dxa"/>
            <w:tcBorders>
              <w:top w:val="single" w:color="auto" w:sz="4" w:space="0"/>
              <w:left w:val="single" w:color="auto" w:sz="4" w:space="0"/>
              <w:bottom w:val="single" w:color="auto" w:sz="4" w:space="0"/>
              <w:right w:val="single" w:color="auto" w:sz="4" w:space="0"/>
            </w:tcBorders>
          </w:tcPr>
          <w:p w14:paraId="4A0D4D0B">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0.25%</w:t>
            </w:r>
          </w:p>
        </w:tc>
        <w:tc>
          <w:tcPr>
            <w:tcW w:w="1659" w:type="dxa"/>
            <w:tcBorders>
              <w:top w:val="single" w:color="auto" w:sz="4" w:space="0"/>
              <w:left w:val="single" w:color="auto" w:sz="4" w:space="0"/>
              <w:bottom w:val="single" w:color="auto" w:sz="4" w:space="0"/>
              <w:right w:val="single" w:color="auto" w:sz="4" w:space="0"/>
            </w:tcBorders>
          </w:tcPr>
          <w:p w14:paraId="546A8E8E">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 xml:space="preserve">0.35% </w:t>
            </w:r>
          </w:p>
        </w:tc>
      </w:tr>
      <w:tr w14:paraId="35D5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14:paraId="60710C6C">
            <w:pPr>
              <w:spacing w:line="360" w:lineRule="auto"/>
              <w:rPr>
                <w:rFonts w:ascii="宋体" w:hAnsi="宋体"/>
                <w:color w:val="auto"/>
                <w:szCs w:val="21"/>
                <w:highlight w:val="none"/>
              </w:rPr>
            </w:pPr>
            <w:r>
              <w:rPr>
                <w:rFonts w:hint="eastAsia" w:ascii="宋体" w:hAnsi="宋体"/>
                <w:color w:val="auto"/>
                <w:szCs w:val="21"/>
                <w:highlight w:val="none"/>
              </w:rPr>
              <w:t>5000万元～1亿元</w:t>
            </w:r>
          </w:p>
        </w:tc>
        <w:tc>
          <w:tcPr>
            <w:tcW w:w="1659" w:type="dxa"/>
            <w:tcBorders>
              <w:top w:val="single" w:color="auto" w:sz="4" w:space="0"/>
              <w:left w:val="single" w:color="auto" w:sz="4" w:space="0"/>
              <w:bottom w:val="single" w:color="auto" w:sz="4" w:space="0"/>
              <w:right w:val="single" w:color="auto" w:sz="4" w:space="0"/>
            </w:tcBorders>
          </w:tcPr>
          <w:p w14:paraId="69A5BF9D">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 xml:space="preserve">0.25%                 </w:t>
            </w:r>
          </w:p>
        </w:tc>
        <w:tc>
          <w:tcPr>
            <w:tcW w:w="1687" w:type="dxa"/>
            <w:tcBorders>
              <w:top w:val="single" w:color="auto" w:sz="4" w:space="0"/>
              <w:left w:val="single" w:color="auto" w:sz="4" w:space="0"/>
              <w:bottom w:val="single" w:color="auto" w:sz="4" w:space="0"/>
              <w:right w:val="single" w:color="auto" w:sz="4" w:space="0"/>
            </w:tcBorders>
          </w:tcPr>
          <w:p w14:paraId="616427D5">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0.1%</w:t>
            </w:r>
          </w:p>
        </w:tc>
        <w:tc>
          <w:tcPr>
            <w:tcW w:w="1659" w:type="dxa"/>
            <w:tcBorders>
              <w:top w:val="single" w:color="auto" w:sz="4" w:space="0"/>
              <w:left w:val="single" w:color="auto" w:sz="4" w:space="0"/>
              <w:bottom w:val="single" w:color="auto" w:sz="4" w:space="0"/>
              <w:right w:val="single" w:color="auto" w:sz="4" w:space="0"/>
            </w:tcBorders>
          </w:tcPr>
          <w:p w14:paraId="44D9C564">
            <w:pPr>
              <w:spacing w:line="360" w:lineRule="auto"/>
              <w:ind w:firstLine="210" w:firstLineChars="100"/>
              <w:rPr>
                <w:rFonts w:ascii="宋体" w:hAnsi="宋体"/>
                <w:color w:val="auto"/>
                <w:szCs w:val="21"/>
                <w:highlight w:val="none"/>
              </w:rPr>
            </w:pPr>
            <w:r>
              <w:rPr>
                <w:rFonts w:hint="eastAsia" w:ascii="宋体" w:hAnsi="宋体" w:cs="宋体"/>
                <w:color w:val="auto"/>
                <w:kern w:val="0"/>
                <w:szCs w:val="21"/>
                <w:highlight w:val="none"/>
              </w:rPr>
              <w:t>0.2%</w:t>
            </w:r>
          </w:p>
        </w:tc>
      </w:tr>
      <w:tr w14:paraId="3C77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14:paraId="08F270C5">
            <w:pPr>
              <w:spacing w:line="360" w:lineRule="auto"/>
              <w:rPr>
                <w:rFonts w:ascii="宋体" w:hAnsi="宋体"/>
                <w:color w:val="auto"/>
                <w:szCs w:val="21"/>
                <w:highlight w:val="none"/>
              </w:rPr>
            </w:pPr>
            <w:r>
              <w:rPr>
                <w:rFonts w:hint="eastAsia" w:ascii="宋体" w:hAnsi="宋体"/>
                <w:color w:val="auto"/>
                <w:szCs w:val="21"/>
                <w:highlight w:val="none"/>
              </w:rPr>
              <w:t>1亿元～5亿元</w:t>
            </w:r>
          </w:p>
        </w:tc>
        <w:tc>
          <w:tcPr>
            <w:tcW w:w="1659" w:type="dxa"/>
            <w:tcBorders>
              <w:top w:val="single" w:color="auto" w:sz="4" w:space="0"/>
              <w:left w:val="single" w:color="auto" w:sz="4" w:space="0"/>
              <w:bottom w:val="single" w:color="auto" w:sz="4" w:space="0"/>
              <w:right w:val="single" w:color="auto" w:sz="4" w:space="0"/>
            </w:tcBorders>
          </w:tcPr>
          <w:p w14:paraId="0D0681CF">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0.05%</w:t>
            </w:r>
          </w:p>
        </w:tc>
        <w:tc>
          <w:tcPr>
            <w:tcW w:w="1687" w:type="dxa"/>
            <w:tcBorders>
              <w:top w:val="single" w:color="auto" w:sz="4" w:space="0"/>
              <w:left w:val="single" w:color="auto" w:sz="4" w:space="0"/>
              <w:bottom w:val="single" w:color="auto" w:sz="4" w:space="0"/>
              <w:right w:val="single" w:color="auto" w:sz="4" w:space="0"/>
            </w:tcBorders>
          </w:tcPr>
          <w:p w14:paraId="1AA253E7">
            <w:pPr>
              <w:spacing w:line="360" w:lineRule="auto"/>
              <w:rPr>
                <w:rFonts w:ascii="宋体" w:hAnsi="宋体"/>
                <w:color w:val="auto"/>
                <w:szCs w:val="21"/>
                <w:highlight w:val="none"/>
              </w:rPr>
            </w:pPr>
            <w:r>
              <w:rPr>
                <w:rFonts w:hint="eastAsia" w:ascii="宋体" w:hAnsi="宋体"/>
                <w:color w:val="auto"/>
                <w:szCs w:val="21"/>
                <w:highlight w:val="none"/>
              </w:rPr>
              <w:t xml:space="preserve">  0.05%</w:t>
            </w:r>
          </w:p>
        </w:tc>
        <w:tc>
          <w:tcPr>
            <w:tcW w:w="1659" w:type="dxa"/>
            <w:tcBorders>
              <w:top w:val="single" w:color="auto" w:sz="4" w:space="0"/>
              <w:left w:val="single" w:color="auto" w:sz="4" w:space="0"/>
              <w:bottom w:val="single" w:color="auto" w:sz="4" w:space="0"/>
              <w:right w:val="single" w:color="auto" w:sz="4" w:space="0"/>
            </w:tcBorders>
          </w:tcPr>
          <w:p w14:paraId="5B79D58A">
            <w:pPr>
              <w:spacing w:line="360" w:lineRule="auto"/>
              <w:rPr>
                <w:rFonts w:ascii="宋体" w:hAnsi="宋体"/>
                <w:color w:val="auto"/>
                <w:szCs w:val="21"/>
                <w:highlight w:val="none"/>
              </w:rPr>
            </w:pPr>
            <w:r>
              <w:rPr>
                <w:rFonts w:hint="eastAsia" w:ascii="宋体" w:hAnsi="宋体"/>
                <w:color w:val="auto"/>
                <w:szCs w:val="21"/>
                <w:highlight w:val="none"/>
              </w:rPr>
              <w:t xml:space="preserve">  0.05%</w:t>
            </w:r>
          </w:p>
        </w:tc>
      </w:tr>
      <w:tr w14:paraId="1DEA3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14:paraId="5C55436D">
            <w:pPr>
              <w:spacing w:line="360" w:lineRule="auto"/>
              <w:rPr>
                <w:rFonts w:ascii="宋体" w:hAnsi="宋体"/>
                <w:color w:val="auto"/>
                <w:szCs w:val="21"/>
                <w:highlight w:val="none"/>
              </w:rPr>
            </w:pPr>
            <w:r>
              <w:rPr>
                <w:rFonts w:hint="eastAsia" w:ascii="宋体" w:hAnsi="宋体"/>
                <w:color w:val="auto"/>
                <w:szCs w:val="21"/>
                <w:highlight w:val="none"/>
              </w:rPr>
              <w:t>5亿元～10亿元</w:t>
            </w:r>
          </w:p>
        </w:tc>
        <w:tc>
          <w:tcPr>
            <w:tcW w:w="1659" w:type="dxa"/>
            <w:tcBorders>
              <w:top w:val="single" w:color="auto" w:sz="4" w:space="0"/>
              <w:left w:val="single" w:color="auto" w:sz="4" w:space="0"/>
              <w:bottom w:val="single" w:color="auto" w:sz="4" w:space="0"/>
              <w:right w:val="single" w:color="auto" w:sz="4" w:space="0"/>
            </w:tcBorders>
          </w:tcPr>
          <w:p w14:paraId="17BE7CF9">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0.035%</w:t>
            </w:r>
          </w:p>
        </w:tc>
        <w:tc>
          <w:tcPr>
            <w:tcW w:w="1687" w:type="dxa"/>
            <w:tcBorders>
              <w:top w:val="single" w:color="auto" w:sz="4" w:space="0"/>
              <w:left w:val="single" w:color="auto" w:sz="4" w:space="0"/>
              <w:bottom w:val="single" w:color="auto" w:sz="4" w:space="0"/>
              <w:right w:val="single" w:color="auto" w:sz="4" w:space="0"/>
            </w:tcBorders>
          </w:tcPr>
          <w:p w14:paraId="68FC00BA">
            <w:pPr>
              <w:spacing w:line="360" w:lineRule="auto"/>
              <w:rPr>
                <w:rFonts w:ascii="宋体" w:hAnsi="宋体"/>
                <w:color w:val="auto"/>
                <w:szCs w:val="21"/>
                <w:highlight w:val="none"/>
              </w:rPr>
            </w:pPr>
            <w:r>
              <w:rPr>
                <w:rFonts w:hint="eastAsia" w:ascii="宋体" w:hAnsi="宋体"/>
                <w:color w:val="auto"/>
                <w:szCs w:val="21"/>
                <w:highlight w:val="none"/>
              </w:rPr>
              <w:t xml:space="preserve">  0.035%</w:t>
            </w:r>
          </w:p>
        </w:tc>
        <w:tc>
          <w:tcPr>
            <w:tcW w:w="1659" w:type="dxa"/>
            <w:tcBorders>
              <w:top w:val="single" w:color="auto" w:sz="4" w:space="0"/>
              <w:left w:val="single" w:color="auto" w:sz="4" w:space="0"/>
              <w:bottom w:val="single" w:color="auto" w:sz="4" w:space="0"/>
              <w:right w:val="single" w:color="auto" w:sz="4" w:space="0"/>
            </w:tcBorders>
          </w:tcPr>
          <w:p w14:paraId="53B48861">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0.035%</w:t>
            </w:r>
          </w:p>
        </w:tc>
      </w:tr>
      <w:tr w14:paraId="7384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14:paraId="482D8C49">
            <w:pPr>
              <w:spacing w:line="360" w:lineRule="auto"/>
              <w:rPr>
                <w:rFonts w:ascii="宋体" w:hAnsi="宋体"/>
                <w:color w:val="auto"/>
                <w:szCs w:val="21"/>
                <w:highlight w:val="none"/>
              </w:rPr>
            </w:pPr>
            <w:r>
              <w:rPr>
                <w:rFonts w:hint="eastAsia" w:ascii="宋体" w:hAnsi="宋体"/>
                <w:color w:val="auto"/>
                <w:szCs w:val="21"/>
                <w:highlight w:val="none"/>
              </w:rPr>
              <w:t>10亿元～50亿元</w:t>
            </w:r>
          </w:p>
        </w:tc>
        <w:tc>
          <w:tcPr>
            <w:tcW w:w="1659" w:type="dxa"/>
            <w:tcBorders>
              <w:top w:val="single" w:color="auto" w:sz="4" w:space="0"/>
              <w:left w:val="single" w:color="auto" w:sz="4" w:space="0"/>
              <w:bottom w:val="single" w:color="auto" w:sz="4" w:space="0"/>
              <w:right w:val="single" w:color="auto" w:sz="4" w:space="0"/>
            </w:tcBorders>
          </w:tcPr>
          <w:p w14:paraId="5ECD9BF5">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0.008%</w:t>
            </w:r>
          </w:p>
        </w:tc>
        <w:tc>
          <w:tcPr>
            <w:tcW w:w="1687" w:type="dxa"/>
            <w:tcBorders>
              <w:top w:val="single" w:color="auto" w:sz="4" w:space="0"/>
              <w:left w:val="single" w:color="auto" w:sz="4" w:space="0"/>
              <w:bottom w:val="single" w:color="auto" w:sz="4" w:space="0"/>
              <w:right w:val="single" w:color="auto" w:sz="4" w:space="0"/>
            </w:tcBorders>
          </w:tcPr>
          <w:p w14:paraId="7342861D">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0.008%</w:t>
            </w:r>
          </w:p>
        </w:tc>
        <w:tc>
          <w:tcPr>
            <w:tcW w:w="1659" w:type="dxa"/>
            <w:tcBorders>
              <w:top w:val="single" w:color="auto" w:sz="4" w:space="0"/>
              <w:left w:val="single" w:color="auto" w:sz="4" w:space="0"/>
              <w:bottom w:val="single" w:color="auto" w:sz="4" w:space="0"/>
              <w:right w:val="single" w:color="auto" w:sz="4" w:space="0"/>
            </w:tcBorders>
          </w:tcPr>
          <w:p w14:paraId="6F8FAFF9">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0.008%</w:t>
            </w:r>
          </w:p>
        </w:tc>
      </w:tr>
      <w:tr w14:paraId="790E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14:paraId="72E3C2DE">
            <w:pPr>
              <w:spacing w:line="360" w:lineRule="auto"/>
              <w:rPr>
                <w:rFonts w:ascii="宋体" w:hAnsi="宋体"/>
                <w:color w:val="auto"/>
                <w:szCs w:val="21"/>
                <w:highlight w:val="none"/>
              </w:rPr>
            </w:pPr>
            <w:r>
              <w:rPr>
                <w:rFonts w:hint="eastAsia" w:ascii="宋体" w:hAnsi="宋体"/>
                <w:color w:val="auto"/>
                <w:szCs w:val="21"/>
                <w:highlight w:val="none"/>
              </w:rPr>
              <w:t>50亿元～100亿元</w:t>
            </w:r>
          </w:p>
        </w:tc>
        <w:tc>
          <w:tcPr>
            <w:tcW w:w="1659" w:type="dxa"/>
            <w:tcBorders>
              <w:top w:val="single" w:color="auto" w:sz="4" w:space="0"/>
              <w:left w:val="single" w:color="auto" w:sz="4" w:space="0"/>
              <w:bottom w:val="single" w:color="auto" w:sz="4" w:space="0"/>
              <w:right w:val="single" w:color="auto" w:sz="4" w:space="0"/>
            </w:tcBorders>
          </w:tcPr>
          <w:p w14:paraId="7909CEB4">
            <w:pPr>
              <w:spacing w:line="360" w:lineRule="auto"/>
              <w:rPr>
                <w:rFonts w:ascii="宋体" w:hAnsi="宋体"/>
                <w:color w:val="auto"/>
                <w:szCs w:val="21"/>
                <w:highlight w:val="none"/>
              </w:rPr>
            </w:pPr>
            <w:r>
              <w:rPr>
                <w:rFonts w:hint="eastAsia" w:ascii="宋体" w:hAnsi="宋体"/>
                <w:color w:val="auto"/>
                <w:szCs w:val="21"/>
                <w:highlight w:val="none"/>
              </w:rPr>
              <w:t xml:space="preserve"> 0.006%</w:t>
            </w:r>
          </w:p>
        </w:tc>
        <w:tc>
          <w:tcPr>
            <w:tcW w:w="1687" w:type="dxa"/>
            <w:tcBorders>
              <w:top w:val="single" w:color="auto" w:sz="4" w:space="0"/>
              <w:left w:val="single" w:color="auto" w:sz="4" w:space="0"/>
              <w:bottom w:val="single" w:color="auto" w:sz="4" w:space="0"/>
              <w:right w:val="single" w:color="auto" w:sz="4" w:space="0"/>
            </w:tcBorders>
          </w:tcPr>
          <w:p w14:paraId="736BB343">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0.006%</w:t>
            </w:r>
          </w:p>
        </w:tc>
        <w:tc>
          <w:tcPr>
            <w:tcW w:w="1659" w:type="dxa"/>
            <w:tcBorders>
              <w:top w:val="single" w:color="auto" w:sz="4" w:space="0"/>
              <w:left w:val="single" w:color="auto" w:sz="4" w:space="0"/>
              <w:bottom w:val="single" w:color="auto" w:sz="4" w:space="0"/>
              <w:right w:val="single" w:color="auto" w:sz="4" w:space="0"/>
            </w:tcBorders>
          </w:tcPr>
          <w:p w14:paraId="7C20A8A6">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0.006%</w:t>
            </w:r>
          </w:p>
        </w:tc>
      </w:tr>
      <w:tr w14:paraId="7134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14:paraId="03D4020C">
            <w:pPr>
              <w:spacing w:line="360" w:lineRule="auto"/>
              <w:rPr>
                <w:rFonts w:ascii="宋体" w:hAnsi="宋体"/>
                <w:color w:val="auto"/>
                <w:szCs w:val="21"/>
                <w:highlight w:val="none"/>
              </w:rPr>
            </w:pPr>
            <w:r>
              <w:rPr>
                <w:rFonts w:hint="eastAsia" w:ascii="宋体" w:hAnsi="宋体"/>
                <w:color w:val="auto"/>
                <w:szCs w:val="21"/>
                <w:highlight w:val="none"/>
              </w:rPr>
              <w:t>100亿以上</w:t>
            </w:r>
          </w:p>
        </w:tc>
        <w:tc>
          <w:tcPr>
            <w:tcW w:w="1659" w:type="dxa"/>
            <w:tcBorders>
              <w:top w:val="single" w:color="auto" w:sz="4" w:space="0"/>
              <w:left w:val="single" w:color="auto" w:sz="4" w:space="0"/>
              <w:bottom w:val="single" w:color="auto" w:sz="4" w:space="0"/>
              <w:right w:val="single" w:color="auto" w:sz="4" w:space="0"/>
            </w:tcBorders>
          </w:tcPr>
          <w:p w14:paraId="2A8012FC">
            <w:pPr>
              <w:spacing w:line="360" w:lineRule="auto"/>
              <w:rPr>
                <w:rFonts w:ascii="宋体" w:hAnsi="宋体"/>
                <w:color w:val="auto"/>
                <w:szCs w:val="21"/>
                <w:highlight w:val="none"/>
              </w:rPr>
            </w:pPr>
            <w:r>
              <w:rPr>
                <w:rFonts w:hint="eastAsia" w:ascii="宋体" w:hAnsi="宋体"/>
                <w:color w:val="auto"/>
                <w:szCs w:val="21"/>
                <w:highlight w:val="none"/>
              </w:rPr>
              <w:t xml:space="preserve"> 0.004%</w:t>
            </w:r>
          </w:p>
        </w:tc>
        <w:tc>
          <w:tcPr>
            <w:tcW w:w="1687" w:type="dxa"/>
            <w:tcBorders>
              <w:top w:val="single" w:color="auto" w:sz="4" w:space="0"/>
              <w:left w:val="single" w:color="auto" w:sz="4" w:space="0"/>
              <w:bottom w:val="single" w:color="auto" w:sz="4" w:space="0"/>
              <w:right w:val="single" w:color="auto" w:sz="4" w:space="0"/>
            </w:tcBorders>
          </w:tcPr>
          <w:p w14:paraId="717EAA0B">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0.004%</w:t>
            </w:r>
          </w:p>
        </w:tc>
        <w:tc>
          <w:tcPr>
            <w:tcW w:w="1659" w:type="dxa"/>
            <w:tcBorders>
              <w:top w:val="single" w:color="auto" w:sz="4" w:space="0"/>
              <w:left w:val="single" w:color="auto" w:sz="4" w:space="0"/>
              <w:bottom w:val="single" w:color="auto" w:sz="4" w:space="0"/>
              <w:right w:val="single" w:color="auto" w:sz="4" w:space="0"/>
            </w:tcBorders>
          </w:tcPr>
          <w:p w14:paraId="432AE16F">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0.004%</w:t>
            </w:r>
          </w:p>
        </w:tc>
      </w:tr>
    </w:tbl>
    <w:p w14:paraId="664E338C">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注：</w:t>
      </w:r>
      <w:r>
        <w:rPr>
          <w:rFonts w:ascii="宋体" w:hAnsi="宋体" w:cs="宋体"/>
          <w:color w:val="auto"/>
          <w:szCs w:val="21"/>
          <w:highlight w:val="none"/>
        </w:rPr>
        <w:t xml:space="preserve"> </w:t>
      </w:r>
    </w:p>
    <w:p w14:paraId="0F8E1E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按本表费率计算的收费为</w:t>
      </w:r>
      <w:r>
        <w:rPr>
          <w:rFonts w:hint="eastAsia" w:ascii="宋体" w:hAnsi="宋体" w:cs="宋体"/>
          <w:color w:val="auto"/>
          <w:szCs w:val="21"/>
          <w:highlight w:val="none"/>
        </w:rPr>
        <w:t>采购</w:t>
      </w:r>
      <w:r>
        <w:rPr>
          <w:rFonts w:ascii="宋体" w:hAnsi="宋体" w:cs="宋体"/>
          <w:color w:val="auto"/>
          <w:szCs w:val="21"/>
          <w:highlight w:val="none"/>
        </w:rPr>
        <w:t>代理的收费基准价格</w:t>
      </w:r>
      <w:r>
        <w:rPr>
          <w:rFonts w:hint="eastAsia" w:ascii="宋体" w:hAnsi="宋体" w:cs="宋体"/>
          <w:color w:val="auto"/>
          <w:szCs w:val="21"/>
          <w:highlight w:val="none"/>
        </w:rPr>
        <w:t>；</w:t>
      </w:r>
    </w:p>
    <w:p w14:paraId="3997E4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w:t>
      </w:r>
      <w:r>
        <w:rPr>
          <w:rFonts w:ascii="宋体" w:hAnsi="宋体" w:cs="宋体"/>
          <w:color w:val="auto"/>
          <w:szCs w:val="21"/>
          <w:highlight w:val="none"/>
        </w:rPr>
        <w:t>代理收费按差额定率累进法计算。</w:t>
      </w:r>
    </w:p>
    <w:p w14:paraId="2CCFB2A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例如：某</w:t>
      </w:r>
      <w:r>
        <w:rPr>
          <w:rFonts w:hint="eastAsia" w:ascii="宋体" w:hAnsi="宋体" w:cs="宋体"/>
          <w:color w:val="auto"/>
          <w:szCs w:val="21"/>
          <w:highlight w:val="none"/>
        </w:rPr>
        <w:t>货物采购</w:t>
      </w:r>
      <w:r>
        <w:rPr>
          <w:rFonts w:ascii="宋体" w:hAnsi="宋体" w:cs="宋体"/>
          <w:color w:val="auto"/>
          <w:szCs w:val="21"/>
          <w:highlight w:val="none"/>
        </w:rPr>
        <w:t>代理业务</w:t>
      </w:r>
      <w:r>
        <w:rPr>
          <w:rFonts w:hint="eastAsia" w:ascii="宋体" w:hAnsi="宋体" w:cs="宋体"/>
          <w:color w:val="auto"/>
          <w:szCs w:val="21"/>
          <w:highlight w:val="none"/>
        </w:rPr>
        <w:t>中标</w:t>
      </w:r>
      <w:r>
        <w:rPr>
          <w:rFonts w:ascii="宋体" w:hAnsi="宋体" w:cs="宋体"/>
          <w:color w:val="auto"/>
          <w:szCs w:val="21"/>
          <w:highlight w:val="none"/>
        </w:rPr>
        <w:t>金额</w:t>
      </w:r>
      <w:r>
        <w:rPr>
          <w:rFonts w:hint="eastAsia" w:ascii="宋体" w:hAnsi="宋体" w:cs="宋体"/>
          <w:color w:val="auto"/>
          <w:szCs w:val="21"/>
          <w:highlight w:val="none"/>
        </w:rPr>
        <w:t>或者暂定价</w:t>
      </w:r>
      <w:r>
        <w:rPr>
          <w:rFonts w:ascii="宋体" w:hAnsi="宋体" w:cs="宋体"/>
          <w:color w:val="auto"/>
          <w:szCs w:val="21"/>
          <w:highlight w:val="none"/>
        </w:rPr>
        <w:t>为200万元，计算</w:t>
      </w:r>
      <w:r>
        <w:rPr>
          <w:rFonts w:hint="eastAsia" w:ascii="宋体" w:hAnsi="宋体" w:cs="宋体"/>
          <w:color w:val="auto"/>
          <w:szCs w:val="21"/>
          <w:highlight w:val="none"/>
        </w:rPr>
        <w:t>采购</w:t>
      </w:r>
      <w:r>
        <w:rPr>
          <w:rFonts w:ascii="宋体" w:hAnsi="宋体" w:cs="宋体"/>
          <w:color w:val="auto"/>
          <w:szCs w:val="21"/>
          <w:highlight w:val="none"/>
        </w:rPr>
        <w:t>代理收费额如下：</w:t>
      </w:r>
    </w:p>
    <w:p w14:paraId="607616A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100 万元×l.5 ％＝ 1.5 万元</w:t>
      </w:r>
    </w:p>
    <w:p w14:paraId="4B9B17B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200 － 100 ）万元 ×1.1％＝1.1万元</w:t>
      </w:r>
    </w:p>
    <w:p w14:paraId="450E9557">
      <w:pPr>
        <w:pStyle w:val="26"/>
        <w:snapToGrid w:val="0"/>
        <w:spacing w:line="360" w:lineRule="auto"/>
        <w:ind w:firstLine="420" w:firstLineChars="200"/>
        <w:rPr>
          <w:rFonts w:hAnsi="宋体" w:cs="宋体"/>
          <w:color w:val="auto"/>
          <w:sz w:val="21"/>
          <w:highlight w:val="none"/>
        </w:rPr>
      </w:pPr>
      <w:r>
        <w:rPr>
          <w:rFonts w:hAnsi="宋体" w:cs="宋体"/>
          <w:color w:val="auto"/>
          <w:sz w:val="21"/>
          <w:highlight w:val="none"/>
        </w:rPr>
        <w:t>合计收费＝ 1.5</w:t>
      </w:r>
      <w:r>
        <w:rPr>
          <w:rFonts w:hint="eastAsia" w:hAnsi="宋体" w:cs="宋体"/>
          <w:color w:val="auto"/>
          <w:sz w:val="21"/>
          <w:highlight w:val="none"/>
        </w:rPr>
        <w:t>+</w:t>
      </w:r>
      <w:r>
        <w:rPr>
          <w:rFonts w:hAnsi="宋体" w:cs="宋体"/>
          <w:color w:val="auto"/>
          <w:sz w:val="21"/>
          <w:highlight w:val="none"/>
        </w:rPr>
        <w:t>1.1＝ 2.6 （万元）</w:t>
      </w:r>
    </w:p>
    <w:p w14:paraId="6B63D27B">
      <w:pPr>
        <w:pStyle w:val="8"/>
        <w:keepNext w:val="0"/>
        <w:keepLines w:val="0"/>
        <w:spacing w:before="0" w:after="0" w:line="360" w:lineRule="auto"/>
        <w:rPr>
          <w:rFonts w:ascii="黑体" w:hAnsi="黑体" w:eastAsia="黑体"/>
          <w:color w:val="auto"/>
          <w:sz w:val="24"/>
          <w:highlight w:val="none"/>
        </w:rPr>
      </w:pPr>
      <w:r>
        <w:rPr>
          <w:rFonts w:ascii="黑体" w:hAnsi="黑体" w:eastAsia="黑体"/>
          <w:color w:val="auto"/>
          <w:sz w:val="24"/>
          <w:highlight w:val="none"/>
        </w:rPr>
        <w:t>40. 需要补充的其他内容</w:t>
      </w:r>
    </w:p>
    <w:p w14:paraId="0864CAFC">
      <w:pPr>
        <w:pStyle w:val="26"/>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40.1本招标文件解释规则详见“投标人须知前附表”。</w:t>
      </w:r>
    </w:p>
    <w:p w14:paraId="3B1326F1">
      <w:pPr>
        <w:pStyle w:val="26"/>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40.2 其他事项详见“投标人须知前附表”。</w:t>
      </w:r>
    </w:p>
    <w:p w14:paraId="1D9CADA3">
      <w:pPr>
        <w:pStyle w:val="26"/>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40.3</w:t>
      </w:r>
      <w:bookmarkStart w:id="149" w:name="_Hlk65857140"/>
      <w:r>
        <w:rPr>
          <w:rFonts w:hint="eastAsia" w:hAnsi="宋体" w:cs="宋体"/>
          <w:color w:val="auto"/>
          <w:sz w:val="21"/>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48DED94B">
      <w:pPr>
        <w:pStyle w:val="26"/>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45C501FE">
      <w:pPr>
        <w:pStyle w:val="26"/>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6EF9F015">
      <w:pPr>
        <w:pStyle w:val="26"/>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4CDB3BA8">
      <w:pPr>
        <w:pStyle w:val="26"/>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034277AB">
      <w:pPr>
        <w:pStyle w:val="26"/>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依据本招标文件规定享受扶持政策获得政府采购合同的，小微企业不得将合同分包给大中型企业，中型企业不得将合同分包给大型企业。</w:t>
      </w:r>
      <w:bookmarkEnd w:id="149"/>
    </w:p>
    <w:p w14:paraId="6F11D078">
      <w:pPr>
        <w:pStyle w:val="21"/>
        <w:ind w:left="479" w:leftChars="114" w:hanging="240" w:hangingChars="100"/>
        <w:rPr>
          <w:rFonts w:hAnsi="宋体"/>
          <w:color w:val="auto"/>
          <w:highlight w:val="none"/>
        </w:rPr>
      </w:pPr>
    </w:p>
    <w:p w14:paraId="50079B16">
      <w:pPr>
        <w:pStyle w:val="26"/>
        <w:snapToGrid w:val="0"/>
        <w:spacing w:before="120" w:after="120"/>
        <w:rPr>
          <w:rFonts w:hAnsi="宋体"/>
          <w:color w:val="auto"/>
          <w:highlight w:val="none"/>
        </w:rPr>
      </w:pPr>
    </w:p>
    <w:p w14:paraId="031A337F">
      <w:pPr>
        <w:pStyle w:val="26"/>
        <w:snapToGrid w:val="0"/>
        <w:spacing w:before="120" w:after="120"/>
        <w:rPr>
          <w:rFonts w:hAnsi="宋体"/>
          <w:color w:val="auto"/>
          <w:highlight w:val="none"/>
        </w:rPr>
      </w:pPr>
    </w:p>
    <w:p w14:paraId="7B3C2013">
      <w:pPr>
        <w:pStyle w:val="26"/>
        <w:snapToGrid w:val="0"/>
        <w:spacing w:before="120" w:after="120"/>
        <w:rPr>
          <w:rFonts w:hAnsi="宋体"/>
          <w:color w:val="auto"/>
          <w:highlight w:val="none"/>
        </w:rPr>
      </w:pPr>
    </w:p>
    <w:p w14:paraId="25E83058">
      <w:pPr>
        <w:pStyle w:val="26"/>
        <w:snapToGrid w:val="0"/>
        <w:spacing w:before="120" w:after="120"/>
        <w:rPr>
          <w:rFonts w:hAnsi="宋体"/>
          <w:color w:val="auto"/>
          <w:highlight w:val="none"/>
        </w:rPr>
      </w:pPr>
    </w:p>
    <w:p w14:paraId="1F0C3136">
      <w:pPr>
        <w:pStyle w:val="26"/>
        <w:snapToGrid w:val="0"/>
        <w:spacing w:before="120" w:after="120"/>
        <w:rPr>
          <w:rFonts w:hAnsi="宋体"/>
          <w:color w:val="auto"/>
          <w:highlight w:val="none"/>
        </w:rPr>
      </w:pPr>
    </w:p>
    <w:p w14:paraId="65912E41">
      <w:pPr>
        <w:pStyle w:val="26"/>
        <w:snapToGrid w:val="0"/>
        <w:spacing w:before="120" w:after="120"/>
        <w:rPr>
          <w:rFonts w:hAnsi="宋体"/>
          <w:color w:val="auto"/>
          <w:highlight w:val="none"/>
        </w:rPr>
      </w:pPr>
    </w:p>
    <w:p w14:paraId="697F2EA4">
      <w:pPr>
        <w:pStyle w:val="26"/>
        <w:snapToGrid w:val="0"/>
        <w:spacing w:before="120" w:after="120"/>
        <w:rPr>
          <w:rFonts w:hAnsi="宋体"/>
          <w:color w:val="auto"/>
          <w:highlight w:val="none"/>
        </w:rPr>
      </w:pPr>
    </w:p>
    <w:p w14:paraId="0FCE833A">
      <w:pPr>
        <w:pStyle w:val="26"/>
        <w:snapToGrid w:val="0"/>
        <w:spacing w:before="120" w:after="120"/>
        <w:rPr>
          <w:rFonts w:hAnsi="宋体"/>
          <w:color w:val="auto"/>
          <w:highlight w:val="none"/>
        </w:rPr>
      </w:pPr>
    </w:p>
    <w:p w14:paraId="5BDA686A">
      <w:pPr>
        <w:pStyle w:val="26"/>
        <w:snapToGrid w:val="0"/>
        <w:spacing w:before="120" w:after="120"/>
        <w:rPr>
          <w:rFonts w:hAnsi="宋体"/>
          <w:color w:val="auto"/>
          <w:highlight w:val="none"/>
        </w:rPr>
      </w:pPr>
    </w:p>
    <w:p w14:paraId="66285E76">
      <w:pPr>
        <w:pStyle w:val="26"/>
        <w:snapToGrid w:val="0"/>
        <w:spacing w:before="120" w:after="120"/>
        <w:rPr>
          <w:rFonts w:hAnsi="宋体"/>
          <w:color w:val="auto"/>
          <w:highlight w:val="none"/>
        </w:rPr>
      </w:pPr>
    </w:p>
    <w:p w14:paraId="0A293576">
      <w:pPr>
        <w:pStyle w:val="26"/>
        <w:snapToGrid w:val="0"/>
        <w:spacing w:before="120" w:after="120"/>
        <w:rPr>
          <w:rFonts w:hAnsi="宋体"/>
          <w:color w:val="auto"/>
          <w:highlight w:val="none"/>
        </w:rPr>
      </w:pPr>
    </w:p>
    <w:p w14:paraId="7F0E7B4B">
      <w:pPr>
        <w:pStyle w:val="26"/>
        <w:snapToGrid w:val="0"/>
        <w:spacing w:before="120" w:after="120"/>
        <w:rPr>
          <w:rFonts w:hAnsi="宋体"/>
          <w:color w:val="auto"/>
          <w:highlight w:val="none"/>
        </w:rPr>
      </w:pPr>
    </w:p>
    <w:p w14:paraId="5D61148F">
      <w:pPr>
        <w:pStyle w:val="26"/>
        <w:snapToGrid w:val="0"/>
        <w:spacing w:before="120" w:after="120"/>
        <w:rPr>
          <w:rFonts w:hAnsi="宋体"/>
          <w:color w:val="auto"/>
          <w:highlight w:val="none"/>
        </w:rPr>
      </w:pPr>
    </w:p>
    <w:p w14:paraId="7DB98973">
      <w:pPr>
        <w:pStyle w:val="5"/>
        <w:jc w:val="center"/>
        <w:rPr>
          <w:color w:val="auto"/>
          <w:highlight w:val="none"/>
        </w:rPr>
      </w:pPr>
      <w:bookmarkStart w:id="150" w:name="_Toc254970689"/>
      <w:bookmarkStart w:id="151" w:name="_Toc74320803"/>
      <w:bookmarkStart w:id="152" w:name="_Toc330456896"/>
      <w:bookmarkStart w:id="153" w:name="_Toc254970548"/>
      <w:r>
        <w:rPr>
          <w:rFonts w:hint="eastAsia"/>
          <w:color w:val="auto"/>
          <w:highlight w:val="none"/>
        </w:rPr>
        <w:t>第四章  评标方法及评标标准</w:t>
      </w:r>
      <w:bookmarkEnd w:id="150"/>
      <w:bookmarkEnd w:id="151"/>
      <w:bookmarkEnd w:id="152"/>
      <w:bookmarkEnd w:id="153"/>
    </w:p>
    <w:p w14:paraId="2A33F9FD">
      <w:pPr>
        <w:pStyle w:val="7"/>
        <w:keepNext w:val="0"/>
        <w:keepLines w:val="0"/>
        <w:jc w:val="center"/>
        <w:rPr>
          <w:color w:val="auto"/>
          <w:sz w:val="30"/>
          <w:szCs w:val="30"/>
          <w:highlight w:val="none"/>
        </w:rPr>
      </w:pPr>
      <w:r>
        <w:rPr>
          <w:rFonts w:hint="eastAsia"/>
          <w:color w:val="auto"/>
          <w:sz w:val="30"/>
          <w:szCs w:val="30"/>
          <w:highlight w:val="none"/>
        </w:rPr>
        <w:t>一、评标方法</w:t>
      </w:r>
    </w:p>
    <w:p w14:paraId="05763B5E">
      <w:pPr>
        <w:pStyle w:val="26"/>
        <w:spacing w:line="360" w:lineRule="auto"/>
        <w:ind w:firstLine="420"/>
        <w:rPr>
          <w:rFonts w:hAnsi="宋体"/>
          <w:color w:val="auto"/>
          <w:sz w:val="21"/>
          <w:highlight w:val="none"/>
        </w:rPr>
      </w:pPr>
      <w:r>
        <w:rPr>
          <w:rFonts w:hint="eastAsia" w:hAnsi="宋体"/>
          <w:color w:val="auto"/>
          <w:sz w:val="21"/>
          <w:highlight w:val="none"/>
        </w:rPr>
        <w:t>综合评分法，是指投标文件满足招标文件全部实质性要求，且按照评审因素的量化指标评审得分最高的投标人为中标候选人的评标方法。</w:t>
      </w:r>
    </w:p>
    <w:p w14:paraId="36D6993D">
      <w:pPr>
        <w:pStyle w:val="26"/>
        <w:spacing w:line="360" w:lineRule="auto"/>
        <w:ind w:firstLine="420"/>
        <w:rPr>
          <w:rFonts w:hAnsi="宋体"/>
          <w:color w:val="auto"/>
          <w:sz w:val="21"/>
          <w:highlight w:val="none"/>
        </w:rPr>
      </w:pPr>
      <w:r>
        <w:rPr>
          <w:rFonts w:hint="eastAsia" w:hAnsi="宋体"/>
          <w:color w:val="auto"/>
          <w:sz w:val="21"/>
          <w:highlight w:val="none"/>
        </w:rPr>
        <w:t>最低评标价法，是指投标文件满足招标文件全部实质性要求，且投标报价最低的投标人为中标候选人的评标方法。</w:t>
      </w:r>
    </w:p>
    <w:p w14:paraId="1C1F1844">
      <w:pPr>
        <w:pStyle w:val="7"/>
        <w:keepNext w:val="0"/>
        <w:keepLines w:val="0"/>
        <w:jc w:val="center"/>
        <w:rPr>
          <w:color w:val="auto"/>
          <w:sz w:val="30"/>
          <w:szCs w:val="30"/>
          <w:highlight w:val="none"/>
        </w:rPr>
      </w:pPr>
      <w:r>
        <w:rPr>
          <w:rFonts w:hint="eastAsia"/>
          <w:color w:val="auto"/>
          <w:sz w:val="30"/>
          <w:szCs w:val="30"/>
          <w:highlight w:val="none"/>
        </w:rPr>
        <w:t>二、评标程序</w:t>
      </w:r>
    </w:p>
    <w:p w14:paraId="58EE26B7">
      <w:pPr>
        <w:pStyle w:val="8"/>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1.符合性审查</w:t>
      </w:r>
    </w:p>
    <w:p w14:paraId="76538AC8">
      <w:pPr>
        <w:pStyle w:val="26"/>
        <w:snapToGrid w:val="0"/>
        <w:spacing w:line="360" w:lineRule="auto"/>
        <w:ind w:left="1" w:firstLine="420"/>
        <w:rPr>
          <w:rFonts w:hAnsi="宋体"/>
          <w:b/>
          <w:color w:val="auto"/>
          <w:kern w:val="2"/>
          <w:sz w:val="21"/>
          <w:highlight w:val="none"/>
        </w:rPr>
      </w:pPr>
      <w:r>
        <w:rPr>
          <w:rFonts w:hint="eastAsia" w:hAnsi="宋体"/>
          <w:b/>
          <w:color w:val="auto"/>
          <w:kern w:val="2"/>
          <w:sz w:val="21"/>
          <w:highlight w:val="none"/>
        </w:rPr>
        <w:t>评标委员会应当对符合资格的投标人的投标文件进行投标报价、商务、技术等实质性内容符合性审查，以确定其是否满足招标文件的实质性要求。</w:t>
      </w:r>
    </w:p>
    <w:p w14:paraId="5D03D93D">
      <w:pPr>
        <w:pStyle w:val="8"/>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符合性审查不通过而导致投标无效的情形</w:t>
      </w:r>
    </w:p>
    <w:p w14:paraId="29F90ECC">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投标人的投标文件中存在对招标文件的任何实质性要求和条件的负偏离，将被视为投标无效。</w:t>
      </w:r>
    </w:p>
    <w:p w14:paraId="6B774B03">
      <w:pPr>
        <w:pStyle w:val="8"/>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2.1在报价评审时，如发现下列情形之一的，将被视为投标无效：</w:t>
      </w:r>
    </w:p>
    <w:p w14:paraId="04F9B539">
      <w:pPr>
        <w:pStyle w:val="9"/>
        <w:numPr>
          <w:ilvl w:val="0"/>
          <w:numId w:val="7"/>
        </w:numPr>
        <w:spacing w:line="360" w:lineRule="auto"/>
        <w:ind w:firstLine="422"/>
        <w:rPr>
          <w:rFonts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未提供“投标人须知前附表”第13条“报价文件”规定中“必须提供”的文件资料的；</w:t>
      </w:r>
    </w:p>
    <w:p w14:paraId="19051B4F">
      <w:pPr>
        <w:pStyle w:val="9"/>
        <w:numPr>
          <w:ilvl w:val="0"/>
          <w:numId w:val="7"/>
        </w:numPr>
        <w:spacing w:line="360" w:lineRule="auto"/>
        <w:ind w:firstLine="422"/>
        <w:rPr>
          <w:rFonts w:ascii="宋体" w:hAnsi="宋体"/>
          <w:b/>
          <w:color w:val="auto"/>
          <w:szCs w:val="21"/>
          <w:highlight w:val="none"/>
        </w:rPr>
      </w:pPr>
      <w:r>
        <w:rPr>
          <w:rFonts w:hint="eastAsia" w:ascii="宋体" w:hAnsi="宋体"/>
          <w:b/>
          <w:color w:val="auto"/>
          <w:szCs w:val="21"/>
          <w:highlight w:val="none"/>
        </w:rPr>
        <w:t>未采用人民币报价或者未按照招标文件标明的币种报价的；</w:t>
      </w:r>
    </w:p>
    <w:p w14:paraId="6CA9855F">
      <w:pPr>
        <w:pStyle w:val="9"/>
        <w:numPr>
          <w:ilvl w:val="0"/>
          <w:numId w:val="7"/>
        </w:numPr>
        <w:spacing w:line="360" w:lineRule="auto"/>
        <w:ind w:firstLine="422"/>
        <w:rPr>
          <w:rFonts w:ascii="宋体" w:hAnsi="宋体"/>
          <w:b/>
          <w:color w:val="auto"/>
          <w:szCs w:val="21"/>
          <w:highlight w:val="none"/>
        </w:rPr>
      </w:pPr>
      <w:r>
        <w:rPr>
          <w:rFonts w:hint="eastAsia" w:ascii="宋体" w:hAnsi="宋体"/>
          <w:b/>
          <w:color w:val="auto"/>
          <w:szCs w:val="21"/>
          <w:highlight w:val="none"/>
        </w:rPr>
        <w:t>各分标报价超出招标文件相应分标规定最高限价，或者超出相应分标采购预算金额的；</w:t>
      </w:r>
    </w:p>
    <w:p w14:paraId="5F9E5A81">
      <w:pPr>
        <w:pStyle w:val="9"/>
        <w:numPr>
          <w:ilvl w:val="0"/>
          <w:numId w:val="7"/>
        </w:numPr>
        <w:spacing w:line="360" w:lineRule="auto"/>
        <w:ind w:firstLine="422"/>
        <w:rPr>
          <w:rFonts w:ascii="宋体" w:hAnsi="宋体"/>
          <w:b/>
          <w:color w:val="auto"/>
          <w:szCs w:val="21"/>
          <w:highlight w:val="none"/>
        </w:rPr>
      </w:pPr>
      <w:r>
        <w:rPr>
          <w:rFonts w:hint="eastAsia" w:ascii="宋体" w:hAnsi="宋体"/>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1A0EC24A">
      <w:pPr>
        <w:pStyle w:val="9"/>
        <w:numPr>
          <w:ilvl w:val="0"/>
          <w:numId w:val="7"/>
        </w:numPr>
        <w:spacing w:line="360" w:lineRule="auto"/>
        <w:ind w:firstLine="422"/>
        <w:rPr>
          <w:rFonts w:ascii="宋体" w:hAnsi="宋体"/>
          <w:b/>
          <w:color w:val="auto"/>
          <w:szCs w:val="21"/>
          <w:highlight w:val="none"/>
        </w:rPr>
      </w:pPr>
      <w:r>
        <w:rPr>
          <w:rFonts w:hint="eastAsia" w:ascii="宋体" w:hAnsi="宋体"/>
          <w:b/>
          <w:color w:val="auto"/>
          <w:szCs w:val="21"/>
          <w:highlight w:val="none"/>
        </w:rPr>
        <w:t>修正后的报价，投标人不确认的；</w:t>
      </w:r>
    </w:p>
    <w:p w14:paraId="7EE62C20">
      <w:pPr>
        <w:pStyle w:val="9"/>
        <w:numPr>
          <w:ilvl w:val="0"/>
          <w:numId w:val="7"/>
        </w:numPr>
        <w:spacing w:line="360" w:lineRule="auto"/>
        <w:ind w:firstLine="422"/>
        <w:rPr>
          <w:rFonts w:ascii="宋体" w:hAnsi="宋体"/>
          <w:b/>
          <w:color w:val="auto"/>
          <w:szCs w:val="21"/>
          <w:highlight w:val="none"/>
        </w:rPr>
      </w:pPr>
      <w:r>
        <w:rPr>
          <w:rFonts w:hint="eastAsia" w:ascii="宋体" w:hAnsi="宋体"/>
          <w:b/>
          <w:color w:val="auto"/>
          <w:szCs w:val="21"/>
          <w:highlight w:val="none"/>
        </w:rPr>
        <w:t>投标人属于本章第</w:t>
      </w:r>
      <w:r>
        <w:rPr>
          <w:rFonts w:ascii="宋体" w:hAnsi="宋体"/>
          <w:b/>
          <w:color w:val="auto"/>
          <w:szCs w:val="21"/>
          <w:highlight w:val="none"/>
        </w:rPr>
        <w:t>5.1</w:t>
      </w:r>
      <w:r>
        <w:rPr>
          <w:rFonts w:hint="eastAsia" w:ascii="宋体" w:hAnsi="宋体"/>
          <w:b/>
          <w:color w:val="auto"/>
          <w:szCs w:val="21"/>
          <w:highlight w:val="none"/>
        </w:rPr>
        <w:t>条（2）或者第5</w:t>
      </w:r>
      <w:r>
        <w:rPr>
          <w:rFonts w:ascii="宋体" w:hAnsi="宋体"/>
          <w:b/>
          <w:color w:val="auto"/>
          <w:szCs w:val="21"/>
          <w:highlight w:val="none"/>
        </w:rPr>
        <w:t>.2条</w:t>
      </w:r>
      <w:r>
        <w:rPr>
          <w:rFonts w:hint="eastAsia" w:ascii="宋体" w:hAnsi="宋体"/>
          <w:b/>
          <w:color w:val="auto"/>
          <w:szCs w:val="21"/>
          <w:highlight w:val="none"/>
        </w:rPr>
        <w:t>（2）项情形的；</w:t>
      </w:r>
    </w:p>
    <w:p w14:paraId="1B6DE3C9">
      <w:pPr>
        <w:pStyle w:val="9"/>
        <w:numPr>
          <w:ilvl w:val="0"/>
          <w:numId w:val="7"/>
        </w:numPr>
        <w:spacing w:line="360" w:lineRule="auto"/>
        <w:ind w:firstLine="422"/>
        <w:rPr>
          <w:rFonts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响应的标的数量及单位与招标文件要求实质性不一致的。</w:t>
      </w:r>
    </w:p>
    <w:p w14:paraId="10347CC5">
      <w:pPr>
        <w:pStyle w:val="8"/>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2.2在商务及技术评审时，如发现下列情形之一的，将被视为投标无效：</w:t>
      </w:r>
    </w:p>
    <w:p w14:paraId="1118655D">
      <w:pPr>
        <w:numPr>
          <w:ilvl w:val="0"/>
          <w:numId w:val="8"/>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投标文件未按招标文件要求签署、盖章的；</w:t>
      </w:r>
    </w:p>
    <w:p w14:paraId="7AEB549D">
      <w:pPr>
        <w:numPr>
          <w:ilvl w:val="0"/>
          <w:numId w:val="8"/>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委托代理人未能出具有效身份证或者出具的身份证与授权委托书中的信息不符的；</w:t>
      </w:r>
    </w:p>
    <w:p w14:paraId="2E9452FA">
      <w:pPr>
        <w:numPr>
          <w:ilvl w:val="0"/>
          <w:numId w:val="8"/>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为无效投标保证金的或者未按照招标文件的规定提交投标保证金的；</w:t>
      </w:r>
    </w:p>
    <w:p w14:paraId="0EBC850A">
      <w:pPr>
        <w:numPr>
          <w:ilvl w:val="0"/>
          <w:numId w:val="8"/>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投标文件未提供“投标人须知前附表”第13条“商务及技术文件”规定中“必须提供”或者“委托时必须提供”的文件资料的；</w:t>
      </w:r>
    </w:p>
    <w:p w14:paraId="21135257">
      <w:pPr>
        <w:numPr>
          <w:ilvl w:val="0"/>
          <w:numId w:val="8"/>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允许负偏离的条款数超过“投标人须知前附表”规定项数的；</w:t>
      </w:r>
    </w:p>
    <w:p w14:paraId="6A94007D">
      <w:pPr>
        <w:numPr>
          <w:ilvl w:val="0"/>
          <w:numId w:val="8"/>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投标文件的实质性内容未使用中文表述、使用计量单位不符合招标文件要求的；</w:t>
      </w:r>
    </w:p>
    <w:p w14:paraId="086D54B5">
      <w:pPr>
        <w:numPr>
          <w:ilvl w:val="0"/>
          <w:numId w:val="8"/>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投标文件中的文件资料因填写不齐全或者内容虚假或者出现其他情形而导致被评标委员会认定无效的；</w:t>
      </w:r>
    </w:p>
    <w:p w14:paraId="00EC486C">
      <w:pPr>
        <w:numPr>
          <w:ilvl w:val="0"/>
          <w:numId w:val="8"/>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投标文件含有采购人不能接受的附加条件的；</w:t>
      </w:r>
    </w:p>
    <w:p w14:paraId="77E3290B">
      <w:pPr>
        <w:numPr>
          <w:ilvl w:val="0"/>
          <w:numId w:val="8"/>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属于投标人须知正文第</w:t>
      </w:r>
      <w:r>
        <w:rPr>
          <w:rFonts w:ascii="宋体" w:hAnsi="宋体"/>
          <w:b/>
          <w:color w:val="auto"/>
          <w:szCs w:val="21"/>
          <w:highlight w:val="none"/>
        </w:rPr>
        <w:t>9.2</w:t>
      </w:r>
      <w:r>
        <w:rPr>
          <w:rFonts w:hint="eastAsia" w:ascii="宋体" w:hAnsi="宋体"/>
          <w:b/>
          <w:color w:val="auto"/>
          <w:szCs w:val="21"/>
          <w:highlight w:val="none"/>
        </w:rPr>
        <w:t>条情形的；</w:t>
      </w:r>
    </w:p>
    <w:p w14:paraId="6687D1F3">
      <w:pPr>
        <w:numPr>
          <w:ilvl w:val="0"/>
          <w:numId w:val="8"/>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投标文件标注的项目名称或者项目编号与招标文件标注的项目名称或者项目编号不一致的；</w:t>
      </w:r>
    </w:p>
    <w:p w14:paraId="4E799CE3">
      <w:pPr>
        <w:numPr>
          <w:ilvl w:val="0"/>
          <w:numId w:val="8"/>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投标文件中承诺的投标有效期低于招标文件要求的期限的；</w:t>
      </w:r>
    </w:p>
    <w:p w14:paraId="678CC2C4">
      <w:pPr>
        <w:numPr>
          <w:ilvl w:val="0"/>
          <w:numId w:val="8"/>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招标文件明确不允许分包，投标文件拟分包的；</w:t>
      </w:r>
    </w:p>
    <w:p w14:paraId="2890EF37">
      <w:pPr>
        <w:pStyle w:val="3"/>
        <w:numPr>
          <w:ilvl w:val="0"/>
          <w:numId w:val="8"/>
        </w:numPr>
        <w:snapToGrid w:val="0"/>
        <w:spacing w:line="360" w:lineRule="auto"/>
        <w:ind w:firstLine="413" w:firstLineChars="0"/>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虚假投标，或者出现其他情形而导致被评标委员会认定无效的；</w:t>
      </w:r>
    </w:p>
    <w:p w14:paraId="28A5A2D8">
      <w:pPr>
        <w:pStyle w:val="3"/>
        <w:numPr>
          <w:ilvl w:val="0"/>
          <w:numId w:val="8"/>
        </w:numPr>
        <w:snapToGrid w:val="0"/>
        <w:spacing w:line="360" w:lineRule="auto"/>
        <w:ind w:firstLine="413" w:firstLineChars="0"/>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招标文件未载明允许提供备选（替代）投标方案或明确不允许提供备选（替代）投标方案时，投标人提供了备选（替代）投标方案的；</w:t>
      </w:r>
    </w:p>
    <w:p w14:paraId="53620001">
      <w:pPr>
        <w:pStyle w:val="3"/>
        <w:numPr>
          <w:ilvl w:val="0"/>
          <w:numId w:val="8"/>
        </w:numPr>
        <w:snapToGrid w:val="0"/>
        <w:spacing w:line="360" w:lineRule="auto"/>
        <w:ind w:firstLine="413" w:firstLineChars="0"/>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未响应招标文件实质性要求的。</w:t>
      </w:r>
    </w:p>
    <w:p w14:paraId="24C8EAEA">
      <w:pPr>
        <w:numPr>
          <w:ilvl w:val="0"/>
          <w:numId w:val="8"/>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法律、法规和招标文件规定的其他无效情形。</w:t>
      </w:r>
    </w:p>
    <w:p w14:paraId="532B19DC">
      <w:pPr>
        <w:pStyle w:val="8"/>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澄清补正</w:t>
      </w:r>
    </w:p>
    <w:p w14:paraId="1D08F530">
      <w:pPr>
        <w:spacing w:line="360" w:lineRule="auto"/>
        <w:ind w:firstLine="420" w:firstLineChars="200"/>
        <w:rPr>
          <w:rFonts w:ascii="宋体" w:hAnsi="宋体" w:cs="Courier New"/>
          <w:b/>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269CE92D">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5AA8DD39">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未按评标委员会的要求作出明确澄清、说明或者更正的投标人的投标文件将按照有利于采购人的原则由评标委员会进行判定。</w:t>
      </w:r>
    </w:p>
    <w:p w14:paraId="435FB33B">
      <w:pPr>
        <w:pStyle w:val="8"/>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投标文件修正</w:t>
      </w:r>
    </w:p>
    <w:p w14:paraId="52C3E88C">
      <w:pPr>
        <w:pStyle w:val="8"/>
        <w:keepNext w:val="0"/>
        <w:keepLines w:val="0"/>
        <w:spacing w:before="0" w:after="0" w:line="360" w:lineRule="auto"/>
        <w:ind w:left="420" w:leftChars="200"/>
        <w:rPr>
          <w:rFonts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 xml:space="preserve">.1投标文件报价出现前后不一致的，按照下列规定修正： </w:t>
      </w:r>
    </w:p>
    <w:p w14:paraId="33F11509">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（1）投标文件中开标一览表（报价表）内容与投标文件中相应内容不一致的，以开标一览表（报价表）为准；</w:t>
      </w:r>
    </w:p>
    <w:p w14:paraId="122AFB47">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（2）大写金额和小写金额不一致的，以大写金额为准；</w:t>
      </w:r>
    </w:p>
    <w:p w14:paraId="77164E97">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（3）单价金额小数点或者百分比有明显错位的，以开标一览表的总价为准，并修改单价；</w:t>
      </w:r>
    </w:p>
    <w:p w14:paraId="6AA23256">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（4）总价金额与按单价汇总金额不一致的，以单价金额计算结果为准。</w:t>
      </w:r>
    </w:p>
    <w:p w14:paraId="028A3B08">
      <w:pPr>
        <w:pStyle w:val="26"/>
        <w:snapToGrid w:val="0"/>
        <w:spacing w:line="360" w:lineRule="auto"/>
        <w:ind w:firstLine="420" w:firstLineChars="200"/>
        <w:rPr>
          <w:rFonts w:hAnsi="宋体"/>
          <w:color w:val="auto"/>
          <w:sz w:val="21"/>
          <w:highlight w:val="none"/>
        </w:rPr>
      </w:pPr>
      <w:r>
        <w:rPr>
          <w:rFonts w:hint="eastAsia" w:hAnsi="宋体"/>
          <w:color w:val="auto"/>
          <w:sz w:val="21"/>
          <w:highlight w:val="none"/>
        </w:rPr>
        <w:t>同时出现两种以上不一致的，按照以上（1）-（4）规定的顺序修正。修正后的报价经投标人确认后产生约束力，投标人不确认的，</w:t>
      </w:r>
      <w:r>
        <w:rPr>
          <w:rFonts w:hint="eastAsia" w:hAnsi="宋体"/>
          <w:b/>
          <w:color w:val="auto"/>
          <w:kern w:val="2"/>
          <w:sz w:val="21"/>
          <w:highlight w:val="none"/>
        </w:rPr>
        <w:t>其投标无效</w:t>
      </w:r>
      <w:r>
        <w:rPr>
          <w:rFonts w:hint="eastAsia" w:hAnsi="宋体"/>
          <w:color w:val="auto"/>
          <w:sz w:val="21"/>
          <w:highlight w:val="none"/>
        </w:rPr>
        <w:t>。</w:t>
      </w:r>
    </w:p>
    <w:p w14:paraId="2FF0F6FF">
      <w:pPr>
        <w:pStyle w:val="8"/>
        <w:keepNext w:val="0"/>
        <w:keepLines w:val="0"/>
        <w:spacing w:before="0" w:after="0" w:line="360" w:lineRule="auto"/>
        <w:rPr>
          <w:rFonts w:ascii="宋体" w:hAnsi="宋体"/>
          <w:b w:val="0"/>
          <w:color w:val="auto"/>
          <w:sz w:val="21"/>
          <w:szCs w:val="21"/>
          <w:highlight w:val="none"/>
        </w:rPr>
      </w:pPr>
      <w:r>
        <w:rPr>
          <w:rFonts w:ascii="宋体" w:hAnsi="宋体"/>
          <w:b w:val="0"/>
          <w:color w:val="auto"/>
          <w:sz w:val="21"/>
          <w:szCs w:val="21"/>
          <w:highlight w:val="none"/>
        </w:rPr>
        <w:t xml:space="preserve">    4</w:t>
      </w:r>
      <w:r>
        <w:rPr>
          <w:rFonts w:hint="eastAsia" w:ascii="宋体" w:hAnsi="宋体"/>
          <w:b w:val="0"/>
          <w:color w:val="auto"/>
          <w:sz w:val="21"/>
          <w:szCs w:val="21"/>
          <w:highlight w:val="none"/>
        </w:rPr>
        <w:t>.2经投标人确认修正后的报价若超过采购预算金额或者最高限价，</w:t>
      </w:r>
      <w:r>
        <w:rPr>
          <w:rFonts w:hint="eastAsia" w:ascii="宋体" w:hAnsi="宋体"/>
          <w:color w:val="auto"/>
          <w:sz w:val="21"/>
          <w:szCs w:val="21"/>
          <w:highlight w:val="none"/>
        </w:rPr>
        <w:t>投标人的投标文件作无效投标处理</w:t>
      </w:r>
      <w:r>
        <w:rPr>
          <w:rFonts w:hint="eastAsia" w:ascii="宋体" w:hAnsi="宋体"/>
          <w:b w:val="0"/>
          <w:color w:val="auto"/>
          <w:sz w:val="21"/>
          <w:szCs w:val="21"/>
          <w:highlight w:val="none"/>
        </w:rPr>
        <w:t>。</w:t>
      </w:r>
    </w:p>
    <w:p w14:paraId="36A23DBF">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14:paraId="70C1A98B">
      <w:pPr>
        <w:pStyle w:val="8"/>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比较与评价</w:t>
      </w:r>
    </w:p>
    <w:p w14:paraId="64971F63">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5.1采用综合评分法的</w:t>
      </w:r>
    </w:p>
    <w:p w14:paraId="4509F97A">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（1）评标委员会按照招标文件中规定的评标方法及评标标准，对符合性审查合格的投标文件进行商务和技术评估，综合比较与评价。</w:t>
      </w:r>
    </w:p>
    <w:p w14:paraId="7731B43A">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（2）评标委员会独立对每个投标人的投标文件进行评价，并汇总每个投标人的得分。</w:t>
      </w:r>
    </w:p>
    <w:p w14:paraId="54AE5E81">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zCs w:val="21"/>
          <w:highlight w:val="none"/>
        </w:rPr>
        <w:t>投标人不能证明其报价合理性的，评标委员会将其作为无效投标处理</w:t>
      </w:r>
      <w:r>
        <w:rPr>
          <w:rFonts w:hint="eastAsia" w:ascii="宋体" w:hAnsi="宋体"/>
          <w:color w:val="auto"/>
          <w:szCs w:val="21"/>
          <w:highlight w:val="none"/>
        </w:rPr>
        <w:t>。</w:t>
      </w:r>
    </w:p>
    <w:p w14:paraId="4037AD7E">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（3）评标委员会按照招标文件中规定的评标方法和标准计算各投标人的报价得分。在计算过程中，不得去掉最高报价或者最低报价。</w:t>
      </w:r>
    </w:p>
    <w:p w14:paraId="12E5E79B">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（4）各投标人的得分为所有评委的有效评分的算术平均数。</w:t>
      </w:r>
    </w:p>
    <w:p w14:paraId="5D6E4D76">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（5）评标委员会按照招标文件中的规定推荐中标候选人。</w:t>
      </w:r>
    </w:p>
    <w:p w14:paraId="2781FA1D">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12BFA657">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5.2采用</w:t>
      </w:r>
      <w:r>
        <w:rPr>
          <w:rFonts w:hint="eastAsia" w:hAnsi="宋体"/>
          <w:color w:val="auto"/>
          <w:highlight w:val="none"/>
        </w:rPr>
        <w:t>最低评标价法</w:t>
      </w:r>
      <w:r>
        <w:rPr>
          <w:rFonts w:hint="eastAsia" w:ascii="宋体" w:hAnsi="宋体"/>
          <w:color w:val="auto"/>
          <w:szCs w:val="21"/>
          <w:highlight w:val="none"/>
        </w:rPr>
        <w:t>的</w:t>
      </w:r>
    </w:p>
    <w:p w14:paraId="5B1D399F">
      <w:pPr>
        <w:snapToGrid w:val="0"/>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（1）评标委员会按照招标文件中规定的评标方法及评标标准，对符合性审查合格的投标文件报价进行比较。</w:t>
      </w:r>
    </w:p>
    <w:p w14:paraId="6AA7C2B9">
      <w:pPr>
        <w:snapToGrid w:val="0"/>
        <w:spacing w:line="360" w:lineRule="auto"/>
        <w:ind w:firstLine="399" w:firstLineChars="202"/>
        <w:jc w:val="left"/>
        <w:rPr>
          <w:rFonts w:ascii="宋体" w:hAnsi="宋体"/>
          <w:color w:val="auto"/>
          <w:spacing w:val="-6"/>
          <w:szCs w:val="21"/>
          <w:highlight w:val="none"/>
        </w:rPr>
      </w:pPr>
      <w:r>
        <w:rPr>
          <w:rFonts w:hint="eastAsia" w:ascii="宋体" w:hAnsi="宋体"/>
          <w:color w:val="auto"/>
          <w:spacing w:val="-6"/>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pacing w:val="-6"/>
          <w:szCs w:val="21"/>
          <w:highlight w:val="none"/>
        </w:rPr>
        <w:t>投标人不能证明其报价合理性的，评标委员会应当将其作为无效投标处理。</w:t>
      </w:r>
    </w:p>
    <w:p w14:paraId="6E6DDA40">
      <w:pPr>
        <w:snapToGrid w:val="0"/>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（3）评标委员会按照招标文件中的规定推荐中标候选人。</w:t>
      </w:r>
    </w:p>
    <w:p w14:paraId="29878B84">
      <w:pPr>
        <w:snapToGrid w:val="0"/>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3F4C09DB">
      <w:pPr>
        <w:snapToGrid w:val="0"/>
        <w:spacing w:line="360" w:lineRule="auto"/>
        <w:ind w:firstLine="424" w:firstLineChars="202"/>
        <w:jc w:val="center"/>
        <w:rPr>
          <w:color w:val="auto"/>
          <w:highlight w:val="none"/>
        </w:rPr>
      </w:pPr>
      <w:r>
        <w:rPr>
          <w:color w:val="auto"/>
          <w:highlight w:val="none"/>
        </w:rPr>
        <w:br w:type="page"/>
      </w:r>
      <w:r>
        <w:rPr>
          <w:rFonts w:ascii="宋体" w:hAnsi="宋体" w:cs="宋体"/>
          <w:b/>
          <w:bCs/>
          <w:color w:val="auto"/>
          <w:sz w:val="32"/>
          <w:szCs w:val="32"/>
          <w:highlight w:val="none"/>
        </w:rPr>
        <w:t>三</w:t>
      </w:r>
      <w:r>
        <w:rPr>
          <w:rFonts w:hint="eastAsia" w:ascii="宋体" w:hAnsi="宋体" w:cs="宋体"/>
          <w:b/>
          <w:bCs/>
          <w:color w:val="auto"/>
          <w:sz w:val="32"/>
          <w:szCs w:val="32"/>
          <w:highlight w:val="none"/>
        </w:rPr>
        <w:t>、评标标准</w:t>
      </w:r>
    </w:p>
    <w:p w14:paraId="10FA0311">
      <w:pPr>
        <w:pStyle w:val="7"/>
        <w:keepNext w:val="0"/>
        <w:keepLines w:val="0"/>
        <w:jc w:val="center"/>
        <w:rPr>
          <w:color w:val="auto"/>
          <w:highlight w:val="none"/>
        </w:rPr>
      </w:pPr>
      <w:r>
        <w:rPr>
          <w:rFonts w:hint="eastAsia"/>
          <w:color w:val="auto"/>
          <w:highlight w:val="none"/>
        </w:rPr>
        <w:t>综合评分法</w:t>
      </w:r>
    </w:p>
    <w:tbl>
      <w:tblPr>
        <w:tblStyle w:val="47"/>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08"/>
        <w:gridCol w:w="2073"/>
        <w:gridCol w:w="5612"/>
      </w:tblGrid>
      <w:tr w14:paraId="2CDA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0" w:type="dxa"/>
            <w:gridSpan w:val="2"/>
            <w:vAlign w:val="center"/>
          </w:tcPr>
          <w:p w14:paraId="7CF7DD9F">
            <w:pPr>
              <w:spacing w:line="400" w:lineRule="exact"/>
              <w:rPr>
                <w:rFonts w:ascii="宋体" w:hAnsi="宋体" w:cs="宋体"/>
                <w:b/>
                <w:color w:val="auto"/>
                <w:szCs w:val="21"/>
                <w:highlight w:val="none"/>
              </w:rPr>
            </w:pPr>
            <w:r>
              <w:rPr>
                <w:rFonts w:hint="eastAsia" w:ascii="宋体" w:hAnsi="宋体" w:cs="宋体"/>
                <w:b/>
                <w:bCs/>
                <w:color w:val="auto"/>
                <w:szCs w:val="21"/>
                <w:highlight w:val="none"/>
              </w:rPr>
              <w:br w:type="page"/>
            </w:r>
            <w:r>
              <w:rPr>
                <w:rFonts w:hint="eastAsia" w:ascii="宋体" w:hAnsi="宋体" w:cs="宋体"/>
                <w:b/>
                <w:color w:val="auto"/>
                <w:szCs w:val="21"/>
                <w:highlight w:val="none"/>
              </w:rPr>
              <w:t>序号</w:t>
            </w:r>
          </w:p>
        </w:tc>
        <w:tc>
          <w:tcPr>
            <w:tcW w:w="2073" w:type="dxa"/>
            <w:vAlign w:val="center"/>
          </w:tcPr>
          <w:p w14:paraId="67F23BAB">
            <w:pPr>
              <w:adjustRightInd w:val="0"/>
              <w:spacing w:line="40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评审因素</w:t>
            </w:r>
          </w:p>
        </w:tc>
        <w:tc>
          <w:tcPr>
            <w:tcW w:w="5612" w:type="dxa"/>
            <w:vAlign w:val="center"/>
          </w:tcPr>
          <w:p w14:paraId="240006C0">
            <w:pPr>
              <w:adjustRightInd w:val="0"/>
              <w:spacing w:line="40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评标标准</w:t>
            </w:r>
          </w:p>
        </w:tc>
      </w:tr>
      <w:tr w14:paraId="102AD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116A3112">
            <w:pPr>
              <w:adjustRightInd w:val="0"/>
              <w:spacing w:line="40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1</w:t>
            </w:r>
          </w:p>
        </w:tc>
        <w:tc>
          <w:tcPr>
            <w:tcW w:w="1208" w:type="dxa"/>
            <w:vAlign w:val="center"/>
          </w:tcPr>
          <w:p w14:paraId="1FAC7719">
            <w:pPr>
              <w:adjustRightInd w:val="0"/>
              <w:spacing w:line="400" w:lineRule="exact"/>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价格分</w:t>
            </w:r>
          </w:p>
          <w:p w14:paraId="13DC0030">
            <w:pPr>
              <w:adjustRightInd w:val="0"/>
              <w:spacing w:line="400" w:lineRule="exact"/>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（满分</w:t>
            </w:r>
            <w:r>
              <w:rPr>
                <w:rFonts w:hint="eastAsia" w:ascii="宋体" w:hAnsi="宋体" w:cs="宋体"/>
                <w:b/>
                <w:bCs/>
                <w:color w:val="auto"/>
                <w:szCs w:val="21"/>
                <w:highlight w:val="none"/>
                <w:u w:val="single"/>
              </w:rPr>
              <w:t>30</w:t>
            </w:r>
            <w:r>
              <w:rPr>
                <w:rFonts w:hint="eastAsia" w:ascii="宋体" w:hAnsi="宋体" w:cs="宋体"/>
                <w:b/>
                <w:bCs/>
                <w:color w:val="auto"/>
                <w:szCs w:val="21"/>
                <w:highlight w:val="none"/>
              </w:rPr>
              <w:t>分）</w:t>
            </w:r>
          </w:p>
          <w:p w14:paraId="644C9898">
            <w:pPr>
              <w:adjustRightInd w:val="0"/>
              <w:spacing w:line="400" w:lineRule="exact"/>
              <w:jc w:val="left"/>
              <w:textAlignment w:val="baseline"/>
              <w:rPr>
                <w:rFonts w:ascii="宋体" w:hAnsi="宋体" w:cs="宋体"/>
                <w:b/>
                <w:bCs/>
                <w:color w:val="auto"/>
                <w:szCs w:val="21"/>
                <w:highlight w:val="none"/>
              </w:rPr>
            </w:pPr>
          </w:p>
        </w:tc>
        <w:tc>
          <w:tcPr>
            <w:tcW w:w="2073" w:type="dxa"/>
            <w:vAlign w:val="center"/>
          </w:tcPr>
          <w:p w14:paraId="64BD1078">
            <w:pPr>
              <w:adjustRightInd w:val="0"/>
              <w:spacing w:line="400" w:lineRule="exact"/>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投标报价</w:t>
            </w:r>
          </w:p>
        </w:tc>
        <w:tc>
          <w:tcPr>
            <w:tcW w:w="5612" w:type="dxa"/>
            <w:vAlign w:val="center"/>
          </w:tcPr>
          <w:p w14:paraId="6C3367DD">
            <w:pPr>
              <w:snapToGrid w:val="0"/>
              <w:spacing w:line="400" w:lineRule="exact"/>
              <w:ind w:firstLine="233" w:firstLineChars="111"/>
              <w:rPr>
                <w:rFonts w:ascii="宋体" w:hAnsi="宋体" w:cs="宋体"/>
                <w:bCs/>
                <w:color w:val="auto"/>
                <w:szCs w:val="21"/>
                <w:highlight w:val="none"/>
              </w:rPr>
            </w:pPr>
            <w:r>
              <w:rPr>
                <w:rFonts w:hint="eastAsia" w:ascii="宋体" w:hAnsi="宋体" w:cs="宋体"/>
                <w:bCs/>
                <w:color w:val="auto"/>
                <w:szCs w:val="21"/>
                <w:highlight w:val="none"/>
              </w:rPr>
              <w:t>（1）评标报价为投标人的投标报价进行政策性扣除后的价格，评标报价只是作为评标时使用。最终中标人的中标金额等于投标报价。</w:t>
            </w:r>
          </w:p>
          <w:p w14:paraId="6335492A">
            <w:pPr>
              <w:snapToGrid w:val="0"/>
              <w:spacing w:line="400" w:lineRule="exact"/>
              <w:ind w:firstLine="233" w:firstLineChars="111"/>
              <w:rPr>
                <w:rFonts w:ascii="宋体" w:hAnsi="宋体" w:cs="宋体"/>
                <w:bCs/>
                <w:color w:val="auto"/>
                <w:szCs w:val="21"/>
                <w:highlight w:val="none"/>
              </w:rPr>
            </w:pPr>
            <w:r>
              <w:rPr>
                <w:rFonts w:hint="eastAsia" w:ascii="宋体" w:hAnsi="宋体" w:cs="宋体"/>
                <w:bCs/>
                <w:color w:val="auto"/>
                <w:szCs w:val="21"/>
                <w:highlight w:val="none"/>
              </w:rPr>
              <w:t>（2）政策性扣除计算方法。</w:t>
            </w:r>
          </w:p>
          <w:p w14:paraId="359F8FC9">
            <w:pPr>
              <w:snapToGrid w:val="0"/>
              <w:spacing w:line="400" w:lineRule="exact"/>
              <w:ind w:firstLine="443" w:firstLineChars="211"/>
              <w:rPr>
                <w:rFonts w:ascii="宋体" w:hAnsi="宋体" w:cs="宋体"/>
                <w:color w:val="auto"/>
                <w:szCs w:val="21"/>
                <w:highlight w:val="none"/>
              </w:rPr>
            </w:pPr>
            <w:r>
              <w:rPr>
                <w:rFonts w:hint="eastAsia" w:ascii="宋体" w:hAnsi="宋体" w:cs="宋体"/>
                <w:bCs/>
                <w:color w:val="auto"/>
                <w:szCs w:val="21"/>
                <w:highlight w:val="none"/>
              </w:rPr>
              <w:t>根据《政府采购促进中小企业发展管理办法》（财库〔2020〕46号）</w:t>
            </w:r>
            <w:r>
              <w:rPr>
                <w:rFonts w:hint="eastAsia" w:ascii="宋体" w:hAnsi="宋体" w:cs="宋体"/>
                <w:color w:val="auto"/>
                <w:szCs w:val="21"/>
                <w:highlight w:val="none"/>
              </w:rPr>
              <w:t>及</w:t>
            </w:r>
            <w:r>
              <w:rPr>
                <w:rFonts w:hint="eastAsia" w:ascii="宋体" w:hAnsi="宋体" w:cs="宋体"/>
                <w:b/>
                <w:color w:val="auto"/>
                <w:szCs w:val="21"/>
                <w:highlight w:val="none"/>
              </w:rPr>
              <w:t>《广西壮族自治区财政厅关于持续优化政府采购营商环境推动高质量发展的通知》（桂财采（2024）55号）</w:t>
            </w:r>
            <w:r>
              <w:rPr>
                <w:rFonts w:hint="eastAsia" w:ascii="宋体" w:hAnsi="宋体" w:cs="宋体"/>
                <w:bCs/>
                <w:color w:val="auto"/>
                <w:szCs w:val="21"/>
                <w:highlight w:val="none"/>
              </w:rPr>
              <w:t>的规定，投标人在其投标文件中提供《中小企业声明函》，且其投标全部货物由小微企业制造的，对其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cs="宋体"/>
                <w:bCs/>
                <w:color w:val="auto"/>
                <w:szCs w:val="21"/>
                <w:highlight w:val="none"/>
                <w:u w:val="single"/>
              </w:rPr>
              <w:t>4%</w:t>
            </w:r>
            <w:r>
              <w:rPr>
                <w:rFonts w:hint="eastAsia" w:ascii="宋体" w:hAnsi="宋体" w:cs="宋体"/>
                <w:bCs/>
                <w:color w:val="auto"/>
                <w:szCs w:val="21"/>
                <w:highlight w:val="none"/>
              </w:rPr>
              <w:t>的扣除，用扣除后的价格参加评审，扣除后的价格为评标报价，即评标报价=投标报价×（1-</w:t>
            </w:r>
            <w:r>
              <w:rPr>
                <w:rFonts w:hint="eastAsia" w:ascii="宋体" w:hAnsi="宋体" w:cs="宋体"/>
                <w:bCs/>
                <w:color w:val="auto"/>
                <w:szCs w:val="21"/>
                <w:highlight w:val="none"/>
                <w:u w:val="single"/>
              </w:rPr>
              <w:t>4</w:t>
            </w:r>
            <w:r>
              <w:rPr>
                <w:rFonts w:hint="eastAsia" w:ascii="宋体" w:hAnsi="宋体" w:cs="宋体"/>
                <w:bCs/>
                <w:color w:val="auto"/>
                <w:szCs w:val="21"/>
                <w:highlight w:val="none"/>
              </w:rPr>
              <w:t>%）。除上述情况外，评标报价=投标报价。</w:t>
            </w:r>
          </w:p>
          <w:p w14:paraId="51532BA6">
            <w:pPr>
              <w:snapToGrid w:val="0"/>
              <w:spacing w:line="400" w:lineRule="exact"/>
              <w:ind w:firstLine="233" w:firstLineChars="111"/>
              <w:rPr>
                <w:rFonts w:ascii="宋体" w:hAnsi="宋体" w:cs="宋体"/>
                <w:bCs/>
                <w:color w:val="auto"/>
                <w:szCs w:val="21"/>
                <w:highlight w:val="none"/>
              </w:rPr>
            </w:pPr>
            <w:r>
              <w:rPr>
                <w:rFonts w:hint="eastAsia" w:ascii="宋体" w:hAnsi="宋体" w:cs="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s="宋体"/>
                <w:color w:val="auto"/>
                <w:szCs w:val="21"/>
                <w:highlight w:val="none"/>
              </w:rPr>
              <w:t>监狱企业参加政府采购活动时，应当提供由省级以上监狱管理局、戒毒管理局（含新疆生产建设兵团）出具的属于监狱企业的证明文件。</w:t>
            </w:r>
            <w:r>
              <w:rPr>
                <w:rFonts w:hint="eastAsia" w:ascii="宋体" w:hAnsi="宋体" w:cs="宋体"/>
                <w:bCs/>
                <w:color w:val="auto"/>
                <w:szCs w:val="21"/>
                <w:highlight w:val="none"/>
              </w:rPr>
              <w:t>监狱企业属于小型、微型企业的，不重复享受政策。</w:t>
            </w:r>
          </w:p>
          <w:p w14:paraId="7FD7F3B6">
            <w:pPr>
              <w:snapToGrid w:val="0"/>
              <w:spacing w:line="400" w:lineRule="exact"/>
              <w:ind w:firstLine="233" w:firstLineChars="111"/>
              <w:rPr>
                <w:rFonts w:ascii="宋体" w:hAnsi="宋体" w:cs="宋体"/>
                <w:bCs/>
                <w:color w:val="auto"/>
                <w:szCs w:val="21"/>
                <w:highlight w:val="none"/>
              </w:rPr>
            </w:pPr>
            <w:r>
              <w:rPr>
                <w:rFonts w:hint="eastAsia" w:ascii="宋体" w:hAnsi="宋体" w:cs="宋体"/>
                <w:color w:val="auto"/>
                <w:szCs w:val="21"/>
                <w:highlight w:val="none"/>
              </w:rPr>
              <w:t>（4）按照</w:t>
            </w:r>
            <w:r>
              <w:rPr>
                <w:rFonts w:hint="eastAsia" w:ascii="宋体" w:hAnsi="宋体" w:cs="宋体"/>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s="宋体"/>
                <w:color w:val="auto"/>
                <w:szCs w:val="21"/>
                <w:highlight w:val="none"/>
              </w:rPr>
              <w:t>残疾人福利性单位参加政府采购活动时，应当提供该通知规定的《残疾人福利性单位声明函》，并对声明的真实性负责。</w:t>
            </w:r>
            <w:r>
              <w:rPr>
                <w:rFonts w:hint="eastAsia" w:ascii="宋体" w:hAnsi="宋体" w:cs="宋体"/>
                <w:bCs/>
                <w:color w:val="auto"/>
                <w:szCs w:val="21"/>
                <w:highlight w:val="none"/>
              </w:rPr>
              <w:t>残疾人福利性单位属于小型、微型企业的，不重复享受政策。</w:t>
            </w:r>
          </w:p>
          <w:p w14:paraId="075B719B">
            <w:pPr>
              <w:snapToGrid w:val="0"/>
              <w:spacing w:line="400" w:lineRule="exact"/>
              <w:ind w:firstLine="233" w:firstLineChars="111"/>
              <w:rPr>
                <w:rFonts w:ascii="宋体" w:hAnsi="宋体" w:cs="宋体"/>
                <w:bCs/>
                <w:color w:val="auto"/>
                <w:szCs w:val="21"/>
                <w:highlight w:val="none"/>
              </w:rPr>
            </w:pPr>
            <w:r>
              <w:rPr>
                <w:rFonts w:hint="eastAsia" w:ascii="宋体" w:hAnsi="宋体" w:cs="宋体"/>
                <w:bCs/>
                <w:color w:val="auto"/>
                <w:szCs w:val="21"/>
                <w:highlight w:val="none"/>
              </w:rPr>
              <w:t>（5）满足招标文件要求且评标报价最低的评标报价为评标基准价，其价格分为满分。</w:t>
            </w:r>
          </w:p>
          <w:p w14:paraId="21C67AAC">
            <w:pPr>
              <w:spacing w:line="400" w:lineRule="exact"/>
              <w:ind w:firstLine="233" w:firstLineChars="111"/>
              <w:rPr>
                <w:rFonts w:ascii="宋体" w:hAnsi="宋体" w:cs="宋体"/>
                <w:bCs/>
                <w:color w:val="auto"/>
                <w:szCs w:val="21"/>
                <w:highlight w:val="none"/>
              </w:rPr>
            </w:pPr>
            <w:r>
              <w:rPr>
                <w:rFonts w:hint="eastAsia" w:ascii="宋体" w:hAnsi="宋体" w:cs="宋体"/>
                <w:bCs/>
                <w:color w:val="auto"/>
                <w:szCs w:val="21"/>
                <w:highlight w:val="none"/>
              </w:rPr>
              <w:t xml:space="preserve">（6）价格分计算公式：        </w:t>
            </w:r>
          </w:p>
          <w:p w14:paraId="7F6D547D">
            <w:pPr>
              <w:spacing w:line="400" w:lineRule="exact"/>
              <w:rPr>
                <w:rFonts w:ascii="宋体" w:hAnsi="宋体" w:cs="宋体"/>
                <w:bCs/>
                <w:color w:val="auto"/>
                <w:szCs w:val="21"/>
                <w:highlight w:val="none"/>
              </w:rPr>
            </w:pPr>
            <w:r>
              <w:rPr>
                <w:rFonts w:hint="eastAsia" w:ascii="宋体" w:hAnsi="宋体" w:cs="宋体"/>
                <w:bCs/>
                <w:color w:val="auto"/>
                <w:szCs w:val="21"/>
                <w:highlight w:val="none"/>
              </w:rPr>
              <w:t>价格分=（评标基准价／评标报价）×</w:t>
            </w:r>
            <w:r>
              <w:rPr>
                <w:rFonts w:hint="eastAsia" w:ascii="宋体" w:hAnsi="宋体" w:cs="宋体"/>
                <w:bCs/>
                <w:color w:val="auto"/>
                <w:szCs w:val="21"/>
                <w:highlight w:val="none"/>
                <w:u w:val="single"/>
              </w:rPr>
              <w:t>30</w:t>
            </w:r>
            <w:r>
              <w:rPr>
                <w:rFonts w:hint="eastAsia" w:ascii="宋体" w:hAnsi="宋体" w:cs="宋体"/>
                <w:bCs/>
                <w:color w:val="auto"/>
                <w:szCs w:val="21"/>
                <w:highlight w:val="none"/>
              </w:rPr>
              <w:t>分</w:t>
            </w:r>
          </w:p>
        </w:tc>
      </w:tr>
      <w:tr w14:paraId="0FDE7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6034E9B9">
            <w:pPr>
              <w:adjustRightInd w:val="0"/>
              <w:snapToGrid w:val="0"/>
              <w:spacing w:line="40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2</w:t>
            </w:r>
          </w:p>
        </w:tc>
        <w:tc>
          <w:tcPr>
            <w:tcW w:w="1208" w:type="dxa"/>
            <w:vAlign w:val="center"/>
          </w:tcPr>
          <w:p w14:paraId="4D539185">
            <w:pPr>
              <w:adjustRightInd w:val="0"/>
              <w:spacing w:line="400" w:lineRule="exact"/>
              <w:ind w:left="-105" w:leftChars="-50" w:right="-105" w:rightChars="-50"/>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技术分</w:t>
            </w:r>
          </w:p>
          <w:p w14:paraId="2DCA63A6">
            <w:pPr>
              <w:adjustRightInd w:val="0"/>
              <w:snapToGrid w:val="0"/>
              <w:spacing w:line="400" w:lineRule="exact"/>
              <w:ind w:left="-105" w:leftChars="-50" w:right="-105" w:rightChars="-50"/>
              <w:jc w:val="center"/>
              <w:textAlignment w:val="baseline"/>
              <w:rPr>
                <w:rFonts w:ascii="宋体" w:hAnsi="宋体" w:cs="宋体"/>
                <w:color w:val="auto"/>
                <w:spacing w:val="-18"/>
                <w:szCs w:val="21"/>
                <w:highlight w:val="none"/>
              </w:rPr>
            </w:pPr>
            <w:r>
              <w:rPr>
                <w:rFonts w:hint="eastAsia" w:ascii="宋体" w:hAnsi="宋体" w:cs="宋体"/>
                <w:b/>
                <w:color w:val="auto"/>
                <w:szCs w:val="21"/>
                <w:highlight w:val="none"/>
              </w:rPr>
              <w:t>（满分60分）</w:t>
            </w:r>
          </w:p>
        </w:tc>
        <w:tc>
          <w:tcPr>
            <w:tcW w:w="2073" w:type="dxa"/>
            <w:vAlign w:val="center"/>
          </w:tcPr>
          <w:p w14:paraId="5AD62874">
            <w:pPr>
              <w:widowControl/>
              <w:snapToGrid w:val="0"/>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设备性能分</w:t>
            </w:r>
          </w:p>
          <w:p w14:paraId="3D0A2EBB">
            <w:pPr>
              <w:widowControl/>
              <w:snapToGrid w:val="0"/>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（满分60分）</w:t>
            </w:r>
          </w:p>
        </w:tc>
        <w:tc>
          <w:tcPr>
            <w:tcW w:w="5612" w:type="dxa"/>
            <w:vAlign w:val="center"/>
          </w:tcPr>
          <w:p w14:paraId="2DBDF8B5">
            <w:pPr>
              <w:pStyle w:val="121"/>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①标注“▲”的技术参数无负偏离，且未标注“▲”的技术参数负偏离不超过</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项</w:t>
            </w:r>
            <w:r>
              <w:rPr>
                <w:rFonts w:hint="eastAsia" w:ascii="宋体" w:hAnsi="宋体" w:cs="宋体"/>
                <w:color w:val="auto"/>
                <w:sz w:val="21"/>
                <w:szCs w:val="21"/>
                <w:highlight w:val="none"/>
              </w:rPr>
              <w:t>的，得30分基本分。</w:t>
            </w:r>
          </w:p>
          <w:p w14:paraId="5FE4D31F">
            <w:pPr>
              <w:pStyle w:val="121"/>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②技术参数完全满足招标文件的前提下，投标人对六项标注“▲”的技术参数有正偏离且评标时被评标委员会接受的，每一项正偏离加3分，满分18分。</w:t>
            </w:r>
          </w:p>
          <w:p w14:paraId="581D7DCD">
            <w:pPr>
              <w:pStyle w:val="121"/>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③投标人对未标注“▲”的技术参数有正偏离且评标时被评标委员会接受的，每正偏离一项加1分，满分12分。</w:t>
            </w:r>
          </w:p>
          <w:p w14:paraId="13E9F18A">
            <w:pPr>
              <w:pStyle w:val="121"/>
              <w:spacing w:line="400" w:lineRule="exact"/>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注：</w:t>
            </w:r>
          </w:p>
          <w:p w14:paraId="62E901FD">
            <w:pPr>
              <w:pStyle w:val="121"/>
              <w:spacing w:line="400" w:lineRule="exact"/>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1.技术参数有正偏离的，须在投标文件中提供相关佐证材料加盖投标人公章，否则不予认可。（佐证材料包括但不限于产品彩页、官网截图、技术白皮书、国家认可第三方检测机构出具的检测报告复印件等）</w:t>
            </w:r>
          </w:p>
          <w:p w14:paraId="137D9EE8">
            <w:pPr>
              <w:pStyle w:val="121"/>
              <w:spacing w:line="400" w:lineRule="exact"/>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2.技术参数有正偏离的，须在投标文件中标注技术参数所在佐证材料的具体位置（页码或编号），因标注不清楚导致的后果由投标人自行承担。</w:t>
            </w:r>
          </w:p>
        </w:tc>
      </w:tr>
      <w:tr w14:paraId="4531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14:paraId="676852F4">
            <w:pPr>
              <w:adjustRightInd w:val="0"/>
              <w:snapToGrid w:val="0"/>
              <w:spacing w:line="40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3</w:t>
            </w:r>
          </w:p>
        </w:tc>
        <w:tc>
          <w:tcPr>
            <w:tcW w:w="1208" w:type="dxa"/>
            <w:vMerge w:val="restart"/>
            <w:vAlign w:val="center"/>
          </w:tcPr>
          <w:p w14:paraId="54D53D88">
            <w:pPr>
              <w:adjustRightInd w:val="0"/>
              <w:spacing w:line="400" w:lineRule="exact"/>
              <w:ind w:left="-105" w:leftChars="-50" w:right="-105" w:rightChars="-50"/>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商务分</w:t>
            </w:r>
          </w:p>
          <w:p w14:paraId="154D0B1E">
            <w:pPr>
              <w:adjustRightInd w:val="0"/>
              <w:snapToGrid w:val="0"/>
              <w:spacing w:line="400" w:lineRule="exact"/>
              <w:jc w:val="center"/>
              <w:textAlignment w:val="baseline"/>
              <w:rPr>
                <w:rFonts w:ascii="宋体" w:hAnsi="宋体" w:cs="宋体"/>
                <w:color w:val="auto"/>
                <w:szCs w:val="21"/>
                <w:highlight w:val="none"/>
              </w:rPr>
            </w:pPr>
            <w:r>
              <w:rPr>
                <w:rFonts w:hint="eastAsia" w:ascii="宋体" w:hAnsi="宋体" w:cs="宋体"/>
                <w:b/>
                <w:color w:val="auto"/>
                <w:szCs w:val="21"/>
                <w:highlight w:val="none"/>
              </w:rPr>
              <w:t>（满分10分）</w:t>
            </w:r>
          </w:p>
        </w:tc>
        <w:tc>
          <w:tcPr>
            <w:tcW w:w="2073" w:type="dxa"/>
            <w:vAlign w:val="center"/>
          </w:tcPr>
          <w:p w14:paraId="4329629B">
            <w:pPr>
              <w:widowControl/>
              <w:numPr>
                <w:ilvl w:val="0"/>
                <w:numId w:val="9"/>
              </w:numPr>
              <w:snapToGrid w:val="0"/>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项目实施方案</w:t>
            </w:r>
          </w:p>
          <w:p w14:paraId="4101BC44">
            <w:pPr>
              <w:widowControl/>
              <w:snapToGrid w:val="0"/>
              <w:spacing w:line="400" w:lineRule="exact"/>
              <w:jc w:val="center"/>
              <w:rPr>
                <w:rFonts w:ascii="宋体" w:hAnsi="宋体" w:cs="宋体"/>
                <w:color w:val="auto"/>
                <w:kern w:val="0"/>
                <w:szCs w:val="21"/>
                <w:highlight w:val="none"/>
              </w:rPr>
            </w:pPr>
            <w:r>
              <w:rPr>
                <w:rFonts w:hint="eastAsia" w:ascii="宋体" w:hAnsi="宋体" w:cs="宋体"/>
                <w:b/>
                <w:bCs/>
                <w:color w:val="auto"/>
                <w:kern w:val="0"/>
                <w:szCs w:val="21"/>
                <w:highlight w:val="none"/>
              </w:rPr>
              <w:t>（满分2分）</w:t>
            </w:r>
          </w:p>
        </w:tc>
        <w:tc>
          <w:tcPr>
            <w:tcW w:w="5612" w:type="dxa"/>
            <w:vAlign w:val="center"/>
          </w:tcPr>
          <w:p w14:paraId="34D0C463">
            <w:pPr>
              <w:pStyle w:val="121"/>
              <w:autoSpaceDE/>
              <w:autoSpaceDN/>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评标委员会根据投标人制定的项目实施方案进行独立评审,包括:</w:t>
            </w:r>
          </w:p>
          <w:p w14:paraId="75E30AFB">
            <w:pPr>
              <w:pStyle w:val="121"/>
              <w:autoSpaceDE/>
              <w:autoSpaceDN/>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①运输方案；</w:t>
            </w:r>
          </w:p>
          <w:p w14:paraId="07F7AC38">
            <w:pPr>
              <w:pStyle w:val="121"/>
              <w:autoSpaceDE/>
              <w:autoSpaceDN/>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②具体实施流程、进度安排；</w:t>
            </w:r>
          </w:p>
          <w:p w14:paraId="77F91797">
            <w:pPr>
              <w:pStyle w:val="121"/>
              <w:autoSpaceDE/>
              <w:autoSpaceDN/>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③安装调试方案；</w:t>
            </w:r>
          </w:p>
          <w:p w14:paraId="34CD4F9A">
            <w:pPr>
              <w:pStyle w:val="121"/>
              <w:autoSpaceDE/>
              <w:autoSpaceDN/>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④管理措施。</w:t>
            </w:r>
          </w:p>
          <w:p w14:paraId="7854E4F8">
            <w:pPr>
              <w:pStyle w:val="121"/>
              <w:autoSpaceDE/>
              <w:autoSpaceDN/>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注:①-④项内容缺项或不对应项目要求得0分，均涉及并对应项目要求得1分；</w:t>
            </w:r>
          </w:p>
          <w:p w14:paraId="4ECF1489">
            <w:pPr>
              <w:pStyle w:val="121"/>
              <w:autoSpaceDE/>
              <w:autoSpaceDN/>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在①-④项内容均涉及并对应项目要求的基础上，内容完整科学合理得0.5分、实际操作性强得0.5分；满分2分。</w:t>
            </w:r>
          </w:p>
        </w:tc>
      </w:tr>
      <w:tr w14:paraId="61F9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3DA3F649">
            <w:pPr>
              <w:adjustRightInd w:val="0"/>
              <w:snapToGrid w:val="0"/>
              <w:spacing w:line="400" w:lineRule="exact"/>
              <w:jc w:val="center"/>
              <w:textAlignment w:val="baseline"/>
              <w:rPr>
                <w:rFonts w:ascii="宋体" w:hAnsi="宋体" w:cs="宋体"/>
                <w:color w:val="auto"/>
                <w:szCs w:val="21"/>
                <w:highlight w:val="none"/>
              </w:rPr>
            </w:pPr>
          </w:p>
        </w:tc>
        <w:tc>
          <w:tcPr>
            <w:tcW w:w="1208" w:type="dxa"/>
            <w:vMerge w:val="continue"/>
            <w:vAlign w:val="center"/>
          </w:tcPr>
          <w:p w14:paraId="675F8950">
            <w:pPr>
              <w:adjustRightInd w:val="0"/>
              <w:snapToGrid w:val="0"/>
              <w:spacing w:line="400" w:lineRule="exact"/>
              <w:jc w:val="center"/>
              <w:textAlignment w:val="baseline"/>
              <w:rPr>
                <w:rFonts w:ascii="宋体" w:hAnsi="宋体" w:cs="宋体"/>
                <w:b/>
                <w:color w:val="auto"/>
                <w:szCs w:val="21"/>
                <w:highlight w:val="none"/>
              </w:rPr>
            </w:pPr>
          </w:p>
        </w:tc>
        <w:tc>
          <w:tcPr>
            <w:tcW w:w="2073" w:type="dxa"/>
            <w:vAlign w:val="center"/>
          </w:tcPr>
          <w:p w14:paraId="08A24FC3">
            <w:pPr>
              <w:widowControl/>
              <w:numPr>
                <w:ilvl w:val="0"/>
                <w:numId w:val="9"/>
              </w:numPr>
              <w:snapToGrid w:val="0"/>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售后服务方案</w:t>
            </w:r>
          </w:p>
          <w:p w14:paraId="5A602F36">
            <w:pPr>
              <w:widowControl/>
              <w:snapToGrid w:val="0"/>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（满分3分）</w:t>
            </w:r>
          </w:p>
        </w:tc>
        <w:tc>
          <w:tcPr>
            <w:tcW w:w="5612" w:type="dxa"/>
            <w:vAlign w:val="center"/>
          </w:tcPr>
          <w:p w14:paraId="5779DB92">
            <w:pPr>
              <w:pStyle w:val="121"/>
              <w:autoSpaceDE/>
              <w:autoSpaceDN/>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评标委员会根据投标人制定的售后服务方案进行独立评审,包括:</w:t>
            </w:r>
          </w:p>
          <w:p w14:paraId="5027DD42">
            <w:pPr>
              <w:pStyle w:val="121"/>
              <w:autoSpaceDE/>
              <w:autoSpaceDN/>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①质量保证措施；</w:t>
            </w:r>
          </w:p>
          <w:p w14:paraId="3B58C8DD">
            <w:pPr>
              <w:pStyle w:val="121"/>
              <w:autoSpaceDE/>
              <w:autoSpaceDN/>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②应急响应方案和排除故障响应时间；</w:t>
            </w:r>
          </w:p>
          <w:p w14:paraId="1185E290">
            <w:pPr>
              <w:pStyle w:val="121"/>
              <w:autoSpaceDE/>
              <w:autoSpaceDN/>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③人员培训方案；</w:t>
            </w:r>
          </w:p>
          <w:p w14:paraId="5617B5BD">
            <w:pPr>
              <w:pStyle w:val="121"/>
              <w:autoSpaceDE/>
              <w:autoSpaceDN/>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④质保期内的保养方案。</w:t>
            </w:r>
          </w:p>
          <w:p w14:paraId="362397B5">
            <w:pPr>
              <w:pStyle w:val="121"/>
              <w:autoSpaceDE/>
              <w:autoSpaceDN/>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注:①-④项内容缺项或不对应项目要求得0分，均涉及并对应项目要求得2分；</w:t>
            </w:r>
          </w:p>
          <w:p w14:paraId="1F00519E">
            <w:pPr>
              <w:pStyle w:val="121"/>
              <w:autoSpaceDE/>
              <w:autoSpaceDN/>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在①-④项内容均涉及并对应项目要求的基础上，内容完整科学合理得0.5分、实际操作性强得0.5分；满分3分。</w:t>
            </w:r>
          </w:p>
        </w:tc>
      </w:tr>
      <w:tr w14:paraId="44DD8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610D7E32">
            <w:pPr>
              <w:adjustRightInd w:val="0"/>
              <w:snapToGrid w:val="0"/>
              <w:spacing w:line="400" w:lineRule="exact"/>
              <w:jc w:val="center"/>
              <w:textAlignment w:val="baseline"/>
              <w:rPr>
                <w:rFonts w:ascii="宋体" w:hAnsi="宋体" w:cs="宋体"/>
                <w:color w:val="auto"/>
                <w:szCs w:val="21"/>
                <w:highlight w:val="none"/>
              </w:rPr>
            </w:pPr>
          </w:p>
        </w:tc>
        <w:tc>
          <w:tcPr>
            <w:tcW w:w="1208" w:type="dxa"/>
            <w:vMerge w:val="continue"/>
            <w:vAlign w:val="center"/>
          </w:tcPr>
          <w:p w14:paraId="76C10439">
            <w:pPr>
              <w:adjustRightInd w:val="0"/>
              <w:snapToGrid w:val="0"/>
              <w:spacing w:line="400" w:lineRule="exact"/>
              <w:jc w:val="center"/>
              <w:textAlignment w:val="baseline"/>
              <w:rPr>
                <w:rFonts w:ascii="宋体" w:hAnsi="宋体" w:cs="宋体"/>
                <w:color w:val="auto"/>
                <w:szCs w:val="21"/>
                <w:highlight w:val="none"/>
              </w:rPr>
            </w:pPr>
          </w:p>
        </w:tc>
        <w:tc>
          <w:tcPr>
            <w:tcW w:w="2073" w:type="dxa"/>
            <w:vAlign w:val="center"/>
          </w:tcPr>
          <w:p w14:paraId="05EB6DAF">
            <w:pPr>
              <w:widowControl/>
              <w:numPr>
                <w:ilvl w:val="0"/>
                <w:numId w:val="9"/>
              </w:numPr>
              <w:snapToGrid w:val="0"/>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管理体系认证分（满分1分）</w:t>
            </w:r>
          </w:p>
        </w:tc>
        <w:tc>
          <w:tcPr>
            <w:tcW w:w="5612" w:type="dxa"/>
            <w:vAlign w:val="center"/>
          </w:tcPr>
          <w:p w14:paraId="57768887">
            <w:pPr>
              <w:widowControl/>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投标人或所投货物生产厂家通过质量管理体系认证（ISO9001系列）、医疗器械质量管理体系认证（ISO13485系列）、环境管理体系认证（ISO14001系列）、职业健康安全管理体系认证（ISO45001系列）的，每个得0.25分，满分1分。</w:t>
            </w:r>
          </w:p>
          <w:p w14:paraId="43AFBD26">
            <w:pPr>
              <w:widowControl/>
              <w:snapToGrid w:val="0"/>
              <w:spacing w:line="400" w:lineRule="exact"/>
              <w:rPr>
                <w:rFonts w:ascii="宋体" w:hAnsi="宋体" w:cs="宋体"/>
                <w:color w:val="auto"/>
                <w:szCs w:val="21"/>
                <w:highlight w:val="none"/>
              </w:rPr>
            </w:pPr>
            <w:r>
              <w:rPr>
                <w:rFonts w:hint="eastAsia" w:ascii="宋体" w:hAnsi="宋体" w:cs="宋体"/>
                <w:b/>
                <w:bCs/>
                <w:color w:val="auto"/>
                <w:szCs w:val="21"/>
                <w:highlight w:val="none"/>
              </w:rPr>
              <w:t>注：须提供上述证书复印件并加盖投标人公章，不提供或证书无效不得分</w:t>
            </w:r>
            <w:r>
              <w:rPr>
                <w:rFonts w:hint="eastAsia" w:ascii="宋体" w:hAnsi="宋体" w:cs="宋体"/>
                <w:color w:val="auto"/>
                <w:szCs w:val="21"/>
                <w:highlight w:val="none"/>
              </w:rPr>
              <w:t>。</w:t>
            </w:r>
          </w:p>
        </w:tc>
      </w:tr>
      <w:tr w14:paraId="74F11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44D02FFA">
            <w:pPr>
              <w:adjustRightInd w:val="0"/>
              <w:snapToGrid w:val="0"/>
              <w:spacing w:line="400" w:lineRule="exact"/>
              <w:jc w:val="center"/>
              <w:textAlignment w:val="baseline"/>
              <w:rPr>
                <w:rFonts w:ascii="宋体" w:hAnsi="宋体" w:cs="宋体"/>
                <w:color w:val="auto"/>
                <w:szCs w:val="21"/>
                <w:highlight w:val="none"/>
              </w:rPr>
            </w:pPr>
          </w:p>
        </w:tc>
        <w:tc>
          <w:tcPr>
            <w:tcW w:w="1208" w:type="dxa"/>
            <w:vMerge w:val="continue"/>
            <w:vAlign w:val="center"/>
          </w:tcPr>
          <w:p w14:paraId="1FB95E10">
            <w:pPr>
              <w:adjustRightInd w:val="0"/>
              <w:snapToGrid w:val="0"/>
              <w:spacing w:line="400" w:lineRule="exact"/>
              <w:jc w:val="center"/>
              <w:textAlignment w:val="baseline"/>
              <w:rPr>
                <w:rFonts w:ascii="宋体" w:hAnsi="宋体" w:cs="宋体"/>
                <w:color w:val="auto"/>
                <w:szCs w:val="21"/>
                <w:highlight w:val="none"/>
              </w:rPr>
            </w:pPr>
          </w:p>
        </w:tc>
        <w:tc>
          <w:tcPr>
            <w:tcW w:w="2073" w:type="dxa"/>
            <w:vAlign w:val="center"/>
          </w:tcPr>
          <w:p w14:paraId="095112E4">
            <w:pPr>
              <w:adjustRightInd w:val="0"/>
              <w:spacing w:line="400" w:lineRule="exact"/>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（4）业绩分</w:t>
            </w:r>
          </w:p>
          <w:p w14:paraId="568427DE">
            <w:pPr>
              <w:adjustRightInd w:val="0"/>
              <w:spacing w:line="400" w:lineRule="exact"/>
              <w:jc w:val="center"/>
              <w:textAlignment w:val="baseline"/>
              <w:rPr>
                <w:rFonts w:ascii="宋体" w:hAnsi="宋体" w:cs="宋体"/>
                <w:color w:val="auto"/>
                <w:szCs w:val="21"/>
                <w:highlight w:val="none"/>
              </w:rPr>
            </w:pPr>
            <w:r>
              <w:rPr>
                <w:rFonts w:hint="eastAsia" w:ascii="宋体" w:hAnsi="宋体" w:cs="宋体"/>
                <w:b/>
                <w:bCs/>
                <w:color w:val="auto"/>
                <w:szCs w:val="21"/>
                <w:highlight w:val="none"/>
              </w:rPr>
              <w:t>（满分2分）</w:t>
            </w:r>
          </w:p>
        </w:tc>
        <w:tc>
          <w:tcPr>
            <w:tcW w:w="5612" w:type="dxa"/>
            <w:vAlign w:val="center"/>
          </w:tcPr>
          <w:p w14:paraId="26841196">
            <w:pPr>
              <w:adjustRightInd w:val="0"/>
              <w:snapToGri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投标人或投标产品具有同类设备业绩，每提供1个得1分，最高得2分。</w:t>
            </w:r>
            <w:r>
              <w:rPr>
                <w:rFonts w:hint="eastAsia" w:ascii="宋体" w:hAnsi="宋体" w:cs="宋体"/>
                <w:b/>
                <w:bCs/>
                <w:color w:val="auto"/>
                <w:szCs w:val="21"/>
                <w:highlight w:val="none"/>
              </w:rPr>
              <w:t>【提供合同或者中标通知书复印件，不提供不予计分】</w:t>
            </w:r>
          </w:p>
        </w:tc>
      </w:tr>
      <w:tr w14:paraId="0CE7D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02792AD8">
            <w:pPr>
              <w:adjustRightInd w:val="0"/>
              <w:snapToGrid w:val="0"/>
              <w:spacing w:line="400" w:lineRule="exact"/>
              <w:jc w:val="center"/>
              <w:textAlignment w:val="baseline"/>
              <w:rPr>
                <w:rFonts w:ascii="宋体" w:hAnsi="宋体" w:cs="宋体"/>
                <w:color w:val="auto"/>
                <w:szCs w:val="21"/>
                <w:highlight w:val="none"/>
              </w:rPr>
            </w:pPr>
          </w:p>
        </w:tc>
        <w:tc>
          <w:tcPr>
            <w:tcW w:w="1208" w:type="dxa"/>
            <w:vMerge w:val="continue"/>
            <w:vAlign w:val="center"/>
          </w:tcPr>
          <w:p w14:paraId="5ADC4462">
            <w:pPr>
              <w:adjustRightInd w:val="0"/>
              <w:snapToGrid w:val="0"/>
              <w:spacing w:line="400" w:lineRule="exact"/>
              <w:jc w:val="center"/>
              <w:textAlignment w:val="baseline"/>
              <w:rPr>
                <w:rFonts w:ascii="宋体" w:hAnsi="宋体" w:cs="宋体"/>
                <w:color w:val="auto"/>
                <w:szCs w:val="21"/>
                <w:highlight w:val="none"/>
              </w:rPr>
            </w:pPr>
          </w:p>
        </w:tc>
        <w:tc>
          <w:tcPr>
            <w:tcW w:w="2073" w:type="dxa"/>
            <w:vAlign w:val="center"/>
          </w:tcPr>
          <w:p w14:paraId="545CB6C9">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（5）政策分</w:t>
            </w:r>
          </w:p>
          <w:p w14:paraId="23CE91C4">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（满分2分）</w:t>
            </w:r>
          </w:p>
          <w:p w14:paraId="2B3CCC40">
            <w:pPr>
              <w:spacing w:line="400" w:lineRule="exact"/>
              <w:jc w:val="center"/>
              <w:rPr>
                <w:rFonts w:ascii="宋体" w:hAnsi="宋体" w:cs="宋体"/>
                <w:b/>
                <w:bCs/>
                <w:color w:val="auto"/>
                <w:szCs w:val="21"/>
                <w:highlight w:val="none"/>
              </w:rPr>
            </w:pPr>
          </w:p>
        </w:tc>
        <w:tc>
          <w:tcPr>
            <w:tcW w:w="5612" w:type="dxa"/>
            <w:vAlign w:val="center"/>
          </w:tcPr>
          <w:p w14:paraId="3D4E6A70">
            <w:pPr>
              <w:pStyle w:val="26"/>
              <w:spacing w:line="400" w:lineRule="exact"/>
              <w:rPr>
                <w:rFonts w:hAnsi="宋体" w:cs="宋体"/>
                <w:bCs/>
                <w:color w:val="auto"/>
                <w:kern w:val="2"/>
                <w:sz w:val="21"/>
                <w:highlight w:val="none"/>
              </w:rPr>
            </w:pPr>
            <w:r>
              <w:rPr>
                <w:rFonts w:hint="eastAsia" w:hAnsi="宋体" w:cs="宋体"/>
                <w:bCs/>
                <w:color w:val="auto"/>
                <w:kern w:val="2"/>
                <w:sz w:val="21"/>
                <w:highlight w:val="none"/>
              </w:rPr>
              <w:t>（1）属于财政部《节能产品政府采购品目清单》内优先采购（清单内未标注“★”的品目）的产品[投标文件中提供有效的认证证书复印件及品目清单（标注出投标产品在品目清单中所属的品目），并加盖投标人公章]，根据其所占项目（或者分标）投标报价比例得</w:t>
            </w:r>
            <w:r>
              <w:rPr>
                <w:rFonts w:hint="eastAsia" w:hAnsi="宋体" w:cs="宋体"/>
                <w:bCs/>
                <w:color w:val="auto"/>
                <w:kern w:val="2"/>
                <w:sz w:val="21"/>
                <w:highlight w:val="none"/>
                <w:u w:val="single"/>
              </w:rPr>
              <w:t>0</w:t>
            </w:r>
            <w:r>
              <w:rPr>
                <w:rFonts w:hint="eastAsia" w:hAnsi="宋体" w:cs="宋体"/>
                <w:bCs/>
                <w:color w:val="auto"/>
                <w:kern w:val="2"/>
                <w:sz w:val="21"/>
                <w:highlight w:val="none"/>
              </w:rPr>
              <w:t>至</w:t>
            </w:r>
            <w:r>
              <w:rPr>
                <w:rFonts w:hint="eastAsia" w:hAnsi="宋体" w:cs="宋体"/>
                <w:bCs/>
                <w:color w:val="auto"/>
                <w:kern w:val="2"/>
                <w:sz w:val="21"/>
                <w:highlight w:val="none"/>
                <w:u w:val="single"/>
              </w:rPr>
              <w:t>1</w:t>
            </w:r>
            <w:r>
              <w:rPr>
                <w:rFonts w:hint="eastAsia" w:hAnsi="宋体" w:cs="宋体"/>
                <w:bCs/>
                <w:color w:val="auto"/>
                <w:kern w:val="2"/>
                <w:sz w:val="21"/>
                <w:highlight w:val="none"/>
              </w:rPr>
              <w:t>分，满分</w:t>
            </w:r>
            <w:r>
              <w:rPr>
                <w:rFonts w:hint="eastAsia" w:hAnsi="宋体" w:cs="宋体"/>
                <w:bCs/>
                <w:color w:val="auto"/>
                <w:kern w:val="2"/>
                <w:sz w:val="21"/>
                <w:highlight w:val="none"/>
                <w:u w:val="single"/>
              </w:rPr>
              <w:t>1</w:t>
            </w:r>
            <w:r>
              <w:rPr>
                <w:rFonts w:hint="eastAsia" w:hAnsi="宋体" w:cs="宋体"/>
                <w:bCs/>
                <w:color w:val="auto"/>
                <w:kern w:val="2"/>
                <w:sz w:val="21"/>
                <w:highlight w:val="none"/>
              </w:rPr>
              <w:t>分。</w:t>
            </w:r>
          </w:p>
          <w:p w14:paraId="50A80F45">
            <w:pPr>
              <w:pStyle w:val="26"/>
              <w:spacing w:line="400" w:lineRule="exact"/>
              <w:rPr>
                <w:rFonts w:hAnsi="宋体" w:cs="宋体"/>
                <w:bCs/>
                <w:color w:val="auto"/>
                <w:kern w:val="2"/>
                <w:sz w:val="21"/>
                <w:highlight w:val="none"/>
              </w:rPr>
            </w:pPr>
            <w:r>
              <w:rPr>
                <w:rFonts w:hint="eastAsia" w:hAnsi="宋体" w:cs="宋体"/>
                <w:bCs/>
                <w:color w:val="auto"/>
                <w:kern w:val="2"/>
                <w:sz w:val="21"/>
                <w:highlight w:val="none"/>
              </w:rPr>
              <w:t>（2）属于财政部《环境标志产品政府采购品目清单》内的产品[投标文件中提供有效的认证证书复印件及品目清单（标注出投标产品在品目清单中所属的品目），并加盖投标人公章]，根据其所占项目（或者分标）投标报价比例得</w:t>
            </w:r>
            <w:r>
              <w:rPr>
                <w:rFonts w:hint="eastAsia" w:hAnsi="宋体" w:cs="宋体"/>
                <w:bCs/>
                <w:color w:val="auto"/>
                <w:kern w:val="2"/>
                <w:sz w:val="21"/>
                <w:highlight w:val="none"/>
                <w:u w:val="single"/>
              </w:rPr>
              <w:t>0</w:t>
            </w:r>
            <w:r>
              <w:rPr>
                <w:rFonts w:hint="eastAsia" w:hAnsi="宋体" w:cs="宋体"/>
                <w:bCs/>
                <w:color w:val="auto"/>
                <w:kern w:val="2"/>
                <w:sz w:val="21"/>
                <w:highlight w:val="none"/>
              </w:rPr>
              <w:t>至</w:t>
            </w:r>
            <w:r>
              <w:rPr>
                <w:rFonts w:hint="eastAsia" w:hAnsi="宋体" w:cs="宋体"/>
                <w:bCs/>
                <w:color w:val="auto"/>
                <w:kern w:val="2"/>
                <w:sz w:val="21"/>
                <w:highlight w:val="none"/>
                <w:u w:val="single"/>
              </w:rPr>
              <w:t>1</w:t>
            </w:r>
            <w:r>
              <w:rPr>
                <w:rFonts w:hint="eastAsia" w:hAnsi="宋体" w:cs="宋体"/>
                <w:bCs/>
                <w:color w:val="auto"/>
                <w:kern w:val="2"/>
                <w:sz w:val="21"/>
                <w:highlight w:val="none"/>
              </w:rPr>
              <w:t>分，满分</w:t>
            </w:r>
            <w:r>
              <w:rPr>
                <w:rFonts w:hint="eastAsia" w:hAnsi="宋体" w:cs="宋体"/>
                <w:bCs/>
                <w:color w:val="auto"/>
                <w:kern w:val="2"/>
                <w:sz w:val="21"/>
                <w:highlight w:val="none"/>
                <w:u w:val="single"/>
              </w:rPr>
              <w:t>1</w:t>
            </w:r>
            <w:r>
              <w:rPr>
                <w:rFonts w:hint="eastAsia" w:hAnsi="宋体" w:cs="宋体"/>
                <w:bCs/>
                <w:color w:val="auto"/>
                <w:kern w:val="2"/>
                <w:sz w:val="21"/>
                <w:highlight w:val="none"/>
              </w:rPr>
              <w:t>分；</w:t>
            </w:r>
          </w:p>
          <w:p w14:paraId="795420A7">
            <w:pPr>
              <w:pStyle w:val="26"/>
              <w:spacing w:line="400" w:lineRule="exact"/>
              <w:rPr>
                <w:rFonts w:hAnsi="宋体" w:cs="宋体"/>
                <w:bCs/>
                <w:color w:val="auto"/>
                <w:kern w:val="2"/>
                <w:sz w:val="21"/>
                <w:highlight w:val="none"/>
              </w:rPr>
            </w:pPr>
            <w:r>
              <w:rPr>
                <w:rFonts w:hint="eastAsia" w:hAnsi="宋体" w:cs="宋体"/>
                <w:b/>
                <w:bCs/>
                <w:color w:val="auto"/>
                <w:sz w:val="21"/>
                <w:highlight w:val="none"/>
              </w:rPr>
              <w:t>备注：</w:t>
            </w:r>
            <w:r>
              <w:rPr>
                <w:rFonts w:hint="eastAsia" w:hAnsi="宋体" w:cs="宋体"/>
                <w:bCs/>
                <w:color w:val="auto"/>
                <w:sz w:val="21"/>
                <w:highlight w:val="none"/>
              </w:rPr>
              <w:t>以上（1）、（2）分值计算公式列举说明，如某投标人属于优先采购环境标志产品总值占本投标报价的比例为35.6%，那该项得分为1×0.356=0.356分；</w:t>
            </w:r>
          </w:p>
          <w:p w14:paraId="208384AB">
            <w:pPr>
              <w:pStyle w:val="26"/>
              <w:spacing w:line="400" w:lineRule="exact"/>
              <w:rPr>
                <w:rFonts w:hAnsi="宋体" w:cs="宋体"/>
                <w:color w:val="auto"/>
                <w:sz w:val="21"/>
                <w:highlight w:val="none"/>
              </w:rPr>
            </w:pPr>
            <w:r>
              <w:rPr>
                <w:rFonts w:hint="eastAsia" w:hAnsi="宋体" w:cs="宋体"/>
                <w:bCs/>
                <w:color w:val="auto"/>
                <w:kern w:val="2"/>
                <w:sz w:val="21"/>
                <w:highlight w:val="none"/>
              </w:rPr>
              <w:t>（3）非节能、环境标志产品的不得分。</w:t>
            </w:r>
          </w:p>
        </w:tc>
      </w:tr>
      <w:tr w14:paraId="5605B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5" w:type="dxa"/>
            <w:gridSpan w:val="4"/>
            <w:vAlign w:val="center"/>
          </w:tcPr>
          <w:p w14:paraId="4E4690DD">
            <w:pPr>
              <w:pStyle w:val="26"/>
              <w:snapToGrid w:val="0"/>
              <w:spacing w:line="400" w:lineRule="exact"/>
              <w:rPr>
                <w:rFonts w:hAnsi="宋体" w:cs="宋体"/>
                <w:b/>
                <w:bCs/>
                <w:color w:val="auto"/>
                <w:sz w:val="21"/>
                <w:highlight w:val="none"/>
              </w:rPr>
            </w:pPr>
            <w:r>
              <w:rPr>
                <w:rFonts w:hint="eastAsia" w:hAnsi="宋体" w:cs="宋体"/>
                <w:b/>
                <w:bCs/>
                <w:color w:val="auto"/>
                <w:sz w:val="21"/>
                <w:highlight w:val="none"/>
              </w:rPr>
              <w:t>总得分为以上各项评审因素得分合计。</w:t>
            </w:r>
          </w:p>
        </w:tc>
      </w:tr>
    </w:tbl>
    <w:p w14:paraId="43AADDCA">
      <w:pPr>
        <w:rPr>
          <w:b/>
          <w:bCs/>
          <w:color w:val="auto"/>
          <w:sz w:val="32"/>
          <w:szCs w:val="32"/>
          <w:highlight w:val="none"/>
        </w:rPr>
      </w:pPr>
    </w:p>
    <w:p w14:paraId="1F4B5B05">
      <w:pPr>
        <w:pStyle w:val="26"/>
        <w:spacing w:line="360" w:lineRule="auto"/>
        <w:ind w:firstLine="420"/>
        <w:rPr>
          <w:rFonts w:hAnsi="宋体"/>
          <w:bCs/>
          <w:color w:val="auto"/>
          <w:sz w:val="21"/>
          <w:highlight w:val="none"/>
        </w:rPr>
      </w:pPr>
      <w:r>
        <w:rPr>
          <w:rFonts w:hint="eastAsia" w:hAnsi="宋体"/>
          <w:bCs/>
          <w:color w:val="auto"/>
          <w:sz w:val="21"/>
          <w:highlight w:val="none"/>
        </w:rPr>
        <w:t>注：计分方法按四舍五入取至百分位</w:t>
      </w:r>
    </w:p>
    <w:p w14:paraId="174624F2">
      <w:pPr>
        <w:rPr>
          <w:color w:val="auto"/>
          <w:highlight w:val="none"/>
        </w:rPr>
      </w:pPr>
      <w:r>
        <w:rPr>
          <w:color w:val="auto"/>
          <w:highlight w:val="none"/>
        </w:rPr>
        <w:br w:type="page"/>
      </w:r>
    </w:p>
    <w:p w14:paraId="0AFC8468">
      <w:pPr>
        <w:pStyle w:val="26"/>
        <w:spacing w:line="360" w:lineRule="auto"/>
        <w:rPr>
          <w:rFonts w:hAnsi="宋体"/>
          <w:bCs/>
          <w:color w:val="auto"/>
          <w:sz w:val="21"/>
          <w:highlight w:val="none"/>
        </w:rPr>
      </w:pPr>
    </w:p>
    <w:p w14:paraId="12FBF1CB">
      <w:pPr>
        <w:pStyle w:val="7"/>
        <w:keepNext w:val="0"/>
        <w:keepLines w:val="0"/>
        <w:jc w:val="center"/>
        <w:rPr>
          <w:color w:val="auto"/>
          <w:sz w:val="30"/>
          <w:szCs w:val="30"/>
          <w:highlight w:val="none"/>
        </w:rPr>
      </w:pPr>
      <w:r>
        <w:rPr>
          <w:rFonts w:hint="eastAsia"/>
          <w:color w:val="auto"/>
          <w:sz w:val="30"/>
          <w:szCs w:val="30"/>
          <w:highlight w:val="none"/>
        </w:rPr>
        <w:t>四、中标候选人推荐</w:t>
      </w:r>
    </w:p>
    <w:p w14:paraId="4C5B3A5A">
      <w:pPr>
        <w:pStyle w:val="26"/>
        <w:spacing w:line="360" w:lineRule="auto"/>
        <w:contextualSpacing/>
        <w:rPr>
          <w:rFonts w:hAnsi="宋体"/>
          <w:b/>
          <w:bCs/>
          <w:color w:val="auto"/>
          <w:sz w:val="24"/>
          <w:szCs w:val="24"/>
          <w:highlight w:val="none"/>
        </w:rPr>
      </w:pPr>
      <w:r>
        <w:rPr>
          <w:rFonts w:hint="eastAsia" w:hAnsi="宋体"/>
          <w:b/>
          <w:bCs/>
          <w:color w:val="auto"/>
          <w:sz w:val="24"/>
          <w:szCs w:val="24"/>
          <w:highlight w:val="none"/>
        </w:rPr>
        <w:t>综合评分法</w:t>
      </w:r>
    </w:p>
    <w:p w14:paraId="25F91C8E">
      <w:pPr>
        <w:pStyle w:val="26"/>
        <w:spacing w:line="360" w:lineRule="auto"/>
        <w:ind w:firstLine="420" w:firstLineChars="200"/>
        <w:contextualSpacing/>
        <w:rPr>
          <w:rFonts w:hAnsi="宋体"/>
          <w:color w:val="auto"/>
          <w:sz w:val="21"/>
          <w:highlight w:val="none"/>
        </w:rPr>
      </w:pPr>
      <w:r>
        <w:rPr>
          <w:rFonts w:hint="eastAsia" w:hAnsi="宋体"/>
          <w:color w:val="auto"/>
          <w:sz w:val="21"/>
          <w:highlight w:val="none"/>
        </w:rPr>
        <w:t>1</w:t>
      </w:r>
      <w:r>
        <w:rPr>
          <w:rFonts w:hAnsi="宋体"/>
          <w:color w:val="auto"/>
          <w:sz w:val="21"/>
          <w:highlight w:val="none"/>
        </w:rPr>
        <w:t>.</w:t>
      </w:r>
      <w:r>
        <w:rPr>
          <w:rFonts w:hint="eastAsia" w:hAnsi="宋体"/>
          <w:color w:val="auto"/>
          <w:sz w:val="21"/>
          <w:highlight w:val="none"/>
        </w:rPr>
        <w:t>评标委员会根据原始评标记录和评标结果编写评标报告，并通过电子交易平台向采购人、采购代理机构提交。</w:t>
      </w:r>
    </w:p>
    <w:p w14:paraId="38393282">
      <w:pPr>
        <w:pStyle w:val="26"/>
        <w:spacing w:line="360" w:lineRule="auto"/>
        <w:ind w:firstLine="420" w:firstLineChars="200"/>
        <w:contextualSpacing/>
        <w:rPr>
          <w:rFonts w:hAnsi="宋体"/>
          <w:color w:val="auto"/>
          <w:sz w:val="21"/>
          <w:highlight w:val="none"/>
        </w:rPr>
      </w:pPr>
      <w:r>
        <w:rPr>
          <w:rFonts w:hint="eastAsia" w:hAnsi="宋体"/>
          <w:color w:val="auto"/>
          <w:sz w:val="21"/>
          <w:highlight w:val="none"/>
        </w:rPr>
        <w:t>2</w:t>
      </w:r>
      <w:r>
        <w:rPr>
          <w:rFonts w:hAnsi="宋体"/>
          <w:color w:val="auto"/>
          <w:sz w:val="21"/>
          <w:highlight w:val="none"/>
        </w:rPr>
        <w:t>.</w:t>
      </w:r>
      <w:r>
        <w:rPr>
          <w:rFonts w:hint="eastAsia" w:hAnsi="宋体"/>
          <w:color w:val="auto"/>
          <w:sz w:val="21"/>
          <w:highlight w:val="none"/>
        </w:rPr>
        <w:t>评标委员会将根据总得分由高到低排列次序并推荐中标候选人。得分相同的，按投标报价由低到高顺序排列。得分相同且投标报价相同的并列。投标文件满足招标文件全部实质性要求，且按照评审因素的量化指标评审得分最高的投标人为排名第一的中标候选人。</w:t>
      </w:r>
    </w:p>
    <w:p w14:paraId="3D0005B8">
      <w:pPr>
        <w:spacing w:before="120" w:beforeLines="50" w:after="120" w:afterLines="50" w:line="400" w:lineRule="exact"/>
        <w:rPr>
          <w:rFonts w:ascii="宋体" w:hAnsi="宋体"/>
          <w:b/>
          <w:color w:val="auto"/>
          <w:sz w:val="24"/>
          <w:highlight w:val="none"/>
        </w:rPr>
      </w:pPr>
    </w:p>
    <w:p w14:paraId="36151D49">
      <w:pPr>
        <w:spacing w:before="120" w:beforeLines="50" w:after="120" w:afterLines="50" w:line="400" w:lineRule="exact"/>
        <w:rPr>
          <w:rFonts w:ascii="宋体" w:hAnsi="宋体"/>
          <w:b/>
          <w:color w:val="auto"/>
          <w:sz w:val="24"/>
          <w:highlight w:val="none"/>
        </w:rPr>
      </w:pPr>
    </w:p>
    <w:p w14:paraId="020B1721">
      <w:pPr>
        <w:spacing w:before="120" w:beforeLines="50" w:after="120" w:afterLines="50" w:line="400" w:lineRule="exact"/>
        <w:rPr>
          <w:rFonts w:ascii="宋体" w:hAnsi="宋体"/>
          <w:b/>
          <w:color w:val="auto"/>
          <w:sz w:val="24"/>
          <w:highlight w:val="none"/>
        </w:rPr>
      </w:pPr>
    </w:p>
    <w:p w14:paraId="0E3682F2">
      <w:pPr>
        <w:spacing w:before="120" w:beforeLines="50" w:after="120" w:afterLines="50" w:line="400" w:lineRule="exact"/>
        <w:rPr>
          <w:rFonts w:ascii="宋体" w:hAnsi="宋体"/>
          <w:b/>
          <w:color w:val="auto"/>
          <w:sz w:val="24"/>
          <w:highlight w:val="none"/>
        </w:rPr>
      </w:pPr>
    </w:p>
    <w:p w14:paraId="0DFC8952">
      <w:pPr>
        <w:spacing w:before="120" w:beforeLines="50" w:after="120" w:afterLines="50" w:line="400" w:lineRule="exact"/>
        <w:rPr>
          <w:rFonts w:ascii="宋体" w:hAnsi="宋体"/>
          <w:b/>
          <w:color w:val="auto"/>
          <w:sz w:val="24"/>
          <w:highlight w:val="none"/>
        </w:rPr>
      </w:pPr>
    </w:p>
    <w:p w14:paraId="64A841CF">
      <w:pPr>
        <w:spacing w:before="120" w:beforeLines="50" w:after="120" w:afterLines="50" w:line="400" w:lineRule="exact"/>
        <w:rPr>
          <w:rFonts w:ascii="宋体" w:hAnsi="宋体"/>
          <w:b/>
          <w:color w:val="auto"/>
          <w:sz w:val="24"/>
          <w:highlight w:val="none"/>
        </w:rPr>
      </w:pPr>
    </w:p>
    <w:p w14:paraId="39696B99">
      <w:pPr>
        <w:spacing w:before="120" w:beforeLines="50" w:after="120" w:afterLines="50" w:line="400" w:lineRule="exact"/>
        <w:rPr>
          <w:rFonts w:ascii="宋体" w:hAnsi="宋体"/>
          <w:b/>
          <w:color w:val="auto"/>
          <w:sz w:val="24"/>
          <w:highlight w:val="none"/>
        </w:rPr>
      </w:pPr>
    </w:p>
    <w:p w14:paraId="33FA8CD0">
      <w:pPr>
        <w:spacing w:before="120" w:beforeLines="50" w:after="120" w:afterLines="50" w:line="400" w:lineRule="exact"/>
        <w:rPr>
          <w:rFonts w:ascii="宋体" w:hAnsi="宋体"/>
          <w:b/>
          <w:color w:val="auto"/>
          <w:sz w:val="24"/>
          <w:highlight w:val="none"/>
        </w:rPr>
      </w:pPr>
    </w:p>
    <w:p w14:paraId="47AC224F">
      <w:pPr>
        <w:spacing w:before="120" w:beforeLines="50" w:after="120" w:afterLines="50" w:line="400" w:lineRule="exact"/>
        <w:rPr>
          <w:rFonts w:ascii="宋体" w:hAnsi="宋体"/>
          <w:b/>
          <w:color w:val="auto"/>
          <w:sz w:val="24"/>
          <w:highlight w:val="none"/>
        </w:rPr>
      </w:pPr>
    </w:p>
    <w:p w14:paraId="67610639">
      <w:pPr>
        <w:pStyle w:val="6"/>
        <w:keepNext w:val="0"/>
        <w:keepLines w:val="0"/>
        <w:jc w:val="center"/>
        <w:rPr>
          <w:color w:val="auto"/>
          <w:highlight w:val="none"/>
        </w:rPr>
      </w:pPr>
      <w:r>
        <w:rPr>
          <w:color w:val="auto"/>
          <w:highlight w:val="none"/>
        </w:rPr>
        <w:br w:type="page"/>
      </w:r>
    </w:p>
    <w:p w14:paraId="00F3FE86">
      <w:pPr>
        <w:pStyle w:val="6"/>
        <w:keepNext w:val="0"/>
        <w:keepLines w:val="0"/>
        <w:jc w:val="center"/>
        <w:rPr>
          <w:color w:val="auto"/>
          <w:highlight w:val="none"/>
        </w:rPr>
      </w:pPr>
    </w:p>
    <w:p w14:paraId="634F59AF">
      <w:pPr>
        <w:pStyle w:val="6"/>
        <w:keepNext w:val="0"/>
        <w:keepLines w:val="0"/>
        <w:jc w:val="center"/>
        <w:rPr>
          <w:color w:val="auto"/>
          <w:highlight w:val="none"/>
        </w:rPr>
      </w:pPr>
    </w:p>
    <w:p w14:paraId="4D4DA691">
      <w:pPr>
        <w:pStyle w:val="6"/>
        <w:keepNext w:val="0"/>
        <w:keepLines w:val="0"/>
        <w:jc w:val="center"/>
        <w:rPr>
          <w:color w:val="auto"/>
          <w:highlight w:val="none"/>
        </w:rPr>
      </w:pPr>
    </w:p>
    <w:p w14:paraId="74916636">
      <w:pPr>
        <w:pStyle w:val="6"/>
        <w:keepNext w:val="0"/>
        <w:keepLines w:val="0"/>
        <w:jc w:val="center"/>
        <w:rPr>
          <w:color w:val="auto"/>
          <w:highlight w:val="none"/>
        </w:rPr>
      </w:pPr>
    </w:p>
    <w:p w14:paraId="2DF4C337">
      <w:pPr>
        <w:pStyle w:val="6"/>
        <w:keepNext w:val="0"/>
        <w:keepLines w:val="0"/>
        <w:jc w:val="center"/>
        <w:rPr>
          <w:color w:val="auto"/>
          <w:highlight w:val="none"/>
        </w:rPr>
      </w:pPr>
    </w:p>
    <w:p w14:paraId="082CE784">
      <w:pPr>
        <w:pStyle w:val="6"/>
        <w:keepNext w:val="0"/>
        <w:keepLines w:val="0"/>
        <w:jc w:val="center"/>
        <w:rPr>
          <w:color w:val="auto"/>
          <w:highlight w:val="none"/>
        </w:rPr>
      </w:pPr>
    </w:p>
    <w:p w14:paraId="2C3831B3">
      <w:pPr>
        <w:pStyle w:val="5"/>
        <w:jc w:val="center"/>
        <w:rPr>
          <w:color w:val="auto"/>
          <w:highlight w:val="none"/>
        </w:rPr>
      </w:pPr>
      <w:bookmarkStart w:id="154" w:name="_Toc74320804"/>
      <w:r>
        <w:rPr>
          <w:rFonts w:hint="eastAsia"/>
          <w:color w:val="auto"/>
          <w:highlight w:val="none"/>
        </w:rPr>
        <w:t>第五章  拟签订的合同文本</w:t>
      </w:r>
      <w:bookmarkEnd w:id="154"/>
    </w:p>
    <w:p w14:paraId="1B667A5C">
      <w:pPr>
        <w:snapToGrid w:val="0"/>
        <w:jc w:val="center"/>
        <w:rPr>
          <w:rFonts w:ascii="宋体" w:hAnsi="宋体"/>
          <w:bCs/>
          <w:color w:val="auto"/>
          <w:sz w:val="32"/>
          <w:szCs w:val="32"/>
          <w:highlight w:val="none"/>
        </w:rPr>
      </w:pPr>
    </w:p>
    <w:p w14:paraId="609D1E28">
      <w:pPr>
        <w:snapToGrid w:val="0"/>
        <w:jc w:val="center"/>
        <w:rPr>
          <w:rFonts w:ascii="宋体" w:hAnsi="宋体"/>
          <w:bCs/>
          <w:color w:val="auto"/>
          <w:sz w:val="32"/>
          <w:szCs w:val="32"/>
          <w:highlight w:val="none"/>
        </w:rPr>
      </w:pPr>
    </w:p>
    <w:p w14:paraId="30961067">
      <w:pPr>
        <w:snapToGrid w:val="0"/>
        <w:jc w:val="center"/>
        <w:rPr>
          <w:rFonts w:ascii="宋体" w:hAnsi="宋体"/>
          <w:bCs/>
          <w:color w:val="auto"/>
          <w:sz w:val="32"/>
          <w:szCs w:val="32"/>
          <w:highlight w:val="none"/>
        </w:rPr>
      </w:pPr>
    </w:p>
    <w:p w14:paraId="2E973A00">
      <w:pPr>
        <w:snapToGrid w:val="0"/>
        <w:jc w:val="center"/>
        <w:rPr>
          <w:rFonts w:ascii="宋体" w:hAnsi="宋体"/>
          <w:bCs/>
          <w:color w:val="auto"/>
          <w:sz w:val="32"/>
          <w:szCs w:val="32"/>
          <w:highlight w:val="none"/>
        </w:rPr>
      </w:pPr>
    </w:p>
    <w:p w14:paraId="02BBC520">
      <w:pPr>
        <w:snapToGrid w:val="0"/>
        <w:jc w:val="center"/>
        <w:rPr>
          <w:rFonts w:ascii="宋体" w:hAnsi="宋体"/>
          <w:bCs/>
          <w:color w:val="auto"/>
          <w:sz w:val="32"/>
          <w:szCs w:val="32"/>
          <w:highlight w:val="none"/>
        </w:rPr>
      </w:pPr>
    </w:p>
    <w:p w14:paraId="3200EBCD">
      <w:pPr>
        <w:snapToGrid w:val="0"/>
        <w:jc w:val="center"/>
        <w:rPr>
          <w:rFonts w:ascii="宋体" w:hAnsi="宋体"/>
          <w:bCs/>
          <w:color w:val="auto"/>
          <w:sz w:val="32"/>
          <w:szCs w:val="32"/>
          <w:highlight w:val="none"/>
        </w:rPr>
      </w:pPr>
    </w:p>
    <w:p w14:paraId="592E5488">
      <w:pPr>
        <w:snapToGrid w:val="0"/>
        <w:jc w:val="center"/>
        <w:rPr>
          <w:rFonts w:ascii="宋体" w:hAnsi="宋体"/>
          <w:bCs/>
          <w:color w:val="auto"/>
          <w:sz w:val="32"/>
          <w:szCs w:val="32"/>
          <w:highlight w:val="none"/>
        </w:rPr>
      </w:pPr>
    </w:p>
    <w:p w14:paraId="6489171F">
      <w:pPr>
        <w:snapToGrid w:val="0"/>
        <w:jc w:val="center"/>
        <w:rPr>
          <w:rFonts w:ascii="宋体" w:hAnsi="宋体"/>
          <w:bCs/>
          <w:color w:val="auto"/>
          <w:sz w:val="32"/>
          <w:szCs w:val="32"/>
          <w:highlight w:val="none"/>
        </w:rPr>
      </w:pPr>
    </w:p>
    <w:p w14:paraId="7E537459">
      <w:pPr>
        <w:snapToGrid w:val="0"/>
        <w:jc w:val="center"/>
        <w:rPr>
          <w:rFonts w:ascii="宋体" w:hAnsi="宋体"/>
          <w:bCs/>
          <w:color w:val="auto"/>
          <w:sz w:val="32"/>
          <w:szCs w:val="32"/>
          <w:highlight w:val="none"/>
        </w:rPr>
      </w:pPr>
    </w:p>
    <w:p w14:paraId="1837EC1D">
      <w:pPr>
        <w:snapToGrid w:val="0"/>
        <w:jc w:val="center"/>
        <w:rPr>
          <w:rFonts w:ascii="宋体" w:hAnsi="宋体"/>
          <w:bCs/>
          <w:color w:val="auto"/>
          <w:sz w:val="32"/>
          <w:szCs w:val="32"/>
          <w:highlight w:val="none"/>
        </w:rPr>
      </w:pPr>
    </w:p>
    <w:p w14:paraId="190273A9">
      <w:pPr>
        <w:snapToGrid w:val="0"/>
        <w:jc w:val="center"/>
        <w:rPr>
          <w:rFonts w:ascii="宋体" w:hAnsi="宋体"/>
          <w:bCs/>
          <w:color w:val="auto"/>
          <w:sz w:val="32"/>
          <w:szCs w:val="32"/>
          <w:highlight w:val="none"/>
        </w:rPr>
      </w:pPr>
    </w:p>
    <w:p w14:paraId="14D88036">
      <w:pPr>
        <w:snapToGrid w:val="0"/>
        <w:rPr>
          <w:rFonts w:ascii="宋体" w:hAnsi="宋体"/>
          <w:bCs/>
          <w:color w:val="auto"/>
          <w:sz w:val="32"/>
          <w:szCs w:val="32"/>
          <w:highlight w:val="none"/>
        </w:rPr>
      </w:pPr>
      <w:bookmarkStart w:id="155" w:name="_Hlk55381736"/>
      <w:r>
        <w:rPr>
          <w:rFonts w:ascii="宋体" w:hAnsi="宋体"/>
          <w:bCs/>
          <w:color w:val="auto"/>
          <w:sz w:val="32"/>
          <w:szCs w:val="32"/>
          <w:highlight w:val="none"/>
        </w:rPr>
        <w:t xml:space="preserve"> </w:t>
      </w:r>
    </w:p>
    <w:p w14:paraId="5CE8C3D5">
      <w:pPr>
        <w:snapToGrid w:val="0"/>
        <w:spacing w:line="360" w:lineRule="auto"/>
        <w:ind w:firstLine="640" w:firstLineChars="200"/>
        <w:rPr>
          <w:rFonts w:ascii="宋体" w:hAnsi="宋体"/>
          <w:b/>
          <w:color w:val="auto"/>
          <w:sz w:val="32"/>
          <w:szCs w:val="32"/>
          <w:highlight w:val="none"/>
        </w:rPr>
      </w:pPr>
      <w:r>
        <w:rPr>
          <w:rFonts w:ascii="宋体" w:hAnsi="宋体"/>
          <w:bCs/>
          <w:color w:val="auto"/>
          <w:sz w:val="32"/>
          <w:szCs w:val="32"/>
          <w:highlight w:val="none"/>
        </w:rPr>
        <w:br w:type="page"/>
      </w:r>
    </w:p>
    <w:p w14:paraId="4A9F9302">
      <w:pPr>
        <w:snapToGrid w:val="0"/>
        <w:spacing w:line="360" w:lineRule="auto"/>
        <w:jc w:val="right"/>
        <w:rPr>
          <w:rFonts w:ascii="宋体" w:hAnsi="宋体"/>
          <w:b/>
          <w:bCs/>
          <w:color w:val="auto"/>
          <w:sz w:val="48"/>
          <w:szCs w:val="48"/>
          <w:highlight w:val="none"/>
        </w:rPr>
      </w:pPr>
      <w:r>
        <w:rPr>
          <w:rFonts w:hint="eastAsia" w:ascii="宋体" w:hAnsi="宋体"/>
          <w:b/>
          <w:bCs/>
          <w:color w:val="auto"/>
          <w:sz w:val="22"/>
          <w:szCs w:val="22"/>
          <w:highlight w:val="none"/>
        </w:rPr>
        <w:t>合同编号：</w:t>
      </w:r>
    </w:p>
    <w:p w14:paraId="57B5C24D">
      <w:pPr>
        <w:snapToGrid w:val="0"/>
        <w:spacing w:line="360" w:lineRule="auto"/>
        <w:jc w:val="center"/>
        <w:rPr>
          <w:rFonts w:ascii="宋体" w:hAnsi="宋体"/>
          <w:b/>
          <w:bCs/>
          <w:color w:val="auto"/>
          <w:sz w:val="48"/>
          <w:szCs w:val="48"/>
          <w:highlight w:val="none"/>
        </w:rPr>
      </w:pPr>
    </w:p>
    <w:p w14:paraId="34997B78">
      <w:pPr>
        <w:snapToGrid w:val="0"/>
        <w:spacing w:line="360" w:lineRule="auto"/>
        <w:jc w:val="center"/>
        <w:rPr>
          <w:rFonts w:ascii="宋体" w:hAnsi="宋体"/>
          <w:b/>
          <w:bCs/>
          <w:color w:val="auto"/>
          <w:sz w:val="48"/>
          <w:szCs w:val="48"/>
          <w:highlight w:val="none"/>
        </w:rPr>
      </w:pPr>
    </w:p>
    <w:p w14:paraId="415B7982">
      <w:pPr>
        <w:snapToGrid w:val="0"/>
        <w:spacing w:line="360" w:lineRule="auto"/>
        <w:jc w:val="center"/>
        <w:rPr>
          <w:rFonts w:ascii="宋体" w:hAnsi="宋体"/>
          <w:b/>
          <w:bCs/>
          <w:color w:val="auto"/>
          <w:sz w:val="48"/>
          <w:szCs w:val="48"/>
          <w:highlight w:val="none"/>
        </w:rPr>
      </w:pPr>
    </w:p>
    <w:p w14:paraId="3E71F4EF">
      <w:pPr>
        <w:snapToGrid w:val="0"/>
        <w:spacing w:line="360" w:lineRule="auto"/>
        <w:jc w:val="center"/>
        <w:rPr>
          <w:rFonts w:ascii="宋体" w:hAnsi="宋体"/>
          <w:b/>
          <w:bCs/>
          <w:color w:val="auto"/>
          <w:sz w:val="48"/>
          <w:szCs w:val="48"/>
          <w:highlight w:val="none"/>
        </w:rPr>
      </w:pPr>
    </w:p>
    <w:p w14:paraId="42ACCCC3">
      <w:pPr>
        <w:snapToGrid w:val="0"/>
        <w:spacing w:line="360" w:lineRule="auto"/>
        <w:jc w:val="center"/>
        <w:rPr>
          <w:rFonts w:ascii="宋体" w:hAnsi="宋体"/>
          <w:b/>
          <w:bCs/>
          <w:color w:val="auto"/>
          <w:sz w:val="48"/>
          <w:szCs w:val="48"/>
          <w:highlight w:val="none"/>
        </w:rPr>
      </w:pPr>
      <w:r>
        <w:rPr>
          <w:rFonts w:hint="eastAsia" w:ascii="宋体" w:hAnsi="宋体"/>
          <w:b/>
          <w:bCs/>
          <w:color w:val="auto"/>
          <w:sz w:val="48"/>
          <w:szCs w:val="48"/>
          <w:highlight w:val="none"/>
        </w:rPr>
        <w:t>广西壮族自治区政府采购合同</w:t>
      </w:r>
    </w:p>
    <w:p w14:paraId="727362CD">
      <w:pPr>
        <w:snapToGrid w:val="0"/>
        <w:spacing w:line="360" w:lineRule="auto"/>
        <w:jc w:val="right"/>
        <w:rPr>
          <w:rFonts w:ascii="宋体" w:hAnsi="宋体"/>
          <w:b/>
          <w:bCs/>
          <w:color w:val="auto"/>
          <w:sz w:val="22"/>
          <w:szCs w:val="22"/>
          <w:highlight w:val="none"/>
        </w:rPr>
      </w:pPr>
    </w:p>
    <w:p w14:paraId="570A1F14">
      <w:pPr>
        <w:pStyle w:val="56"/>
        <w:rPr>
          <w:color w:val="auto"/>
          <w:highlight w:val="none"/>
        </w:rPr>
      </w:pPr>
    </w:p>
    <w:p w14:paraId="15BB9DCD">
      <w:pPr>
        <w:snapToGrid w:val="0"/>
        <w:spacing w:line="360" w:lineRule="auto"/>
        <w:jc w:val="center"/>
        <w:rPr>
          <w:rFonts w:ascii="宋体" w:hAnsi="宋体"/>
          <w:b/>
          <w:bCs/>
          <w:color w:val="auto"/>
          <w:sz w:val="32"/>
          <w:szCs w:val="32"/>
          <w:highlight w:val="none"/>
        </w:rPr>
      </w:pPr>
    </w:p>
    <w:p w14:paraId="75D61CB8">
      <w:pPr>
        <w:pStyle w:val="56"/>
        <w:ind w:firstLine="641"/>
        <w:rPr>
          <w:rFonts w:ascii="宋体" w:hAnsi="宋体"/>
          <w:b/>
          <w:bCs/>
          <w:color w:val="auto"/>
          <w:sz w:val="32"/>
          <w:szCs w:val="32"/>
          <w:highlight w:val="none"/>
        </w:rPr>
      </w:pPr>
    </w:p>
    <w:p w14:paraId="092AF88A">
      <w:pPr>
        <w:pStyle w:val="56"/>
        <w:ind w:firstLine="641"/>
        <w:rPr>
          <w:rFonts w:ascii="宋体" w:hAnsi="宋体"/>
          <w:b/>
          <w:bCs/>
          <w:color w:val="auto"/>
          <w:sz w:val="32"/>
          <w:szCs w:val="32"/>
          <w:highlight w:val="none"/>
        </w:rPr>
      </w:pPr>
    </w:p>
    <w:p w14:paraId="508A7F62">
      <w:pPr>
        <w:snapToGrid w:val="0"/>
        <w:spacing w:before="120" w:beforeLines="50" w:line="360" w:lineRule="auto"/>
        <w:jc w:val="left"/>
        <w:rPr>
          <w:rFonts w:ascii="宋体" w:hAnsi="宋体"/>
          <w:b/>
          <w:bCs/>
          <w:color w:val="auto"/>
          <w:sz w:val="32"/>
          <w:szCs w:val="32"/>
          <w:highlight w:val="none"/>
        </w:rPr>
      </w:pPr>
      <w:r>
        <w:rPr>
          <w:rFonts w:hint="eastAsia" w:ascii="宋体" w:hAnsi="宋体"/>
          <w:b/>
          <w:bCs/>
          <w:color w:val="auto"/>
          <w:sz w:val="32"/>
          <w:szCs w:val="32"/>
          <w:highlight w:val="none"/>
        </w:rPr>
        <w:t xml:space="preserve">项目编号：                         </w:t>
      </w:r>
    </w:p>
    <w:p w14:paraId="52CD69F7">
      <w:pPr>
        <w:snapToGrid w:val="0"/>
        <w:spacing w:before="120" w:beforeLines="50" w:line="360" w:lineRule="auto"/>
        <w:jc w:val="left"/>
        <w:rPr>
          <w:rFonts w:ascii="宋体" w:hAnsi="宋体"/>
          <w:b/>
          <w:bCs/>
          <w:color w:val="auto"/>
          <w:sz w:val="32"/>
          <w:szCs w:val="32"/>
          <w:highlight w:val="none"/>
        </w:rPr>
      </w:pPr>
      <w:r>
        <w:rPr>
          <w:rFonts w:hint="eastAsia" w:ascii="宋体" w:hAnsi="宋体"/>
          <w:b/>
          <w:bCs/>
          <w:color w:val="auto"/>
          <w:sz w:val="32"/>
          <w:szCs w:val="32"/>
          <w:highlight w:val="none"/>
        </w:rPr>
        <w:t>项目名称：</w:t>
      </w:r>
    </w:p>
    <w:p w14:paraId="3B2E356B">
      <w:pPr>
        <w:snapToGrid w:val="0"/>
        <w:spacing w:before="120" w:beforeLines="50" w:line="360" w:lineRule="auto"/>
        <w:jc w:val="left"/>
        <w:rPr>
          <w:rFonts w:ascii="宋体" w:hAnsi="宋体"/>
          <w:b/>
          <w:bCs/>
          <w:color w:val="auto"/>
          <w:sz w:val="32"/>
          <w:szCs w:val="32"/>
          <w:highlight w:val="none"/>
        </w:rPr>
      </w:pPr>
      <w:r>
        <w:rPr>
          <w:rFonts w:hint="eastAsia" w:ascii="宋体" w:hAnsi="宋体"/>
          <w:b/>
          <w:bCs/>
          <w:color w:val="auto"/>
          <w:sz w:val="32"/>
          <w:szCs w:val="32"/>
          <w:highlight w:val="none"/>
        </w:rPr>
        <w:t>采购人（甲方）：</w:t>
      </w:r>
    </w:p>
    <w:p w14:paraId="0C9B090E">
      <w:pPr>
        <w:snapToGrid w:val="0"/>
        <w:spacing w:before="120" w:beforeLines="50" w:line="360" w:lineRule="auto"/>
        <w:jc w:val="left"/>
        <w:rPr>
          <w:rFonts w:ascii="宋体" w:hAnsi="宋体"/>
          <w:b/>
          <w:bCs/>
          <w:color w:val="auto"/>
          <w:sz w:val="32"/>
          <w:szCs w:val="32"/>
          <w:highlight w:val="none"/>
        </w:rPr>
      </w:pPr>
      <w:r>
        <w:rPr>
          <w:rFonts w:hint="eastAsia" w:ascii="宋体" w:hAnsi="宋体"/>
          <w:b/>
          <w:bCs/>
          <w:color w:val="auto"/>
          <w:sz w:val="32"/>
          <w:szCs w:val="32"/>
          <w:highlight w:val="none"/>
        </w:rPr>
        <w:t>供应商（乙方）：</w:t>
      </w:r>
    </w:p>
    <w:p w14:paraId="1E05572B">
      <w:pPr>
        <w:snapToGrid w:val="0"/>
        <w:spacing w:line="360" w:lineRule="auto"/>
        <w:rPr>
          <w:rFonts w:ascii="宋体" w:hAnsi="宋体"/>
          <w:color w:val="auto"/>
          <w:szCs w:val="21"/>
          <w:highlight w:val="none"/>
        </w:rPr>
      </w:pPr>
      <w:r>
        <w:rPr>
          <w:rFonts w:hint="eastAsia" w:ascii="宋体" w:hAnsi="宋体"/>
          <w:b/>
          <w:bCs/>
          <w:color w:val="auto"/>
          <w:sz w:val="32"/>
          <w:szCs w:val="32"/>
          <w:highlight w:val="none"/>
        </w:rPr>
        <w:t>签订时间：      年    月    日</w:t>
      </w:r>
    </w:p>
    <w:p w14:paraId="4115A84F">
      <w:pPr>
        <w:widowControl/>
        <w:spacing w:line="240" w:lineRule="auto"/>
        <w:ind w:firstLine="0" w:firstLineChars="0"/>
        <w:jc w:val="left"/>
        <w:rPr>
          <w:rFonts w:ascii="宋体" w:hAnsi="宋体" w:cs="宋体"/>
          <w:color w:val="auto"/>
          <w:szCs w:val="21"/>
          <w:highlight w:val="none"/>
        </w:rPr>
      </w:pPr>
      <w:r>
        <w:rPr>
          <w:rFonts w:hint="eastAsia" w:ascii="宋体" w:hAnsi="宋体" w:cs="宋体"/>
          <w:color w:val="auto"/>
          <w:szCs w:val="21"/>
          <w:highlight w:val="none"/>
        </w:rPr>
        <w:br w:type="page"/>
      </w:r>
    </w:p>
    <w:p w14:paraId="6E24D44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甲方（采购人）：</w:t>
      </w:r>
      <w:r>
        <w:rPr>
          <w:rFonts w:hint="eastAsia" w:ascii="宋体" w:hAnsi="宋体" w:cs="宋体"/>
          <w:color w:val="auto"/>
          <w:szCs w:val="21"/>
          <w:highlight w:val="none"/>
          <w:u w:val="single"/>
        </w:rPr>
        <w:t xml:space="preserve">                      </w:t>
      </w:r>
    </w:p>
    <w:p w14:paraId="090FDC8A">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乙方（中标供应商）：</w:t>
      </w:r>
      <w:r>
        <w:rPr>
          <w:rFonts w:hint="eastAsia" w:ascii="宋体" w:hAnsi="宋体" w:cs="宋体"/>
          <w:color w:val="auto"/>
          <w:szCs w:val="21"/>
          <w:highlight w:val="none"/>
          <w:u w:val="single"/>
        </w:rPr>
        <w:t xml:space="preserve">                  </w:t>
      </w:r>
    </w:p>
    <w:p w14:paraId="5ACA5F0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日（采购代理机构名称）签发的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（项目编号）中标通知书，甲方接受乙方对本项目的投标，甲、乙双方同意签署本合同（以下简称合同），中标通知书、招标文件及补充、投标文件及澄清为本合同不可分割的部分并与本合同具有同等法律效力。</w:t>
      </w:r>
    </w:p>
    <w:p w14:paraId="71A6B4A1">
      <w:pPr>
        <w:spacing w:line="400" w:lineRule="exact"/>
        <w:ind w:firstLine="420" w:firstLineChars="200"/>
        <w:rPr>
          <w:rFonts w:ascii="宋体" w:hAnsi="宋体" w:cs="宋体"/>
          <w:color w:val="auto"/>
          <w:szCs w:val="21"/>
          <w:highlight w:val="none"/>
        </w:rPr>
      </w:pPr>
    </w:p>
    <w:p w14:paraId="59C26922">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1.采购内容</w:t>
      </w:r>
    </w:p>
    <w:tbl>
      <w:tblPr>
        <w:tblStyle w:val="47"/>
        <w:tblW w:w="8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1550"/>
        <w:gridCol w:w="1717"/>
        <w:gridCol w:w="1717"/>
        <w:gridCol w:w="1618"/>
      </w:tblGrid>
      <w:tr w14:paraId="2BCF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Align w:val="center"/>
          </w:tcPr>
          <w:p w14:paraId="14510901">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货物名称</w:t>
            </w:r>
          </w:p>
        </w:tc>
        <w:tc>
          <w:tcPr>
            <w:tcW w:w="1550" w:type="dxa"/>
            <w:vAlign w:val="center"/>
          </w:tcPr>
          <w:p w14:paraId="34087FCE">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数量</w:t>
            </w:r>
          </w:p>
          <w:p w14:paraId="11B3F5B2">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（单位）</w:t>
            </w:r>
          </w:p>
        </w:tc>
        <w:tc>
          <w:tcPr>
            <w:tcW w:w="1717" w:type="dxa"/>
            <w:vAlign w:val="center"/>
          </w:tcPr>
          <w:p w14:paraId="6D84B781">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品牌、厂家、型号、规格</w:t>
            </w:r>
          </w:p>
        </w:tc>
        <w:tc>
          <w:tcPr>
            <w:tcW w:w="1717" w:type="dxa"/>
            <w:vAlign w:val="center"/>
          </w:tcPr>
          <w:p w14:paraId="2C12C9EE">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技术参数</w:t>
            </w:r>
          </w:p>
        </w:tc>
        <w:tc>
          <w:tcPr>
            <w:tcW w:w="1618" w:type="dxa"/>
            <w:vAlign w:val="center"/>
          </w:tcPr>
          <w:p w14:paraId="78C80FA1">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金额（元）</w:t>
            </w:r>
          </w:p>
        </w:tc>
      </w:tr>
      <w:tr w14:paraId="10E33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Align w:val="center"/>
          </w:tcPr>
          <w:p w14:paraId="2C403C2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彩色多普勒超声诊断仪</w:t>
            </w:r>
          </w:p>
        </w:tc>
        <w:tc>
          <w:tcPr>
            <w:tcW w:w="1550" w:type="dxa"/>
            <w:vAlign w:val="center"/>
          </w:tcPr>
          <w:p w14:paraId="610455C1">
            <w:pPr>
              <w:spacing w:line="400" w:lineRule="exact"/>
              <w:jc w:val="center"/>
              <w:rPr>
                <w:rFonts w:ascii="宋体" w:hAnsi="宋体" w:cs="宋体"/>
                <w:color w:val="auto"/>
                <w:szCs w:val="21"/>
                <w:highlight w:val="none"/>
              </w:rPr>
            </w:pPr>
            <w:r>
              <w:rPr>
                <w:rFonts w:hint="eastAsia" w:ascii="宋体" w:hAnsi="宋体" w:cs="宋体"/>
                <w:iCs/>
                <w:color w:val="auto"/>
                <w:szCs w:val="21"/>
                <w:highlight w:val="none"/>
              </w:rPr>
              <w:t>1台</w:t>
            </w:r>
          </w:p>
        </w:tc>
        <w:tc>
          <w:tcPr>
            <w:tcW w:w="1717" w:type="dxa"/>
            <w:vAlign w:val="center"/>
          </w:tcPr>
          <w:p w14:paraId="1AD75C83">
            <w:pPr>
              <w:spacing w:line="400" w:lineRule="exact"/>
              <w:jc w:val="center"/>
              <w:rPr>
                <w:rFonts w:ascii="宋体" w:hAnsi="宋体" w:cs="宋体"/>
                <w:color w:val="auto"/>
                <w:szCs w:val="21"/>
                <w:highlight w:val="none"/>
              </w:rPr>
            </w:pPr>
          </w:p>
        </w:tc>
        <w:tc>
          <w:tcPr>
            <w:tcW w:w="1717" w:type="dxa"/>
            <w:vAlign w:val="center"/>
          </w:tcPr>
          <w:p w14:paraId="32872BB8">
            <w:pPr>
              <w:spacing w:line="400" w:lineRule="exact"/>
              <w:jc w:val="center"/>
              <w:rPr>
                <w:rFonts w:ascii="宋体" w:hAnsi="宋体" w:cs="宋体"/>
                <w:color w:val="auto"/>
                <w:szCs w:val="21"/>
                <w:highlight w:val="none"/>
              </w:rPr>
            </w:pPr>
          </w:p>
        </w:tc>
        <w:tc>
          <w:tcPr>
            <w:tcW w:w="1618" w:type="dxa"/>
            <w:vAlign w:val="center"/>
          </w:tcPr>
          <w:p w14:paraId="5B2DC99C">
            <w:pPr>
              <w:spacing w:line="400" w:lineRule="exact"/>
              <w:jc w:val="center"/>
              <w:rPr>
                <w:rFonts w:ascii="宋体" w:hAnsi="宋体" w:cs="宋体"/>
                <w:color w:val="auto"/>
                <w:szCs w:val="21"/>
                <w:highlight w:val="none"/>
              </w:rPr>
            </w:pPr>
          </w:p>
        </w:tc>
      </w:tr>
    </w:tbl>
    <w:p w14:paraId="1E22D0B0">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2.合同金额</w:t>
      </w:r>
    </w:p>
    <w:p w14:paraId="2F991D2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 本合同金额为人民币（大写）：</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）；前述价款包含但不限于中标货物及其配件（附件）价款，包装费、运费、装卸费、保险费、搬运费、安装费、调试费、检验及检定验收费、售后服务费、培训费（如有）、税金等招标文件和</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文件</w:t>
      </w:r>
      <w:r>
        <w:rPr>
          <w:rFonts w:hint="eastAsia" w:ascii="宋体" w:hAnsi="宋体" w:cs="宋体"/>
          <w:color w:val="auto"/>
          <w:szCs w:val="21"/>
          <w:highlight w:val="none"/>
        </w:rPr>
        <w:t>规定及合同包含的所有风险、责任等应有的全部费用。如涉及与医院信息系统连接的接口问题，前述价款也包含双方接口费用。</w:t>
      </w:r>
    </w:p>
    <w:p w14:paraId="6081001D">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3.交付要求</w:t>
      </w:r>
    </w:p>
    <w:p w14:paraId="4AE96A5B">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3.1 交货时间：</w:t>
      </w:r>
      <w:r>
        <w:rPr>
          <w:rFonts w:hint="eastAsia" w:ascii="宋体" w:hAnsi="宋体" w:cs="宋体"/>
          <w:color w:val="auto"/>
          <w:szCs w:val="21"/>
          <w:highlight w:val="none"/>
          <w:u w:val="single"/>
        </w:rPr>
        <w:t>项目具备安装条件，甲方向乙方发出供货通知，乙方在收到甲方通知后30个日</w:t>
      </w:r>
      <w:r>
        <w:rPr>
          <w:rFonts w:hint="eastAsia" w:ascii="宋体" w:hAnsi="宋体" w:cs="宋体"/>
          <w:color w:val="auto"/>
          <w:szCs w:val="21"/>
          <w:highlight w:val="none"/>
          <w:u w:val="none"/>
        </w:rPr>
        <w:t>历日内</w:t>
      </w:r>
      <w:r>
        <w:rPr>
          <w:rFonts w:hint="eastAsia" w:ascii="宋体" w:hAnsi="宋体" w:cs="宋体"/>
          <w:color w:val="auto"/>
          <w:szCs w:val="21"/>
          <w:highlight w:val="none"/>
        </w:rPr>
        <w:t>将全部货物运抵甲方指定地点、</w:t>
      </w:r>
      <w:r>
        <w:rPr>
          <w:rFonts w:hint="eastAsia" w:ascii="宋体" w:hAnsi="宋体" w:cs="宋体"/>
          <w:color w:val="auto"/>
          <w:szCs w:val="21"/>
          <w:highlight w:val="none"/>
          <w:u w:val="none"/>
        </w:rPr>
        <w:t>完成</w:t>
      </w:r>
      <w:r>
        <w:rPr>
          <w:rFonts w:hint="eastAsia" w:ascii="宋体" w:hAnsi="宋体" w:cs="宋体"/>
          <w:color w:val="auto"/>
          <w:szCs w:val="21"/>
          <w:highlight w:val="none"/>
          <w:u w:val="single"/>
        </w:rPr>
        <w:t>安装、调试、培训工作,并经最终验收合格后交付使用；</w:t>
      </w:r>
    </w:p>
    <w:p w14:paraId="575CC13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 交货地点：</w:t>
      </w:r>
      <w:r>
        <w:rPr>
          <w:rFonts w:hint="eastAsia" w:ascii="宋体" w:hAnsi="宋体" w:cs="宋体"/>
          <w:color w:val="auto"/>
          <w:kern w:val="0"/>
          <w:szCs w:val="21"/>
          <w:highlight w:val="none"/>
          <w:u w:val="single"/>
          <w:lang w:bidi="ar"/>
        </w:rPr>
        <w:t>广西梧州市甲方指定地点</w:t>
      </w:r>
      <w:r>
        <w:rPr>
          <w:rFonts w:hint="eastAsia" w:ascii="宋体" w:hAnsi="宋体" w:cs="宋体"/>
          <w:color w:val="auto"/>
          <w:szCs w:val="21"/>
          <w:highlight w:val="none"/>
          <w:u w:val="single"/>
        </w:rPr>
        <w:t>，本次采购不接受任何耗损；</w:t>
      </w:r>
    </w:p>
    <w:p w14:paraId="329FFB0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 交货方式：</w:t>
      </w:r>
      <w:r>
        <w:rPr>
          <w:rFonts w:hint="eastAsia" w:ascii="宋体" w:hAnsi="宋体" w:cs="宋体"/>
          <w:color w:val="auto"/>
          <w:szCs w:val="21"/>
          <w:highlight w:val="none"/>
          <w:u w:val="single"/>
        </w:rPr>
        <w:t>运送至甲方指定地点，甲方签署验收合格证书视为交付完成；</w:t>
      </w:r>
    </w:p>
    <w:p w14:paraId="234AC125">
      <w:pPr>
        <w:spacing w:line="400" w:lineRule="exact"/>
        <w:ind w:left="559" w:leftChars="266"/>
        <w:jc w:val="left"/>
        <w:rPr>
          <w:rFonts w:ascii="宋体" w:hAnsi="宋体" w:cs="宋体"/>
          <w:color w:val="auto"/>
          <w:szCs w:val="21"/>
          <w:highlight w:val="none"/>
        </w:rPr>
      </w:pPr>
      <w:r>
        <w:rPr>
          <w:rFonts w:hint="eastAsia" w:ascii="宋体" w:hAnsi="宋体" w:cs="宋体"/>
          <w:color w:val="auto"/>
          <w:szCs w:val="21"/>
          <w:highlight w:val="none"/>
        </w:rPr>
        <w:t xml:space="preserve">3.4 </w:t>
      </w:r>
      <w:r>
        <w:rPr>
          <w:rFonts w:hint="eastAsia" w:ascii="宋体" w:hAnsi="宋体" w:cs="宋体"/>
          <w:color w:val="auto"/>
          <w:szCs w:val="21"/>
          <w:highlight w:val="none"/>
          <w:u w:val="single"/>
        </w:rPr>
        <w:t>乙方必须按投标文件承诺的技术参数、性能要求、质量标准等向甲方提供全新、完整、未经使用、无任何权利瑕疵的货物。</w:t>
      </w:r>
    </w:p>
    <w:p w14:paraId="430F0EB2">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4.履约保证金</w:t>
      </w:r>
    </w:p>
    <w:p w14:paraId="0AB83BC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4.1履约保证金金额：无。</w:t>
      </w:r>
    </w:p>
    <w:p w14:paraId="0BCC4ABF">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5.质量保证及售后服务</w:t>
      </w:r>
    </w:p>
    <w:p w14:paraId="6E36611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5.1 质保期：</w:t>
      </w:r>
      <w:r>
        <w:rPr>
          <w:rFonts w:hint="eastAsia" w:ascii="宋体" w:hAnsi="宋体" w:cs="宋体"/>
          <w:color w:val="auto"/>
          <w:kern w:val="0"/>
          <w:szCs w:val="21"/>
          <w:highlight w:val="none"/>
          <w:u w:val="single"/>
          <w:lang w:bidi="ar"/>
        </w:rPr>
        <w:t xml:space="preserve">      年 ，设备质保期以原厂标准为准，自设备验收合格之日起计算（国家对本次采购的货物质保期有更长规定的，从其规定）。若质保期届满仍存在质保期内产生的未解决的技术问题和/或未完成的任务，</w:t>
      </w:r>
      <w:r>
        <w:rPr>
          <w:rFonts w:hint="eastAsia" w:ascii="宋体" w:hAnsi="宋体" w:cs="宋体"/>
          <w:color w:val="auto"/>
          <w:kern w:val="0"/>
          <w:szCs w:val="21"/>
          <w:highlight w:val="none"/>
          <w:u w:val="single"/>
          <w:lang w:val="en-US" w:eastAsia="zh-CN" w:bidi="ar"/>
        </w:rPr>
        <w:t>乙方</w:t>
      </w:r>
      <w:r>
        <w:rPr>
          <w:rFonts w:hint="eastAsia" w:ascii="宋体" w:hAnsi="宋体" w:cs="宋体"/>
          <w:color w:val="auto"/>
          <w:kern w:val="0"/>
          <w:szCs w:val="21"/>
          <w:highlight w:val="none"/>
          <w:u w:val="single"/>
          <w:lang w:bidi="ar"/>
        </w:rPr>
        <w:t>应按照合同约定提供售后服务，直到问题解决和/或任务完成为止</w:t>
      </w:r>
      <w:r>
        <w:rPr>
          <w:rFonts w:hint="eastAsia" w:ascii="宋体" w:hAnsi="宋体" w:cs="宋体"/>
          <w:color w:val="auto"/>
          <w:kern w:val="0"/>
          <w:szCs w:val="21"/>
          <w:highlight w:val="none"/>
          <w:lang w:bidi="ar"/>
        </w:rPr>
        <w:t>。</w:t>
      </w:r>
    </w:p>
    <w:p w14:paraId="49FB602E">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5.2 故障处理：厂家须设有24小时服务电话，质保期内，在使用过程中发现质量问题或故障时，接到维修通知后，2小时内响应，24小时内按国家及行业标准对故障进行及时处理。一般问题应在48小时内解决，重大问题或其它无法迅速解决的问题应在一周内解决，所发生的一切费用由乙方承担。</w:t>
      </w:r>
    </w:p>
    <w:p w14:paraId="5BBB9FE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5.3 乙方提供的货物在质量保证期内因货物本身的质量问题发生故障，乙方应无条件负责更换。对达不到技术要求者，根据实际情况，经双方协商，可按以下办法处理：</w:t>
      </w:r>
    </w:p>
    <w:p w14:paraId="3A5D8ED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（1）更换：由乙方承担所发生的全部费用；</w:t>
      </w:r>
    </w:p>
    <w:p w14:paraId="26E7E75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（2）退货处理：乙方应退还甲方支付的合同款，同时应承担与该货物相关的直接费用（运输、保险、检验、合同款利息及银行手续费等）。</w:t>
      </w:r>
    </w:p>
    <w:p w14:paraId="2C19CA44">
      <w:pPr>
        <w:spacing w:line="400" w:lineRule="exact"/>
        <w:ind w:firstLine="420" w:firstLineChars="200"/>
        <w:rPr>
          <w:color w:val="auto"/>
          <w:highlight w:val="none"/>
        </w:rPr>
      </w:pPr>
      <w:r>
        <w:rPr>
          <w:rFonts w:hint="eastAsia" w:ascii="宋体" w:hAnsi="宋体" w:cs="宋体"/>
          <w:color w:val="auto"/>
          <w:szCs w:val="21"/>
          <w:highlight w:val="none"/>
        </w:rPr>
        <w:t>5.4 在质量保证期内，乙方负责处理解决货物出现的质量及安全问题并承担一切费用，入库验收前出现的损耗由乙方无条件负责置换。因货物出现的质量或安全问题导致任何人的经济或人身损失的，该损失由乙方负全部责任。</w:t>
      </w:r>
    </w:p>
    <w:p w14:paraId="5BBED88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5.5 超过质量保证期的货物，乙方提供终生维修、保养服务，维修时只收部件成本费。</w:t>
      </w:r>
    </w:p>
    <w:p w14:paraId="1E34F01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5.6货物如属于政府部门有强制检定检验要求的，乙方应负责货物使用前的相关检定检验。</w:t>
      </w:r>
    </w:p>
    <w:p w14:paraId="76712C28">
      <w:pPr>
        <w:pStyle w:val="34"/>
        <w:spacing w:line="400" w:lineRule="exact"/>
        <w:ind w:firstLine="420" w:firstLineChars="200"/>
        <w:rPr>
          <w:rFonts w:cs="宋体"/>
          <w:b w:val="0"/>
          <w:bCs w:val="0"/>
          <w:caps w:val="0"/>
          <w:color w:val="auto"/>
          <w:sz w:val="21"/>
          <w:szCs w:val="21"/>
          <w:highlight w:val="none"/>
        </w:rPr>
      </w:pPr>
      <w:r>
        <w:rPr>
          <w:rFonts w:hint="eastAsia" w:cs="宋体"/>
          <w:b w:val="0"/>
          <w:bCs w:val="0"/>
          <w:caps w:val="0"/>
          <w:color w:val="auto"/>
          <w:sz w:val="21"/>
          <w:szCs w:val="21"/>
          <w:highlight w:val="none"/>
        </w:rPr>
        <w:t>5.7设备所有软件需提供终身免费升级服务，乙方随时优惠提供备品备件，优惠提供产品更新、改造服务。</w:t>
      </w:r>
    </w:p>
    <w:p w14:paraId="3FDFEB82">
      <w:pPr>
        <w:pStyle w:val="34"/>
        <w:spacing w:line="400" w:lineRule="exact"/>
        <w:ind w:firstLine="420" w:firstLineChars="200"/>
        <w:rPr>
          <w:rFonts w:cs="宋体"/>
          <w:b w:val="0"/>
          <w:bCs w:val="0"/>
          <w:caps w:val="0"/>
          <w:color w:val="auto"/>
          <w:sz w:val="21"/>
          <w:szCs w:val="21"/>
          <w:highlight w:val="none"/>
        </w:rPr>
      </w:pPr>
      <w:r>
        <w:rPr>
          <w:rFonts w:hint="eastAsia" w:cs="宋体"/>
          <w:b w:val="0"/>
          <w:bCs w:val="0"/>
          <w:caps w:val="0"/>
          <w:color w:val="auto"/>
          <w:sz w:val="21"/>
          <w:szCs w:val="21"/>
          <w:highlight w:val="none"/>
        </w:rPr>
        <w:t>5.8乙方提供的服务承诺和售后服务及维护期责任等其它具体约定事项。（见合同附件1）</w:t>
      </w:r>
    </w:p>
    <w:p w14:paraId="5E15394B">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6.合同款支付</w:t>
      </w:r>
    </w:p>
    <w:p w14:paraId="0228738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6.1付款方式：本项目无预付款。乙方所有设备进场安装调试完毕并经甲方验收合格后12个月内，甲方向乙方支付合同总额的90% 。</w:t>
      </w:r>
      <w:r>
        <w:rPr>
          <w:rFonts w:hint="eastAsia" w:ascii="宋体" w:hAnsi="宋体" w:cs="宋体"/>
          <w:color w:val="auto"/>
          <w:szCs w:val="21"/>
          <w:highlight w:val="none"/>
          <w:lang w:eastAsia="zh-CN"/>
        </w:rPr>
        <w:t>余下合同总额的10%在验收合格之日起1年后</w:t>
      </w:r>
      <w:r>
        <w:rPr>
          <w:rFonts w:hint="eastAsia" w:ascii="宋体" w:hAnsi="宋体" w:cs="宋体"/>
          <w:color w:val="auto"/>
          <w:szCs w:val="21"/>
          <w:highlight w:val="none"/>
        </w:rPr>
        <w:t>，乙方无其他违约情形，甲方于1个月内在扣除乙方在合同履行期间对甲方所负的债务(包括补偿金、赔偿金或违约金等)后付清剩余款项（不计利息）。</w:t>
      </w:r>
    </w:p>
    <w:p w14:paraId="47C9DB77">
      <w:pPr>
        <w:widowControl/>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付款前乙方需向甲方提供等额合法完税发票（发票类型以采购人的具体要求为准）以及请款函。</w:t>
      </w:r>
    </w:p>
    <w:p w14:paraId="490173F8">
      <w:pPr>
        <w:widowControl/>
        <w:snapToGrid w:val="0"/>
        <w:spacing w:line="400" w:lineRule="exact"/>
        <w:ind w:firstLine="420" w:firstLineChars="200"/>
        <w:rPr>
          <w:rFonts w:ascii="宋体" w:hAnsi="宋体" w:cs="宋体"/>
          <w:bCs/>
          <w:color w:val="auto"/>
          <w:kern w:val="0"/>
          <w:szCs w:val="21"/>
          <w:highlight w:val="none"/>
        </w:rPr>
      </w:pPr>
      <w:r>
        <w:rPr>
          <w:rFonts w:hint="eastAsia" w:ascii="宋体" w:hAnsi="宋体" w:cs="宋体"/>
          <w:color w:val="auto"/>
          <w:szCs w:val="21"/>
          <w:highlight w:val="none"/>
        </w:rPr>
        <w:t>合同签署的乙方名称、发票开具单位和收款单位必须一致，在合同执行过程中，乙方不得以其他不正当理由要求调整发票开具单位或收款单位，否则视为乙方违约。</w:t>
      </w:r>
    </w:p>
    <w:p w14:paraId="36DBE391">
      <w:pPr>
        <w:widowControl/>
        <w:snapToGrid w:val="0"/>
        <w:spacing w:line="400" w:lineRule="exact"/>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7.产权</w:t>
      </w:r>
    </w:p>
    <w:p w14:paraId="1B44E645">
      <w:pPr>
        <w:spacing w:line="400" w:lineRule="exact"/>
        <w:ind w:firstLine="420" w:firstLineChars="200"/>
        <w:rPr>
          <w:rFonts w:ascii="宋体" w:hAnsi="宋体" w:cs="宋体"/>
          <w:bCs/>
          <w:color w:val="auto"/>
          <w:kern w:val="0"/>
          <w:szCs w:val="21"/>
          <w:highlight w:val="none"/>
        </w:rPr>
      </w:pPr>
      <w:r>
        <w:rPr>
          <w:rFonts w:hint="eastAsia" w:ascii="宋体" w:hAnsi="宋体" w:cs="宋体"/>
          <w:color w:val="auto"/>
          <w:szCs w:val="21"/>
          <w:highlight w:val="none"/>
        </w:rPr>
        <w:t>7.1 乙方保证所提供的货物或其任何一部分均不会侵犯任何第三方的专利权、商</w:t>
      </w:r>
      <w:r>
        <w:rPr>
          <w:rFonts w:hint="eastAsia" w:ascii="宋体" w:hAnsi="宋体" w:cs="宋体"/>
          <w:bCs/>
          <w:color w:val="auto"/>
          <w:kern w:val="0"/>
          <w:szCs w:val="21"/>
          <w:highlight w:val="none"/>
        </w:rPr>
        <w:t>标权、著作权或其他合法权益。</w:t>
      </w:r>
    </w:p>
    <w:p w14:paraId="4C38C67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7.2 乙方保证所交付货物的所有权完全属于乙方且无任何抵押、查封等产权瑕疵。如乙方所交付货物有产权瑕疵的，视为乙方违约，按照本合同第11.3项的约定处理。但在已经全部支付完合同款后才发现有产权瑕疵的，乙方除了支付违约金还应负担甲方由此产生的一切损失。</w:t>
      </w:r>
    </w:p>
    <w:p w14:paraId="06253A57">
      <w:pPr>
        <w:pStyle w:val="2"/>
        <w:spacing w:after="0" w:line="400" w:lineRule="exact"/>
        <w:ind w:left="0" w:leftChars="0"/>
        <w:rPr>
          <w:rFonts w:ascii="宋体" w:hAnsi="宋体" w:cs="宋体"/>
          <w:color w:val="auto"/>
          <w:szCs w:val="21"/>
          <w:highlight w:val="none"/>
        </w:rPr>
      </w:pPr>
      <w:r>
        <w:rPr>
          <w:rFonts w:hint="eastAsia" w:ascii="宋体" w:hAnsi="宋体" w:cs="宋体"/>
          <w:color w:val="auto"/>
          <w:szCs w:val="21"/>
          <w:highlight w:val="none"/>
        </w:rPr>
        <w:t>7.3货物验收合格之日起产权为甲方所有。</w:t>
      </w:r>
    </w:p>
    <w:p w14:paraId="5FD3B8CC">
      <w:pPr>
        <w:spacing w:line="400" w:lineRule="exact"/>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8.技术资料</w:t>
      </w:r>
    </w:p>
    <w:p w14:paraId="379F6B2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8.1 甲方向乙方提供货物的有关技术资料（如有）。</w:t>
      </w:r>
    </w:p>
    <w:p w14:paraId="74F21FC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8.2 乙方应在采购文件规定的时间向甲方提供使用货物的有关技术资料。</w:t>
      </w:r>
    </w:p>
    <w:p w14:paraId="349C56F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8.3 没有甲方事先书面同意，乙方不得将甲方提供的有关合同或任何合同条文、规格、计划、图纸、样品或资料提供给与履行本合同无关的第三方。即使向与履行本合同有关的人员提供，也应注意保密并限于履行合同的必需范围。</w:t>
      </w:r>
    </w:p>
    <w:p w14:paraId="7F545A09">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9.货物包装、发运及运输</w:t>
      </w:r>
    </w:p>
    <w:p w14:paraId="437773AF">
      <w:pPr>
        <w:tabs>
          <w:tab w:val="left" w:pos="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9.1 乙方应在货物发运前对其进行满足运输距离、防潮、防震、防锈和防破损装卸等要求包装，以保证货物安全运达甲方指定地点。</w:t>
      </w:r>
    </w:p>
    <w:p w14:paraId="45BD171C">
      <w:pPr>
        <w:tabs>
          <w:tab w:val="left" w:pos="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9.2 使用说明书、质量检验证明书、保修单据、随配附件和工具以及清单一并附于货物内。</w:t>
      </w:r>
    </w:p>
    <w:p w14:paraId="30407950">
      <w:pPr>
        <w:tabs>
          <w:tab w:val="left" w:pos="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9.3 乙方在货物发运手续办理完毕后24小时内或货到甲方48小时前通知甲方，以准备接货。</w:t>
      </w:r>
    </w:p>
    <w:p w14:paraId="669901B3">
      <w:pPr>
        <w:tabs>
          <w:tab w:val="left" w:pos="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9.4 货物在验收合格前发生的风险均由乙方负责。</w:t>
      </w:r>
    </w:p>
    <w:p w14:paraId="4138A688">
      <w:pPr>
        <w:tabs>
          <w:tab w:val="left" w:pos="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9.5 货物在规定的交付期限内运抵入库并经验收合格，甲方签署验收合格证书视为乙方完成交付。</w:t>
      </w:r>
    </w:p>
    <w:p w14:paraId="4AF1C89F">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10.调试和验收</w:t>
      </w:r>
    </w:p>
    <w:p w14:paraId="50881F69">
      <w:pPr>
        <w:widowControl/>
        <w:snapToGrid w:val="0"/>
        <w:spacing w:line="400" w:lineRule="exact"/>
        <w:ind w:firstLine="420" w:firstLineChars="200"/>
        <w:rPr>
          <w:rFonts w:ascii="宋体" w:hAnsi="宋体" w:cs="宋体"/>
          <w:bCs/>
          <w:color w:val="auto"/>
          <w:kern w:val="0"/>
          <w:szCs w:val="21"/>
          <w:highlight w:val="none"/>
        </w:rPr>
      </w:pPr>
      <w:r>
        <w:rPr>
          <w:rFonts w:hint="eastAsia" w:ascii="宋体" w:hAnsi="宋体" w:cs="宋体"/>
          <w:color w:val="auto"/>
          <w:szCs w:val="21"/>
          <w:highlight w:val="none"/>
        </w:rPr>
        <w:t xml:space="preserve">10.1 </w:t>
      </w:r>
      <w:r>
        <w:rPr>
          <w:rFonts w:hint="eastAsia" w:ascii="宋体" w:hAnsi="宋体" w:cs="宋体"/>
          <w:bCs/>
          <w:color w:val="auto"/>
          <w:kern w:val="0"/>
          <w:szCs w:val="21"/>
          <w:highlight w:val="none"/>
        </w:rPr>
        <w:t>验收方式：符合相关验收标准，如验收过程中，甲方发现存在不符相关标准的，乙方应在甲方要求的限期内无条件更换，</w:t>
      </w:r>
      <w:r>
        <w:rPr>
          <w:rFonts w:hint="eastAsia" w:ascii="宋体" w:hAnsi="宋体" w:cs="宋体"/>
          <w:color w:val="auto"/>
          <w:szCs w:val="21"/>
          <w:highlight w:val="none"/>
        </w:rPr>
        <w:t>因此产生的费用由乙方承担。</w:t>
      </w:r>
    </w:p>
    <w:p w14:paraId="0CF6844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将货物运达约定的交货地点后，甲乙双方应在五个工作日内对乙方提交的货物依据招标文件、投标文件要求和国家标准或行业标准进行现场初步验收。对外观、说明书符合要求的，给予签收；对不符合要求或有质量问题的货物不予签收，可立即要求退换，乙方不得拒绝和延误。</w:t>
      </w:r>
    </w:p>
    <w:p w14:paraId="782EC31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10.2 乙方交货前应对产品作出全面检查和对验收文件进行整理，并列出清单，作为甲方收货验收和使用的技术条件依据，检验的结果应随货物交甲方。</w:t>
      </w:r>
    </w:p>
    <w:p w14:paraId="0446E63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10.3 甲方对乙方提供的货物在使用前进行调试时，乙方需负责安装并培训甲方的使用操作人员，并协助甲方一起调试，直到符合技术要求，甲方才做最终验收。验收时乙方必须在现场，验收完毕后作出验收结果报告。</w:t>
      </w:r>
    </w:p>
    <w:p w14:paraId="11EA0D8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10.4 对技术复杂的货物，甲方可请国家认可的专业检测机构参与验收，并由其出具质量检测报告，相关费用由乙方承担。</w:t>
      </w:r>
    </w:p>
    <w:p w14:paraId="0573796D">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11.违约责任</w:t>
      </w:r>
    </w:p>
    <w:p w14:paraId="0B4885D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 甲方无正当理由拒收货物的，经乙方催告后在合理期限内仍无正当理由拒收货物的，甲方每日应按合同总额的万分之五向乙方支付违约金，违约金最高不超过合同款总值的百分之五。</w:t>
      </w:r>
    </w:p>
    <w:p w14:paraId="6A8C97B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 乙方逾期交付货物的，乙方应按合同总额每日万分之五向甲方支付违约金，由甲方从待付合同款中扣除。乙方逾期超过本合同约定交付日期十个工作日不能交付的，甲方可单方面解除本合同，并要求依法支付合同总值百分之三十的违约金。违约金不足以弥补甲方损失的，乙方还应赔偿甲方直接和间接损失（包括但不限于向第三方的赔偿或补偿、向国家机关缴纳的罚款、律师费、差旅费、诉讼费、保全费、保全担保费、执行费、鉴定费、评估费等费用支出）</w:t>
      </w:r>
    </w:p>
    <w:p w14:paraId="112633F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 乙方所交的货物品种、型号、规格、技术参数、质量不符合合同规定及采购文件规定标准的，甲方有权拒收该货物，乙方愿意更换货物但逾期交货的，按乙方逾期交货处理。乙方拒绝调换或经调换仍存在前述相关问题的，视为乙方不具备履约能力，甲方有权单方通知乙方解除合同，要求乙方退还已收款项并支付合同总金额30%的违约金。因调换逾期交付的，按照11.2款处理。</w:t>
      </w:r>
    </w:p>
    <w:p w14:paraId="549B1776">
      <w:pPr>
        <w:spacing w:line="400" w:lineRule="exact"/>
        <w:ind w:firstLine="420" w:firstLineChars="200"/>
        <w:rPr>
          <w:rFonts w:ascii="宋体" w:hAnsi="宋体" w:cs="宋体"/>
          <w:color w:val="auto"/>
          <w:szCs w:val="21"/>
          <w:highlight w:val="none"/>
          <w:lang w:eastAsia="zh-Hans"/>
        </w:rPr>
      </w:pPr>
      <w:r>
        <w:rPr>
          <w:rFonts w:hint="eastAsia" w:ascii="宋体" w:hAnsi="宋体" w:cs="宋体"/>
          <w:color w:val="auto"/>
          <w:szCs w:val="21"/>
          <w:highlight w:val="none"/>
        </w:rPr>
        <w:t>11.4乙方未按照合同约定提供培训、售后等相关服务的，</w:t>
      </w:r>
      <w:r>
        <w:rPr>
          <w:rFonts w:hint="eastAsia" w:ascii="宋体" w:hAnsi="宋体" w:cs="宋体"/>
          <w:color w:val="auto"/>
          <w:szCs w:val="21"/>
          <w:highlight w:val="none"/>
          <w:lang w:eastAsia="zh-Hans"/>
        </w:rPr>
        <w:t>视为乙方违约，</w:t>
      </w:r>
      <w:r>
        <w:rPr>
          <w:rFonts w:hint="eastAsia" w:ascii="宋体" w:hAnsi="宋体" w:cs="宋体"/>
          <w:color w:val="auto"/>
          <w:szCs w:val="21"/>
          <w:highlight w:val="none"/>
        </w:rPr>
        <w:t>甲方有权要求乙方支付合同总金额30%的违约金，</w:t>
      </w:r>
      <w:r>
        <w:rPr>
          <w:rFonts w:hint="eastAsia" w:ascii="宋体" w:hAnsi="宋体" w:cs="宋体"/>
          <w:color w:val="auto"/>
          <w:szCs w:val="21"/>
          <w:highlight w:val="none"/>
          <w:lang w:eastAsia="zh-Hans"/>
        </w:rPr>
        <w:t>违约金不足以弥补甲方损失的，乙方还应赔偿甲方直接和间接损失(包括但不限于</w:t>
      </w:r>
      <w:r>
        <w:rPr>
          <w:rFonts w:hint="eastAsia" w:ascii="宋体" w:hAnsi="宋体" w:cs="宋体"/>
          <w:color w:val="auto"/>
          <w:szCs w:val="21"/>
          <w:highlight w:val="none"/>
        </w:rPr>
        <w:t>甲方自行选择第三方提供相应服务产生的全部费用、</w:t>
      </w:r>
      <w:r>
        <w:rPr>
          <w:rFonts w:hint="eastAsia" w:ascii="宋体" w:hAnsi="宋体" w:cs="宋体"/>
          <w:color w:val="auto"/>
          <w:szCs w:val="21"/>
          <w:highlight w:val="none"/>
          <w:lang w:eastAsia="zh-Hans"/>
        </w:rPr>
        <w:t>向第三方的赔偿</w:t>
      </w:r>
      <w:r>
        <w:rPr>
          <w:rFonts w:hint="eastAsia" w:ascii="宋体" w:hAnsi="宋体" w:cs="宋体"/>
          <w:color w:val="auto"/>
          <w:szCs w:val="21"/>
          <w:highlight w:val="none"/>
        </w:rPr>
        <w:t>或补偿</w:t>
      </w:r>
      <w:r>
        <w:rPr>
          <w:rFonts w:hint="eastAsia" w:ascii="宋体" w:hAnsi="宋体" w:cs="宋体"/>
          <w:color w:val="auto"/>
          <w:szCs w:val="21"/>
          <w:highlight w:val="none"/>
          <w:lang w:eastAsia="zh-Hans"/>
        </w:rPr>
        <w:t>、向国家机关缴纳的罚款、律师费、差旅费、诉讼费、保全费、保全担保费、执行费、鉴定费、评估费等费用支出)，且甲方有权自行选择第三方提供相应服务，产生的全部费用由乙方承担。</w:t>
      </w:r>
    </w:p>
    <w:p w14:paraId="3B3F0B8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Hans"/>
        </w:rPr>
        <w:t>11.5乙方有上述违约行为之一，应承担违约责任。相应违约金，甲方有权从应付给乙方的任何款项中扣除或采取其他方式收回。违约金的支付并不免除乙方履行合同义务的责任。</w:t>
      </w:r>
    </w:p>
    <w:p w14:paraId="379D6CFE">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12.不可抗力事件处理</w:t>
      </w:r>
    </w:p>
    <w:p w14:paraId="1FEEE4B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12.1 在合同有效期内，任何一方因不可抗力事件导致不能履行合同，则合同履行期可延长，其延长期与不可抗力影响期相同。</w:t>
      </w:r>
    </w:p>
    <w:p w14:paraId="2B75C0B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12.2 不可抗力事件发生后，应立即通知对方，并寄送有关权威机构出具的证明。</w:t>
      </w:r>
    </w:p>
    <w:p w14:paraId="02EE6E4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12.3 不可抗力事件延续60天以上，双方应通过友好协商，确定是否继续履行合同。</w:t>
      </w:r>
    </w:p>
    <w:p w14:paraId="06A3D7E4">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13.诉讼</w:t>
      </w:r>
    </w:p>
    <w:p w14:paraId="2EDE8431">
      <w:pPr>
        <w:tabs>
          <w:tab w:val="left" w:pos="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13.1 双方在执行合同中所发生的一切争议，应通过协商解决。如协商不成，可向</w:t>
      </w:r>
      <w:r>
        <w:rPr>
          <w:rFonts w:hint="eastAsia" w:ascii="宋体" w:hAnsi="宋体" w:cs="宋体"/>
          <w:color w:val="auto"/>
          <w:szCs w:val="21"/>
          <w:highlight w:val="none"/>
          <w:lang w:eastAsia="zh-Hans"/>
        </w:rPr>
        <w:t>甲方所在地</w:t>
      </w:r>
      <w:r>
        <w:rPr>
          <w:rFonts w:hint="eastAsia" w:ascii="宋体" w:hAnsi="宋体" w:cs="宋体"/>
          <w:color w:val="auto"/>
          <w:szCs w:val="21"/>
          <w:highlight w:val="none"/>
          <w:u w:val="single"/>
        </w:rPr>
        <w:t>广西梧州市万秀区</w:t>
      </w:r>
      <w:r>
        <w:rPr>
          <w:rFonts w:hint="eastAsia" w:ascii="宋体" w:hAnsi="宋体" w:cs="宋体"/>
          <w:color w:val="auto"/>
          <w:szCs w:val="21"/>
          <w:highlight w:val="none"/>
        </w:rPr>
        <w:t>有管辖权的人民法院起诉。</w:t>
      </w:r>
    </w:p>
    <w:p w14:paraId="47AAB138">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14.合同生效及其它</w:t>
      </w:r>
    </w:p>
    <w:p w14:paraId="0A4CD5E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14.1 合同经双方法定代表人或授权委托代理人签字或盖章并加盖单位公章或合同专用章后生效。</w:t>
      </w:r>
    </w:p>
    <w:p w14:paraId="49F2507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14.2 合同执行中涉及采购资金和采购内容修改或补充的，须签书面补充协议方可作为主合同不可分割的一部分。</w:t>
      </w:r>
    </w:p>
    <w:p w14:paraId="2F9C1DB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14.3 本合同未尽事宜，遵照《中华人民共和国民法典》有关条文执行。</w:t>
      </w:r>
    </w:p>
    <w:p w14:paraId="44320AE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14.4 本合同正本一式肆份，具有同等法律效力，甲方执叁份，乙方执壹份。</w:t>
      </w:r>
    </w:p>
    <w:p w14:paraId="19A607D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w:t>
      </w:r>
      <w:r>
        <w:rPr>
          <w:rFonts w:hint="eastAsia" w:ascii="宋体" w:hAnsi="宋体" w:cs="宋体"/>
          <w:color w:val="auto"/>
          <w:szCs w:val="21"/>
          <w:highlight w:val="none"/>
          <w:lang w:eastAsia="zh-Hans"/>
        </w:rPr>
        <w:t>.5</w:t>
      </w:r>
      <w:r>
        <w:rPr>
          <w:rFonts w:hint="eastAsia" w:ascii="宋体" w:hAnsi="宋体" w:cs="宋体"/>
          <w:color w:val="auto"/>
          <w:szCs w:val="21"/>
          <w:highlight w:val="none"/>
        </w:rPr>
        <w:t>.本合同落款处甲乙双方所留联系方式均为真实、合法、有效信息，作为双方通知、法院诉讼文书等送达地址；任何一方联系方式变更的，应在变更之日起2日内书面通知对方，否则因此导致的一切不利后果均由未尽到通知</w:t>
      </w:r>
      <w:r>
        <w:rPr>
          <w:rFonts w:hint="eastAsia" w:ascii="宋体" w:hAnsi="宋体" w:cs="宋体"/>
          <w:color w:val="auto"/>
          <w:szCs w:val="21"/>
          <w:highlight w:val="none"/>
          <w:lang w:eastAsia="zh-Hans"/>
        </w:rPr>
        <w:t>义务</w:t>
      </w:r>
      <w:r>
        <w:rPr>
          <w:rFonts w:hint="eastAsia" w:ascii="宋体" w:hAnsi="宋体" w:cs="宋体"/>
          <w:color w:val="auto"/>
          <w:szCs w:val="21"/>
          <w:highlight w:val="none"/>
        </w:rPr>
        <w:t>的一方承担；双方通知、法院诉讼文书等根据所留信息送达，一经发出，满3日均视为送达成功。</w:t>
      </w:r>
    </w:p>
    <w:p w14:paraId="6C70829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14.6 合同签订时间：         年      月      日</w:t>
      </w:r>
    </w:p>
    <w:p w14:paraId="7FA0EAC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14.7 合同签订地点： 广西梧州万秀区</w:t>
      </w:r>
    </w:p>
    <w:p w14:paraId="69C6E1F8">
      <w:pPr>
        <w:widowControl/>
        <w:shd w:val="clear" w:color="auto" w:fill="FFFFFF"/>
        <w:spacing w:after="15"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（以下无正文，为本合同签署页）</w:t>
      </w:r>
    </w:p>
    <w:p w14:paraId="5A4192A1">
      <w:pPr>
        <w:spacing w:line="400" w:lineRule="exact"/>
        <w:ind w:firstLine="420" w:firstLineChars="200"/>
        <w:rPr>
          <w:rFonts w:ascii="宋体" w:hAnsi="宋体" w:cs="宋体"/>
          <w:color w:val="auto"/>
          <w:szCs w:val="21"/>
          <w:highlight w:val="none"/>
        </w:rPr>
      </w:pPr>
    </w:p>
    <w:p w14:paraId="6047280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甲方（盖章）：梧州市妇幼保健院</w:t>
      </w:r>
    </w:p>
    <w:p w14:paraId="7BEB874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地址：梧州市蝶山一路28号</w:t>
      </w:r>
    </w:p>
    <w:p w14:paraId="02DCF96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法定代表人（签字或盖章）：</w:t>
      </w:r>
    </w:p>
    <w:p w14:paraId="6A93D0B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或委托代理人（签字）：</w:t>
      </w:r>
    </w:p>
    <w:p w14:paraId="2EC7AF7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电话：</w:t>
      </w:r>
    </w:p>
    <w:p w14:paraId="0AFA24C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传真： </w:t>
      </w:r>
    </w:p>
    <w:p w14:paraId="20333F20">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开户银行：</w:t>
      </w:r>
    </w:p>
    <w:p w14:paraId="4DFE916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开户名称：</w:t>
      </w:r>
    </w:p>
    <w:p w14:paraId="5D1DE03E">
      <w:pPr>
        <w:pStyle w:val="56"/>
        <w:ind w:firstLine="420"/>
        <w:rPr>
          <w:rFonts w:ascii="宋体" w:hAnsi="宋体" w:eastAsia="宋体" w:cs="宋体"/>
          <w:color w:val="auto"/>
          <w:sz w:val="21"/>
          <w:highlight w:val="none"/>
        </w:rPr>
      </w:pPr>
      <w:r>
        <w:rPr>
          <w:rFonts w:hint="eastAsia" w:ascii="宋体" w:hAnsi="宋体" w:eastAsia="宋体" w:cs="宋体"/>
          <w:color w:val="auto"/>
          <w:sz w:val="21"/>
          <w:highlight w:val="none"/>
        </w:rPr>
        <w:t>银行账号：</w:t>
      </w:r>
    </w:p>
    <w:p w14:paraId="0D2EC1F8">
      <w:pPr>
        <w:pStyle w:val="56"/>
        <w:ind w:firstLine="420"/>
        <w:rPr>
          <w:rFonts w:ascii="宋体" w:hAnsi="宋体" w:eastAsia="宋体" w:cs="宋体"/>
          <w:color w:val="auto"/>
          <w:sz w:val="21"/>
          <w:highlight w:val="none"/>
        </w:rPr>
      </w:pPr>
      <w:r>
        <w:rPr>
          <w:rFonts w:hint="eastAsia" w:ascii="宋体" w:hAnsi="宋体" w:eastAsia="宋体" w:cs="宋体"/>
          <w:color w:val="auto"/>
          <w:sz w:val="21"/>
          <w:highlight w:val="none"/>
        </w:rPr>
        <w:t>签订时间：     年   月   日</w:t>
      </w:r>
    </w:p>
    <w:p w14:paraId="6CADBE86">
      <w:pPr>
        <w:spacing w:line="400" w:lineRule="exact"/>
        <w:ind w:firstLine="420" w:firstLineChars="200"/>
        <w:rPr>
          <w:rFonts w:ascii="宋体" w:hAnsi="宋体" w:cs="宋体"/>
          <w:color w:val="auto"/>
          <w:szCs w:val="21"/>
          <w:highlight w:val="none"/>
        </w:rPr>
      </w:pPr>
    </w:p>
    <w:p w14:paraId="04F32E09">
      <w:pPr>
        <w:spacing w:line="400" w:lineRule="exact"/>
        <w:ind w:firstLine="420" w:firstLineChars="200"/>
        <w:rPr>
          <w:rFonts w:ascii="宋体" w:hAnsi="宋体" w:cs="宋体"/>
          <w:color w:val="auto"/>
          <w:szCs w:val="21"/>
          <w:highlight w:val="none"/>
        </w:rPr>
      </w:pPr>
    </w:p>
    <w:p w14:paraId="0970765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乙方（盖章）：</w:t>
      </w:r>
    </w:p>
    <w:p w14:paraId="66C50A8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地址：</w:t>
      </w:r>
    </w:p>
    <w:p w14:paraId="3DD6693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法定代表人（签字或盖章）：</w:t>
      </w:r>
    </w:p>
    <w:p w14:paraId="4D11B54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或委托代理人（签字）：</w:t>
      </w:r>
    </w:p>
    <w:p w14:paraId="48FAA81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电话：</w:t>
      </w:r>
    </w:p>
    <w:p w14:paraId="497CFDD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传真： </w:t>
      </w:r>
    </w:p>
    <w:p w14:paraId="2363E22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w:t>
      </w:r>
    </w:p>
    <w:p w14:paraId="448B186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开户名称： </w:t>
      </w:r>
    </w:p>
    <w:p w14:paraId="2CD7C8CF">
      <w:pPr>
        <w:pStyle w:val="56"/>
        <w:ind w:firstLine="420"/>
        <w:rPr>
          <w:rFonts w:ascii="宋体" w:hAnsi="宋体" w:eastAsia="宋体" w:cs="宋体"/>
          <w:color w:val="auto"/>
          <w:sz w:val="21"/>
          <w:highlight w:val="none"/>
        </w:rPr>
      </w:pPr>
      <w:r>
        <w:rPr>
          <w:rFonts w:hint="eastAsia" w:ascii="宋体" w:hAnsi="宋体" w:eastAsia="宋体" w:cs="宋体"/>
          <w:color w:val="auto"/>
          <w:sz w:val="21"/>
          <w:highlight w:val="none"/>
        </w:rPr>
        <w:t>银行账号：签订时间：     年   月   日</w:t>
      </w:r>
    </w:p>
    <w:p w14:paraId="1CA4EC4B">
      <w:pPr>
        <w:pStyle w:val="21"/>
        <w:rPr>
          <w:color w:val="auto"/>
          <w:sz w:val="21"/>
          <w:highlight w:val="none"/>
        </w:rPr>
      </w:pPr>
    </w:p>
    <w:p w14:paraId="594F3190">
      <w:pPr>
        <w:snapToGrid w:val="0"/>
        <w:spacing w:line="360" w:lineRule="auto"/>
        <w:ind w:firstLine="0" w:firstLineChars="0"/>
        <w:rPr>
          <w:rFonts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Cs w:val="21"/>
          <w:highlight w:val="none"/>
        </w:rPr>
        <w:t>附 件 1</w:t>
      </w:r>
    </w:p>
    <w:p w14:paraId="06433723">
      <w:pPr>
        <w:snapToGrid w:val="0"/>
        <w:spacing w:line="360" w:lineRule="auto"/>
        <w:ind w:firstLine="0" w:firstLineChars="0"/>
        <w:rPr>
          <w:rFonts w:ascii="宋体" w:hAnsi="宋体"/>
          <w:b/>
          <w:color w:val="auto"/>
          <w:szCs w:val="21"/>
          <w:highlight w:val="none"/>
        </w:rPr>
      </w:pPr>
    </w:p>
    <w:tbl>
      <w:tblPr>
        <w:tblStyle w:val="47"/>
        <w:tblW w:w="0" w:type="auto"/>
        <w:tblInd w:w="0" w:type="dxa"/>
        <w:tblLayout w:type="fixed"/>
        <w:tblCellMar>
          <w:top w:w="0" w:type="dxa"/>
          <w:left w:w="108" w:type="dxa"/>
          <w:bottom w:w="0" w:type="dxa"/>
          <w:right w:w="108" w:type="dxa"/>
        </w:tblCellMar>
      </w:tblPr>
      <w:tblGrid>
        <w:gridCol w:w="4248"/>
        <w:gridCol w:w="4274"/>
      </w:tblGrid>
      <w:tr w14:paraId="5E7CF478">
        <w:tblPrEx>
          <w:tblCellMar>
            <w:top w:w="0" w:type="dxa"/>
            <w:left w:w="108" w:type="dxa"/>
            <w:bottom w:w="0" w:type="dxa"/>
            <w:right w:w="108" w:type="dxa"/>
          </w:tblCellMar>
        </w:tblPrEx>
        <w:trPr>
          <w:trHeight w:val="1226" w:hRule="atLeast"/>
        </w:trPr>
        <w:tc>
          <w:tcPr>
            <w:tcW w:w="8522" w:type="dxa"/>
            <w:gridSpan w:val="2"/>
            <w:tcBorders>
              <w:top w:val="single" w:color="auto" w:sz="4" w:space="0"/>
              <w:left w:val="single" w:color="auto" w:sz="4" w:space="0"/>
              <w:right w:val="single" w:color="auto" w:sz="4" w:space="0"/>
            </w:tcBorders>
          </w:tcPr>
          <w:p w14:paraId="6730E761">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 供应商承诺具体事项：</w:t>
            </w:r>
          </w:p>
        </w:tc>
      </w:tr>
      <w:tr w14:paraId="4528639E">
        <w:tblPrEx>
          <w:tblCellMar>
            <w:top w:w="0" w:type="dxa"/>
            <w:left w:w="108" w:type="dxa"/>
            <w:bottom w:w="0" w:type="dxa"/>
            <w:right w:w="108" w:type="dxa"/>
          </w:tblCellMar>
        </w:tblPrEx>
        <w:trPr>
          <w:trHeight w:val="1228" w:hRule="atLeast"/>
        </w:trPr>
        <w:tc>
          <w:tcPr>
            <w:tcW w:w="8522" w:type="dxa"/>
            <w:gridSpan w:val="2"/>
            <w:tcBorders>
              <w:top w:val="single" w:color="auto" w:sz="4" w:space="0"/>
              <w:left w:val="single" w:color="auto" w:sz="4" w:space="0"/>
              <w:right w:val="single" w:color="auto" w:sz="4" w:space="0"/>
            </w:tcBorders>
          </w:tcPr>
          <w:p w14:paraId="6AA12C9B">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 售后服务具体事项：</w:t>
            </w:r>
          </w:p>
        </w:tc>
      </w:tr>
      <w:tr w14:paraId="6CF7CEEE">
        <w:tblPrEx>
          <w:tblCellMar>
            <w:top w:w="0" w:type="dxa"/>
            <w:left w:w="108" w:type="dxa"/>
            <w:bottom w:w="0" w:type="dxa"/>
            <w:right w:w="108" w:type="dxa"/>
          </w:tblCellMar>
        </w:tblPrEx>
        <w:trPr>
          <w:trHeight w:val="1088" w:hRule="atLeast"/>
        </w:trPr>
        <w:tc>
          <w:tcPr>
            <w:tcW w:w="8522" w:type="dxa"/>
            <w:gridSpan w:val="2"/>
            <w:tcBorders>
              <w:top w:val="single" w:color="auto" w:sz="4" w:space="0"/>
              <w:left w:val="single" w:color="auto" w:sz="4" w:space="0"/>
              <w:right w:val="single" w:color="auto" w:sz="4" w:space="0"/>
            </w:tcBorders>
          </w:tcPr>
          <w:p w14:paraId="41247255">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 质保期责任：</w:t>
            </w:r>
          </w:p>
        </w:tc>
      </w:tr>
      <w:tr w14:paraId="69DC91BA">
        <w:tblPrEx>
          <w:tblCellMar>
            <w:top w:w="0" w:type="dxa"/>
            <w:left w:w="108" w:type="dxa"/>
            <w:bottom w:w="0" w:type="dxa"/>
            <w:right w:w="108" w:type="dxa"/>
          </w:tblCellMar>
        </w:tblPrEx>
        <w:trPr>
          <w:trHeight w:val="1360" w:hRule="atLeast"/>
        </w:trPr>
        <w:tc>
          <w:tcPr>
            <w:tcW w:w="8522" w:type="dxa"/>
            <w:gridSpan w:val="2"/>
            <w:tcBorders>
              <w:top w:val="single" w:color="auto" w:sz="4" w:space="0"/>
              <w:left w:val="single" w:color="auto" w:sz="4" w:space="0"/>
              <w:right w:val="single" w:color="auto" w:sz="4" w:space="0"/>
            </w:tcBorders>
          </w:tcPr>
          <w:p w14:paraId="5D24A382">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4. 其他具体事项：</w:t>
            </w:r>
          </w:p>
        </w:tc>
      </w:tr>
      <w:tr w14:paraId="7BF4C4D7">
        <w:tblPrEx>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cBorders>
            <w:vAlign w:val="center"/>
          </w:tcPr>
          <w:p w14:paraId="3E788385">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甲方（章）</w:t>
            </w:r>
          </w:p>
          <w:p w14:paraId="65DC888F">
            <w:pPr>
              <w:snapToGrid w:val="0"/>
              <w:spacing w:line="360" w:lineRule="auto"/>
              <w:ind w:firstLine="422" w:firstLineChars="200"/>
              <w:rPr>
                <w:rFonts w:ascii="宋体" w:hAnsi="宋体"/>
                <w:b/>
                <w:color w:val="auto"/>
                <w:szCs w:val="21"/>
                <w:highlight w:val="none"/>
              </w:rPr>
            </w:pPr>
          </w:p>
          <w:p w14:paraId="26AA4C79">
            <w:pPr>
              <w:snapToGrid w:val="0"/>
              <w:spacing w:line="360" w:lineRule="auto"/>
              <w:rPr>
                <w:rFonts w:ascii="宋体" w:hAnsi="宋体"/>
                <w:b/>
                <w:color w:val="auto"/>
                <w:szCs w:val="21"/>
                <w:highlight w:val="none"/>
              </w:rPr>
            </w:pPr>
          </w:p>
          <w:p w14:paraId="2AF57EBA">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 xml:space="preserve">                 年   月   日 </w:t>
            </w:r>
          </w:p>
        </w:tc>
        <w:tc>
          <w:tcPr>
            <w:tcW w:w="4274" w:type="dxa"/>
            <w:tcBorders>
              <w:top w:val="single" w:color="auto" w:sz="4" w:space="0"/>
              <w:left w:val="single" w:color="auto" w:sz="4" w:space="0"/>
              <w:bottom w:val="single" w:color="auto" w:sz="4" w:space="0"/>
              <w:right w:val="single" w:color="auto" w:sz="4" w:space="0"/>
            </w:tcBorders>
            <w:vAlign w:val="center"/>
          </w:tcPr>
          <w:p w14:paraId="51D6AA2F">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乙方（章）</w:t>
            </w:r>
          </w:p>
          <w:p w14:paraId="0EE8D482">
            <w:pPr>
              <w:snapToGrid w:val="0"/>
              <w:spacing w:line="360" w:lineRule="auto"/>
              <w:ind w:firstLine="422" w:firstLineChars="200"/>
              <w:rPr>
                <w:rFonts w:ascii="宋体" w:hAnsi="宋体"/>
                <w:b/>
                <w:color w:val="auto"/>
                <w:szCs w:val="21"/>
                <w:highlight w:val="none"/>
              </w:rPr>
            </w:pPr>
          </w:p>
          <w:p w14:paraId="2A934465">
            <w:pPr>
              <w:snapToGrid w:val="0"/>
              <w:spacing w:line="360" w:lineRule="auto"/>
              <w:rPr>
                <w:rFonts w:ascii="宋体" w:hAnsi="宋体"/>
                <w:b/>
                <w:color w:val="auto"/>
                <w:szCs w:val="21"/>
                <w:highlight w:val="none"/>
              </w:rPr>
            </w:pPr>
          </w:p>
          <w:p w14:paraId="6C313437">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 xml:space="preserve">                年   月   日</w:t>
            </w:r>
          </w:p>
        </w:tc>
      </w:tr>
    </w:tbl>
    <w:p w14:paraId="2FF20269">
      <w:pPr>
        <w:snapToGrid w:val="0"/>
        <w:spacing w:line="360" w:lineRule="auto"/>
        <w:jc w:val="left"/>
        <w:rPr>
          <w:rFonts w:ascii="宋体" w:hAnsi="宋体"/>
          <w:color w:val="auto"/>
          <w:szCs w:val="21"/>
          <w:highlight w:val="none"/>
        </w:rPr>
      </w:pPr>
      <w:r>
        <w:rPr>
          <w:rFonts w:hint="eastAsia" w:ascii="宋体" w:hAnsi="宋体"/>
          <w:color w:val="auto"/>
          <w:szCs w:val="21"/>
          <w:highlight w:val="none"/>
        </w:rPr>
        <w:t xml:space="preserve">   注：售后服务事项填不下时可另加附页</w:t>
      </w:r>
    </w:p>
    <w:p w14:paraId="0101E16A">
      <w:pPr>
        <w:spacing w:line="400" w:lineRule="exact"/>
        <w:jc w:val="left"/>
        <w:rPr>
          <w:rStyle w:val="126"/>
          <w:rFonts w:hAnsi="宋体" w:cs="宋体"/>
          <w:b/>
          <w:color w:val="auto"/>
          <w:highlight w:val="none"/>
        </w:rPr>
      </w:pPr>
      <w:r>
        <w:rPr>
          <w:rStyle w:val="126"/>
          <w:rFonts w:hint="eastAsia" w:ascii="宋体" w:hAnsi="宋体" w:cs="宋体"/>
          <w:b/>
          <w:color w:val="auto"/>
          <w:szCs w:val="21"/>
          <w:highlight w:val="none"/>
        </w:rPr>
        <w:br w:type="page"/>
      </w:r>
    </w:p>
    <w:p w14:paraId="050707AC">
      <w:pPr>
        <w:pStyle w:val="26"/>
        <w:spacing w:line="400" w:lineRule="exact"/>
        <w:jc w:val="left"/>
        <w:rPr>
          <w:rStyle w:val="126"/>
          <w:rFonts w:hAnsi="宋体" w:cs="宋体"/>
          <w:b/>
          <w:color w:val="auto"/>
          <w:highlight w:val="none"/>
        </w:rPr>
      </w:pPr>
      <w:r>
        <w:rPr>
          <w:rStyle w:val="126"/>
          <w:rFonts w:hint="eastAsia" w:hAnsi="宋体" w:cs="宋体"/>
          <w:b/>
          <w:color w:val="auto"/>
          <w:highlight w:val="none"/>
        </w:rPr>
        <w:t>附 件2</w:t>
      </w:r>
    </w:p>
    <w:p w14:paraId="698F2A79">
      <w:pPr>
        <w:pStyle w:val="26"/>
        <w:spacing w:line="400" w:lineRule="exact"/>
        <w:jc w:val="center"/>
        <w:rPr>
          <w:rFonts w:hAnsi="宋体" w:cs="宋体"/>
          <w:b/>
          <w:bCs/>
          <w:color w:val="auto"/>
          <w:sz w:val="32"/>
          <w:szCs w:val="32"/>
          <w:highlight w:val="none"/>
        </w:rPr>
      </w:pPr>
      <w:r>
        <w:rPr>
          <w:rFonts w:hAnsi="宋体" w:cs="宋体"/>
          <w:color w:val="auto"/>
          <w:sz w:val="32"/>
          <w:szCs w:val="32"/>
          <w:highlight w:val="none"/>
        </w:rPr>
        <w:t>采购项目合同验收报告（格式）</w:t>
      </w:r>
    </w:p>
    <w:p w14:paraId="2CC16A7D">
      <w:pPr>
        <w:widowControl/>
        <w:adjustRightInd w:val="0"/>
        <w:snapToGrid w:val="0"/>
        <w:spacing w:before="100" w:beforeAutospacing="1" w:after="100" w:afterAutospacing="1" w:line="440" w:lineRule="exact"/>
        <w:ind w:firstLine="658"/>
        <w:jc w:val="left"/>
        <w:rPr>
          <w:rFonts w:ascii="宋体" w:hAnsi="宋体"/>
          <w:color w:val="auto"/>
          <w:kern w:val="0"/>
          <w:szCs w:val="21"/>
          <w:highlight w:val="none"/>
        </w:rPr>
      </w:pPr>
      <w:r>
        <w:rPr>
          <w:rFonts w:hint="eastAsia" w:ascii="宋体" w:hAnsi="宋体"/>
          <w:color w:val="auto"/>
          <w:kern w:val="0"/>
          <w:szCs w:val="21"/>
          <w:highlight w:val="none"/>
        </w:rPr>
        <w:t>根据采购项目（采购合同编号：</w:t>
      </w:r>
      <w:r>
        <w:rPr>
          <w:rFonts w:hint="eastAsia" w:ascii="宋体" w:hAnsi="宋体"/>
          <w:color w:val="auto"/>
          <w:kern w:val="0"/>
          <w:szCs w:val="21"/>
          <w:highlight w:val="none"/>
          <w:u w:val="single"/>
        </w:rPr>
        <w:softHyphen/>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）的约定，我单位对</w:t>
      </w:r>
      <w:r>
        <w:rPr>
          <w:rFonts w:hint="eastAsia" w:ascii="宋体" w:hAnsi="宋体"/>
          <w:color w:val="auto"/>
          <w:kern w:val="0"/>
          <w:szCs w:val="21"/>
          <w:highlight w:val="none"/>
          <w:u w:val="single"/>
        </w:rPr>
        <w:t xml:space="preserve">（项目名称）       </w:t>
      </w:r>
      <w:r>
        <w:rPr>
          <w:rFonts w:hint="eastAsia" w:ascii="宋体" w:hAnsi="宋体"/>
          <w:color w:val="auto"/>
          <w:kern w:val="0"/>
          <w:szCs w:val="21"/>
          <w:highlight w:val="none"/>
        </w:rPr>
        <w:t>采购项目中标（或成交）供应商</w:t>
      </w:r>
      <w:r>
        <w:rPr>
          <w:rFonts w:hint="eastAsia" w:ascii="宋体" w:hAnsi="宋体"/>
          <w:color w:val="auto"/>
          <w:kern w:val="0"/>
          <w:szCs w:val="21"/>
          <w:highlight w:val="none"/>
          <w:u w:val="single"/>
        </w:rPr>
        <w:t xml:space="preserve">（公司名称）       </w:t>
      </w:r>
      <w:r>
        <w:rPr>
          <w:rFonts w:hint="eastAsia" w:ascii="宋体" w:hAnsi="宋体"/>
          <w:color w:val="auto"/>
          <w:kern w:val="0"/>
          <w:szCs w:val="21"/>
          <w:highlight w:val="none"/>
        </w:rPr>
        <w:t>提供的货物（或工程、服务）进行了验收，验收情况如下：</w:t>
      </w:r>
    </w:p>
    <w:tbl>
      <w:tblPr>
        <w:tblStyle w:val="47"/>
        <w:tblW w:w="95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19"/>
        <w:gridCol w:w="1963"/>
        <w:gridCol w:w="1579"/>
        <w:gridCol w:w="1862"/>
        <w:gridCol w:w="660"/>
        <w:gridCol w:w="338"/>
        <w:gridCol w:w="1579"/>
      </w:tblGrid>
      <w:tr w14:paraId="026587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482" w:type="dxa"/>
            <w:gridSpan w:val="2"/>
            <w:noWrap/>
            <w:vAlign w:val="center"/>
          </w:tcPr>
          <w:p w14:paraId="38E226DF">
            <w:pPr>
              <w:widowControl/>
              <w:snapToGrid w:val="0"/>
              <w:ind w:left="-3"/>
              <w:jc w:val="center"/>
              <w:rPr>
                <w:rFonts w:ascii="宋体" w:hAnsi="宋体"/>
                <w:color w:val="auto"/>
                <w:spacing w:val="-20"/>
                <w:kern w:val="0"/>
                <w:szCs w:val="21"/>
                <w:highlight w:val="none"/>
              </w:rPr>
            </w:pPr>
            <w:r>
              <w:rPr>
                <w:rFonts w:hint="eastAsia" w:ascii="宋体" w:hAnsi="宋体"/>
                <w:color w:val="auto"/>
                <w:kern w:val="0"/>
                <w:szCs w:val="21"/>
                <w:highlight w:val="none"/>
              </w:rPr>
              <w:t>验收方式：</w:t>
            </w:r>
          </w:p>
        </w:tc>
        <w:tc>
          <w:tcPr>
            <w:tcW w:w="6018" w:type="dxa"/>
            <w:gridSpan w:val="5"/>
            <w:noWrap/>
            <w:vAlign w:val="center"/>
          </w:tcPr>
          <w:p w14:paraId="40DCBA0D">
            <w:pPr>
              <w:widowControl/>
              <w:snapToGrid w:val="0"/>
              <w:ind w:left="-3"/>
              <w:jc w:val="center"/>
              <w:rPr>
                <w:rFonts w:ascii="宋体" w:hAnsi="宋体"/>
                <w:color w:val="auto"/>
                <w:spacing w:val="-20"/>
                <w:kern w:val="0"/>
                <w:szCs w:val="21"/>
                <w:highlight w:val="none"/>
              </w:rPr>
            </w:pPr>
            <w:r>
              <w:rPr>
                <w:rFonts w:hint="eastAsia" w:ascii="宋体" w:hAnsi="宋体"/>
                <w:color w:val="auto"/>
                <w:kern w:val="0"/>
                <w:szCs w:val="21"/>
                <w:highlight w:val="none"/>
              </w:rPr>
              <w:t>□自行验收         □委托验收</w:t>
            </w:r>
          </w:p>
        </w:tc>
      </w:tr>
      <w:tr w14:paraId="6831B9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1519" w:type="dxa"/>
            <w:noWrap/>
            <w:vAlign w:val="center"/>
          </w:tcPr>
          <w:p w14:paraId="00BC7D03">
            <w:pPr>
              <w:widowControl/>
              <w:snapToGrid w:val="0"/>
              <w:jc w:val="center"/>
              <w:rPr>
                <w:rFonts w:ascii="宋体" w:hAnsi="宋体"/>
                <w:color w:val="auto"/>
                <w:spacing w:val="-20"/>
                <w:kern w:val="0"/>
                <w:szCs w:val="21"/>
                <w:highlight w:val="none"/>
              </w:rPr>
            </w:pPr>
            <w:r>
              <w:rPr>
                <w:rFonts w:hint="eastAsia" w:ascii="宋体" w:hAnsi="宋体"/>
                <w:color w:val="auto"/>
                <w:spacing w:val="-20"/>
                <w:kern w:val="0"/>
                <w:szCs w:val="21"/>
                <w:highlight w:val="none"/>
              </w:rPr>
              <w:t>序号</w:t>
            </w:r>
          </w:p>
        </w:tc>
        <w:tc>
          <w:tcPr>
            <w:tcW w:w="1963" w:type="dxa"/>
            <w:noWrap/>
            <w:vAlign w:val="center"/>
          </w:tcPr>
          <w:p w14:paraId="140C11A9">
            <w:pPr>
              <w:widowControl/>
              <w:snapToGrid w:val="0"/>
              <w:ind w:left="-3"/>
              <w:jc w:val="center"/>
              <w:rPr>
                <w:rFonts w:ascii="宋体" w:hAnsi="宋体"/>
                <w:color w:val="auto"/>
                <w:spacing w:val="-20"/>
                <w:kern w:val="0"/>
                <w:szCs w:val="21"/>
                <w:highlight w:val="none"/>
              </w:rPr>
            </w:pPr>
            <w:r>
              <w:rPr>
                <w:rFonts w:hint="eastAsia" w:ascii="宋体" w:hAnsi="宋体"/>
                <w:color w:val="auto"/>
                <w:spacing w:val="-20"/>
                <w:kern w:val="0"/>
                <w:szCs w:val="21"/>
                <w:highlight w:val="none"/>
              </w:rPr>
              <w:t>名  称</w:t>
            </w:r>
          </w:p>
        </w:tc>
        <w:tc>
          <w:tcPr>
            <w:tcW w:w="3441" w:type="dxa"/>
            <w:gridSpan w:val="2"/>
            <w:noWrap/>
            <w:vAlign w:val="center"/>
          </w:tcPr>
          <w:p w14:paraId="2726FCB4">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货物型号规格、标准及配置等</w:t>
            </w:r>
          </w:p>
          <w:p w14:paraId="0A687A80">
            <w:pPr>
              <w:widowControl/>
              <w:snapToGrid w:val="0"/>
              <w:jc w:val="center"/>
              <w:rPr>
                <w:rFonts w:ascii="宋体" w:hAnsi="宋体"/>
                <w:color w:val="auto"/>
                <w:spacing w:val="-20"/>
                <w:kern w:val="0"/>
                <w:szCs w:val="21"/>
                <w:highlight w:val="none"/>
              </w:rPr>
            </w:pPr>
            <w:r>
              <w:rPr>
                <w:rFonts w:hint="eastAsia" w:ascii="宋体" w:hAnsi="宋体"/>
                <w:color w:val="auto"/>
                <w:kern w:val="0"/>
                <w:szCs w:val="21"/>
                <w:highlight w:val="none"/>
              </w:rPr>
              <w:t>（或服务内容、标准）</w:t>
            </w:r>
          </w:p>
        </w:tc>
        <w:tc>
          <w:tcPr>
            <w:tcW w:w="998" w:type="dxa"/>
            <w:gridSpan w:val="2"/>
            <w:noWrap/>
            <w:vAlign w:val="center"/>
          </w:tcPr>
          <w:p w14:paraId="6C1CAC21">
            <w:pPr>
              <w:widowControl/>
              <w:snapToGrid w:val="0"/>
              <w:jc w:val="center"/>
              <w:rPr>
                <w:rFonts w:ascii="宋体" w:hAnsi="宋体"/>
                <w:color w:val="auto"/>
                <w:kern w:val="0"/>
                <w:szCs w:val="21"/>
                <w:highlight w:val="none"/>
              </w:rPr>
            </w:pPr>
            <w:r>
              <w:rPr>
                <w:rFonts w:hint="eastAsia" w:ascii="宋体" w:hAnsi="宋体"/>
                <w:color w:val="auto"/>
                <w:kern w:val="0"/>
                <w:szCs w:val="21"/>
                <w:highlight w:val="none"/>
              </w:rPr>
              <w:t>数量</w:t>
            </w:r>
          </w:p>
        </w:tc>
        <w:tc>
          <w:tcPr>
            <w:tcW w:w="1579" w:type="dxa"/>
            <w:noWrap/>
            <w:vAlign w:val="center"/>
          </w:tcPr>
          <w:p w14:paraId="13046B2D">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金额</w:t>
            </w:r>
          </w:p>
        </w:tc>
      </w:tr>
      <w:tr w14:paraId="510103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noWrap/>
            <w:vAlign w:val="center"/>
          </w:tcPr>
          <w:p w14:paraId="3A2D0BD8">
            <w:pPr>
              <w:widowControl/>
              <w:snapToGrid w:val="0"/>
              <w:ind w:left="-3" w:firstLine="576"/>
              <w:jc w:val="left"/>
              <w:rPr>
                <w:rFonts w:ascii="宋体" w:hAnsi="宋体"/>
                <w:color w:val="auto"/>
                <w:spacing w:val="-20"/>
                <w:kern w:val="0"/>
                <w:szCs w:val="21"/>
                <w:highlight w:val="none"/>
              </w:rPr>
            </w:pPr>
            <w:r>
              <w:rPr>
                <w:rFonts w:hint="eastAsia" w:ascii="宋体" w:hAnsi="宋体"/>
                <w:color w:val="auto"/>
                <w:spacing w:val="-20"/>
                <w:kern w:val="0"/>
                <w:szCs w:val="21"/>
                <w:highlight w:val="none"/>
              </w:rPr>
              <w:t> </w:t>
            </w:r>
          </w:p>
        </w:tc>
        <w:tc>
          <w:tcPr>
            <w:tcW w:w="1963" w:type="dxa"/>
            <w:noWrap/>
            <w:vAlign w:val="center"/>
          </w:tcPr>
          <w:p w14:paraId="04833C85">
            <w:pPr>
              <w:widowControl/>
              <w:snapToGrid w:val="0"/>
              <w:ind w:left="-3" w:firstLine="576"/>
              <w:jc w:val="left"/>
              <w:rPr>
                <w:rFonts w:ascii="宋体" w:hAnsi="宋体"/>
                <w:color w:val="auto"/>
                <w:spacing w:val="-20"/>
                <w:kern w:val="0"/>
                <w:szCs w:val="21"/>
                <w:highlight w:val="none"/>
              </w:rPr>
            </w:pPr>
            <w:r>
              <w:rPr>
                <w:rFonts w:hint="eastAsia" w:ascii="宋体" w:hAnsi="宋体"/>
                <w:color w:val="auto"/>
                <w:spacing w:val="-20"/>
                <w:kern w:val="0"/>
                <w:szCs w:val="21"/>
                <w:highlight w:val="none"/>
              </w:rPr>
              <w:t> </w:t>
            </w:r>
          </w:p>
        </w:tc>
        <w:tc>
          <w:tcPr>
            <w:tcW w:w="3441" w:type="dxa"/>
            <w:gridSpan w:val="2"/>
            <w:noWrap/>
            <w:vAlign w:val="center"/>
          </w:tcPr>
          <w:p w14:paraId="7807ED00">
            <w:pPr>
              <w:widowControl/>
              <w:snapToGrid w:val="0"/>
              <w:ind w:left="-3" w:firstLine="576"/>
              <w:jc w:val="left"/>
              <w:rPr>
                <w:rFonts w:ascii="宋体" w:hAnsi="宋体"/>
                <w:color w:val="auto"/>
                <w:spacing w:val="-20"/>
                <w:kern w:val="0"/>
                <w:szCs w:val="21"/>
                <w:highlight w:val="none"/>
              </w:rPr>
            </w:pPr>
            <w:r>
              <w:rPr>
                <w:rFonts w:hint="eastAsia" w:ascii="宋体" w:hAnsi="宋体"/>
                <w:color w:val="auto"/>
                <w:spacing w:val="-20"/>
                <w:kern w:val="0"/>
                <w:szCs w:val="21"/>
                <w:highlight w:val="none"/>
              </w:rPr>
              <w:t> </w:t>
            </w:r>
          </w:p>
        </w:tc>
        <w:tc>
          <w:tcPr>
            <w:tcW w:w="998" w:type="dxa"/>
            <w:gridSpan w:val="2"/>
            <w:noWrap/>
            <w:vAlign w:val="center"/>
          </w:tcPr>
          <w:p w14:paraId="28646CF3">
            <w:pPr>
              <w:widowControl/>
              <w:snapToGrid w:val="0"/>
              <w:jc w:val="left"/>
              <w:rPr>
                <w:rFonts w:ascii="宋体" w:hAnsi="宋体"/>
                <w:color w:val="auto"/>
                <w:spacing w:val="-20"/>
                <w:kern w:val="0"/>
                <w:szCs w:val="21"/>
                <w:highlight w:val="none"/>
              </w:rPr>
            </w:pPr>
            <w:r>
              <w:rPr>
                <w:rFonts w:hint="eastAsia" w:ascii="宋体" w:hAnsi="宋体"/>
                <w:color w:val="auto"/>
                <w:spacing w:val="-20"/>
                <w:kern w:val="0"/>
                <w:szCs w:val="21"/>
                <w:highlight w:val="none"/>
              </w:rPr>
              <w:t> </w:t>
            </w:r>
          </w:p>
        </w:tc>
        <w:tc>
          <w:tcPr>
            <w:tcW w:w="1579" w:type="dxa"/>
            <w:noWrap/>
            <w:vAlign w:val="center"/>
          </w:tcPr>
          <w:p w14:paraId="10EFC9F9">
            <w:pPr>
              <w:widowControl/>
              <w:snapToGrid w:val="0"/>
              <w:jc w:val="left"/>
              <w:rPr>
                <w:rFonts w:ascii="宋体" w:hAnsi="宋体"/>
                <w:color w:val="auto"/>
                <w:spacing w:val="-20"/>
                <w:kern w:val="0"/>
                <w:szCs w:val="21"/>
                <w:highlight w:val="none"/>
              </w:rPr>
            </w:pPr>
            <w:r>
              <w:rPr>
                <w:rFonts w:hint="eastAsia" w:ascii="宋体" w:hAnsi="宋体"/>
                <w:color w:val="auto"/>
                <w:spacing w:val="-20"/>
                <w:kern w:val="0"/>
                <w:szCs w:val="21"/>
                <w:highlight w:val="none"/>
              </w:rPr>
              <w:t> </w:t>
            </w:r>
          </w:p>
        </w:tc>
      </w:tr>
      <w:tr w14:paraId="482754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noWrap/>
            <w:vAlign w:val="center"/>
          </w:tcPr>
          <w:p w14:paraId="410F01A0">
            <w:pPr>
              <w:widowControl/>
              <w:snapToGrid w:val="0"/>
              <w:ind w:left="-3" w:firstLine="576"/>
              <w:jc w:val="left"/>
              <w:rPr>
                <w:rFonts w:ascii="宋体" w:hAnsi="宋体"/>
                <w:color w:val="auto"/>
                <w:spacing w:val="-20"/>
                <w:kern w:val="0"/>
                <w:szCs w:val="21"/>
                <w:highlight w:val="none"/>
              </w:rPr>
            </w:pPr>
            <w:r>
              <w:rPr>
                <w:rFonts w:hint="eastAsia" w:ascii="宋体" w:hAnsi="宋体"/>
                <w:color w:val="auto"/>
                <w:spacing w:val="-20"/>
                <w:kern w:val="0"/>
                <w:szCs w:val="21"/>
                <w:highlight w:val="none"/>
              </w:rPr>
              <w:t> </w:t>
            </w:r>
          </w:p>
        </w:tc>
        <w:tc>
          <w:tcPr>
            <w:tcW w:w="1963" w:type="dxa"/>
            <w:noWrap/>
            <w:vAlign w:val="center"/>
          </w:tcPr>
          <w:p w14:paraId="04D77D28">
            <w:pPr>
              <w:widowControl/>
              <w:snapToGrid w:val="0"/>
              <w:ind w:left="-3" w:firstLine="576"/>
              <w:jc w:val="left"/>
              <w:rPr>
                <w:rFonts w:ascii="宋体" w:hAnsi="宋体"/>
                <w:color w:val="auto"/>
                <w:spacing w:val="-20"/>
                <w:kern w:val="0"/>
                <w:szCs w:val="21"/>
                <w:highlight w:val="none"/>
              </w:rPr>
            </w:pPr>
            <w:r>
              <w:rPr>
                <w:rFonts w:hint="eastAsia" w:ascii="宋体" w:hAnsi="宋体"/>
                <w:color w:val="auto"/>
                <w:spacing w:val="-20"/>
                <w:kern w:val="0"/>
                <w:szCs w:val="21"/>
                <w:highlight w:val="none"/>
              </w:rPr>
              <w:t> </w:t>
            </w:r>
          </w:p>
        </w:tc>
        <w:tc>
          <w:tcPr>
            <w:tcW w:w="3441" w:type="dxa"/>
            <w:gridSpan w:val="2"/>
            <w:noWrap/>
            <w:vAlign w:val="center"/>
          </w:tcPr>
          <w:p w14:paraId="45AD5EEB">
            <w:pPr>
              <w:widowControl/>
              <w:snapToGrid w:val="0"/>
              <w:ind w:left="-3" w:firstLine="576"/>
              <w:jc w:val="left"/>
              <w:rPr>
                <w:rFonts w:ascii="宋体" w:hAnsi="宋体"/>
                <w:color w:val="auto"/>
                <w:spacing w:val="-20"/>
                <w:kern w:val="0"/>
                <w:szCs w:val="21"/>
                <w:highlight w:val="none"/>
              </w:rPr>
            </w:pPr>
            <w:r>
              <w:rPr>
                <w:rFonts w:hint="eastAsia" w:ascii="宋体" w:hAnsi="宋体"/>
                <w:color w:val="auto"/>
                <w:spacing w:val="-20"/>
                <w:kern w:val="0"/>
                <w:szCs w:val="21"/>
                <w:highlight w:val="none"/>
              </w:rPr>
              <w:t> </w:t>
            </w:r>
          </w:p>
        </w:tc>
        <w:tc>
          <w:tcPr>
            <w:tcW w:w="998" w:type="dxa"/>
            <w:gridSpan w:val="2"/>
            <w:noWrap/>
            <w:vAlign w:val="center"/>
          </w:tcPr>
          <w:p w14:paraId="338C39C4">
            <w:pPr>
              <w:widowControl/>
              <w:snapToGrid w:val="0"/>
              <w:jc w:val="left"/>
              <w:rPr>
                <w:rFonts w:ascii="宋体" w:hAnsi="宋体"/>
                <w:color w:val="auto"/>
                <w:spacing w:val="-20"/>
                <w:kern w:val="0"/>
                <w:szCs w:val="21"/>
                <w:highlight w:val="none"/>
              </w:rPr>
            </w:pPr>
            <w:r>
              <w:rPr>
                <w:rFonts w:hint="eastAsia" w:ascii="宋体" w:hAnsi="宋体"/>
                <w:color w:val="auto"/>
                <w:spacing w:val="-20"/>
                <w:kern w:val="0"/>
                <w:szCs w:val="21"/>
                <w:highlight w:val="none"/>
              </w:rPr>
              <w:t> </w:t>
            </w:r>
          </w:p>
        </w:tc>
        <w:tc>
          <w:tcPr>
            <w:tcW w:w="1579" w:type="dxa"/>
            <w:noWrap/>
            <w:vAlign w:val="center"/>
          </w:tcPr>
          <w:p w14:paraId="3EC9FC0D">
            <w:pPr>
              <w:widowControl/>
              <w:snapToGrid w:val="0"/>
              <w:jc w:val="left"/>
              <w:rPr>
                <w:rFonts w:ascii="宋体" w:hAnsi="宋体"/>
                <w:color w:val="auto"/>
                <w:spacing w:val="-20"/>
                <w:kern w:val="0"/>
                <w:szCs w:val="21"/>
                <w:highlight w:val="none"/>
              </w:rPr>
            </w:pPr>
            <w:r>
              <w:rPr>
                <w:rFonts w:hint="eastAsia" w:ascii="宋体" w:hAnsi="宋体"/>
                <w:color w:val="auto"/>
                <w:spacing w:val="-20"/>
                <w:kern w:val="0"/>
                <w:szCs w:val="21"/>
                <w:highlight w:val="none"/>
              </w:rPr>
              <w:t> </w:t>
            </w:r>
          </w:p>
        </w:tc>
      </w:tr>
      <w:tr w14:paraId="11C57D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noWrap/>
            <w:vAlign w:val="center"/>
          </w:tcPr>
          <w:p w14:paraId="190AC27B">
            <w:pPr>
              <w:widowControl/>
              <w:snapToGrid w:val="0"/>
              <w:ind w:left="-3" w:firstLine="576"/>
              <w:jc w:val="left"/>
              <w:rPr>
                <w:rFonts w:ascii="宋体" w:hAnsi="宋体"/>
                <w:color w:val="auto"/>
                <w:spacing w:val="-20"/>
                <w:kern w:val="0"/>
                <w:szCs w:val="21"/>
                <w:highlight w:val="none"/>
              </w:rPr>
            </w:pPr>
            <w:r>
              <w:rPr>
                <w:rFonts w:hint="eastAsia" w:ascii="宋体" w:hAnsi="宋体"/>
                <w:color w:val="auto"/>
                <w:spacing w:val="-20"/>
                <w:kern w:val="0"/>
                <w:szCs w:val="21"/>
                <w:highlight w:val="none"/>
              </w:rPr>
              <w:t> </w:t>
            </w:r>
          </w:p>
        </w:tc>
        <w:tc>
          <w:tcPr>
            <w:tcW w:w="1963" w:type="dxa"/>
            <w:noWrap/>
            <w:vAlign w:val="center"/>
          </w:tcPr>
          <w:p w14:paraId="487012C6">
            <w:pPr>
              <w:widowControl/>
              <w:snapToGrid w:val="0"/>
              <w:ind w:left="-3" w:firstLine="576"/>
              <w:jc w:val="left"/>
              <w:rPr>
                <w:rFonts w:ascii="宋体" w:hAnsi="宋体"/>
                <w:color w:val="auto"/>
                <w:spacing w:val="-20"/>
                <w:kern w:val="0"/>
                <w:szCs w:val="21"/>
                <w:highlight w:val="none"/>
              </w:rPr>
            </w:pPr>
            <w:r>
              <w:rPr>
                <w:rFonts w:hint="eastAsia" w:ascii="宋体" w:hAnsi="宋体"/>
                <w:color w:val="auto"/>
                <w:spacing w:val="-20"/>
                <w:kern w:val="0"/>
                <w:szCs w:val="21"/>
                <w:highlight w:val="none"/>
              </w:rPr>
              <w:t> </w:t>
            </w:r>
          </w:p>
        </w:tc>
        <w:tc>
          <w:tcPr>
            <w:tcW w:w="3441" w:type="dxa"/>
            <w:gridSpan w:val="2"/>
            <w:noWrap/>
            <w:vAlign w:val="center"/>
          </w:tcPr>
          <w:p w14:paraId="32FDA259">
            <w:pPr>
              <w:widowControl/>
              <w:snapToGrid w:val="0"/>
              <w:ind w:left="-3" w:firstLine="576"/>
              <w:jc w:val="left"/>
              <w:rPr>
                <w:rFonts w:ascii="宋体" w:hAnsi="宋体"/>
                <w:color w:val="auto"/>
                <w:spacing w:val="-20"/>
                <w:kern w:val="0"/>
                <w:szCs w:val="21"/>
                <w:highlight w:val="none"/>
              </w:rPr>
            </w:pPr>
            <w:r>
              <w:rPr>
                <w:rFonts w:hint="eastAsia" w:ascii="宋体" w:hAnsi="宋体"/>
                <w:color w:val="auto"/>
                <w:spacing w:val="-20"/>
                <w:kern w:val="0"/>
                <w:szCs w:val="21"/>
                <w:highlight w:val="none"/>
              </w:rPr>
              <w:t> </w:t>
            </w:r>
          </w:p>
        </w:tc>
        <w:tc>
          <w:tcPr>
            <w:tcW w:w="998" w:type="dxa"/>
            <w:gridSpan w:val="2"/>
            <w:noWrap/>
            <w:vAlign w:val="center"/>
          </w:tcPr>
          <w:p w14:paraId="586D6F3C">
            <w:pPr>
              <w:widowControl/>
              <w:snapToGrid w:val="0"/>
              <w:jc w:val="left"/>
              <w:rPr>
                <w:rFonts w:ascii="宋体" w:hAnsi="宋体"/>
                <w:color w:val="auto"/>
                <w:spacing w:val="-20"/>
                <w:kern w:val="0"/>
                <w:szCs w:val="21"/>
                <w:highlight w:val="none"/>
              </w:rPr>
            </w:pPr>
            <w:r>
              <w:rPr>
                <w:rFonts w:hint="eastAsia" w:ascii="宋体" w:hAnsi="宋体"/>
                <w:color w:val="auto"/>
                <w:spacing w:val="-20"/>
                <w:kern w:val="0"/>
                <w:szCs w:val="21"/>
                <w:highlight w:val="none"/>
              </w:rPr>
              <w:t> </w:t>
            </w:r>
          </w:p>
        </w:tc>
        <w:tc>
          <w:tcPr>
            <w:tcW w:w="1579" w:type="dxa"/>
            <w:noWrap/>
            <w:vAlign w:val="center"/>
          </w:tcPr>
          <w:p w14:paraId="2B7E2BB9">
            <w:pPr>
              <w:widowControl/>
              <w:snapToGrid w:val="0"/>
              <w:jc w:val="left"/>
              <w:rPr>
                <w:rFonts w:ascii="宋体" w:hAnsi="宋体"/>
                <w:color w:val="auto"/>
                <w:spacing w:val="-20"/>
                <w:kern w:val="0"/>
                <w:szCs w:val="21"/>
                <w:highlight w:val="none"/>
              </w:rPr>
            </w:pPr>
            <w:r>
              <w:rPr>
                <w:rFonts w:hint="eastAsia" w:ascii="宋体" w:hAnsi="宋体"/>
                <w:color w:val="auto"/>
                <w:spacing w:val="-20"/>
                <w:kern w:val="0"/>
                <w:szCs w:val="21"/>
                <w:highlight w:val="none"/>
              </w:rPr>
              <w:t> </w:t>
            </w:r>
          </w:p>
        </w:tc>
      </w:tr>
      <w:tr w14:paraId="124FB5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noWrap/>
            <w:vAlign w:val="center"/>
          </w:tcPr>
          <w:p w14:paraId="737D9A1D">
            <w:pPr>
              <w:widowControl/>
              <w:snapToGrid w:val="0"/>
              <w:ind w:left="-3" w:firstLine="576"/>
              <w:jc w:val="left"/>
              <w:rPr>
                <w:rFonts w:ascii="宋体" w:hAnsi="宋体"/>
                <w:color w:val="auto"/>
                <w:spacing w:val="-20"/>
                <w:kern w:val="0"/>
                <w:szCs w:val="21"/>
                <w:highlight w:val="none"/>
              </w:rPr>
            </w:pPr>
            <w:r>
              <w:rPr>
                <w:rFonts w:hint="eastAsia" w:ascii="宋体" w:hAnsi="宋体"/>
                <w:color w:val="auto"/>
                <w:spacing w:val="-20"/>
                <w:kern w:val="0"/>
                <w:szCs w:val="21"/>
                <w:highlight w:val="none"/>
              </w:rPr>
              <w:t> </w:t>
            </w:r>
          </w:p>
        </w:tc>
        <w:tc>
          <w:tcPr>
            <w:tcW w:w="1963" w:type="dxa"/>
            <w:noWrap/>
            <w:vAlign w:val="center"/>
          </w:tcPr>
          <w:p w14:paraId="22E39816">
            <w:pPr>
              <w:widowControl/>
              <w:snapToGrid w:val="0"/>
              <w:ind w:left="-3" w:firstLine="576"/>
              <w:jc w:val="left"/>
              <w:rPr>
                <w:rFonts w:ascii="宋体" w:hAnsi="宋体"/>
                <w:color w:val="auto"/>
                <w:spacing w:val="-20"/>
                <w:kern w:val="0"/>
                <w:szCs w:val="21"/>
                <w:highlight w:val="none"/>
              </w:rPr>
            </w:pPr>
            <w:r>
              <w:rPr>
                <w:rFonts w:hint="eastAsia" w:ascii="宋体" w:hAnsi="宋体"/>
                <w:color w:val="auto"/>
                <w:spacing w:val="-20"/>
                <w:kern w:val="0"/>
                <w:szCs w:val="21"/>
                <w:highlight w:val="none"/>
              </w:rPr>
              <w:t> </w:t>
            </w:r>
          </w:p>
        </w:tc>
        <w:tc>
          <w:tcPr>
            <w:tcW w:w="3441" w:type="dxa"/>
            <w:gridSpan w:val="2"/>
            <w:noWrap/>
            <w:vAlign w:val="center"/>
          </w:tcPr>
          <w:p w14:paraId="5F7E9C6A">
            <w:pPr>
              <w:widowControl/>
              <w:snapToGrid w:val="0"/>
              <w:ind w:left="-3" w:firstLine="576"/>
              <w:jc w:val="left"/>
              <w:rPr>
                <w:rFonts w:ascii="宋体" w:hAnsi="宋体"/>
                <w:color w:val="auto"/>
                <w:spacing w:val="-20"/>
                <w:kern w:val="0"/>
                <w:szCs w:val="21"/>
                <w:highlight w:val="none"/>
              </w:rPr>
            </w:pPr>
            <w:r>
              <w:rPr>
                <w:rFonts w:hint="eastAsia" w:ascii="宋体" w:hAnsi="宋体"/>
                <w:color w:val="auto"/>
                <w:spacing w:val="-20"/>
                <w:kern w:val="0"/>
                <w:szCs w:val="21"/>
                <w:highlight w:val="none"/>
              </w:rPr>
              <w:t> </w:t>
            </w:r>
          </w:p>
        </w:tc>
        <w:tc>
          <w:tcPr>
            <w:tcW w:w="998" w:type="dxa"/>
            <w:gridSpan w:val="2"/>
            <w:noWrap/>
            <w:vAlign w:val="center"/>
          </w:tcPr>
          <w:p w14:paraId="25E5D3F5">
            <w:pPr>
              <w:widowControl/>
              <w:snapToGrid w:val="0"/>
              <w:jc w:val="left"/>
              <w:rPr>
                <w:rFonts w:ascii="宋体" w:hAnsi="宋体"/>
                <w:color w:val="auto"/>
                <w:spacing w:val="-20"/>
                <w:kern w:val="0"/>
                <w:szCs w:val="21"/>
                <w:highlight w:val="none"/>
              </w:rPr>
            </w:pPr>
            <w:r>
              <w:rPr>
                <w:rFonts w:hint="eastAsia" w:ascii="宋体" w:hAnsi="宋体"/>
                <w:color w:val="auto"/>
                <w:spacing w:val="-20"/>
                <w:kern w:val="0"/>
                <w:szCs w:val="21"/>
                <w:highlight w:val="none"/>
              </w:rPr>
              <w:t> </w:t>
            </w:r>
          </w:p>
        </w:tc>
        <w:tc>
          <w:tcPr>
            <w:tcW w:w="1579" w:type="dxa"/>
            <w:noWrap/>
            <w:vAlign w:val="center"/>
          </w:tcPr>
          <w:p w14:paraId="7E438D28">
            <w:pPr>
              <w:widowControl/>
              <w:snapToGrid w:val="0"/>
              <w:jc w:val="left"/>
              <w:rPr>
                <w:rFonts w:ascii="宋体" w:hAnsi="宋体"/>
                <w:color w:val="auto"/>
                <w:spacing w:val="-20"/>
                <w:kern w:val="0"/>
                <w:szCs w:val="21"/>
                <w:highlight w:val="none"/>
              </w:rPr>
            </w:pPr>
            <w:r>
              <w:rPr>
                <w:rFonts w:hint="eastAsia" w:ascii="宋体" w:hAnsi="宋体"/>
                <w:color w:val="auto"/>
                <w:spacing w:val="-20"/>
                <w:kern w:val="0"/>
                <w:szCs w:val="21"/>
                <w:highlight w:val="none"/>
              </w:rPr>
              <w:t> </w:t>
            </w:r>
          </w:p>
        </w:tc>
      </w:tr>
      <w:tr w14:paraId="62F121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noWrap/>
            <w:vAlign w:val="center"/>
          </w:tcPr>
          <w:p w14:paraId="6801DCD2">
            <w:pPr>
              <w:widowControl/>
              <w:snapToGrid w:val="0"/>
              <w:ind w:left="-3" w:firstLine="576"/>
              <w:jc w:val="left"/>
              <w:rPr>
                <w:rFonts w:ascii="宋体" w:hAnsi="宋体"/>
                <w:color w:val="auto"/>
                <w:spacing w:val="-20"/>
                <w:kern w:val="0"/>
                <w:szCs w:val="21"/>
                <w:highlight w:val="none"/>
              </w:rPr>
            </w:pPr>
          </w:p>
        </w:tc>
        <w:tc>
          <w:tcPr>
            <w:tcW w:w="1963" w:type="dxa"/>
            <w:noWrap/>
            <w:vAlign w:val="center"/>
          </w:tcPr>
          <w:p w14:paraId="5D48FDE6">
            <w:pPr>
              <w:widowControl/>
              <w:snapToGrid w:val="0"/>
              <w:ind w:left="-3" w:firstLine="576"/>
              <w:jc w:val="left"/>
              <w:rPr>
                <w:rFonts w:ascii="宋体" w:hAnsi="宋体"/>
                <w:color w:val="auto"/>
                <w:spacing w:val="-20"/>
                <w:kern w:val="0"/>
                <w:szCs w:val="21"/>
                <w:highlight w:val="none"/>
              </w:rPr>
            </w:pPr>
          </w:p>
        </w:tc>
        <w:tc>
          <w:tcPr>
            <w:tcW w:w="3441" w:type="dxa"/>
            <w:gridSpan w:val="2"/>
            <w:noWrap/>
            <w:vAlign w:val="center"/>
          </w:tcPr>
          <w:p w14:paraId="63E1EECF">
            <w:pPr>
              <w:widowControl/>
              <w:snapToGrid w:val="0"/>
              <w:ind w:left="-3" w:firstLine="576"/>
              <w:jc w:val="left"/>
              <w:rPr>
                <w:rFonts w:ascii="宋体" w:hAnsi="宋体"/>
                <w:color w:val="auto"/>
                <w:spacing w:val="-20"/>
                <w:kern w:val="0"/>
                <w:szCs w:val="21"/>
                <w:highlight w:val="none"/>
              </w:rPr>
            </w:pPr>
          </w:p>
        </w:tc>
        <w:tc>
          <w:tcPr>
            <w:tcW w:w="998" w:type="dxa"/>
            <w:gridSpan w:val="2"/>
            <w:noWrap/>
            <w:vAlign w:val="center"/>
          </w:tcPr>
          <w:p w14:paraId="4686A0BD">
            <w:pPr>
              <w:widowControl/>
              <w:snapToGrid w:val="0"/>
              <w:jc w:val="left"/>
              <w:rPr>
                <w:rFonts w:ascii="宋体" w:hAnsi="宋体"/>
                <w:color w:val="auto"/>
                <w:spacing w:val="-20"/>
                <w:kern w:val="0"/>
                <w:szCs w:val="21"/>
                <w:highlight w:val="none"/>
              </w:rPr>
            </w:pPr>
          </w:p>
        </w:tc>
        <w:tc>
          <w:tcPr>
            <w:tcW w:w="1579" w:type="dxa"/>
            <w:noWrap/>
            <w:vAlign w:val="center"/>
          </w:tcPr>
          <w:p w14:paraId="2ED681EF">
            <w:pPr>
              <w:widowControl/>
              <w:snapToGrid w:val="0"/>
              <w:jc w:val="left"/>
              <w:rPr>
                <w:rFonts w:ascii="宋体" w:hAnsi="宋体"/>
                <w:color w:val="auto"/>
                <w:spacing w:val="-20"/>
                <w:kern w:val="0"/>
                <w:szCs w:val="21"/>
                <w:highlight w:val="none"/>
              </w:rPr>
            </w:pPr>
          </w:p>
        </w:tc>
      </w:tr>
      <w:tr w14:paraId="37E2E2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19" w:type="dxa"/>
            <w:noWrap/>
            <w:vAlign w:val="center"/>
          </w:tcPr>
          <w:p w14:paraId="352F8308">
            <w:pPr>
              <w:widowControl/>
              <w:snapToGrid w:val="0"/>
              <w:jc w:val="center"/>
              <w:rPr>
                <w:rFonts w:ascii="宋体" w:hAnsi="宋体"/>
                <w:color w:val="auto"/>
                <w:spacing w:val="-20"/>
                <w:kern w:val="0"/>
                <w:szCs w:val="21"/>
                <w:highlight w:val="none"/>
              </w:rPr>
            </w:pPr>
            <w:r>
              <w:rPr>
                <w:rFonts w:hint="eastAsia" w:ascii="宋体" w:hAnsi="宋体"/>
                <w:color w:val="auto"/>
                <w:kern w:val="0"/>
                <w:szCs w:val="21"/>
                <w:highlight w:val="none"/>
              </w:rPr>
              <w:t>实际供货日期</w:t>
            </w:r>
          </w:p>
        </w:tc>
        <w:tc>
          <w:tcPr>
            <w:tcW w:w="3542" w:type="dxa"/>
            <w:gridSpan w:val="2"/>
            <w:noWrap/>
            <w:vAlign w:val="center"/>
          </w:tcPr>
          <w:p w14:paraId="61144159">
            <w:pPr>
              <w:snapToGrid w:val="0"/>
              <w:jc w:val="left"/>
              <w:rPr>
                <w:rFonts w:ascii="宋体" w:hAnsi="宋体"/>
                <w:color w:val="auto"/>
                <w:spacing w:val="-20"/>
                <w:kern w:val="0"/>
                <w:szCs w:val="21"/>
                <w:highlight w:val="none"/>
              </w:rPr>
            </w:pPr>
          </w:p>
        </w:tc>
        <w:tc>
          <w:tcPr>
            <w:tcW w:w="2522" w:type="dxa"/>
            <w:gridSpan w:val="2"/>
            <w:noWrap/>
            <w:vAlign w:val="center"/>
          </w:tcPr>
          <w:p w14:paraId="30B69E6E">
            <w:pPr>
              <w:widowControl/>
              <w:snapToGrid w:val="0"/>
              <w:jc w:val="center"/>
              <w:rPr>
                <w:rFonts w:ascii="宋体" w:hAnsi="宋体"/>
                <w:color w:val="auto"/>
                <w:spacing w:val="-20"/>
                <w:kern w:val="0"/>
                <w:szCs w:val="21"/>
                <w:highlight w:val="none"/>
              </w:rPr>
            </w:pPr>
            <w:r>
              <w:rPr>
                <w:rFonts w:hint="eastAsia" w:ascii="宋体" w:hAnsi="宋体"/>
                <w:color w:val="auto"/>
                <w:kern w:val="0"/>
                <w:szCs w:val="21"/>
                <w:highlight w:val="none"/>
              </w:rPr>
              <w:t>合同交货验收日期</w:t>
            </w:r>
          </w:p>
        </w:tc>
        <w:tc>
          <w:tcPr>
            <w:tcW w:w="1917" w:type="dxa"/>
            <w:gridSpan w:val="2"/>
            <w:noWrap/>
            <w:vAlign w:val="center"/>
          </w:tcPr>
          <w:p w14:paraId="2028238B">
            <w:pPr>
              <w:snapToGrid w:val="0"/>
              <w:jc w:val="left"/>
              <w:rPr>
                <w:rFonts w:ascii="宋体" w:hAnsi="宋体"/>
                <w:color w:val="auto"/>
                <w:spacing w:val="-20"/>
                <w:kern w:val="0"/>
                <w:szCs w:val="21"/>
                <w:highlight w:val="none"/>
              </w:rPr>
            </w:pPr>
          </w:p>
        </w:tc>
      </w:tr>
      <w:tr w14:paraId="5A636C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41" w:hRule="atLeast"/>
          <w:jc w:val="center"/>
        </w:trPr>
        <w:tc>
          <w:tcPr>
            <w:tcW w:w="1519" w:type="dxa"/>
            <w:noWrap/>
            <w:vAlign w:val="center"/>
          </w:tcPr>
          <w:p w14:paraId="3AEBD7BB">
            <w:pPr>
              <w:widowControl/>
              <w:snapToGrid w:val="0"/>
              <w:jc w:val="center"/>
              <w:rPr>
                <w:rFonts w:ascii="宋体" w:hAnsi="宋体"/>
                <w:color w:val="auto"/>
                <w:kern w:val="0"/>
                <w:szCs w:val="21"/>
                <w:highlight w:val="none"/>
              </w:rPr>
            </w:pPr>
          </w:p>
        </w:tc>
        <w:tc>
          <w:tcPr>
            <w:tcW w:w="3542" w:type="dxa"/>
            <w:gridSpan w:val="2"/>
            <w:noWrap/>
            <w:vAlign w:val="center"/>
          </w:tcPr>
          <w:p w14:paraId="6F8B7A23">
            <w:pPr>
              <w:snapToGrid w:val="0"/>
              <w:jc w:val="left"/>
              <w:rPr>
                <w:rFonts w:ascii="宋体" w:hAnsi="宋体"/>
                <w:color w:val="auto"/>
                <w:spacing w:val="-20"/>
                <w:kern w:val="0"/>
                <w:szCs w:val="21"/>
                <w:highlight w:val="none"/>
              </w:rPr>
            </w:pPr>
          </w:p>
        </w:tc>
        <w:tc>
          <w:tcPr>
            <w:tcW w:w="2522" w:type="dxa"/>
            <w:gridSpan w:val="2"/>
            <w:noWrap/>
            <w:vAlign w:val="center"/>
          </w:tcPr>
          <w:p w14:paraId="3F6E5CF8">
            <w:pPr>
              <w:widowControl/>
              <w:snapToGrid w:val="0"/>
              <w:jc w:val="center"/>
              <w:rPr>
                <w:rFonts w:ascii="宋体" w:hAnsi="宋体"/>
                <w:color w:val="auto"/>
                <w:kern w:val="0"/>
                <w:szCs w:val="21"/>
                <w:highlight w:val="none"/>
              </w:rPr>
            </w:pPr>
          </w:p>
        </w:tc>
        <w:tc>
          <w:tcPr>
            <w:tcW w:w="1917" w:type="dxa"/>
            <w:gridSpan w:val="2"/>
            <w:noWrap/>
            <w:vAlign w:val="center"/>
          </w:tcPr>
          <w:p w14:paraId="744DD0AD">
            <w:pPr>
              <w:snapToGrid w:val="0"/>
              <w:jc w:val="left"/>
              <w:rPr>
                <w:rFonts w:ascii="宋体" w:hAnsi="宋体"/>
                <w:color w:val="auto"/>
                <w:spacing w:val="-20"/>
                <w:kern w:val="0"/>
                <w:szCs w:val="21"/>
                <w:highlight w:val="none"/>
              </w:rPr>
            </w:pPr>
          </w:p>
        </w:tc>
      </w:tr>
      <w:tr w14:paraId="75DADD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19" w:type="dxa"/>
            <w:noWrap/>
            <w:tcMar>
              <w:top w:w="0" w:type="dxa"/>
              <w:left w:w="108" w:type="dxa"/>
              <w:bottom w:w="0" w:type="dxa"/>
              <w:right w:w="108" w:type="dxa"/>
            </w:tcMar>
            <w:vAlign w:val="center"/>
          </w:tcPr>
          <w:p w14:paraId="18FAE260">
            <w:pPr>
              <w:widowControl/>
              <w:snapToGrid w:val="0"/>
              <w:jc w:val="center"/>
              <w:rPr>
                <w:rFonts w:ascii="宋体" w:hAnsi="宋体"/>
                <w:color w:val="auto"/>
                <w:kern w:val="0"/>
                <w:szCs w:val="21"/>
                <w:highlight w:val="none"/>
              </w:rPr>
            </w:pPr>
            <w:r>
              <w:rPr>
                <w:rFonts w:hint="eastAsia" w:ascii="宋体" w:hAnsi="宋体"/>
                <w:color w:val="auto"/>
                <w:kern w:val="0"/>
                <w:szCs w:val="21"/>
                <w:highlight w:val="none"/>
              </w:rPr>
              <w:t>验收具体内容</w:t>
            </w:r>
          </w:p>
        </w:tc>
        <w:tc>
          <w:tcPr>
            <w:tcW w:w="7981" w:type="dxa"/>
            <w:gridSpan w:val="6"/>
            <w:noWrap/>
            <w:tcMar>
              <w:top w:w="0" w:type="dxa"/>
              <w:left w:w="108" w:type="dxa"/>
              <w:bottom w:w="0" w:type="dxa"/>
              <w:right w:w="108" w:type="dxa"/>
            </w:tcMar>
            <w:vAlign w:val="center"/>
          </w:tcPr>
          <w:p w14:paraId="1512B048">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应按采购合同、询价文件、投标文件及验收方案等进行验收；并核对中标或者成交供应商在安装调试等方面是否违反合同约定或服务规范要求、提供的质量保证证明材料是否齐全、应有的配件及附件是否达到合同约定等。可附件)</w:t>
            </w:r>
          </w:p>
        </w:tc>
      </w:tr>
      <w:tr w14:paraId="26CD04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99" w:hRule="atLeast"/>
          <w:jc w:val="center"/>
        </w:trPr>
        <w:tc>
          <w:tcPr>
            <w:tcW w:w="1519" w:type="dxa"/>
            <w:vMerge w:val="restart"/>
            <w:noWrap/>
            <w:tcMar>
              <w:top w:w="0" w:type="dxa"/>
              <w:left w:w="108" w:type="dxa"/>
              <w:bottom w:w="0" w:type="dxa"/>
              <w:right w:w="108" w:type="dxa"/>
            </w:tcMar>
            <w:vAlign w:val="center"/>
          </w:tcPr>
          <w:p w14:paraId="05929BB5">
            <w:pPr>
              <w:widowControl/>
              <w:snapToGrid w:val="0"/>
              <w:jc w:val="center"/>
              <w:rPr>
                <w:rFonts w:ascii="宋体" w:hAnsi="宋体"/>
                <w:color w:val="auto"/>
                <w:kern w:val="0"/>
                <w:szCs w:val="21"/>
                <w:highlight w:val="none"/>
              </w:rPr>
            </w:pPr>
            <w:r>
              <w:rPr>
                <w:rFonts w:hint="eastAsia" w:ascii="宋体" w:hAnsi="宋体"/>
                <w:color w:val="auto"/>
                <w:kern w:val="0"/>
                <w:szCs w:val="21"/>
                <w:highlight w:val="none"/>
              </w:rPr>
              <w:t>验收小组意见</w:t>
            </w:r>
          </w:p>
        </w:tc>
        <w:tc>
          <w:tcPr>
            <w:tcW w:w="7981" w:type="dxa"/>
            <w:gridSpan w:val="6"/>
            <w:noWrap/>
            <w:vAlign w:val="center"/>
          </w:tcPr>
          <w:p w14:paraId="6D66CF72">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验收结论性意见：</w:t>
            </w:r>
          </w:p>
          <w:p w14:paraId="40A26756">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r>
      <w:tr w14:paraId="62B445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44" w:hRule="atLeast"/>
          <w:jc w:val="center"/>
        </w:trPr>
        <w:tc>
          <w:tcPr>
            <w:tcW w:w="1519" w:type="dxa"/>
            <w:vMerge w:val="continue"/>
            <w:noWrap/>
            <w:tcMar>
              <w:top w:w="0" w:type="dxa"/>
              <w:left w:w="108" w:type="dxa"/>
              <w:bottom w:w="0" w:type="dxa"/>
              <w:right w:w="108" w:type="dxa"/>
            </w:tcMar>
            <w:vAlign w:val="center"/>
          </w:tcPr>
          <w:p w14:paraId="2ADBAE55">
            <w:pPr>
              <w:widowControl/>
              <w:snapToGrid w:val="0"/>
              <w:jc w:val="center"/>
              <w:rPr>
                <w:rFonts w:ascii="宋体" w:hAnsi="宋体"/>
                <w:color w:val="auto"/>
                <w:kern w:val="0"/>
                <w:szCs w:val="21"/>
                <w:highlight w:val="none"/>
              </w:rPr>
            </w:pPr>
          </w:p>
        </w:tc>
        <w:tc>
          <w:tcPr>
            <w:tcW w:w="7981" w:type="dxa"/>
            <w:gridSpan w:val="6"/>
            <w:noWrap/>
            <w:vAlign w:val="center"/>
          </w:tcPr>
          <w:p w14:paraId="1C368FEB">
            <w:pPr>
              <w:widowControl/>
              <w:snapToGrid w:val="0"/>
              <w:ind w:firstLine="210" w:firstLineChars="100"/>
              <w:jc w:val="left"/>
              <w:rPr>
                <w:rFonts w:ascii="宋体" w:hAnsi="宋体"/>
                <w:color w:val="auto"/>
                <w:kern w:val="0"/>
                <w:szCs w:val="21"/>
                <w:highlight w:val="none"/>
              </w:rPr>
            </w:pPr>
            <w:r>
              <w:rPr>
                <w:rFonts w:hint="eastAsia" w:ascii="宋体" w:hAnsi="宋体"/>
                <w:color w:val="auto"/>
                <w:kern w:val="0"/>
                <w:szCs w:val="21"/>
                <w:highlight w:val="none"/>
              </w:rPr>
              <w:t>有异议的意见和说明理由：</w:t>
            </w:r>
          </w:p>
          <w:p w14:paraId="14C9732D">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xml:space="preserve">                                                       签字：</w:t>
            </w:r>
          </w:p>
        </w:tc>
      </w:tr>
      <w:tr w14:paraId="041D7F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500" w:type="dxa"/>
            <w:gridSpan w:val="7"/>
            <w:noWrap/>
            <w:tcMar>
              <w:top w:w="0" w:type="dxa"/>
              <w:left w:w="108" w:type="dxa"/>
              <w:bottom w:w="0" w:type="dxa"/>
              <w:right w:w="108" w:type="dxa"/>
            </w:tcMar>
            <w:vAlign w:val="center"/>
          </w:tcPr>
          <w:p w14:paraId="56AE20AC">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验收小组成员签字：</w:t>
            </w:r>
          </w:p>
        </w:tc>
      </w:tr>
      <w:tr w14:paraId="74FCEC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16" w:hRule="atLeast"/>
          <w:jc w:val="center"/>
        </w:trPr>
        <w:tc>
          <w:tcPr>
            <w:tcW w:w="9500" w:type="dxa"/>
            <w:gridSpan w:val="7"/>
            <w:noWrap/>
            <w:tcMar>
              <w:top w:w="0" w:type="dxa"/>
              <w:left w:w="108" w:type="dxa"/>
              <w:bottom w:w="0" w:type="dxa"/>
              <w:right w:w="108" w:type="dxa"/>
            </w:tcMar>
            <w:vAlign w:val="center"/>
          </w:tcPr>
          <w:p w14:paraId="56FDCCB7">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监督人员或其他相关人员签字：</w:t>
            </w:r>
          </w:p>
          <w:p w14:paraId="663331C7">
            <w:pPr>
              <w:widowControl/>
              <w:snapToGrid w:val="0"/>
              <w:jc w:val="left"/>
              <w:rPr>
                <w:rFonts w:ascii="宋体" w:hAnsi="宋体"/>
                <w:color w:val="auto"/>
                <w:kern w:val="0"/>
                <w:szCs w:val="21"/>
                <w:highlight w:val="none"/>
              </w:rPr>
            </w:pPr>
          </w:p>
          <w:p w14:paraId="55A81090">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或受邀机构的意见（盖章）：</w:t>
            </w:r>
          </w:p>
        </w:tc>
      </w:tr>
      <w:tr w14:paraId="02643A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5061" w:type="dxa"/>
            <w:gridSpan w:val="3"/>
            <w:noWrap/>
            <w:tcMar>
              <w:top w:w="0" w:type="dxa"/>
              <w:left w:w="108" w:type="dxa"/>
              <w:bottom w:w="0" w:type="dxa"/>
              <w:right w:w="108" w:type="dxa"/>
            </w:tcMar>
            <w:vAlign w:val="center"/>
          </w:tcPr>
          <w:p w14:paraId="4513D588">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中标或者成交供应商负责人签字或盖章：</w:t>
            </w:r>
          </w:p>
          <w:p w14:paraId="47188929">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联系电话：         </w:t>
            </w:r>
          </w:p>
          <w:p w14:paraId="3DCA4D8D">
            <w:pPr>
              <w:widowControl/>
              <w:snapToGrid w:val="0"/>
              <w:ind w:firstLine="3150" w:firstLineChars="1500"/>
              <w:jc w:val="right"/>
              <w:rPr>
                <w:rFonts w:ascii="宋体" w:hAnsi="宋体"/>
                <w:color w:val="auto"/>
                <w:kern w:val="0"/>
                <w:szCs w:val="21"/>
                <w:highlight w:val="none"/>
              </w:rPr>
            </w:pPr>
            <w:r>
              <w:rPr>
                <w:rFonts w:hint="eastAsia" w:ascii="宋体" w:hAnsi="宋体"/>
                <w:color w:val="auto"/>
                <w:kern w:val="0"/>
                <w:szCs w:val="21"/>
                <w:highlight w:val="none"/>
              </w:rPr>
              <w:t>年   月   日</w:t>
            </w:r>
          </w:p>
        </w:tc>
        <w:tc>
          <w:tcPr>
            <w:tcW w:w="4439" w:type="dxa"/>
            <w:gridSpan w:val="4"/>
            <w:noWrap/>
            <w:vAlign w:val="center"/>
          </w:tcPr>
          <w:p w14:paraId="5F8281AE">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采购人或受托机构的意见（盖章）：</w:t>
            </w:r>
          </w:p>
          <w:p w14:paraId="7DEC8320">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联系电话：</w:t>
            </w:r>
          </w:p>
          <w:p w14:paraId="0BED04EE">
            <w:pPr>
              <w:widowControl/>
              <w:snapToGrid w:val="0"/>
              <w:jc w:val="right"/>
              <w:rPr>
                <w:rFonts w:ascii="宋体" w:hAnsi="宋体"/>
                <w:color w:val="auto"/>
                <w:kern w:val="0"/>
                <w:szCs w:val="21"/>
                <w:highlight w:val="none"/>
              </w:rPr>
            </w:pPr>
            <w:r>
              <w:rPr>
                <w:rFonts w:hint="eastAsia" w:ascii="宋体" w:hAnsi="宋体"/>
                <w:color w:val="auto"/>
                <w:kern w:val="0"/>
                <w:szCs w:val="21"/>
                <w:highlight w:val="none"/>
              </w:rPr>
              <w:t>年  月  日</w:t>
            </w:r>
          </w:p>
        </w:tc>
      </w:tr>
    </w:tbl>
    <w:p w14:paraId="1C223DA1">
      <w:pPr>
        <w:spacing w:line="340" w:lineRule="exact"/>
        <w:rPr>
          <w:rFonts w:hAnsi="宋体"/>
          <w:b/>
          <w:bCs/>
          <w:color w:val="auto"/>
          <w:szCs w:val="21"/>
          <w:highlight w:val="none"/>
        </w:rPr>
      </w:pPr>
      <w:r>
        <w:rPr>
          <w:rFonts w:hint="eastAsia" w:hAnsi="宋体"/>
          <w:color w:val="auto"/>
          <w:szCs w:val="21"/>
          <w:highlight w:val="none"/>
        </w:rPr>
        <w:t>备注：本报告单一式3份（采购单位1份、供应商1份，招标代理机构1份）。</w:t>
      </w:r>
    </w:p>
    <w:p w14:paraId="3F306FC3">
      <w:pPr>
        <w:jc w:val="left"/>
        <w:rPr>
          <w:rFonts w:ascii="宋体" w:hAnsi="宋体" w:cs="宋体"/>
          <w:color w:val="auto"/>
          <w:szCs w:val="21"/>
          <w:highlight w:val="none"/>
        </w:rPr>
      </w:pPr>
      <w:r>
        <w:rPr>
          <w:rFonts w:ascii="宋体" w:hAnsi="宋体" w:cs="宋体"/>
          <w:color w:val="auto"/>
          <w:szCs w:val="21"/>
          <w:highlight w:val="none"/>
        </w:rPr>
        <w:br w:type="page"/>
      </w:r>
    </w:p>
    <w:p w14:paraId="790A9188">
      <w:pPr>
        <w:jc w:val="center"/>
        <w:rPr>
          <w:rFonts w:ascii="仿宋_GB2312" w:hAnsi="仿宋_GB2312" w:eastAsia="仿宋_GB2312" w:cs="仿宋_GB2312"/>
          <w:color w:val="auto"/>
          <w:highlight w:val="none"/>
        </w:rPr>
      </w:pPr>
    </w:p>
    <w:p w14:paraId="01394262">
      <w:pPr>
        <w:pStyle w:val="127"/>
        <w:ind w:firstLine="0" w:firstLineChars="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附件3</w:t>
      </w:r>
    </w:p>
    <w:p w14:paraId="4D8E872D">
      <w:pPr>
        <w:pStyle w:val="127"/>
        <w:ind w:firstLine="0" w:firstLineChars="0"/>
        <w:rPr>
          <w:rFonts w:ascii="仿宋_GB2312" w:hAnsi="仿宋_GB2312" w:eastAsia="仿宋_GB2312" w:cs="仿宋_GB2312"/>
          <w:color w:val="auto"/>
          <w:szCs w:val="24"/>
          <w:highlight w:val="none"/>
        </w:rPr>
      </w:pPr>
    </w:p>
    <w:p w14:paraId="4672BB04">
      <w:pPr>
        <w:pStyle w:val="127"/>
        <w:ind w:firstLine="0" w:firstLineChars="0"/>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项目采购廉洁承诺书</w:t>
      </w:r>
    </w:p>
    <w:p w14:paraId="0B832805">
      <w:pPr>
        <w:pStyle w:val="127"/>
        <w:ind w:firstLine="0" w:firstLineChars="0"/>
        <w:rPr>
          <w:rFonts w:ascii="仿宋_GB2312" w:hAnsi="仿宋_GB2312" w:eastAsia="仿宋_GB2312" w:cs="仿宋_GB2312"/>
          <w:color w:val="auto"/>
          <w:sz w:val="28"/>
          <w:szCs w:val="28"/>
          <w:highlight w:val="none"/>
        </w:rPr>
      </w:pPr>
    </w:p>
    <w:p w14:paraId="67F54341">
      <w:pPr>
        <w:pStyle w:val="127"/>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深入贯彻落实国家卫生健康委等部门《关于印发医疗机构工作人员廉洁从业九项准则的通知》（国卫医发〔2021〕37号）、《广西壮族自治区医疗卫生机构及其工作人员廉洁从业规定》（桂卫发[2020]11号）及《中华人民共和国政府采购法》等文件精神，进一步规范医疗机构项目（包括货物、服务、工程等）采购行为，从源头上遏制和预防项目采购贿赂行为，营造风清气正的购销环境，我公司及所属业务人员作出以下不向医院工作人员赠送“回扣”“红包”等廉洁承诺：</w:t>
      </w:r>
    </w:p>
    <w:p w14:paraId="3C6C7896">
      <w:pPr>
        <w:pStyle w:val="127"/>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一、严格遵守国家的法律法规，依法依规处理项目采购业务，保证不进行违法乱纪活动，自觉接受执法执纪部门的监督检查。</w:t>
      </w:r>
    </w:p>
    <w:p w14:paraId="56CDC875">
      <w:pPr>
        <w:pStyle w:val="127"/>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二、保证严格按照民法典及项目采购合同约定履行。</w:t>
      </w:r>
    </w:p>
    <w:p w14:paraId="527F710C">
      <w:pPr>
        <w:pStyle w:val="127"/>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三、在项目采购活动中，保证不以任何借口向医院及其工作人员（含工作人员的近亲属和其他关系人）给予回扣，包括但不限于以下内容：</w:t>
      </w:r>
    </w:p>
    <w:p w14:paraId="51A17E8F">
      <w:pPr>
        <w:pStyle w:val="127"/>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（一）以各种名义赠送礼品、礼金、有价证券和支付凭证等财物；</w:t>
      </w:r>
    </w:p>
    <w:p w14:paraId="6544ED79">
      <w:pPr>
        <w:pStyle w:val="127"/>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（二）报销应当由医院及其工作人员与其近亲属和其他关系人支付的费用；</w:t>
      </w:r>
    </w:p>
    <w:p w14:paraId="5040F8E8">
      <w:pPr>
        <w:pStyle w:val="127"/>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（三）向医院及其工作人员提供旅游、考察、宴请、健身、娱乐等活动；</w:t>
      </w:r>
    </w:p>
    <w:p w14:paraId="3AC0E739">
      <w:pPr>
        <w:pStyle w:val="127"/>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（四）在医疗活动中向临床工作人员提供促销费、开单（药品、检验试剂、耗材等）提成费、推介费等；</w:t>
      </w:r>
    </w:p>
    <w:p w14:paraId="6BE13AAA">
      <w:pPr>
        <w:pStyle w:val="127"/>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（五）让医院及其工作人员进行以商业目的为目的的处方统计或为其统计提供便利，获取药品、医用设备试剂和医用耗材的用量信息，给予不正当利益；</w:t>
      </w:r>
    </w:p>
    <w:p w14:paraId="34DBC020">
      <w:pPr>
        <w:pStyle w:val="127"/>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（六）法律法规规定禁止的其他不正当行为。</w:t>
      </w:r>
    </w:p>
    <w:p w14:paraId="78CA3A0C">
      <w:pPr>
        <w:pStyle w:val="127"/>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四、保证不到住院部、门诊部、医技科室等推销产品、项目，不借故到医疗机构相关领导、部门负责人及相关工作人员家中访谈并提供任何好处费。</w:t>
      </w:r>
    </w:p>
    <w:p w14:paraId="433E9646">
      <w:pPr>
        <w:pStyle w:val="127"/>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五、维护正常的医疗秩序，保证不以宴请、到营业性娱乐场所提供娱乐活动、提供旅游等手段影响医疗机构工作人员的项目采购（包括货物、服务、工程等）的公平性、公正性。</w:t>
      </w:r>
    </w:p>
    <w:p w14:paraId="51F277BF">
      <w:pPr>
        <w:pStyle w:val="127"/>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六、保证不以任何理由要求医院及其工作人员利用任何途径和方式统计医师个人及临床科室有关药品、耗材、后勤物资等的用量信息，或要求为营销人员统计提供便利。</w:t>
      </w:r>
    </w:p>
    <w:p w14:paraId="5D825466">
      <w:pPr>
        <w:pStyle w:val="127"/>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七、如有违反上述承诺，我们愿意接受按照《国家卫生计生委关于建立医药购销领域商业贿赂不良记录的规定》（国卫法制发（2013）50号）相关规定处理，以及执法执纪部门的其他处理。</w:t>
      </w:r>
    </w:p>
    <w:p w14:paraId="21FD1C59">
      <w:pPr>
        <w:pStyle w:val="127"/>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八、本承诺书一式肆份，医疗机构执叁份，我公司执壹份。</w:t>
      </w:r>
    </w:p>
    <w:p w14:paraId="07F0780D">
      <w:pPr>
        <w:pStyle w:val="127"/>
        <w:ind w:firstLine="0" w:firstLineChars="0"/>
        <w:rPr>
          <w:rFonts w:ascii="仿宋_GB2312" w:hAnsi="仿宋_GB2312" w:eastAsia="仿宋_GB2312" w:cs="仿宋_GB2312"/>
          <w:color w:val="auto"/>
          <w:sz w:val="28"/>
          <w:szCs w:val="28"/>
          <w:highlight w:val="none"/>
        </w:rPr>
      </w:pPr>
    </w:p>
    <w:p w14:paraId="1C17FA4F">
      <w:pPr>
        <w:pStyle w:val="127"/>
        <w:wordWrap w:val="0"/>
        <w:ind w:firstLine="0" w:firstLineChars="0"/>
        <w:jc w:val="righ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公司名称（盖章）：              </w:t>
      </w:r>
    </w:p>
    <w:p w14:paraId="79214AD6">
      <w:pPr>
        <w:pStyle w:val="127"/>
        <w:wordWrap w:val="0"/>
        <w:ind w:firstLine="0" w:firstLineChars="0"/>
        <w:jc w:val="righ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法定代表人（签字或盖章）：      </w:t>
      </w:r>
    </w:p>
    <w:p w14:paraId="75FCB13D">
      <w:pPr>
        <w:pStyle w:val="127"/>
        <w:ind w:firstLine="0" w:firstLineChars="0"/>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日期：     年   月   日          </w:t>
      </w:r>
    </w:p>
    <w:p w14:paraId="78CF310E">
      <w:pPr>
        <w:pStyle w:val="127"/>
        <w:ind w:firstLine="0" w:firstLineChars="0"/>
        <w:rPr>
          <w:rFonts w:ascii="仿宋_GB2312" w:hAnsi="仿宋_GB2312" w:eastAsia="仿宋_GB2312" w:cs="仿宋_GB2312"/>
          <w:color w:val="auto"/>
          <w:sz w:val="28"/>
          <w:szCs w:val="28"/>
          <w:highlight w:val="none"/>
        </w:rPr>
      </w:pPr>
    </w:p>
    <w:p w14:paraId="764A8C51">
      <w:pPr>
        <w:pStyle w:val="127"/>
        <w:ind w:firstLine="0" w:firstLineChars="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br w:type="page"/>
      </w:r>
      <w:r>
        <w:rPr>
          <w:rFonts w:hint="eastAsia" w:ascii="仿宋_GB2312" w:hAnsi="仿宋_GB2312" w:eastAsia="仿宋_GB2312" w:cs="仿宋_GB2312"/>
          <w:color w:val="auto"/>
          <w:sz w:val="28"/>
          <w:szCs w:val="28"/>
          <w:highlight w:val="none"/>
        </w:rPr>
        <w:t>附件4</w:t>
      </w:r>
    </w:p>
    <w:p w14:paraId="160DE48B">
      <w:pPr>
        <w:pStyle w:val="127"/>
        <w:ind w:firstLine="0" w:firstLineChars="0"/>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梧州市妇幼保健院购销廉洁协议</w:t>
      </w:r>
    </w:p>
    <w:p w14:paraId="4DF11338">
      <w:pPr>
        <w:pStyle w:val="127"/>
        <w:ind w:firstLine="0" w:firstLineChars="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甲方：梧州市妇幼保健院</w:t>
      </w:r>
    </w:p>
    <w:p w14:paraId="56786750">
      <w:pPr>
        <w:pStyle w:val="127"/>
        <w:ind w:firstLine="0" w:firstLineChars="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乙方：                </w:t>
      </w:r>
    </w:p>
    <w:p w14:paraId="3FD8DBC1">
      <w:pPr>
        <w:pStyle w:val="127"/>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为进一步加强医疗卫生行风建设，规范购销行为，有效防范商业贿赂行为，营造公平交易、诚实守信的购销环境，经甲、乙双方协商，同意签订本协议，并共同遵守：</w:t>
      </w:r>
    </w:p>
    <w:p w14:paraId="1A457602">
      <w:pPr>
        <w:pStyle w:val="127"/>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一、甲乙双方严格遵守国家有关法律法规及相关政策，以及廉洁从业的各项规定。</w:t>
      </w:r>
    </w:p>
    <w:p w14:paraId="49EDC02C">
      <w:pPr>
        <w:pStyle w:val="127"/>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甲方严禁接受乙方以任何名义、形式给予的回扣，不得接受乙方违规捐赠、资助。甲方工作人员不得参加乙方安排并支付费用的营业性娱乐场所的娱乐活动，不得以任何形式向乙方索要和收受现金、有价证券、支付凭证和贵重礼品等。被迫接受乙方给予的钱物，应予退还，无法退还的，有责任如实向有关纪检监察部门反映情况。</w:t>
      </w:r>
    </w:p>
    <w:p w14:paraId="6FBE96B0">
      <w:pPr>
        <w:pStyle w:val="127"/>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乙方严禁以任何理由、任何形式向甲方相关工作人员或其亲戚、朋友等利益相关人提供红包、宴请、馈赠礼金、购物卡、有价证券、贵重物品及好处费、感谢费等。不得以给予回扣、宴请、提供乙方付费的旅游安排、出行、住宿等方式影响购销工作的公开、公平、公正。</w:t>
      </w:r>
    </w:p>
    <w:p w14:paraId="451B21AE">
      <w:pPr>
        <w:pStyle w:val="127"/>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四、乙方不得以任何理由到甲方相关领导、部门负责人及相关工作人员家中访谈并提供任何好处费。</w:t>
      </w:r>
    </w:p>
    <w:p w14:paraId="35E624F9">
      <w:pPr>
        <w:pStyle w:val="127"/>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五、乙方如违反本协议，一经发现，甲方有权终止购销合同，并向有关纪检监察部门报告。</w:t>
      </w:r>
    </w:p>
    <w:p w14:paraId="631F986F">
      <w:pPr>
        <w:pStyle w:val="127"/>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六、本协议作为甲方与乙方签订购销合同的重要组成部分，与购销合同一并执行，具有同等的法律效力。</w:t>
      </w:r>
    </w:p>
    <w:p w14:paraId="4861878B">
      <w:pPr>
        <w:pStyle w:val="127"/>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七、本承诺书一式肆份，甲方执叁份，乙方执壹份，自签订之日起生效。</w:t>
      </w:r>
    </w:p>
    <w:p w14:paraId="632534AA">
      <w:pPr>
        <w:pStyle w:val="127"/>
        <w:ind w:firstLine="0" w:firstLineChars="0"/>
        <w:jc w:val="center"/>
        <w:rPr>
          <w:rFonts w:hint="eastAsia" w:ascii="仿宋_GB2312" w:hAnsi="仿宋_GB2312" w:eastAsia="仿宋_GB2312" w:cs="仿宋_GB2312"/>
          <w:color w:val="auto"/>
          <w:sz w:val="28"/>
          <w:szCs w:val="28"/>
          <w:highlight w:val="none"/>
        </w:rPr>
      </w:pPr>
    </w:p>
    <w:p w14:paraId="113C309E">
      <w:pPr>
        <w:pStyle w:val="127"/>
        <w:ind w:firstLine="0" w:firstLineChars="0"/>
        <w:jc w:val="center"/>
        <w:rPr>
          <w:rFonts w:hint="eastAsia" w:ascii="仿宋_GB2312" w:hAnsi="仿宋_GB2312" w:eastAsia="仿宋_GB2312" w:cs="仿宋_GB2312"/>
          <w:color w:val="auto"/>
          <w:sz w:val="28"/>
          <w:szCs w:val="28"/>
          <w:highlight w:val="none"/>
        </w:rPr>
      </w:pPr>
    </w:p>
    <w:p w14:paraId="3807BA11">
      <w:pPr>
        <w:pStyle w:val="127"/>
        <w:ind w:firstLine="0" w:firstLineChars="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甲方（盖章）：                     乙方（盖章）：</w:t>
      </w:r>
    </w:p>
    <w:p w14:paraId="171C2B3C">
      <w:pPr>
        <w:pStyle w:val="127"/>
        <w:ind w:firstLine="0" w:firstLineChars="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法定代表人（负责人）：             法定代表人（负责人）：</w:t>
      </w:r>
    </w:p>
    <w:p w14:paraId="5A1E6FAE">
      <w:pPr>
        <w:pStyle w:val="127"/>
        <w:ind w:firstLine="0" w:firstLineChars="0"/>
        <w:rPr>
          <w:rFonts w:ascii="仿宋_GB2312" w:hAnsi="仿宋_GB2312" w:eastAsia="仿宋_GB2312" w:cs="仿宋_GB2312"/>
          <w:color w:val="auto"/>
          <w:sz w:val="28"/>
          <w:szCs w:val="28"/>
          <w:highlight w:val="none"/>
        </w:rPr>
      </w:pPr>
    </w:p>
    <w:p w14:paraId="786FC089">
      <w:pPr>
        <w:pStyle w:val="127"/>
        <w:ind w:firstLine="840" w:firstLineChars="300"/>
        <w:jc w:val="left"/>
        <w:rPr>
          <w:color w:val="auto"/>
          <w:sz w:val="28"/>
          <w:szCs w:val="22"/>
          <w:highlight w:val="none"/>
        </w:rPr>
      </w:pPr>
      <w:r>
        <w:rPr>
          <w:rFonts w:hint="eastAsia" w:ascii="仿宋_GB2312" w:hAnsi="仿宋_GB2312" w:eastAsia="仿宋_GB2312" w:cs="仿宋_GB2312"/>
          <w:color w:val="auto"/>
          <w:sz w:val="28"/>
          <w:szCs w:val="28"/>
          <w:highlight w:val="none"/>
        </w:rPr>
        <w:t>年  月  日                        年  月  日</w:t>
      </w:r>
    </w:p>
    <w:p w14:paraId="6FEE233D">
      <w:pPr>
        <w:rPr>
          <w:rFonts w:ascii="楷体" w:eastAsia="楷体"/>
          <w:color w:val="auto"/>
          <w:sz w:val="32"/>
          <w:szCs w:val="32"/>
          <w:highlight w:val="none"/>
        </w:rPr>
      </w:pPr>
      <w:r>
        <w:rPr>
          <w:rFonts w:hint="eastAsia" w:ascii="楷体" w:eastAsia="楷体"/>
          <w:color w:val="auto"/>
          <w:sz w:val="32"/>
          <w:szCs w:val="32"/>
          <w:highlight w:val="none"/>
        </w:rPr>
        <w:br w:type="page"/>
      </w:r>
    </w:p>
    <w:bookmarkEnd w:id="155"/>
    <w:p w14:paraId="07B3179D">
      <w:pPr>
        <w:snapToGrid w:val="0"/>
        <w:jc w:val="center"/>
        <w:rPr>
          <w:rFonts w:ascii="宋体" w:hAnsi="宋体"/>
          <w:bCs/>
          <w:color w:val="auto"/>
          <w:sz w:val="32"/>
          <w:szCs w:val="32"/>
          <w:highlight w:val="none"/>
        </w:rPr>
      </w:pPr>
    </w:p>
    <w:p w14:paraId="022EA819">
      <w:pPr>
        <w:snapToGrid w:val="0"/>
        <w:jc w:val="center"/>
        <w:rPr>
          <w:rFonts w:ascii="宋体" w:hAnsi="宋体"/>
          <w:bCs/>
          <w:color w:val="auto"/>
          <w:sz w:val="32"/>
          <w:szCs w:val="32"/>
          <w:highlight w:val="none"/>
        </w:rPr>
      </w:pPr>
    </w:p>
    <w:p w14:paraId="57DF0BBF">
      <w:pPr>
        <w:snapToGrid w:val="0"/>
        <w:jc w:val="center"/>
        <w:rPr>
          <w:rFonts w:ascii="宋体" w:hAnsi="宋体"/>
          <w:bCs/>
          <w:color w:val="auto"/>
          <w:sz w:val="32"/>
          <w:szCs w:val="32"/>
          <w:highlight w:val="none"/>
        </w:rPr>
      </w:pPr>
    </w:p>
    <w:p w14:paraId="2211CD96">
      <w:pPr>
        <w:snapToGrid w:val="0"/>
        <w:jc w:val="center"/>
        <w:rPr>
          <w:rFonts w:ascii="宋体" w:hAnsi="宋体"/>
          <w:bCs/>
          <w:color w:val="auto"/>
          <w:sz w:val="32"/>
          <w:szCs w:val="32"/>
          <w:highlight w:val="none"/>
        </w:rPr>
      </w:pPr>
    </w:p>
    <w:p w14:paraId="07BDD2AF">
      <w:pPr>
        <w:snapToGrid w:val="0"/>
        <w:jc w:val="center"/>
        <w:rPr>
          <w:rFonts w:ascii="宋体" w:hAnsi="宋体"/>
          <w:bCs/>
          <w:color w:val="auto"/>
          <w:sz w:val="32"/>
          <w:szCs w:val="32"/>
          <w:highlight w:val="none"/>
        </w:rPr>
      </w:pPr>
    </w:p>
    <w:p w14:paraId="2FFFF0FC">
      <w:pPr>
        <w:snapToGrid w:val="0"/>
        <w:jc w:val="center"/>
        <w:rPr>
          <w:rFonts w:ascii="宋体" w:hAnsi="宋体"/>
          <w:bCs/>
          <w:color w:val="auto"/>
          <w:sz w:val="32"/>
          <w:szCs w:val="32"/>
          <w:highlight w:val="none"/>
        </w:rPr>
      </w:pPr>
    </w:p>
    <w:p w14:paraId="6CB89A87">
      <w:pPr>
        <w:snapToGrid w:val="0"/>
        <w:jc w:val="center"/>
        <w:rPr>
          <w:rFonts w:ascii="宋体" w:hAnsi="宋体"/>
          <w:bCs/>
          <w:color w:val="auto"/>
          <w:sz w:val="32"/>
          <w:szCs w:val="32"/>
          <w:highlight w:val="none"/>
        </w:rPr>
      </w:pPr>
    </w:p>
    <w:p w14:paraId="05EFECD9">
      <w:pPr>
        <w:snapToGrid w:val="0"/>
        <w:jc w:val="center"/>
        <w:rPr>
          <w:rFonts w:ascii="宋体" w:hAnsi="宋体"/>
          <w:bCs/>
          <w:color w:val="auto"/>
          <w:sz w:val="32"/>
          <w:szCs w:val="32"/>
          <w:highlight w:val="none"/>
        </w:rPr>
      </w:pPr>
    </w:p>
    <w:p w14:paraId="2F466FBA">
      <w:pPr>
        <w:snapToGrid w:val="0"/>
        <w:jc w:val="center"/>
        <w:rPr>
          <w:rFonts w:ascii="宋体" w:hAnsi="宋体"/>
          <w:bCs/>
          <w:color w:val="auto"/>
          <w:sz w:val="32"/>
          <w:szCs w:val="32"/>
          <w:highlight w:val="none"/>
        </w:rPr>
      </w:pPr>
    </w:p>
    <w:p w14:paraId="7ECA047A">
      <w:pPr>
        <w:snapToGrid w:val="0"/>
        <w:jc w:val="center"/>
        <w:rPr>
          <w:rFonts w:ascii="宋体" w:hAnsi="宋体"/>
          <w:bCs/>
          <w:color w:val="auto"/>
          <w:sz w:val="32"/>
          <w:szCs w:val="32"/>
          <w:highlight w:val="none"/>
        </w:rPr>
      </w:pPr>
    </w:p>
    <w:p w14:paraId="198DEE41">
      <w:pPr>
        <w:snapToGrid w:val="0"/>
        <w:jc w:val="center"/>
        <w:rPr>
          <w:rFonts w:ascii="宋体" w:hAnsi="宋体"/>
          <w:bCs/>
          <w:color w:val="auto"/>
          <w:sz w:val="32"/>
          <w:szCs w:val="32"/>
          <w:highlight w:val="none"/>
        </w:rPr>
      </w:pPr>
    </w:p>
    <w:p w14:paraId="014D8FC4">
      <w:pPr>
        <w:pStyle w:val="5"/>
        <w:jc w:val="center"/>
        <w:rPr>
          <w:color w:val="auto"/>
          <w:highlight w:val="none"/>
        </w:rPr>
      </w:pPr>
      <w:bookmarkStart w:id="156" w:name="_Toc74320805"/>
      <w:r>
        <w:rPr>
          <w:rFonts w:hint="eastAsia"/>
          <w:color w:val="auto"/>
          <w:highlight w:val="none"/>
        </w:rPr>
        <w:t>第六章　投标文件格式</w:t>
      </w:r>
      <w:bookmarkEnd w:id="156"/>
    </w:p>
    <w:p w14:paraId="6FE7F165">
      <w:pPr>
        <w:snapToGrid w:val="0"/>
        <w:spacing w:before="50" w:after="50"/>
        <w:outlineLvl w:val="1"/>
        <w:rPr>
          <w:rFonts w:ascii="宋体" w:hAnsi="宋体"/>
          <w:color w:val="auto"/>
          <w:sz w:val="32"/>
          <w:szCs w:val="20"/>
          <w:highlight w:val="none"/>
        </w:rPr>
      </w:pPr>
    </w:p>
    <w:p w14:paraId="27DFC352">
      <w:pPr>
        <w:snapToGrid w:val="0"/>
        <w:spacing w:before="50" w:after="50"/>
        <w:outlineLvl w:val="1"/>
        <w:rPr>
          <w:rFonts w:ascii="宋体" w:hAnsi="宋体"/>
          <w:color w:val="auto"/>
          <w:sz w:val="32"/>
          <w:szCs w:val="20"/>
          <w:highlight w:val="none"/>
        </w:rPr>
      </w:pPr>
    </w:p>
    <w:p w14:paraId="6133213D">
      <w:pPr>
        <w:snapToGrid w:val="0"/>
        <w:spacing w:before="50" w:after="50"/>
        <w:outlineLvl w:val="1"/>
        <w:rPr>
          <w:rFonts w:ascii="宋体" w:hAnsi="宋体"/>
          <w:color w:val="auto"/>
          <w:sz w:val="32"/>
          <w:szCs w:val="20"/>
          <w:highlight w:val="none"/>
        </w:rPr>
      </w:pPr>
    </w:p>
    <w:p w14:paraId="7B9377CC">
      <w:pPr>
        <w:snapToGrid w:val="0"/>
        <w:spacing w:before="50" w:after="50"/>
        <w:outlineLvl w:val="1"/>
        <w:rPr>
          <w:rFonts w:ascii="宋体" w:hAnsi="宋体"/>
          <w:color w:val="auto"/>
          <w:sz w:val="32"/>
          <w:szCs w:val="20"/>
          <w:highlight w:val="none"/>
        </w:rPr>
      </w:pPr>
    </w:p>
    <w:p w14:paraId="0FD6D4DC">
      <w:pPr>
        <w:snapToGrid w:val="0"/>
        <w:spacing w:before="50" w:after="50"/>
        <w:outlineLvl w:val="1"/>
        <w:rPr>
          <w:rFonts w:ascii="宋体" w:hAnsi="宋体"/>
          <w:color w:val="auto"/>
          <w:sz w:val="32"/>
          <w:szCs w:val="20"/>
          <w:highlight w:val="none"/>
        </w:rPr>
      </w:pPr>
    </w:p>
    <w:p w14:paraId="339468CF">
      <w:pPr>
        <w:snapToGrid w:val="0"/>
        <w:spacing w:before="50" w:after="50"/>
        <w:outlineLvl w:val="1"/>
        <w:rPr>
          <w:rFonts w:ascii="宋体" w:hAnsi="宋体"/>
          <w:color w:val="auto"/>
          <w:sz w:val="32"/>
          <w:szCs w:val="20"/>
          <w:highlight w:val="none"/>
        </w:rPr>
      </w:pPr>
    </w:p>
    <w:p w14:paraId="7CF8EEC0">
      <w:pPr>
        <w:snapToGrid w:val="0"/>
        <w:spacing w:before="50" w:after="50"/>
        <w:outlineLvl w:val="1"/>
        <w:rPr>
          <w:rFonts w:ascii="宋体" w:hAnsi="宋体"/>
          <w:color w:val="auto"/>
          <w:sz w:val="32"/>
          <w:szCs w:val="20"/>
          <w:highlight w:val="none"/>
        </w:rPr>
      </w:pPr>
    </w:p>
    <w:p w14:paraId="5A67841E">
      <w:pPr>
        <w:snapToGrid w:val="0"/>
        <w:spacing w:before="50" w:after="50"/>
        <w:outlineLvl w:val="1"/>
        <w:rPr>
          <w:rFonts w:ascii="宋体" w:hAnsi="宋体"/>
          <w:color w:val="auto"/>
          <w:sz w:val="32"/>
          <w:szCs w:val="20"/>
          <w:highlight w:val="none"/>
        </w:rPr>
      </w:pPr>
    </w:p>
    <w:p w14:paraId="57C50E8C">
      <w:pPr>
        <w:snapToGrid w:val="0"/>
        <w:spacing w:before="50" w:after="50"/>
        <w:outlineLvl w:val="1"/>
        <w:rPr>
          <w:rFonts w:ascii="宋体" w:hAnsi="宋体"/>
          <w:color w:val="auto"/>
          <w:sz w:val="32"/>
          <w:szCs w:val="20"/>
          <w:highlight w:val="none"/>
        </w:rPr>
      </w:pPr>
    </w:p>
    <w:p w14:paraId="3483B33D">
      <w:pPr>
        <w:snapToGrid w:val="0"/>
        <w:spacing w:before="50" w:after="50"/>
        <w:outlineLvl w:val="1"/>
        <w:rPr>
          <w:rFonts w:ascii="宋体" w:hAnsi="宋体"/>
          <w:color w:val="auto"/>
          <w:sz w:val="32"/>
          <w:szCs w:val="20"/>
          <w:highlight w:val="none"/>
        </w:rPr>
      </w:pPr>
    </w:p>
    <w:p w14:paraId="4CBCB4CD">
      <w:pPr>
        <w:snapToGrid w:val="0"/>
        <w:spacing w:before="50" w:after="50"/>
        <w:outlineLvl w:val="1"/>
        <w:rPr>
          <w:rFonts w:ascii="宋体" w:hAnsi="宋体"/>
          <w:color w:val="auto"/>
          <w:sz w:val="32"/>
          <w:szCs w:val="20"/>
          <w:highlight w:val="none"/>
        </w:rPr>
      </w:pPr>
    </w:p>
    <w:p w14:paraId="5382051C">
      <w:pPr>
        <w:snapToGrid w:val="0"/>
        <w:spacing w:before="50" w:after="50"/>
        <w:outlineLvl w:val="1"/>
        <w:rPr>
          <w:rFonts w:ascii="宋体" w:hAnsi="宋体"/>
          <w:color w:val="auto"/>
          <w:sz w:val="32"/>
          <w:szCs w:val="20"/>
          <w:highlight w:val="none"/>
        </w:rPr>
      </w:pPr>
    </w:p>
    <w:p w14:paraId="004D50FA">
      <w:pPr>
        <w:snapToGrid w:val="0"/>
        <w:spacing w:before="50" w:after="50"/>
        <w:outlineLvl w:val="1"/>
        <w:rPr>
          <w:rFonts w:ascii="宋体" w:hAnsi="宋体"/>
          <w:color w:val="auto"/>
          <w:sz w:val="32"/>
          <w:szCs w:val="20"/>
          <w:highlight w:val="none"/>
        </w:rPr>
      </w:pPr>
    </w:p>
    <w:p w14:paraId="66444CB0">
      <w:pPr>
        <w:snapToGrid w:val="0"/>
        <w:spacing w:before="120" w:beforeLines="50" w:after="50"/>
        <w:jc w:val="center"/>
        <w:outlineLvl w:val="1"/>
        <w:rPr>
          <w:rFonts w:ascii="宋体" w:hAnsi="宋体"/>
          <w:color w:val="auto"/>
          <w:highlight w:val="none"/>
        </w:rPr>
      </w:pPr>
    </w:p>
    <w:p w14:paraId="327B2C83">
      <w:pPr>
        <w:rPr>
          <w:b/>
          <w:color w:val="auto"/>
          <w:sz w:val="28"/>
          <w:szCs w:val="28"/>
          <w:highlight w:val="none"/>
        </w:rPr>
      </w:pPr>
      <w:bookmarkStart w:id="157" w:name="_Toc19686836"/>
      <w:bookmarkStart w:id="158" w:name="_Toc254970698"/>
      <w:bookmarkStart w:id="159" w:name="_Toc254970557"/>
      <w:r>
        <w:rPr>
          <w:rFonts w:hint="eastAsia"/>
          <w:b/>
          <w:color w:val="auto"/>
          <w:sz w:val="28"/>
          <w:szCs w:val="28"/>
          <w:highlight w:val="none"/>
        </w:rPr>
        <w:t>一、报价文件格式</w:t>
      </w:r>
      <w:bookmarkEnd w:id="157"/>
    </w:p>
    <w:p w14:paraId="440D62B6">
      <w:pPr>
        <w:snapToGrid w:val="0"/>
        <w:spacing w:before="120" w:beforeLines="50" w:after="50" w:line="360" w:lineRule="auto"/>
        <w:ind w:left="142"/>
        <w:jc w:val="left"/>
        <w:rPr>
          <w:rFonts w:ascii="宋体" w:hAnsi="宋体"/>
          <w:b/>
          <w:color w:val="auto"/>
          <w:sz w:val="24"/>
          <w:highlight w:val="none"/>
        </w:rPr>
      </w:pPr>
      <w:r>
        <w:rPr>
          <w:rFonts w:hint="eastAsia" w:ascii="宋体" w:hAnsi="宋体"/>
          <w:b/>
          <w:color w:val="auto"/>
          <w:sz w:val="24"/>
          <w:highlight w:val="none"/>
        </w:rPr>
        <w:t xml:space="preserve">1. 报价文件封面格式： </w:t>
      </w:r>
    </w:p>
    <w:p w14:paraId="167E7CEE">
      <w:pPr>
        <w:snapToGrid w:val="0"/>
        <w:spacing w:before="120" w:beforeLines="50" w:after="50" w:line="360" w:lineRule="auto"/>
        <w:ind w:left="142"/>
        <w:jc w:val="center"/>
        <w:rPr>
          <w:rFonts w:ascii="宋体" w:hAnsi="宋体" w:eastAsia="方正小标宋简体"/>
          <w:bCs/>
          <w:color w:val="auto"/>
          <w:sz w:val="48"/>
          <w:szCs w:val="48"/>
          <w:highlight w:val="none"/>
        </w:rPr>
      </w:pPr>
      <w:r>
        <w:rPr>
          <w:rFonts w:hint="eastAsia" w:ascii="宋体" w:hAnsi="宋体" w:eastAsia="方正小标宋简体"/>
          <w:bCs/>
          <w:color w:val="auto"/>
          <w:sz w:val="48"/>
          <w:szCs w:val="48"/>
          <w:highlight w:val="none"/>
        </w:rPr>
        <w:t>电子投标文件</w:t>
      </w:r>
    </w:p>
    <w:p w14:paraId="081A7BEF">
      <w:pPr>
        <w:snapToGrid w:val="0"/>
        <w:spacing w:before="120" w:beforeLines="50" w:after="50" w:line="400" w:lineRule="exact"/>
        <w:jc w:val="left"/>
        <w:rPr>
          <w:rFonts w:ascii="宋体" w:hAnsi="宋体" w:eastAsia="方正小标宋简体"/>
          <w:bCs/>
          <w:color w:val="auto"/>
          <w:sz w:val="48"/>
          <w:szCs w:val="48"/>
          <w:highlight w:val="none"/>
        </w:rPr>
      </w:pPr>
    </w:p>
    <w:p w14:paraId="44B1B6C1">
      <w:pPr>
        <w:snapToGrid w:val="0"/>
        <w:spacing w:before="120" w:beforeLines="50" w:after="50" w:line="4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报  价  文  件</w:t>
      </w:r>
    </w:p>
    <w:p w14:paraId="1A85EAE8">
      <w:pPr>
        <w:snapToGrid w:val="0"/>
        <w:spacing w:before="120" w:beforeLines="50" w:after="50" w:line="400" w:lineRule="exact"/>
        <w:rPr>
          <w:rFonts w:ascii="宋体" w:hAnsi="宋体"/>
          <w:bCs/>
          <w:color w:val="auto"/>
          <w:sz w:val="24"/>
          <w:szCs w:val="20"/>
          <w:highlight w:val="none"/>
        </w:rPr>
      </w:pPr>
    </w:p>
    <w:p w14:paraId="3C63FC7E">
      <w:pPr>
        <w:snapToGrid w:val="0"/>
        <w:spacing w:before="120" w:beforeLines="50" w:after="50" w:line="400" w:lineRule="exact"/>
        <w:rPr>
          <w:rFonts w:ascii="宋体" w:hAnsi="宋体"/>
          <w:bCs/>
          <w:color w:val="auto"/>
          <w:sz w:val="24"/>
          <w:szCs w:val="20"/>
          <w:highlight w:val="none"/>
        </w:rPr>
      </w:pPr>
    </w:p>
    <w:p w14:paraId="456D1D28">
      <w:pPr>
        <w:snapToGrid w:val="0"/>
        <w:spacing w:before="120" w:beforeLines="50" w:after="50" w:line="400" w:lineRule="exact"/>
        <w:rPr>
          <w:rFonts w:ascii="宋体" w:hAnsi="宋体"/>
          <w:bCs/>
          <w:color w:val="auto"/>
          <w:sz w:val="24"/>
          <w:szCs w:val="20"/>
          <w:highlight w:val="none"/>
        </w:rPr>
      </w:pPr>
    </w:p>
    <w:p w14:paraId="34371FBE">
      <w:pPr>
        <w:snapToGrid w:val="0"/>
        <w:spacing w:before="120" w:beforeLines="50" w:after="50" w:line="400" w:lineRule="exact"/>
        <w:rPr>
          <w:rFonts w:ascii="宋体" w:hAnsi="宋体"/>
          <w:bCs/>
          <w:color w:val="auto"/>
          <w:sz w:val="24"/>
          <w:szCs w:val="20"/>
          <w:highlight w:val="none"/>
        </w:rPr>
      </w:pPr>
    </w:p>
    <w:p w14:paraId="6D261BB3">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14:paraId="03D70A3A">
      <w:pPr>
        <w:snapToGrid w:val="0"/>
        <w:spacing w:before="120" w:beforeLines="50" w:after="50" w:line="400" w:lineRule="exact"/>
        <w:ind w:firstLine="360" w:firstLineChars="150"/>
        <w:rPr>
          <w:rFonts w:ascii="宋体" w:hAnsi="宋体"/>
          <w:bCs/>
          <w:color w:val="auto"/>
          <w:sz w:val="24"/>
          <w:highlight w:val="none"/>
        </w:rPr>
      </w:pPr>
    </w:p>
    <w:p w14:paraId="3282FDCC">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14:paraId="36685F5A">
      <w:pPr>
        <w:snapToGrid w:val="0"/>
        <w:spacing w:before="120" w:beforeLines="50" w:after="50" w:line="400" w:lineRule="exact"/>
        <w:ind w:firstLine="360" w:firstLineChars="150"/>
        <w:rPr>
          <w:rFonts w:ascii="宋体" w:hAnsi="宋体"/>
          <w:bCs/>
          <w:color w:val="auto"/>
          <w:sz w:val="24"/>
          <w:highlight w:val="none"/>
        </w:rPr>
      </w:pPr>
    </w:p>
    <w:p w14:paraId="52CCFFE6">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14:paraId="44940C6F">
      <w:pPr>
        <w:snapToGrid w:val="0"/>
        <w:spacing w:before="120" w:beforeLines="50" w:after="50" w:line="400" w:lineRule="exact"/>
        <w:ind w:firstLine="360" w:firstLineChars="150"/>
        <w:rPr>
          <w:rFonts w:ascii="宋体" w:hAnsi="宋体"/>
          <w:bCs/>
          <w:color w:val="auto"/>
          <w:sz w:val="24"/>
          <w:highlight w:val="none"/>
        </w:rPr>
      </w:pPr>
    </w:p>
    <w:p w14:paraId="3424BA38">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288E0A7C">
      <w:pPr>
        <w:snapToGrid w:val="0"/>
        <w:spacing w:before="120" w:beforeLines="50" w:after="50" w:line="400" w:lineRule="exact"/>
        <w:ind w:firstLine="360" w:firstLineChars="150"/>
        <w:rPr>
          <w:rFonts w:ascii="宋体" w:hAnsi="宋体"/>
          <w:bCs/>
          <w:color w:val="auto"/>
          <w:sz w:val="24"/>
          <w:highlight w:val="none"/>
        </w:rPr>
      </w:pPr>
    </w:p>
    <w:p w14:paraId="71609D82">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14:paraId="5F9FC5A0">
      <w:pPr>
        <w:pStyle w:val="9"/>
        <w:snapToGrid w:val="0"/>
        <w:spacing w:before="50" w:after="50" w:line="400" w:lineRule="exact"/>
        <w:ind w:firstLine="960" w:firstLineChars="400"/>
        <w:rPr>
          <w:rFonts w:ascii="宋体" w:hAnsi="宋体"/>
          <w:bCs/>
          <w:color w:val="auto"/>
          <w:sz w:val="24"/>
          <w:szCs w:val="24"/>
          <w:highlight w:val="none"/>
        </w:rPr>
      </w:pPr>
    </w:p>
    <w:p w14:paraId="0E360DC7">
      <w:pPr>
        <w:snapToGrid w:val="0"/>
        <w:spacing w:before="120" w:beforeLines="50" w:after="50" w:line="400" w:lineRule="exact"/>
        <w:rPr>
          <w:rFonts w:ascii="宋体" w:hAnsi="宋体"/>
          <w:color w:val="auto"/>
          <w:sz w:val="30"/>
          <w:szCs w:val="20"/>
          <w:highlight w:val="none"/>
        </w:rPr>
      </w:pPr>
      <w:r>
        <w:rPr>
          <w:rFonts w:hint="eastAsia" w:ascii="宋体" w:hAnsi="宋体"/>
          <w:color w:val="auto"/>
          <w:sz w:val="24"/>
          <w:highlight w:val="none"/>
        </w:rPr>
        <w:t xml:space="preserve">                                   年  月  日</w:t>
      </w:r>
    </w:p>
    <w:p w14:paraId="6969BA26">
      <w:pPr>
        <w:snapToGrid w:val="0"/>
        <w:spacing w:before="120" w:beforeLines="50" w:after="50" w:line="360" w:lineRule="auto"/>
        <w:jc w:val="left"/>
        <w:rPr>
          <w:rFonts w:ascii="宋体" w:hAnsi="宋体"/>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2.</w:t>
      </w:r>
      <w:r>
        <w:rPr>
          <w:rFonts w:hint="eastAsia" w:ascii="宋体" w:hAnsi="宋体"/>
          <w:b/>
          <w:bCs/>
          <w:color w:val="auto"/>
          <w:sz w:val="24"/>
          <w:highlight w:val="none"/>
        </w:rPr>
        <w:t>报价文件目录</w:t>
      </w:r>
    </w:p>
    <w:p w14:paraId="002C76EE">
      <w:pPr>
        <w:snapToGrid w:val="0"/>
        <w:spacing w:before="50" w:after="120" w:afterLines="50" w:line="360" w:lineRule="auto"/>
        <w:jc w:val="left"/>
        <w:rPr>
          <w:rFonts w:ascii="宋体" w:hAnsi="宋体"/>
          <w:b/>
          <w:color w:val="auto"/>
          <w:sz w:val="24"/>
          <w:highlight w:val="none"/>
        </w:rPr>
      </w:pPr>
      <w:r>
        <w:rPr>
          <w:rFonts w:hint="eastAsia" w:ascii="宋体" w:hAnsi="宋体"/>
          <w:color w:val="auto"/>
          <w:szCs w:val="21"/>
          <w:highlight w:val="none"/>
        </w:rPr>
        <w:t>根据招标文件规定及投标人提供的材料自行编写目录。</w:t>
      </w:r>
    </w:p>
    <w:p w14:paraId="7E32B8EC">
      <w:pPr>
        <w:snapToGrid w:val="0"/>
        <w:spacing w:before="120" w:beforeLines="50" w:after="50"/>
        <w:rPr>
          <w:rFonts w:ascii="宋体" w:hAnsi="宋体"/>
          <w:b/>
          <w:color w:val="auto"/>
          <w:sz w:val="24"/>
          <w:highlight w:val="none"/>
        </w:rPr>
      </w:pPr>
    </w:p>
    <w:p w14:paraId="5D71CF44">
      <w:pPr>
        <w:snapToGrid w:val="0"/>
        <w:spacing w:before="120" w:beforeLines="50" w:after="50"/>
        <w:rPr>
          <w:rFonts w:ascii="宋体" w:hAnsi="宋体"/>
          <w:b/>
          <w:color w:val="auto"/>
          <w:sz w:val="24"/>
          <w:highlight w:val="none"/>
        </w:rPr>
      </w:pPr>
    </w:p>
    <w:p w14:paraId="5CFBB194">
      <w:pPr>
        <w:snapToGrid w:val="0"/>
        <w:spacing w:before="120" w:beforeLines="50" w:after="50"/>
        <w:rPr>
          <w:rFonts w:ascii="宋体" w:hAnsi="宋体"/>
          <w:b/>
          <w:color w:val="auto"/>
          <w:sz w:val="24"/>
          <w:highlight w:val="none"/>
        </w:rPr>
      </w:pPr>
    </w:p>
    <w:p w14:paraId="6E6B7BA3">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投标函格式：</w:t>
      </w:r>
    </w:p>
    <w:p w14:paraId="4D3CEDDB">
      <w:pPr>
        <w:snapToGrid w:val="0"/>
        <w:spacing w:before="120" w:beforeLines="50" w:after="50" w:line="360" w:lineRule="auto"/>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投 标 函</w:t>
      </w:r>
    </w:p>
    <w:p w14:paraId="411797BD">
      <w:pPr>
        <w:snapToGrid w:val="0"/>
        <w:spacing w:before="120" w:beforeLines="50" w:after="50" w:line="320" w:lineRule="exact"/>
        <w:rPr>
          <w:rFonts w:ascii="宋体" w:hAnsi="宋体"/>
          <w:b/>
          <w:color w:val="auto"/>
          <w:sz w:val="32"/>
          <w:szCs w:val="32"/>
          <w:highlight w:val="none"/>
        </w:rPr>
      </w:pPr>
    </w:p>
    <w:p w14:paraId="0FDF481B">
      <w:pPr>
        <w:spacing w:line="360" w:lineRule="auto"/>
        <w:contextualSpacing/>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21CAA2A1">
      <w:pPr>
        <w:spacing w:line="360" w:lineRule="auto"/>
        <w:ind w:firstLine="480"/>
        <w:contextualSpacing/>
        <w:rPr>
          <w:rFonts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 xml:space="preserve"> 项目名称</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）的招标文件，签字代表______</w:t>
      </w:r>
      <w:r>
        <w:rPr>
          <w:rFonts w:hint="eastAsia" w:ascii="宋体" w:hAnsi="宋体"/>
          <w:color w:val="auto"/>
          <w:sz w:val="24"/>
          <w:highlight w:val="none"/>
          <w:u w:val="single"/>
        </w:rPr>
        <w:t xml:space="preserve">     </w:t>
      </w:r>
      <w:r>
        <w:rPr>
          <w:rFonts w:hint="eastAsia" w:ascii="宋体" w:hAnsi="宋体"/>
          <w:color w:val="auto"/>
          <w:sz w:val="24"/>
          <w:highlight w:val="none"/>
        </w:rPr>
        <w:t>（姓名）经正式授权并代表投标人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（投标人名称）提交投标文件。</w:t>
      </w:r>
    </w:p>
    <w:p w14:paraId="17238725">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据此函，我方宣布同意如下：</w:t>
      </w:r>
    </w:p>
    <w:p w14:paraId="3F9CCE2E">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552DA8BE">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2.我方在投标之前已经完全理解并接受招标文件的各项规定和要求，对招标文件的合理性、合法性不再有异议。</w:t>
      </w:r>
    </w:p>
    <w:p w14:paraId="0003DEF4">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3.本投标有效期自投标截止之日起</w:t>
      </w:r>
      <w:r>
        <w:rPr>
          <w:rFonts w:ascii="宋体" w:hAnsi="宋体"/>
          <w:color w:val="auto"/>
          <w:sz w:val="24"/>
          <w:highlight w:val="none"/>
          <w:u w:val="single"/>
        </w:rPr>
        <w:t xml:space="preserve">    </w:t>
      </w:r>
      <w:r>
        <w:rPr>
          <w:rFonts w:hint="eastAsia" w:ascii="宋体" w:hAnsi="宋体"/>
          <w:color w:val="auto"/>
          <w:sz w:val="24"/>
          <w:highlight w:val="none"/>
        </w:rPr>
        <w:t>日。</w:t>
      </w:r>
    </w:p>
    <w:p w14:paraId="32F7B7AE">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4.如中标，本投标文件至本项目合同履行完毕止均保持有效，我方将按“招标文件”及政府采购法律、法规的规定履行合同责任和义务。</w:t>
      </w:r>
    </w:p>
    <w:p w14:paraId="62E1D7A7">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5.我方同意按照贵方要求提供与投标有关的一切数据或者资料。</w:t>
      </w:r>
    </w:p>
    <w:p w14:paraId="63EC5221">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6.我方向贵方提交的所有投标文件、资料都是准确的和真实的。</w:t>
      </w:r>
    </w:p>
    <w:p w14:paraId="3BFA5CF1">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7.以上事项如有虚假或者隐瞒，我方愿意承担一切后果，并不再寻求任何旨在减轻或者免除法律责任的辩解。</w:t>
      </w:r>
    </w:p>
    <w:p w14:paraId="06FA79C1">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8.根据</w:t>
      </w:r>
      <w:r>
        <w:rPr>
          <w:rFonts w:ascii="宋体" w:hAnsi="宋体"/>
          <w:color w:val="auto"/>
          <w:sz w:val="24"/>
          <w:highlight w:val="none"/>
        </w:rPr>
        <w:t>《中华人民共和国政府采购法实施条例》第五十条要求对政府采购合同进行公告</w:t>
      </w:r>
      <w:r>
        <w:rPr>
          <w:rFonts w:hint="eastAsia" w:ascii="宋体" w:hAnsi="宋体"/>
          <w:color w:val="auto"/>
          <w:sz w:val="24"/>
          <w:highlight w:val="none"/>
        </w:rPr>
        <w:t>，</w:t>
      </w:r>
      <w:r>
        <w:rPr>
          <w:rFonts w:ascii="宋体" w:hAnsi="宋体"/>
          <w:color w:val="auto"/>
          <w:sz w:val="24"/>
          <w:highlight w:val="none"/>
        </w:rPr>
        <w:t>但政府采购合同中涉及国家秘密、商业秘密的内容除外。</w:t>
      </w:r>
      <w:r>
        <w:rPr>
          <w:rFonts w:hint="eastAsia" w:ascii="宋体" w:hAnsi="宋体"/>
          <w:color w:val="auto"/>
          <w:sz w:val="24"/>
          <w:highlight w:val="none"/>
        </w:rPr>
        <w:t>我方就对本次投标文件进行注明如下：（两项内容中必须选择一项）</w:t>
      </w:r>
    </w:p>
    <w:p w14:paraId="43766A2A">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内容中</w:t>
      </w:r>
      <w:r>
        <w:rPr>
          <w:rFonts w:hint="eastAsia" w:ascii="宋体" w:hAnsi="宋体"/>
          <w:color w:val="auto"/>
          <w:sz w:val="24"/>
          <w:highlight w:val="none"/>
        </w:rPr>
        <w:t>未</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w:t>
      </w:r>
    </w:p>
    <w:p w14:paraId="623EA424">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的</w:t>
      </w:r>
      <w:r>
        <w:rPr>
          <w:rFonts w:ascii="宋体" w:hAnsi="宋体" w:cs="宋体"/>
          <w:color w:val="auto"/>
          <w:kern w:val="0"/>
          <w:sz w:val="24"/>
          <w:highlight w:val="none"/>
        </w:rPr>
        <w:t>内容</w:t>
      </w:r>
      <w:r>
        <w:rPr>
          <w:rFonts w:hint="eastAsia" w:ascii="宋体" w:hAnsi="宋体" w:cs="宋体"/>
          <w:color w:val="auto"/>
          <w:kern w:val="0"/>
          <w:sz w:val="24"/>
          <w:highlight w:val="none"/>
        </w:rPr>
        <w:t>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79EB31B">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9.与本项目有关的一切正式往来信函请寄：</w:t>
      </w:r>
    </w:p>
    <w:p w14:paraId="19FCD44A">
      <w:pPr>
        <w:spacing w:line="360" w:lineRule="auto"/>
        <w:ind w:firstLine="480" w:firstLineChars="200"/>
        <w:contextualSpacing/>
        <w:rPr>
          <w:rFonts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14:paraId="64C9D63E">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u w:val="single"/>
        </w:rPr>
        <w:t xml:space="preserve">        </w:t>
      </w: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电子邮箱：</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4D749816">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14:paraId="17D3275E">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银行账号：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2CBBADEB">
      <w:pPr>
        <w:pStyle w:val="21"/>
        <w:rPr>
          <w:color w:val="auto"/>
          <w:highlight w:val="none"/>
        </w:rPr>
      </w:pPr>
    </w:p>
    <w:p w14:paraId="54AEA26E">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 xml:space="preserve">              法定代表人或者委托代理人（签字或者电子签名）：_______ </w:t>
      </w:r>
    </w:p>
    <w:p w14:paraId="30169962">
      <w:pPr>
        <w:pStyle w:val="26"/>
        <w:spacing w:line="360" w:lineRule="auto"/>
        <w:contextualSpacing/>
        <w:jc w:val="center"/>
        <w:rPr>
          <w:rFonts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投标人名称（电子签章）：</w:t>
      </w:r>
    </w:p>
    <w:p w14:paraId="5EC14530">
      <w:pPr>
        <w:pStyle w:val="26"/>
        <w:spacing w:line="360" w:lineRule="auto"/>
        <w:contextualSpacing/>
        <w:rPr>
          <w:rFonts w:hAnsi="宋体"/>
          <w:color w:val="auto"/>
          <w:sz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7D89BE01">
      <w:pPr>
        <w:snapToGrid w:val="0"/>
        <w:spacing w:before="120" w:beforeLines="50" w:after="50"/>
        <w:jc w:val="left"/>
        <w:rPr>
          <w:rFonts w:ascii="宋体" w:hAnsi="宋体"/>
          <w:b/>
          <w:color w:val="auto"/>
          <w:sz w:val="24"/>
          <w:szCs w:val="20"/>
          <w:highlight w:val="none"/>
        </w:rPr>
      </w:pPr>
      <w:r>
        <w:rPr>
          <w:rFonts w:hAnsi="宋体"/>
          <w:color w:val="auto"/>
          <w:highlight w:val="none"/>
          <w:u w:val="single"/>
        </w:rPr>
        <w:br w:type="page"/>
      </w:r>
      <w:r>
        <w:rPr>
          <w:rFonts w:hint="eastAsia" w:ascii="宋体" w:hAnsi="宋体"/>
          <w:b/>
          <w:color w:val="auto"/>
          <w:sz w:val="24"/>
          <w:highlight w:val="none"/>
        </w:rPr>
        <w:t>4. 开标一览表（货物类格式）</w:t>
      </w:r>
    </w:p>
    <w:p w14:paraId="18070E06">
      <w:pPr>
        <w:snapToGrid w:val="0"/>
        <w:spacing w:before="50" w:after="50"/>
        <w:jc w:val="center"/>
        <w:rPr>
          <w:rFonts w:ascii="宋体" w:hAnsi="宋体"/>
          <w:b/>
          <w:color w:val="auto"/>
          <w:sz w:val="30"/>
          <w:highlight w:val="none"/>
        </w:rPr>
      </w:pPr>
      <w:r>
        <w:rPr>
          <w:rFonts w:hint="eastAsia" w:ascii="宋体" w:hAnsi="宋体"/>
          <w:b/>
          <w:color w:val="auto"/>
          <w:sz w:val="30"/>
          <w:highlight w:val="none"/>
        </w:rPr>
        <w:t>开标一览表</w:t>
      </w:r>
    </w:p>
    <w:p w14:paraId="06EDC6FD">
      <w:pPr>
        <w:snapToGrid w:val="0"/>
        <w:spacing w:before="50" w:after="50"/>
        <w:jc w:val="center"/>
        <w:rPr>
          <w:rFonts w:ascii="宋体" w:hAnsi="宋体"/>
          <w:b/>
          <w:color w:val="auto"/>
          <w:sz w:val="30"/>
          <w:szCs w:val="20"/>
          <w:highlight w:val="none"/>
        </w:rPr>
      </w:pPr>
    </w:p>
    <w:p w14:paraId="14265864">
      <w:pPr>
        <w:snapToGrid w:val="0"/>
        <w:spacing w:before="50" w:after="50" w:line="360" w:lineRule="auto"/>
        <w:rPr>
          <w:rFonts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分标：</w:t>
      </w:r>
      <w:r>
        <w:rPr>
          <w:rFonts w:hint="eastAsia" w:ascii="宋体" w:hAnsi="宋体"/>
          <w:color w:val="auto"/>
          <w:sz w:val="24"/>
          <w:highlight w:val="none"/>
          <w:u w:val="single"/>
        </w:rPr>
        <w:t xml:space="preserve">           </w:t>
      </w:r>
    </w:p>
    <w:p w14:paraId="343851A3">
      <w:pPr>
        <w:snapToGrid w:val="0"/>
        <w:spacing w:before="50" w:after="50" w:line="360" w:lineRule="auto"/>
        <w:rPr>
          <w:rFonts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单位：元</w:t>
      </w:r>
    </w:p>
    <w:tbl>
      <w:tblPr>
        <w:tblStyle w:val="4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8"/>
        <w:gridCol w:w="1491"/>
        <w:gridCol w:w="1281"/>
        <w:gridCol w:w="1399"/>
        <w:gridCol w:w="1155"/>
        <w:gridCol w:w="964"/>
        <w:gridCol w:w="1540"/>
      </w:tblGrid>
      <w:tr w14:paraId="5A077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14:paraId="4F5BE1A1">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875" w:type="pct"/>
            <w:tcBorders>
              <w:top w:val="single" w:color="auto" w:sz="4" w:space="0"/>
              <w:left w:val="single" w:color="auto" w:sz="4" w:space="0"/>
              <w:bottom w:val="single" w:color="auto" w:sz="4" w:space="0"/>
              <w:right w:val="single" w:color="auto" w:sz="4" w:space="0"/>
            </w:tcBorders>
            <w:vAlign w:val="center"/>
          </w:tcPr>
          <w:p w14:paraId="7B104AB0">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标的的名称</w:t>
            </w:r>
          </w:p>
        </w:tc>
        <w:tc>
          <w:tcPr>
            <w:tcW w:w="751" w:type="pct"/>
            <w:tcBorders>
              <w:top w:val="single" w:color="auto" w:sz="4" w:space="0"/>
              <w:left w:val="single" w:color="auto" w:sz="4" w:space="0"/>
              <w:bottom w:val="single" w:color="auto" w:sz="4" w:space="0"/>
              <w:right w:val="single" w:color="auto" w:sz="4" w:space="0"/>
            </w:tcBorders>
            <w:vAlign w:val="center"/>
          </w:tcPr>
          <w:p w14:paraId="19B6175F">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品牌</w:t>
            </w:r>
          </w:p>
        </w:tc>
        <w:tc>
          <w:tcPr>
            <w:tcW w:w="820" w:type="pct"/>
            <w:tcBorders>
              <w:top w:val="single" w:color="auto" w:sz="4" w:space="0"/>
              <w:left w:val="single" w:color="auto" w:sz="4" w:space="0"/>
              <w:bottom w:val="single" w:color="auto" w:sz="4" w:space="0"/>
              <w:right w:val="single" w:color="auto" w:sz="4" w:space="0"/>
            </w:tcBorders>
            <w:vAlign w:val="center"/>
          </w:tcPr>
          <w:p w14:paraId="1AB6A87E">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规格型号</w:t>
            </w:r>
          </w:p>
        </w:tc>
        <w:tc>
          <w:tcPr>
            <w:tcW w:w="677" w:type="pct"/>
            <w:tcBorders>
              <w:top w:val="single" w:color="auto" w:sz="4" w:space="0"/>
              <w:left w:val="single" w:color="auto" w:sz="4" w:space="0"/>
              <w:bottom w:val="single" w:color="auto" w:sz="4" w:space="0"/>
              <w:right w:val="single" w:color="auto" w:sz="4" w:space="0"/>
            </w:tcBorders>
            <w:vAlign w:val="center"/>
          </w:tcPr>
          <w:p w14:paraId="3EE1EA48">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数量及单位①</w:t>
            </w:r>
          </w:p>
        </w:tc>
        <w:tc>
          <w:tcPr>
            <w:tcW w:w="565" w:type="pct"/>
            <w:tcBorders>
              <w:top w:val="single" w:color="auto" w:sz="4" w:space="0"/>
              <w:left w:val="single" w:color="auto" w:sz="4" w:space="0"/>
              <w:bottom w:val="single" w:color="auto" w:sz="4" w:space="0"/>
              <w:right w:val="single" w:color="auto" w:sz="4" w:space="0"/>
            </w:tcBorders>
            <w:vAlign w:val="center"/>
          </w:tcPr>
          <w:p w14:paraId="6C0B1DA2">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单价</w:t>
            </w:r>
          </w:p>
          <w:p w14:paraId="7EDD3430">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②</w:t>
            </w:r>
          </w:p>
        </w:tc>
        <w:tc>
          <w:tcPr>
            <w:tcW w:w="901" w:type="pct"/>
            <w:tcBorders>
              <w:top w:val="single" w:color="auto" w:sz="4" w:space="0"/>
              <w:left w:val="single" w:color="auto" w:sz="4" w:space="0"/>
              <w:bottom w:val="single" w:color="auto" w:sz="4" w:space="0"/>
              <w:right w:val="single" w:color="auto" w:sz="4" w:space="0"/>
            </w:tcBorders>
            <w:vAlign w:val="center"/>
          </w:tcPr>
          <w:p w14:paraId="6027FF96">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投标报价</w:t>
            </w:r>
          </w:p>
          <w:p w14:paraId="5E3D2EC4">
            <w:pPr>
              <w:snapToGrid w:val="0"/>
              <w:spacing w:before="50" w:after="50" w:line="360" w:lineRule="auto"/>
              <w:jc w:val="center"/>
              <w:rPr>
                <w:rFonts w:ascii="宋体" w:hAnsi="宋体"/>
                <w:b/>
                <w:color w:val="auto"/>
                <w:sz w:val="24"/>
                <w:highlight w:val="none"/>
              </w:rPr>
            </w:pPr>
            <w:r>
              <w:rPr>
                <w:rFonts w:ascii="宋体" w:hAnsi="宋体"/>
                <w:b/>
                <w:color w:val="auto"/>
                <w:sz w:val="24"/>
                <w:highlight w:val="none"/>
              </w:rPr>
              <w:t>③</w:t>
            </w:r>
            <w:r>
              <w:rPr>
                <w:rFonts w:hint="eastAsia" w:ascii="宋体" w:hAnsi="宋体"/>
                <w:b/>
                <w:color w:val="auto"/>
                <w:sz w:val="24"/>
                <w:highlight w:val="none"/>
              </w:rPr>
              <w:t>=①×②</w:t>
            </w:r>
          </w:p>
        </w:tc>
      </w:tr>
      <w:tr w14:paraId="37E49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14:paraId="7245738F">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1</w:t>
            </w:r>
          </w:p>
        </w:tc>
        <w:tc>
          <w:tcPr>
            <w:tcW w:w="875" w:type="pct"/>
            <w:tcBorders>
              <w:top w:val="single" w:color="auto" w:sz="4" w:space="0"/>
              <w:left w:val="single" w:color="auto" w:sz="4" w:space="0"/>
              <w:bottom w:val="single" w:color="auto" w:sz="4" w:space="0"/>
              <w:right w:val="single" w:color="auto" w:sz="4" w:space="0"/>
            </w:tcBorders>
            <w:vAlign w:val="center"/>
          </w:tcPr>
          <w:p w14:paraId="79CFCF98">
            <w:pPr>
              <w:snapToGrid w:val="0"/>
              <w:spacing w:before="50" w:after="50" w:line="360" w:lineRule="auto"/>
              <w:jc w:val="center"/>
              <w:rPr>
                <w:rFonts w:ascii="宋体" w:hAnsi="宋体"/>
                <w:b/>
                <w:color w:val="auto"/>
                <w:sz w:val="24"/>
                <w:highlight w:val="none"/>
              </w:rPr>
            </w:pPr>
          </w:p>
        </w:tc>
        <w:tc>
          <w:tcPr>
            <w:tcW w:w="751" w:type="pct"/>
            <w:tcBorders>
              <w:top w:val="single" w:color="auto" w:sz="4" w:space="0"/>
              <w:left w:val="single" w:color="auto" w:sz="4" w:space="0"/>
              <w:bottom w:val="single" w:color="auto" w:sz="4" w:space="0"/>
              <w:right w:val="single" w:color="auto" w:sz="4" w:space="0"/>
            </w:tcBorders>
            <w:vAlign w:val="center"/>
          </w:tcPr>
          <w:p w14:paraId="20F81EC2">
            <w:pPr>
              <w:snapToGrid w:val="0"/>
              <w:spacing w:before="50" w:after="50" w:line="360" w:lineRule="auto"/>
              <w:rPr>
                <w:rFonts w:ascii="宋体" w:hAnsi="宋体"/>
                <w:color w:val="auto"/>
                <w:sz w:val="24"/>
                <w:highlight w:val="none"/>
              </w:rPr>
            </w:pPr>
          </w:p>
        </w:tc>
        <w:tc>
          <w:tcPr>
            <w:tcW w:w="820" w:type="pct"/>
            <w:tcBorders>
              <w:top w:val="single" w:color="auto" w:sz="4" w:space="0"/>
              <w:left w:val="single" w:color="auto" w:sz="4" w:space="0"/>
              <w:bottom w:val="single" w:color="auto" w:sz="4" w:space="0"/>
              <w:right w:val="single" w:color="auto" w:sz="4" w:space="0"/>
            </w:tcBorders>
            <w:vAlign w:val="center"/>
          </w:tcPr>
          <w:p w14:paraId="45686327">
            <w:pPr>
              <w:snapToGrid w:val="0"/>
              <w:spacing w:before="50" w:after="50" w:line="360" w:lineRule="auto"/>
              <w:rPr>
                <w:rFonts w:ascii="宋体" w:hAnsi="宋体"/>
                <w:color w:val="auto"/>
                <w:sz w:val="24"/>
                <w:highlight w:val="none"/>
              </w:rPr>
            </w:pPr>
          </w:p>
        </w:tc>
        <w:tc>
          <w:tcPr>
            <w:tcW w:w="677" w:type="pct"/>
            <w:tcBorders>
              <w:top w:val="single" w:color="auto" w:sz="4" w:space="0"/>
              <w:left w:val="single" w:color="auto" w:sz="4" w:space="0"/>
              <w:bottom w:val="single" w:color="auto" w:sz="4" w:space="0"/>
              <w:right w:val="single" w:color="auto" w:sz="4" w:space="0"/>
            </w:tcBorders>
            <w:vAlign w:val="center"/>
          </w:tcPr>
          <w:p w14:paraId="5A119043">
            <w:pPr>
              <w:snapToGrid w:val="0"/>
              <w:spacing w:before="50" w:after="50" w:line="360" w:lineRule="auto"/>
              <w:rPr>
                <w:rFonts w:ascii="宋体" w:hAnsi="宋体"/>
                <w:color w:val="auto"/>
                <w:sz w:val="24"/>
                <w:highlight w:val="none"/>
              </w:rPr>
            </w:pPr>
          </w:p>
        </w:tc>
        <w:tc>
          <w:tcPr>
            <w:tcW w:w="565" w:type="pct"/>
            <w:tcBorders>
              <w:top w:val="single" w:color="auto" w:sz="4" w:space="0"/>
              <w:left w:val="single" w:color="auto" w:sz="4" w:space="0"/>
              <w:bottom w:val="single" w:color="auto" w:sz="4" w:space="0"/>
              <w:right w:val="single" w:color="auto" w:sz="4" w:space="0"/>
            </w:tcBorders>
            <w:vAlign w:val="center"/>
          </w:tcPr>
          <w:p w14:paraId="07C75D14">
            <w:pPr>
              <w:snapToGrid w:val="0"/>
              <w:spacing w:before="50" w:after="50" w:line="360" w:lineRule="auto"/>
              <w:rPr>
                <w:rFonts w:ascii="宋体" w:hAnsi="宋体"/>
                <w:color w:val="auto"/>
                <w:sz w:val="24"/>
                <w:highlight w:val="none"/>
              </w:rPr>
            </w:pPr>
          </w:p>
        </w:tc>
        <w:tc>
          <w:tcPr>
            <w:tcW w:w="901" w:type="pct"/>
            <w:tcBorders>
              <w:top w:val="single" w:color="auto" w:sz="4" w:space="0"/>
              <w:left w:val="single" w:color="auto" w:sz="4" w:space="0"/>
              <w:bottom w:val="single" w:color="auto" w:sz="4" w:space="0"/>
              <w:right w:val="single" w:color="auto" w:sz="4" w:space="0"/>
            </w:tcBorders>
            <w:vAlign w:val="center"/>
          </w:tcPr>
          <w:p w14:paraId="1D6AA4F4">
            <w:pPr>
              <w:snapToGrid w:val="0"/>
              <w:spacing w:before="50" w:after="50" w:line="360" w:lineRule="auto"/>
              <w:rPr>
                <w:rFonts w:ascii="宋体" w:hAnsi="宋体"/>
                <w:color w:val="auto"/>
                <w:sz w:val="24"/>
                <w:highlight w:val="none"/>
              </w:rPr>
            </w:pPr>
          </w:p>
        </w:tc>
      </w:tr>
      <w:tr w14:paraId="2D4C95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14:paraId="1FADC22F">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2</w:t>
            </w:r>
          </w:p>
        </w:tc>
        <w:tc>
          <w:tcPr>
            <w:tcW w:w="875" w:type="pct"/>
            <w:tcBorders>
              <w:top w:val="single" w:color="auto" w:sz="4" w:space="0"/>
              <w:left w:val="single" w:color="auto" w:sz="4" w:space="0"/>
              <w:bottom w:val="single" w:color="auto" w:sz="4" w:space="0"/>
              <w:right w:val="single" w:color="auto" w:sz="4" w:space="0"/>
            </w:tcBorders>
            <w:vAlign w:val="center"/>
          </w:tcPr>
          <w:p w14:paraId="016C30ED">
            <w:pPr>
              <w:snapToGrid w:val="0"/>
              <w:spacing w:before="50" w:after="50" w:line="360" w:lineRule="auto"/>
              <w:jc w:val="center"/>
              <w:rPr>
                <w:rFonts w:ascii="宋体" w:hAnsi="宋体"/>
                <w:b/>
                <w:color w:val="auto"/>
                <w:sz w:val="24"/>
                <w:highlight w:val="none"/>
              </w:rPr>
            </w:pPr>
          </w:p>
        </w:tc>
        <w:tc>
          <w:tcPr>
            <w:tcW w:w="751" w:type="pct"/>
            <w:tcBorders>
              <w:top w:val="single" w:color="auto" w:sz="4" w:space="0"/>
              <w:left w:val="single" w:color="auto" w:sz="4" w:space="0"/>
              <w:bottom w:val="single" w:color="auto" w:sz="4" w:space="0"/>
              <w:right w:val="single" w:color="auto" w:sz="4" w:space="0"/>
            </w:tcBorders>
            <w:vAlign w:val="center"/>
          </w:tcPr>
          <w:p w14:paraId="6CCC2F6B">
            <w:pPr>
              <w:snapToGrid w:val="0"/>
              <w:spacing w:before="50" w:after="50" w:line="360" w:lineRule="auto"/>
              <w:rPr>
                <w:rFonts w:ascii="宋体" w:hAnsi="宋体"/>
                <w:color w:val="auto"/>
                <w:sz w:val="24"/>
                <w:highlight w:val="none"/>
              </w:rPr>
            </w:pPr>
          </w:p>
        </w:tc>
        <w:tc>
          <w:tcPr>
            <w:tcW w:w="820" w:type="pct"/>
            <w:tcBorders>
              <w:top w:val="single" w:color="auto" w:sz="4" w:space="0"/>
              <w:left w:val="single" w:color="auto" w:sz="4" w:space="0"/>
              <w:bottom w:val="single" w:color="auto" w:sz="4" w:space="0"/>
              <w:right w:val="single" w:color="auto" w:sz="4" w:space="0"/>
            </w:tcBorders>
            <w:vAlign w:val="center"/>
          </w:tcPr>
          <w:p w14:paraId="4095CED9">
            <w:pPr>
              <w:snapToGrid w:val="0"/>
              <w:spacing w:before="50" w:after="50" w:line="360" w:lineRule="auto"/>
              <w:rPr>
                <w:rFonts w:ascii="宋体" w:hAnsi="宋体"/>
                <w:color w:val="auto"/>
                <w:sz w:val="24"/>
                <w:highlight w:val="none"/>
              </w:rPr>
            </w:pPr>
          </w:p>
        </w:tc>
        <w:tc>
          <w:tcPr>
            <w:tcW w:w="677" w:type="pct"/>
            <w:tcBorders>
              <w:top w:val="single" w:color="auto" w:sz="4" w:space="0"/>
              <w:left w:val="single" w:color="auto" w:sz="4" w:space="0"/>
              <w:bottom w:val="single" w:color="auto" w:sz="4" w:space="0"/>
              <w:right w:val="single" w:color="auto" w:sz="4" w:space="0"/>
            </w:tcBorders>
            <w:vAlign w:val="center"/>
          </w:tcPr>
          <w:p w14:paraId="00E9C566">
            <w:pPr>
              <w:snapToGrid w:val="0"/>
              <w:spacing w:before="50" w:after="50" w:line="360" w:lineRule="auto"/>
              <w:rPr>
                <w:rFonts w:ascii="宋体" w:hAnsi="宋体"/>
                <w:color w:val="auto"/>
                <w:sz w:val="24"/>
                <w:highlight w:val="none"/>
              </w:rPr>
            </w:pPr>
          </w:p>
        </w:tc>
        <w:tc>
          <w:tcPr>
            <w:tcW w:w="565" w:type="pct"/>
            <w:tcBorders>
              <w:top w:val="single" w:color="auto" w:sz="4" w:space="0"/>
              <w:left w:val="single" w:color="auto" w:sz="4" w:space="0"/>
              <w:bottom w:val="single" w:color="auto" w:sz="4" w:space="0"/>
              <w:right w:val="single" w:color="auto" w:sz="4" w:space="0"/>
            </w:tcBorders>
            <w:vAlign w:val="center"/>
          </w:tcPr>
          <w:p w14:paraId="567A225D">
            <w:pPr>
              <w:snapToGrid w:val="0"/>
              <w:spacing w:before="50" w:after="50" w:line="360" w:lineRule="auto"/>
              <w:rPr>
                <w:rFonts w:ascii="宋体" w:hAnsi="宋体"/>
                <w:color w:val="auto"/>
                <w:sz w:val="24"/>
                <w:highlight w:val="none"/>
              </w:rPr>
            </w:pPr>
          </w:p>
        </w:tc>
        <w:tc>
          <w:tcPr>
            <w:tcW w:w="901" w:type="pct"/>
            <w:tcBorders>
              <w:top w:val="single" w:color="auto" w:sz="4" w:space="0"/>
              <w:left w:val="single" w:color="auto" w:sz="4" w:space="0"/>
              <w:bottom w:val="single" w:color="auto" w:sz="4" w:space="0"/>
              <w:right w:val="single" w:color="auto" w:sz="4" w:space="0"/>
            </w:tcBorders>
            <w:vAlign w:val="center"/>
          </w:tcPr>
          <w:p w14:paraId="1226D360">
            <w:pPr>
              <w:snapToGrid w:val="0"/>
              <w:spacing w:before="50" w:after="50" w:line="360" w:lineRule="auto"/>
              <w:rPr>
                <w:rFonts w:ascii="宋体" w:hAnsi="宋体"/>
                <w:color w:val="auto"/>
                <w:sz w:val="24"/>
                <w:highlight w:val="none"/>
              </w:rPr>
            </w:pPr>
          </w:p>
        </w:tc>
      </w:tr>
      <w:tr w14:paraId="5D56F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14:paraId="2B4F04E8">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w:t>
            </w:r>
          </w:p>
        </w:tc>
        <w:tc>
          <w:tcPr>
            <w:tcW w:w="875" w:type="pct"/>
            <w:tcBorders>
              <w:top w:val="single" w:color="auto" w:sz="4" w:space="0"/>
              <w:left w:val="single" w:color="auto" w:sz="4" w:space="0"/>
              <w:bottom w:val="single" w:color="auto" w:sz="4" w:space="0"/>
              <w:right w:val="single" w:color="auto" w:sz="4" w:space="0"/>
            </w:tcBorders>
            <w:vAlign w:val="center"/>
          </w:tcPr>
          <w:p w14:paraId="598FCAF4">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w:t>
            </w:r>
          </w:p>
        </w:tc>
        <w:tc>
          <w:tcPr>
            <w:tcW w:w="751" w:type="pct"/>
            <w:tcBorders>
              <w:top w:val="single" w:color="auto" w:sz="4" w:space="0"/>
              <w:left w:val="single" w:color="auto" w:sz="4" w:space="0"/>
              <w:bottom w:val="single" w:color="auto" w:sz="4" w:space="0"/>
              <w:right w:val="single" w:color="auto" w:sz="4" w:space="0"/>
            </w:tcBorders>
            <w:vAlign w:val="center"/>
          </w:tcPr>
          <w:p w14:paraId="7BBE3663">
            <w:pPr>
              <w:snapToGrid w:val="0"/>
              <w:spacing w:before="50" w:after="50" w:line="360" w:lineRule="auto"/>
              <w:rPr>
                <w:rFonts w:ascii="宋体" w:hAnsi="宋体"/>
                <w:color w:val="auto"/>
                <w:sz w:val="24"/>
                <w:highlight w:val="none"/>
              </w:rPr>
            </w:pPr>
          </w:p>
        </w:tc>
        <w:tc>
          <w:tcPr>
            <w:tcW w:w="820" w:type="pct"/>
            <w:tcBorders>
              <w:top w:val="single" w:color="auto" w:sz="4" w:space="0"/>
              <w:left w:val="single" w:color="auto" w:sz="4" w:space="0"/>
              <w:bottom w:val="single" w:color="auto" w:sz="4" w:space="0"/>
              <w:right w:val="single" w:color="auto" w:sz="4" w:space="0"/>
            </w:tcBorders>
            <w:vAlign w:val="center"/>
          </w:tcPr>
          <w:p w14:paraId="7357426B">
            <w:pPr>
              <w:snapToGrid w:val="0"/>
              <w:spacing w:before="50" w:after="50" w:line="360" w:lineRule="auto"/>
              <w:rPr>
                <w:rFonts w:ascii="宋体" w:hAnsi="宋体"/>
                <w:color w:val="auto"/>
                <w:sz w:val="24"/>
                <w:highlight w:val="none"/>
              </w:rPr>
            </w:pPr>
          </w:p>
        </w:tc>
        <w:tc>
          <w:tcPr>
            <w:tcW w:w="677" w:type="pct"/>
            <w:tcBorders>
              <w:top w:val="single" w:color="auto" w:sz="4" w:space="0"/>
              <w:left w:val="single" w:color="auto" w:sz="4" w:space="0"/>
              <w:bottom w:val="single" w:color="auto" w:sz="4" w:space="0"/>
              <w:right w:val="single" w:color="auto" w:sz="4" w:space="0"/>
            </w:tcBorders>
            <w:vAlign w:val="center"/>
          </w:tcPr>
          <w:p w14:paraId="2D3E3B02">
            <w:pPr>
              <w:snapToGrid w:val="0"/>
              <w:spacing w:before="50" w:after="50" w:line="360" w:lineRule="auto"/>
              <w:rPr>
                <w:rFonts w:ascii="宋体" w:hAnsi="宋体"/>
                <w:color w:val="auto"/>
                <w:sz w:val="24"/>
                <w:highlight w:val="none"/>
              </w:rPr>
            </w:pPr>
          </w:p>
        </w:tc>
        <w:tc>
          <w:tcPr>
            <w:tcW w:w="565" w:type="pct"/>
            <w:tcBorders>
              <w:top w:val="single" w:color="auto" w:sz="4" w:space="0"/>
              <w:left w:val="single" w:color="auto" w:sz="4" w:space="0"/>
              <w:bottom w:val="single" w:color="auto" w:sz="4" w:space="0"/>
              <w:right w:val="single" w:color="auto" w:sz="4" w:space="0"/>
            </w:tcBorders>
            <w:vAlign w:val="center"/>
          </w:tcPr>
          <w:p w14:paraId="074B7E7B">
            <w:pPr>
              <w:snapToGrid w:val="0"/>
              <w:spacing w:before="50" w:after="50" w:line="360" w:lineRule="auto"/>
              <w:rPr>
                <w:rFonts w:ascii="宋体" w:hAnsi="宋体"/>
                <w:color w:val="auto"/>
                <w:sz w:val="24"/>
                <w:highlight w:val="none"/>
              </w:rPr>
            </w:pPr>
          </w:p>
        </w:tc>
        <w:tc>
          <w:tcPr>
            <w:tcW w:w="901" w:type="pct"/>
            <w:tcBorders>
              <w:top w:val="single" w:color="auto" w:sz="4" w:space="0"/>
              <w:left w:val="single" w:color="auto" w:sz="4" w:space="0"/>
              <w:bottom w:val="single" w:color="auto" w:sz="4" w:space="0"/>
              <w:right w:val="single" w:color="auto" w:sz="4" w:space="0"/>
            </w:tcBorders>
            <w:vAlign w:val="center"/>
          </w:tcPr>
          <w:p w14:paraId="0EC2C13A">
            <w:pPr>
              <w:snapToGrid w:val="0"/>
              <w:spacing w:before="50" w:after="50" w:line="360" w:lineRule="auto"/>
              <w:rPr>
                <w:rFonts w:ascii="宋体" w:hAnsi="宋体"/>
                <w:color w:val="auto"/>
                <w:sz w:val="24"/>
                <w:highlight w:val="none"/>
              </w:rPr>
            </w:pPr>
          </w:p>
        </w:tc>
      </w:tr>
      <w:tr w14:paraId="1BDD4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39"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14:paraId="7A4AE957">
            <w:pPr>
              <w:snapToGrid w:val="0"/>
              <w:spacing w:before="50" w:after="50" w:line="360" w:lineRule="auto"/>
              <w:rPr>
                <w:rFonts w:ascii="宋体" w:hAnsi="宋体"/>
                <w:color w:val="auto"/>
                <w:sz w:val="24"/>
                <w:highlight w:val="none"/>
              </w:rPr>
            </w:pPr>
            <w:r>
              <w:rPr>
                <w:rFonts w:hint="eastAsia" w:ascii="宋体" w:hAnsi="宋体" w:cs="仿宋_GB2312"/>
                <w:color w:val="auto"/>
                <w:sz w:val="24"/>
                <w:highlight w:val="none"/>
              </w:rPr>
              <w:t>合计金额大写：人民币</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14:paraId="45A96C5D">
      <w:pPr>
        <w:snapToGrid w:val="0"/>
        <w:spacing w:line="360" w:lineRule="auto"/>
        <w:jc w:val="left"/>
        <w:rPr>
          <w:rFonts w:ascii="宋体" w:hAnsi="宋体"/>
          <w:color w:val="auto"/>
          <w:sz w:val="24"/>
          <w:highlight w:val="none"/>
        </w:rPr>
      </w:pPr>
      <w:r>
        <w:rPr>
          <w:rFonts w:hint="eastAsia" w:ascii="宋体" w:hAnsi="宋体"/>
          <w:color w:val="auto"/>
          <w:sz w:val="24"/>
          <w:highlight w:val="none"/>
        </w:rPr>
        <w:t xml:space="preserve">注： </w:t>
      </w:r>
    </w:p>
    <w:p w14:paraId="1043466C">
      <w:pPr>
        <w:snapToGrid w:val="0"/>
        <w:spacing w:line="360" w:lineRule="auto"/>
        <w:ind w:firstLine="480" w:firstLineChars="200"/>
        <w:jc w:val="left"/>
        <w:rPr>
          <w:rFonts w:ascii="宋体" w:hAnsi="宋体"/>
          <w:b/>
          <w:color w:val="auto"/>
          <w:sz w:val="24"/>
          <w:highlight w:val="none"/>
        </w:rPr>
      </w:pPr>
      <w:r>
        <w:rPr>
          <w:rFonts w:hint="eastAsia" w:ascii="宋体" w:hAnsi="宋体"/>
          <w:bCs/>
          <w:color w:val="auto"/>
          <w:sz w:val="24"/>
          <w:highlight w:val="none"/>
        </w:rPr>
        <w:t>1.</w:t>
      </w:r>
      <w:r>
        <w:rPr>
          <w:rFonts w:hint="eastAsia" w:ascii="宋体" w:hAnsi="宋体"/>
          <w:color w:val="auto"/>
          <w:sz w:val="24"/>
          <w:highlight w:val="none"/>
        </w:rPr>
        <w:t>报价一经涂改，应在涂改处加盖投标人公章</w:t>
      </w:r>
      <w:r>
        <w:rPr>
          <w:rFonts w:hint="eastAsia" w:ascii="宋体" w:hAnsi="宋体" w:cs="仿宋_GB2312"/>
          <w:color w:val="auto"/>
          <w:sz w:val="24"/>
          <w:highlight w:val="none"/>
        </w:rPr>
        <w:t>或者加盖电子签章</w:t>
      </w:r>
      <w:r>
        <w:rPr>
          <w:rFonts w:hint="eastAsia" w:ascii="宋体" w:hAnsi="宋体"/>
          <w:color w:val="auto"/>
          <w:sz w:val="24"/>
          <w:highlight w:val="none"/>
        </w:rPr>
        <w:t>或者由法定代表人或者委托代理人签字（或者电子签名）</w:t>
      </w:r>
      <w:r>
        <w:rPr>
          <w:rFonts w:hint="eastAsia" w:ascii="宋体" w:hAnsi="宋体"/>
          <w:b/>
          <w:color w:val="auto"/>
          <w:sz w:val="24"/>
          <w:highlight w:val="none"/>
        </w:rPr>
        <w:t>，否则其投标作无效标处理。</w:t>
      </w:r>
    </w:p>
    <w:p w14:paraId="5C53C7D4">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2.招标文件中列明采购专用耗材的，应按招标文件规定的耗材量或者按耗材的常规试用量提供报价。</w:t>
      </w:r>
    </w:p>
    <w:p w14:paraId="30CE49B2">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3.如为联合体投标，“投标人名称”处必须列明联合体各方名称，并标注联合体牵头人名称，</w:t>
      </w:r>
      <w:r>
        <w:rPr>
          <w:rFonts w:hint="eastAsia" w:ascii="宋体" w:hAnsi="宋体"/>
          <w:b/>
          <w:color w:val="auto"/>
          <w:sz w:val="24"/>
          <w:highlight w:val="none"/>
        </w:rPr>
        <w:t>否则其投标作无效标处理。</w:t>
      </w:r>
    </w:p>
    <w:p w14:paraId="3409EBE9">
      <w:pPr>
        <w:snapToGrid w:val="0"/>
        <w:spacing w:line="360" w:lineRule="auto"/>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4.如为联合体投标，盖章处须加盖联合体牵头人电子签章，</w:t>
      </w:r>
      <w:r>
        <w:rPr>
          <w:rFonts w:hint="eastAsia" w:ascii="宋体" w:hAnsi="宋体"/>
          <w:b/>
          <w:color w:val="auto"/>
          <w:spacing w:val="-6"/>
          <w:sz w:val="24"/>
          <w:highlight w:val="none"/>
        </w:rPr>
        <w:t>否则其投标作无效标处理。</w:t>
      </w:r>
    </w:p>
    <w:p w14:paraId="0ED3A24D">
      <w:pPr>
        <w:snapToGrid w:val="0"/>
        <w:spacing w:line="360" w:lineRule="auto"/>
        <w:ind w:firstLine="480" w:firstLineChars="200"/>
        <w:rPr>
          <w:rFonts w:ascii="宋体" w:hAnsi="宋体"/>
          <w:b/>
          <w:color w:val="auto"/>
          <w:sz w:val="24"/>
          <w:highlight w:val="none"/>
        </w:rPr>
      </w:pPr>
      <w:r>
        <w:rPr>
          <w:rFonts w:hint="eastAsia" w:ascii="宋体" w:hAnsi="宋体"/>
          <w:color w:val="auto"/>
          <w:sz w:val="24"/>
          <w:highlight w:val="none"/>
        </w:rPr>
        <w:t>5.如有多分标，按分标分别提供开标一览表，</w:t>
      </w:r>
      <w:r>
        <w:rPr>
          <w:rFonts w:hint="eastAsia" w:ascii="宋体" w:hAnsi="宋体"/>
          <w:b/>
          <w:color w:val="auto"/>
          <w:sz w:val="24"/>
          <w:highlight w:val="none"/>
        </w:rPr>
        <w:t>否则投标无效。</w:t>
      </w:r>
    </w:p>
    <w:p w14:paraId="1A16D26A">
      <w:pPr>
        <w:pStyle w:val="21"/>
        <w:rPr>
          <w:color w:val="auto"/>
          <w:highlight w:val="none"/>
        </w:rPr>
      </w:pPr>
    </w:p>
    <w:p w14:paraId="161995F8">
      <w:pPr>
        <w:snapToGrid w:val="0"/>
        <w:spacing w:line="360" w:lineRule="auto"/>
        <w:ind w:left="-2" w:leftChars="-1" w:right="-817" w:rightChars="-389"/>
        <w:rPr>
          <w:rFonts w:ascii="宋体" w:hAnsi="宋体"/>
          <w:color w:val="auto"/>
          <w:sz w:val="24"/>
          <w:highlight w:val="none"/>
        </w:rPr>
      </w:pPr>
      <w:r>
        <w:rPr>
          <w:rFonts w:hint="eastAsia" w:ascii="宋体" w:hAnsi="宋体"/>
          <w:color w:val="auto"/>
          <w:sz w:val="24"/>
          <w:highlight w:val="none"/>
        </w:rPr>
        <w:t xml:space="preserve">                                  法定代表人或者委托代理人（签字或者电子签名）： </w:t>
      </w:r>
    </w:p>
    <w:p w14:paraId="6B88A891">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投标人名称（电子签章）：</w:t>
      </w:r>
    </w:p>
    <w:p w14:paraId="4F2570AD">
      <w:pPr>
        <w:snapToGrid w:val="0"/>
        <w:spacing w:line="360" w:lineRule="auto"/>
        <w:ind w:left="-3" w:leftChars="-15" w:right="-817" w:rightChars="-389" w:hanging="28" w:hangingChars="12"/>
        <w:rPr>
          <w:rFonts w:ascii="宋体" w:hAnsi="宋体"/>
          <w:color w:val="auto"/>
          <w:szCs w:val="21"/>
          <w:highlight w:val="none"/>
        </w:rPr>
      </w:pPr>
      <w:r>
        <w:rPr>
          <w:rFonts w:hint="eastAsia" w:ascii="宋体" w:hAnsi="宋体"/>
          <w:color w:val="auto"/>
          <w:sz w:val="24"/>
          <w:highlight w:val="none"/>
        </w:rPr>
        <w:t xml:space="preserve">                                  日期：    年   月   日</w:t>
      </w:r>
    </w:p>
    <w:p w14:paraId="0D98ACBE">
      <w:pPr>
        <w:rPr>
          <w:b/>
          <w:color w:val="auto"/>
          <w:sz w:val="28"/>
          <w:szCs w:val="28"/>
          <w:highlight w:val="none"/>
        </w:rPr>
      </w:pPr>
      <w:r>
        <w:rPr>
          <w:rFonts w:ascii="宋体" w:hAnsi="宋体"/>
          <w:b/>
          <w:bCs/>
          <w:color w:val="auto"/>
          <w:sz w:val="24"/>
          <w:highlight w:val="none"/>
        </w:rPr>
        <w:br w:type="page"/>
      </w:r>
      <w:bookmarkStart w:id="160" w:name="_Toc19686837"/>
      <w:r>
        <w:rPr>
          <w:rFonts w:hint="eastAsia"/>
          <w:b/>
          <w:color w:val="auto"/>
          <w:sz w:val="28"/>
          <w:szCs w:val="28"/>
          <w:highlight w:val="none"/>
        </w:rPr>
        <w:t>二、资格证明文件格式</w:t>
      </w:r>
      <w:bookmarkEnd w:id="158"/>
      <w:bookmarkEnd w:id="159"/>
      <w:bookmarkEnd w:id="160"/>
    </w:p>
    <w:p w14:paraId="5131D273">
      <w:pPr>
        <w:snapToGrid w:val="0"/>
        <w:spacing w:before="120" w:beforeLines="50" w:after="50" w:line="360" w:lineRule="auto"/>
        <w:jc w:val="left"/>
        <w:rPr>
          <w:rFonts w:ascii="宋体" w:hAnsi="宋体"/>
          <w:b/>
          <w:color w:val="auto"/>
          <w:sz w:val="24"/>
          <w:highlight w:val="none"/>
        </w:rPr>
      </w:pPr>
      <w:r>
        <w:rPr>
          <w:rFonts w:hint="eastAsia" w:ascii="宋体" w:hAnsi="宋体"/>
          <w:b/>
          <w:color w:val="auto"/>
          <w:sz w:val="24"/>
          <w:highlight w:val="none"/>
        </w:rPr>
        <w:t xml:space="preserve">1.资格证明文件封面格式： </w:t>
      </w:r>
    </w:p>
    <w:p w14:paraId="464A4B12">
      <w:pPr>
        <w:snapToGrid w:val="0"/>
        <w:spacing w:before="120" w:beforeLines="50" w:after="50"/>
        <w:jc w:val="center"/>
        <w:rPr>
          <w:rFonts w:ascii="宋体" w:hAnsi="宋体" w:eastAsia="方正小标宋简体"/>
          <w:bCs/>
          <w:color w:val="auto"/>
          <w:sz w:val="48"/>
          <w:szCs w:val="48"/>
          <w:highlight w:val="none"/>
        </w:rPr>
      </w:pPr>
      <w:r>
        <w:rPr>
          <w:rFonts w:hint="eastAsia" w:ascii="宋体" w:hAnsi="宋体" w:eastAsia="方正小标宋简体"/>
          <w:bCs/>
          <w:color w:val="auto"/>
          <w:sz w:val="48"/>
          <w:szCs w:val="48"/>
          <w:highlight w:val="none"/>
        </w:rPr>
        <w:t>电子投标文件</w:t>
      </w:r>
    </w:p>
    <w:p w14:paraId="7BF4D44A">
      <w:pPr>
        <w:snapToGrid w:val="0"/>
        <w:spacing w:before="120" w:beforeLines="50" w:after="50"/>
        <w:jc w:val="center"/>
        <w:rPr>
          <w:rFonts w:ascii="宋体" w:hAnsi="宋体"/>
          <w:b/>
          <w:color w:val="auto"/>
          <w:sz w:val="24"/>
          <w:szCs w:val="20"/>
          <w:highlight w:val="none"/>
        </w:rPr>
      </w:pPr>
      <w:r>
        <w:rPr>
          <w:rFonts w:hint="eastAsia" w:ascii="宋体" w:hAnsi="宋体"/>
          <w:b/>
          <w:color w:val="auto"/>
          <w:sz w:val="32"/>
          <w:szCs w:val="32"/>
          <w:highlight w:val="none"/>
        </w:rPr>
        <w:t>资格证明文件</w:t>
      </w:r>
    </w:p>
    <w:p w14:paraId="6BF928E0">
      <w:pPr>
        <w:snapToGrid w:val="0"/>
        <w:spacing w:before="120" w:beforeLines="50" w:after="50"/>
        <w:rPr>
          <w:rFonts w:ascii="宋体" w:hAnsi="宋体"/>
          <w:bCs/>
          <w:color w:val="auto"/>
          <w:sz w:val="24"/>
          <w:szCs w:val="20"/>
          <w:highlight w:val="none"/>
        </w:rPr>
      </w:pPr>
    </w:p>
    <w:p w14:paraId="7958D4D9">
      <w:pPr>
        <w:snapToGrid w:val="0"/>
        <w:spacing w:before="120" w:beforeLines="50" w:after="50"/>
        <w:rPr>
          <w:rFonts w:ascii="宋体" w:hAnsi="宋体"/>
          <w:bCs/>
          <w:color w:val="auto"/>
          <w:sz w:val="24"/>
          <w:szCs w:val="20"/>
          <w:highlight w:val="none"/>
        </w:rPr>
      </w:pPr>
    </w:p>
    <w:p w14:paraId="6264BF3F">
      <w:pPr>
        <w:snapToGrid w:val="0"/>
        <w:spacing w:before="120" w:beforeLines="50" w:after="50"/>
        <w:rPr>
          <w:rFonts w:ascii="宋体" w:hAnsi="宋体"/>
          <w:bCs/>
          <w:color w:val="auto"/>
          <w:sz w:val="24"/>
          <w:szCs w:val="20"/>
          <w:highlight w:val="none"/>
        </w:rPr>
      </w:pPr>
    </w:p>
    <w:p w14:paraId="3335C9F9">
      <w:pPr>
        <w:snapToGrid w:val="0"/>
        <w:spacing w:before="120" w:beforeLines="50" w:after="50"/>
        <w:rPr>
          <w:rFonts w:ascii="宋体" w:hAnsi="宋体"/>
          <w:bCs/>
          <w:color w:val="auto"/>
          <w:sz w:val="24"/>
          <w:szCs w:val="20"/>
          <w:highlight w:val="none"/>
        </w:rPr>
      </w:pPr>
    </w:p>
    <w:p w14:paraId="79BD0B3A">
      <w:pPr>
        <w:snapToGrid w:val="0"/>
        <w:spacing w:before="120" w:beforeLines="50" w:after="50"/>
        <w:rPr>
          <w:rFonts w:ascii="宋体" w:hAnsi="宋体"/>
          <w:bCs/>
          <w:color w:val="auto"/>
          <w:sz w:val="24"/>
          <w:szCs w:val="20"/>
          <w:highlight w:val="none"/>
        </w:rPr>
      </w:pPr>
    </w:p>
    <w:p w14:paraId="16E2518E">
      <w:pPr>
        <w:snapToGrid w:val="0"/>
        <w:spacing w:before="120" w:beforeLines="50" w:after="50"/>
        <w:rPr>
          <w:rFonts w:ascii="宋体" w:hAnsi="宋体"/>
          <w:bCs/>
          <w:color w:val="auto"/>
          <w:sz w:val="24"/>
          <w:szCs w:val="20"/>
          <w:highlight w:val="none"/>
        </w:rPr>
      </w:pPr>
    </w:p>
    <w:p w14:paraId="50872413">
      <w:pPr>
        <w:snapToGrid w:val="0"/>
        <w:spacing w:before="120" w:beforeLines="50" w:after="50"/>
        <w:rPr>
          <w:rFonts w:ascii="宋体" w:hAnsi="宋体"/>
          <w:bCs/>
          <w:color w:val="auto"/>
          <w:sz w:val="24"/>
          <w:szCs w:val="20"/>
          <w:highlight w:val="none"/>
        </w:rPr>
      </w:pPr>
    </w:p>
    <w:p w14:paraId="2344622D">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14:paraId="5A5B0D82">
      <w:pPr>
        <w:snapToGrid w:val="0"/>
        <w:spacing w:before="120" w:beforeLines="50" w:after="50"/>
        <w:ind w:firstLine="540" w:firstLineChars="225"/>
        <w:rPr>
          <w:rFonts w:ascii="宋体" w:hAnsi="宋体"/>
          <w:bCs/>
          <w:color w:val="auto"/>
          <w:sz w:val="24"/>
          <w:szCs w:val="20"/>
          <w:highlight w:val="none"/>
        </w:rPr>
      </w:pPr>
    </w:p>
    <w:p w14:paraId="2DB48794">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14:paraId="0C70DACA">
      <w:pPr>
        <w:snapToGrid w:val="0"/>
        <w:spacing w:before="120"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 </w:t>
      </w:r>
    </w:p>
    <w:p w14:paraId="2C7F0941">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p>
    <w:p w14:paraId="21C5B2E6">
      <w:pPr>
        <w:pStyle w:val="9"/>
        <w:snapToGrid w:val="0"/>
        <w:spacing w:before="50" w:after="50"/>
        <w:ind w:firstLine="540" w:firstLineChars="225"/>
        <w:rPr>
          <w:rFonts w:ascii="宋体" w:hAnsi="宋体"/>
          <w:bCs/>
          <w:color w:val="auto"/>
          <w:sz w:val="24"/>
          <w:szCs w:val="24"/>
          <w:highlight w:val="none"/>
        </w:rPr>
      </w:pPr>
    </w:p>
    <w:p w14:paraId="1CE52B65">
      <w:pPr>
        <w:pStyle w:val="9"/>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14:paraId="2E32DB08">
      <w:pPr>
        <w:pStyle w:val="9"/>
        <w:snapToGrid w:val="0"/>
        <w:spacing w:before="50" w:after="50"/>
        <w:ind w:firstLine="540" w:firstLineChars="225"/>
        <w:rPr>
          <w:rFonts w:ascii="宋体" w:hAnsi="宋体"/>
          <w:bCs/>
          <w:color w:val="auto"/>
          <w:sz w:val="24"/>
          <w:szCs w:val="24"/>
          <w:highlight w:val="none"/>
        </w:rPr>
      </w:pPr>
    </w:p>
    <w:p w14:paraId="51F0D5D8">
      <w:pPr>
        <w:pStyle w:val="9"/>
        <w:snapToGrid w:val="0"/>
        <w:spacing w:before="50" w:after="50"/>
        <w:ind w:firstLine="960" w:firstLineChars="400"/>
        <w:rPr>
          <w:rFonts w:ascii="宋体" w:hAnsi="宋体"/>
          <w:bCs/>
          <w:color w:val="auto"/>
          <w:sz w:val="24"/>
          <w:szCs w:val="24"/>
          <w:highlight w:val="none"/>
        </w:rPr>
      </w:pPr>
    </w:p>
    <w:p w14:paraId="768C12D2">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14:paraId="41EDBC3F">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26A7DEA0">
      <w:pPr>
        <w:snapToGrid w:val="0"/>
        <w:spacing w:before="120" w:beforeLines="50" w:after="50"/>
        <w:rPr>
          <w:rFonts w:ascii="宋体" w:hAnsi="宋体"/>
          <w:color w:val="auto"/>
          <w:sz w:val="24"/>
          <w:szCs w:val="20"/>
          <w:highlight w:val="none"/>
        </w:rPr>
      </w:pPr>
    </w:p>
    <w:p w14:paraId="5D7F3510">
      <w:pPr>
        <w:snapToGrid w:val="0"/>
        <w:spacing w:before="120" w:beforeLines="50" w:after="50" w:line="360" w:lineRule="auto"/>
        <w:jc w:val="left"/>
        <w:rPr>
          <w:rFonts w:ascii="宋体" w:hAnsi="宋体"/>
          <w:color w:val="auto"/>
          <w:sz w:val="24"/>
          <w:szCs w:val="20"/>
          <w:highlight w:val="none"/>
        </w:rPr>
      </w:pPr>
      <w:r>
        <w:rPr>
          <w:rFonts w:ascii="宋体" w:hAnsi="宋体"/>
          <w:b/>
          <w:bCs/>
          <w:color w:val="auto"/>
          <w:sz w:val="24"/>
          <w:highlight w:val="none"/>
        </w:rPr>
        <w:br w:type="page"/>
      </w:r>
      <w:r>
        <w:rPr>
          <w:rFonts w:hint="eastAsia" w:ascii="宋体" w:hAnsi="宋体"/>
          <w:b/>
          <w:bCs/>
          <w:color w:val="auto"/>
          <w:sz w:val="24"/>
          <w:highlight w:val="none"/>
        </w:rPr>
        <w:t>2.资格证明文件目录</w:t>
      </w:r>
    </w:p>
    <w:p w14:paraId="1425F311">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根据招标文件规定及投标人提供的材料自行编写目录。</w:t>
      </w:r>
    </w:p>
    <w:p w14:paraId="500865E3">
      <w:pPr>
        <w:snapToGrid w:val="0"/>
        <w:spacing w:before="50" w:after="120" w:afterLines="50"/>
        <w:jc w:val="left"/>
        <w:rPr>
          <w:rFonts w:ascii="宋体" w:hAnsi="宋体"/>
          <w:color w:val="auto"/>
          <w:sz w:val="24"/>
          <w:highlight w:val="none"/>
        </w:rPr>
      </w:pPr>
    </w:p>
    <w:p w14:paraId="77841AEF">
      <w:pPr>
        <w:snapToGrid w:val="0"/>
        <w:spacing w:before="50" w:after="120" w:afterLines="50"/>
        <w:jc w:val="left"/>
        <w:rPr>
          <w:rFonts w:ascii="宋体" w:hAnsi="宋体"/>
          <w:color w:val="auto"/>
          <w:sz w:val="24"/>
          <w:highlight w:val="none"/>
        </w:rPr>
      </w:pPr>
    </w:p>
    <w:p w14:paraId="1E1C3320">
      <w:pPr>
        <w:snapToGrid w:val="0"/>
        <w:spacing w:before="120" w:beforeLines="50" w:after="50"/>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w:t>
      </w:r>
      <w:r>
        <w:rPr>
          <w:rFonts w:hint="eastAsia" w:ascii="宋体" w:hAnsi="宋体"/>
          <w:b/>
          <w:color w:val="auto"/>
          <w:sz w:val="28"/>
          <w:szCs w:val="28"/>
          <w:highlight w:val="none"/>
        </w:rPr>
        <w:t>投标人直接控股股东信息表</w:t>
      </w:r>
    </w:p>
    <w:p w14:paraId="29EBC158">
      <w:pPr>
        <w:snapToGrid w:val="0"/>
        <w:spacing w:before="50" w:after="120" w:afterLines="50"/>
        <w:jc w:val="center"/>
        <w:rPr>
          <w:rFonts w:ascii="宋体" w:hAnsi="宋体"/>
          <w:b/>
          <w:color w:val="auto"/>
          <w:sz w:val="28"/>
          <w:szCs w:val="28"/>
          <w:highlight w:val="none"/>
        </w:rPr>
      </w:pPr>
    </w:p>
    <w:p w14:paraId="7618B509">
      <w:pPr>
        <w:snapToGrid w:val="0"/>
        <w:spacing w:before="50" w:after="120" w:afterLines="50" w:line="360" w:lineRule="auto"/>
        <w:jc w:val="center"/>
        <w:rPr>
          <w:rFonts w:ascii="宋体" w:hAnsi="宋体"/>
          <w:b/>
          <w:color w:val="auto"/>
          <w:sz w:val="32"/>
          <w:szCs w:val="32"/>
          <w:highlight w:val="none"/>
        </w:rPr>
      </w:pPr>
      <w:r>
        <w:rPr>
          <w:rFonts w:hint="eastAsia" w:ascii="宋体" w:hAnsi="宋体"/>
          <w:b/>
          <w:color w:val="auto"/>
          <w:sz w:val="32"/>
          <w:szCs w:val="32"/>
          <w:highlight w:val="none"/>
        </w:rPr>
        <w:t>投标人直接控股股东信息表</w:t>
      </w:r>
    </w:p>
    <w:tbl>
      <w:tblPr>
        <w:tblStyle w:val="47"/>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3D1C6FB6">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D5046F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7EDD04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AE3C10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9D1E3B3">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7E6E88D">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30FF545">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0CA07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333219">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2D16C6">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B3CB77">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C0F7C9">
            <w:pPr>
              <w:spacing w:line="360" w:lineRule="auto"/>
              <w:jc w:val="center"/>
              <w:rPr>
                <w:rFonts w:ascii="宋体" w:hAnsi="宋体" w:cs="宋体"/>
                <w:color w:val="auto"/>
                <w:kern w:val="0"/>
                <w:sz w:val="24"/>
                <w:highlight w:val="none"/>
              </w:rPr>
            </w:pPr>
          </w:p>
        </w:tc>
      </w:tr>
      <w:tr w14:paraId="3DA657EF">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538E4B">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AB4601">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1882E6A">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8B844D">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A7773E">
            <w:pPr>
              <w:spacing w:line="360" w:lineRule="auto"/>
              <w:jc w:val="center"/>
              <w:rPr>
                <w:rFonts w:ascii="宋体" w:hAnsi="宋体" w:cs="宋体"/>
                <w:color w:val="auto"/>
                <w:kern w:val="0"/>
                <w:sz w:val="24"/>
                <w:highlight w:val="none"/>
              </w:rPr>
            </w:pPr>
          </w:p>
        </w:tc>
      </w:tr>
      <w:tr w14:paraId="04C94C66">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BE8982">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5BB77A">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D7DA48">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528DB0">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B7B499">
            <w:pPr>
              <w:spacing w:line="360" w:lineRule="auto"/>
              <w:jc w:val="center"/>
              <w:rPr>
                <w:rFonts w:ascii="宋体" w:hAnsi="宋体" w:cs="宋体"/>
                <w:color w:val="auto"/>
                <w:kern w:val="0"/>
                <w:sz w:val="24"/>
                <w:highlight w:val="none"/>
              </w:rPr>
            </w:pPr>
          </w:p>
        </w:tc>
      </w:tr>
      <w:tr w14:paraId="02CF1121">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09040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4FEF2D">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88055B">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8A4F62">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8D6DDB">
            <w:pPr>
              <w:spacing w:line="360" w:lineRule="auto"/>
              <w:jc w:val="center"/>
              <w:rPr>
                <w:rFonts w:ascii="宋体" w:hAnsi="宋体" w:cs="宋体"/>
                <w:color w:val="auto"/>
                <w:kern w:val="0"/>
                <w:sz w:val="24"/>
                <w:highlight w:val="none"/>
              </w:rPr>
            </w:pPr>
          </w:p>
        </w:tc>
      </w:tr>
    </w:tbl>
    <w:p w14:paraId="7EA0DDAE">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214319DF">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AE8A088">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7FB91E9D">
      <w:pPr>
        <w:snapToGrid w:val="0"/>
        <w:spacing w:line="360" w:lineRule="auto"/>
        <w:jc w:val="left"/>
        <w:rPr>
          <w:rFonts w:ascii="宋体" w:hAnsi="宋体"/>
          <w:color w:val="auto"/>
          <w:sz w:val="24"/>
          <w:highlight w:val="none"/>
        </w:rPr>
      </w:pPr>
      <w:r>
        <w:rPr>
          <w:rFonts w:hint="eastAsia" w:ascii="宋体" w:hAnsi="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olor w:val="auto"/>
          <w:sz w:val="24"/>
          <w:highlight w:val="none"/>
        </w:rPr>
        <w:t>”中填“无”。</w:t>
      </w:r>
    </w:p>
    <w:p w14:paraId="63239E66">
      <w:pPr>
        <w:snapToGrid w:val="0"/>
        <w:spacing w:line="360" w:lineRule="auto"/>
        <w:jc w:val="left"/>
        <w:rPr>
          <w:rFonts w:ascii="宋体" w:hAnsi="宋体"/>
          <w:color w:val="auto"/>
          <w:sz w:val="24"/>
          <w:highlight w:val="none"/>
        </w:rPr>
      </w:pPr>
    </w:p>
    <w:p w14:paraId="28BFFE16">
      <w:pPr>
        <w:snapToGrid w:val="0"/>
        <w:spacing w:line="360" w:lineRule="auto"/>
        <w:jc w:val="left"/>
        <w:rPr>
          <w:rFonts w:ascii="宋体" w:hAnsi="宋体"/>
          <w:color w:val="auto"/>
          <w:sz w:val="24"/>
          <w:highlight w:val="none"/>
        </w:rPr>
      </w:pPr>
    </w:p>
    <w:p w14:paraId="2C7279E6">
      <w:pPr>
        <w:snapToGrid w:val="0"/>
        <w:spacing w:line="360" w:lineRule="auto"/>
        <w:jc w:val="left"/>
        <w:rPr>
          <w:rFonts w:ascii="宋体" w:hAnsi="宋体"/>
          <w:color w:val="auto"/>
          <w:sz w:val="24"/>
          <w:highlight w:val="none"/>
        </w:rPr>
      </w:pPr>
    </w:p>
    <w:p w14:paraId="74D7DA25">
      <w:pPr>
        <w:snapToGrid w:val="0"/>
        <w:spacing w:line="360" w:lineRule="auto"/>
        <w:ind w:left="-2" w:leftChars="-1" w:right="-817" w:rightChars="-389"/>
        <w:rPr>
          <w:rFonts w:ascii="宋体" w:hAnsi="宋体"/>
          <w:color w:val="auto"/>
          <w:sz w:val="24"/>
          <w:highlight w:val="none"/>
        </w:rPr>
      </w:pPr>
      <w:r>
        <w:rPr>
          <w:rFonts w:hint="eastAsia" w:ascii="宋体" w:hAnsi="宋体"/>
          <w:color w:val="auto"/>
          <w:sz w:val="24"/>
          <w:highlight w:val="none"/>
        </w:rPr>
        <w:t xml:space="preserve">             法定代表人或者委托代理人（签字或者电子签名）：</w:t>
      </w:r>
    </w:p>
    <w:p w14:paraId="24FF4073">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投标人名称（电子签章）：</w:t>
      </w:r>
    </w:p>
    <w:p w14:paraId="2D661C38">
      <w:pPr>
        <w:snapToGrid w:val="0"/>
        <w:spacing w:line="360" w:lineRule="auto"/>
        <w:jc w:val="left"/>
        <w:rPr>
          <w:rFonts w:ascii="宋体" w:hAnsi="宋体"/>
          <w:color w:val="auto"/>
          <w:szCs w:val="21"/>
          <w:highlight w:val="none"/>
        </w:rPr>
      </w:pPr>
      <w:r>
        <w:rPr>
          <w:rFonts w:hint="eastAsia" w:ascii="宋体" w:hAnsi="宋体"/>
          <w:color w:val="auto"/>
          <w:sz w:val="24"/>
          <w:highlight w:val="none"/>
        </w:rPr>
        <w:t xml:space="preserve">                                    日期：    年   月   日</w:t>
      </w:r>
    </w:p>
    <w:p w14:paraId="0CF2DC27">
      <w:pPr>
        <w:snapToGrid w:val="0"/>
        <w:jc w:val="center"/>
        <w:rPr>
          <w:rFonts w:ascii="宋体" w:hAnsi="宋体"/>
          <w:b/>
          <w:color w:val="auto"/>
          <w:sz w:val="28"/>
          <w:szCs w:val="28"/>
          <w:highlight w:val="none"/>
        </w:rPr>
      </w:pPr>
    </w:p>
    <w:p w14:paraId="1E8BA036">
      <w:pPr>
        <w:snapToGrid w:val="0"/>
        <w:spacing w:line="360" w:lineRule="auto"/>
        <w:jc w:val="left"/>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24"/>
          <w:highlight w:val="none"/>
        </w:rPr>
        <w:t>4.</w:t>
      </w:r>
      <w:r>
        <w:rPr>
          <w:rFonts w:hint="eastAsia"/>
          <w:color w:val="auto"/>
          <w:highlight w:val="none"/>
        </w:rPr>
        <w:t xml:space="preserve"> </w:t>
      </w:r>
      <w:r>
        <w:rPr>
          <w:rFonts w:hint="eastAsia" w:ascii="宋体" w:hAnsi="宋体"/>
          <w:b/>
          <w:color w:val="auto"/>
          <w:sz w:val="28"/>
          <w:szCs w:val="28"/>
          <w:highlight w:val="none"/>
        </w:rPr>
        <w:t>投标人直接管理关系信息表</w:t>
      </w:r>
    </w:p>
    <w:p w14:paraId="4CF0E44D">
      <w:pPr>
        <w:snapToGrid w:val="0"/>
        <w:spacing w:line="360" w:lineRule="auto"/>
        <w:jc w:val="center"/>
        <w:rPr>
          <w:rFonts w:ascii="宋体" w:hAnsi="宋体"/>
          <w:color w:val="auto"/>
          <w:sz w:val="32"/>
          <w:szCs w:val="32"/>
          <w:highlight w:val="none"/>
        </w:rPr>
      </w:pPr>
      <w:r>
        <w:rPr>
          <w:rFonts w:hint="eastAsia" w:ascii="宋体" w:hAnsi="宋体"/>
          <w:b/>
          <w:color w:val="auto"/>
          <w:sz w:val="32"/>
          <w:szCs w:val="32"/>
          <w:highlight w:val="none"/>
        </w:rPr>
        <w:t>投标人直接管理关系信息表</w:t>
      </w:r>
    </w:p>
    <w:tbl>
      <w:tblPr>
        <w:tblStyle w:val="47"/>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41BD13B">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311C0B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6C9789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F6FAED8">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E49264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687479F">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95C09F">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623734B">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7EC06C">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439488">
            <w:pPr>
              <w:spacing w:line="360" w:lineRule="auto"/>
              <w:jc w:val="center"/>
              <w:rPr>
                <w:rFonts w:ascii="宋体" w:hAnsi="宋体" w:cs="宋体"/>
                <w:color w:val="auto"/>
                <w:kern w:val="0"/>
                <w:sz w:val="24"/>
                <w:highlight w:val="none"/>
              </w:rPr>
            </w:pPr>
          </w:p>
        </w:tc>
      </w:tr>
      <w:tr w14:paraId="799E9B34">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D3B00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1BA471">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5858F1">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6579D3">
            <w:pPr>
              <w:spacing w:line="360" w:lineRule="auto"/>
              <w:jc w:val="center"/>
              <w:rPr>
                <w:rFonts w:ascii="宋体" w:hAnsi="宋体" w:cs="宋体"/>
                <w:color w:val="auto"/>
                <w:kern w:val="0"/>
                <w:sz w:val="24"/>
                <w:highlight w:val="none"/>
              </w:rPr>
            </w:pPr>
          </w:p>
        </w:tc>
      </w:tr>
      <w:tr w14:paraId="630BE428">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E2037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4174B4">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BF60DE">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EF5E85">
            <w:pPr>
              <w:spacing w:line="360" w:lineRule="auto"/>
              <w:jc w:val="center"/>
              <w:rPr>
                <w:rFonts w:ascii="宋体" w:hAnsi="宋体" w:cs="宋体"/>
                <w:color w:val="auto"/>
                <w:kern w:val="0"/>
                <w:sz w:val="24"/>
                <w:highlight w:val="none"/>
              </w:rPr>
            </w:pPr>
          </w:p>
        </w:tc>
      </w:tr>
      <w:tr w14:paraId="0215E03D">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FA0BD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ABF145">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1C9D87">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F6AA30">
            <w:pPr>
              <w:spacing w:line="360" w:lineRule="auto"/>
              <w:jc w:val="center"/>
              <w:rPr>
                <w:rFonts w:ascii="宋体" w:hAnsi="宋体" w:cs="宋体"/>
                <w:color w:val="auto"/>
                <w:kern w:val="0"/>
                <w:sz w:val="24"/>
                <w:highlight w:val="none"/>
              </w:rPr>
            </w:pPr>
          </w:p>
        </w:tc>
      </w:tr>
    </w:tbl>
    <w:p w14:paraId="0F68F61A">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6D3D44A3">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16A8F188">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0301DA33">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olor w:val="auto"/>
          <w:sz w:val="24"/>
          <w:highlight w:val="none"/>
        </w:rPr>
        <w:t>”中填“无”。</w:t>
      </w:r>
    </w:p>
    <w:p w14:paraId="33498CB5">
      <w:pPr>
        <w:snapToGrid w:val="0"/>
        <w:spacing w:line="360" w:lineRule="auto"/>
        <w:jc w:val="left"/>
        <w:rPr>
          <w:rFonts w:ascii="宋体" w:hAnsi="宋体"/>
          <w:color w:val="auto"/>
          <w:sz w:val="24"/>
          <w:highlight w:val="none"/>
        </w:rPr>
      </w:pPr>
    </w:p>
    <w:p w14:paraId="5334A7FE">
      <w:pPr>
        <w:snapToGrid w:val="0"/>
        <w:spacing w:line="360" w:lineRule="auto"/>
        <w:jc w:val="left"/>
        <w:rPr>
          <w:rFonts w:ascii="宋体" w:hAnsi="宋体"/>
          <w:color w:val="auto"/>
          <w:sz w:val="24"/>
          <w:highlight w:val="none"/>
        </w:rPr>
      </w:pPr>
    </w:p>
    <w:p w14:paraId="0B1AC500">
      <w:pPr>
        <w:snapToGrid w:val="0"/>
        <w:spacing w:line="360" w:lineRule="auto"/>
        <w:jc w:val="left"/>
        <w:rPr>
          <w:rFonts w:ascii="宋体" w:hAnsi="宋体"/>
          <w:color w:val="auto"/>
          <w:sz w:val="24"/>
          <w:highlight w:val="none"/>
        </w:rPr>
      </w:pPr>
    </w:p>
    <w:p w14:paraId="771B5D72">
      <w:pPr>
        <w:snapToGrid w:val="0"/>
        <w:spacing w:line="360" w:lineRule="auto"/>
        <w:jc w:val="left"/>
        <w:rPr>
          <w:color w:val="auto"/>
          <w:sz w:val="24"/>
          <w:highlight w:val="none"/>
        </w:rPr>
      </w:pPr>
    </w:p>
    <w:p w14:paraId="67C8CF10">
      <w:pPr>
        <w:snapToGrid w:val="0"/>
        <w:spacing w:line="360" w:lineRule="auto"/>
        <w:ind w:left="-2" w:leftChars="-1" w:right="-817" w:rightChars="-389"/>
        <w:rPr>
          <w:rFonts w:ascii="宋体" w:hAnsi="宋体"/>
          <w:color w:val="auto"/>
          <w:sz w:val="24"/>
          <w:highlight w:val="none"/>
        </w:rPr>
      </w:pPr>
      <w:r>
        <w:rPr>
          <w:rFonts w:hint="eastAsia" w:ascii="宋体" w:hAnsi="宋体"/>
          <w:color w:val="auto"/>
          <w:sz w:val="24"/>
          <w:highlight w:val="none"/>
        </w:rPr>
        <w:t xml:space="preserve">            法定代表人或者委托代理人（签字或者电子签名）：</w:t>
      </w:r>
    </w:p>
    <w:p w14:paraId="74D4A03D">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投标人名称（电子签章）：</w:t>
      </w:r>
    </w:p>
    <w:p w14:paraId="5434359D">
      <w:pPr>
        <w:snapToGrid w:val="0"/>
        <w:spacing w:line="360" w:lineRule="auto"/>
        <w:ind w:right="480" w:firstLine="240" w:firstLineChars="100"/>
        <w:jc w:val="left"/>
        <w:rPr>
          <w:rFonts w:ascii="宋体" w:hAnsi="宋体"/>
          <w:color w:val="auto"/>
          <w:szCs w:val="21"/>
          <w:highlight w:val="none"/>
        </w:rPr>
      </w:pPr>
      <w:r>
        <w:rPr>
          <w:rFonts w:hint="eastAsia" w:ascii="宋体" w:hAnsi="宋体"/>
          <w:color w:val="auto"/>
          <w:sz w:val="24"/>
          <w:highlight w:val="none"/>
        </w:rPr>
        <w:t xml:space="preserve">                                日期：    年   月   日</w:t>
      </w:r>
    </w:p>
    <w:p w14:paraId="15301013">
      <w:pPr>
        <w:snapToGrid w:val="0"/>
        <w:spacing w:before="120" w:beforeLines="50" w:after="50"/>
        <w:jc w:val="left"/>
        <w:rPr>
          <w:rFonts w:ascii="宋体" w:hAnsi="宋体"/>
          <w:b/>
          <w:color w:val="auto"/>
          <w:sz w:val="24"/>
          <w:szCs w:val="20"/>
          <w:highlight w:val="none"/>
        </w:rPr>
      </w:pPr>
    </w:p>
    <w:p w14:paraId="2F2A26E2">
      <w:pPr>
        <w:snapToGrid w:val="0"/>
        <w:spacing w:before="120" w:beforeLines="50" w:after="50"/>
        <w:jc w:val="left"/>
        <w:rPr>
          <w:rFonts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5.投标声明</w:t>
      </w:r>
    </w:p>
    <w:p w14:paraId="636C4999">
      <w:pPr>
        <w:snapToGrid w:val="0"/>
        <w:spacing w:before="50" w:after="120" w:afterLines="50"/>
        <w:jc w:val="left"/>
        <w:rPr>
          <w:rFonts w:ascii="宋体" w:hAnsi="宋体"/>
          <w:color w:val="auto"/>
          <w:highlight w:val="none"/>
        </w:rPr>
      </w:pPr>
    </w:p>
    <w:p w14:paraId="53D4664F">
      <w:pPr>
        <w:snapToGrid w:val="0"/>
        <w:spacing w:before="50" w:after="120" w:afterLines="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投标声明</w:t>
      </w:r>
    </w:p>
    <w:p w14:paraId="62D77CB9">
      <w:pPr>
        <w:spacing w:line="400" w:lineRule="exact"/>
        <w:contextualSpacing/>
        <w:jc w:val="left"/>
        <w:rPr>
          <w:color w:val="auto"/>
          <w:sz w:val="24"/>
          <w:highlight w:val="none"/>
        </w:rPr>
      </w:pPr>
      <w:r>
        <w:rPr>
          <w:rFonts w:hint="eastAsia"/>
          <w:color w:val="auto"/>
          <w:sz w:val="24"/>
          <w:highlight w:val="none"/>
        </w:rPr>
        <w:t>（采购人名称）：</w:t>
      </w:r>
    </w:p>
    <w:p w14:paraId="1620B4A4">
      <w:pPr>
        <w:spacing w:line="400" w:lineRule="exact"/>
        <w:ind w:firstLine="523" w:firstLineChars="218"/>
        <w:contextualSpacing/>
        <w:jc w:val="left"/>
        <w:rPr>
          <w:rFonts w:ascii="宋体" w:hAnsi="宋体"/>
          <w:color w:val="auto"/>
          <w:sz w:val="24"/>
          <w:highlight w:val="none"/>
        </w:rPr>
      </w:pPr>
      <w:r>
        <w:rPr>
          <w:rFonts w:hint="eastAsia" w:ascii="宋体" w:hAnsi="宋体"/>
          <w:color w:val="auto"/>
          <w:sz w:val="24"/>
          <w:highlight w:val="none"/>
        </w:rPr>
        <w:t>我方参加贵单位组织</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）的政府采购活动。我方在此郑重声明：</w:t>
      </w:r>
    </w:p>
    <w:p w14:paraId="2E61496F">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00909C76">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2.我方不是为本次采购项目提供整体设计、规范编制或者项目管理、监理、检测等服务的供应商。</w:t>
      </w:r>
    </w:p>
    <w:p w14:paraId="44F53A08">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3. 我方承诺符合《中华人民共和国政府采购法》第二十二条规定：</w:t>
      </w:r>
    </w:p>
    <w:p w14:paraId="51B41135">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（一）具有独立承担民事责任的能力；</w:t>
      </w:r>
    </w:p>
    <w:p w14:paraId="0C1FBCC3">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14:paraId="7A0790F3">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14:paraId="6AB5ACCC">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14:paraId="56DFD49F">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14:paraId="41B5EF09">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（六）法律、行政法规规定的其他条件。</w:t>
      </w:r>
    </w:p>
    <w:p w14:paraId="3F8DE6EA">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4.以上事项如有虚假或者隐瞒，我方愿意承担一切后果，并不再寻求任何旨在减轻或者免除法律责任的辩解。</w:t>
      </w:r>
    </w:p>
    <w:p w14:paraId="505FF4E8">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特此承诺。</w:t>
      </w:r>
    </w:p>
    <w:p w14:paraId="0BE213BE">
      <w:pPr>
        <w:snapToGrid w:val="0"/>
        <w:spacing w:before="50" w:after="50"/>
        <w:rPr>
          <w:rFonts w:ascii="宋体" w:hAnsi="宋体"/>
          <w:color w:val="auto"/>
          <w:sz w:val="24"/>
          <w:highlight w:val="none"/>
        </w:rPr>
      </w:pPr>
      <w:r>
        <w:rPr>
          <w:rFonts w:hint="eastAsia" w:ascii="宋体" w:hAnsi="宋体"/>
          <w:b/>
          <w:color w:val="auto"/>
          <w:sz w:val="24"/>
          <w:highlight w:val="none"/>
        </w:rPr>
        <w:t xml:space="preserve">    </w:t>
      </w:r>
      <w:r>
        <w:rPr>
          <w:rFonts w:hint="eastAsia" w:ascii="宋体" w:hAnsi="宋体"/>
          <w:color w:val="auto"/>
          <w:sz w:val="24"/>
          <w:highlight w:val="none"/>
        </w:rPr>
        <w:t xml:space="preserve">            </w:t>
      </w:r>
    </w:p>
    <w:p w14:paraId="35854579">
      <w:pPr>
        <w:snapToGrid w:val="0"/>
        <w:spacing w:before="50" w:after="50"/>
        <w:ind w:firstLine="840" w:firstLineChars="350"/>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1D5AD07B">
      <w:pPr>
        <w:spacing w:line="400" w:lineRule="exact"/>
        <w:contextualSpacing/>
        <w:jc w:val="left"/>
        <w:rPr>
          <w:rFonts w:ascii="宋体" w:hAnsi="宋体"/>
          <w:color w:val="auto"/>
          <w:sz w:val="24"/>
          <w:highlight w:val="none"/>
        </w:rPr>
      </w:pPr>
    </w:p>
    <w:p w14:paraId="4EBAB0A3">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投标人名称（电子签章）：</w:t>
      </w:r>
      <w:r>
        <w:rPr>
          <w:rFonts w:hint="eastAsia" w:ascii="宋体" w:hAnsi="宋体"/>
          <w:color w:val="auto"/>
          <w:sz w:val="24"/>
          <w:highlight w:val="none"/>
          <w:u w:val="single"/>
        </w:rPr>
        <w:t xml:space="preserve">                 </w:t>
      </w:r>
    </w:p>
    <w:p w14:paraId="181AD572">
      <w:pPr>
        <w:spacing w:line="400" w:lineRule="exact"/>
        <w:contextualSpacing/>
        <w:jc w:val="left"/>
        <w:rPr>
          <w:rFonts w:ascii="宋体" w:hAnsi="宋体"/>
          <w:color w:val="auto"/>
          <w:highlight w:val="none"/>
        </w:rPr>
      </w:pPr>
      <w:r>
        <w:rPr>
          <w:rFonts w:hint="eastAsia" w:ascii="宋体" w:hAnsi="宋体"/>
          <w:color w:val="auto"/>
          <w:sz w:val="24"/>
          <w:highlight w:val="none"/>
        </w:rPr>
        <w:t xml:space="preserve">                                                  年    月    日</w:t>
      </w:r>
    </w:p>
    <w:p w14:paraId="28912524">
      <w:pPr>
        <w:spacing w:line="440" w:lineRule="exact"/>
        <w:contextualSpacing/>
        <w:rPr>
          <w:rFonts w:ascii="宋体" w:hAnsi="宋体"/>
          <w:b/>
          <w:color w:val="auto"/>
          <w:sz w:val="24"/>
          <w:highlight w:val="none"/>
        </w:rPr>
      </w:pPr>
      <w:bookmarkStart w:id="161" w:name="_Toc19686838"/>
      <w:r>
        <w:rPr>
          <w:rFonts w:hint="eastAsia" w:ascii="宋体" w:hAnsi="宋体"/>
          <w:b/>
          <w:color w:val="auto"/>
          <w:sz w:val="24"/>
          <w:highlight w:val="none"/>
        </w:rPr>
        <w:t>注：如为联合体投标，盖章处须加盖联合体牵头人电子签章并由联合体牵头人法定代表人签字或者盖章或者电子签名，否则投标无效。</w:t>
      </w:r>
    </w:p>
    <w:p w14:paraId="3C51097B">
      <w:pPr>
        <w:rPr>
          <w:b/>
          <w:color w:val="auto"/>
          <w:sz w:val="28"/>
          <w:szCs w:val="28"/>
          <w:highlight w:val="none"/>
        </w:rPr>
      </w:pPr>
      <w:r>
        <w:rPr>
          <w:b/>
          <w:color w:val="auto"/>
          <w:sz w:val="28"/>
          <w:szCs w:val="28"/>
          <w:highlight w:val="none"/>
        </w:rPr>
        <w:br w:type="page"/>
      </w:r>
      <w:r>
        <w:rPr>
          <w:rFonts w:hint="eastAsia"/>
          <w:b/>
          <w:color w:val="auto"/>
          <w:sz w:val="28"/>
          <w:szCs w:val="28"/>
          <w:highlight w:val="none"/>
        </w:rPr>
        <w:t>三、商务及技术文件格式</w:t>
      </w:r>
      <w:bookmarkEnd w:id="161"/>
    </w:p>
    <w:p w14:paraId="0476D1F8">
      <w:pPr>
        <w:snapToGrid w:val="0"/>
        <w:spacing w:before="120" w:beforeLines="50" w:after="50" w:line="360" w:lineRule="auto"/>
        <w:jc w:val="left"/>
        <w:rPr>
          <w:rFonts w:ascii="宋体" w:hAnsi="宋体"/>
          <w:b/>
          <w:color w:val="auto"/>
          <w:sz w:val="24"/>
          <w:highlight w:val="none"/>
        </w:rPr>
      </w:pPr>
      <w:r>
        <w:rPr>
          <w:rFonts w:hint="eastAsia" w:ascii="宋体" w:hAnsi="宋体"/>
          <w:b/>
          <w:color w:val="auto"/>
          <w:sz w:val="24"/>
          <w:highlight w:val="none"/>
        </w:rPr>
        <w:t xml:space="preserve">1.商务及技术文件封面格式： </w:t>
      </w:r>
    </w:p>
    <w:p w14:paraId="53203B7E">
      <w:pPr>
        <w:snapToGrid w:val="0"/>
        <w:spacing w:before="120" w:beforeLines="50" w:after="50"/>
        <w:jc w:val="center"/>
        <w:rPr>
          <w:rFonts w:ascii="宋体" w:hAnsi="宋体"/>
          <w:color w:val="auto"/>
          <w:sz w:val="24"/>
          <w:highlight w:val="none"/>
        </w:rPr>
      </w:pPr>
      <w:r>
        <w:rPr>
          <w:rFonts w:hint="eastAsia" w:ascii="宋体" w:hAnsi="宋体" w:eastAsia="方正小标宋简体"/>
          <w:bCs/>
          <w:color w:val="auto"/>
          <w:sz w:val="48"/>
          <w:szCs w:val="48"/>
          <w:highlight w:val="none"/>
        </w:rPr>
        <w:t>电子投标文件</w:t>
      </w:r>
    </w:p>
    <w:p w14:paraId="534D6EB5">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商务及技术文件</w:t>
      </w:r>
    </w:p>
    <w:p w14:paraId="34D6F7DB">
      <w:pPr>
        <w:snapToGrid w:val="0"/>
        <w:spacing w:before="120" w:beforeLines="50" w:after="50"/>
        <w:rPr>
          <w:rFonts w:ascii="宋体" w:hAnsi="宋体"/>
          <w:bCs/>
          <w:color w:val="auto"/>
          <w:sz w:val="24"/>
          <w:szCs w:val="20"/>
          <w:highlight w:val="none"/>
        </w:rPr>
      </w:pPr>
    </w:p>
    <w:p w14:paraId="6187FEB4">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14:paraId="11439698">
      <w:pPr>
        <w:snapToGrid w:val="0"/>
        <w:spacing w:before="120" w:beforeLines="50" w:after="50"/>
        <w:ind w:firstLine="540" w:firstLineChars="225"/>
        <w:rPr>
          <w:rFonts w:ascii="宋体" w:hAnsi="宋体"/>
          <w:bCs/>
          <w:color w:val="auto"/>
          <w:sz w:val="24"/>
          <w:szCs w:val="20"/>
          <w:highlight w:val="none"/>
        </w:rPr>
      </w:pPr>
    </w:p>
    <w:p w14:paraId="3FECC76C">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14:paraId="58AEC54D">
      <w:pPr>
        <w:snapToGrid w:val="0"/>
        <w:spacing w:before="120"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 </w:t>
      </w:r>
    </w:p>
    <w:p w14:paraId="46836E62">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p>
    <w:p w14:paraId="7A289B2A">
      <w:pPr>
        <w:snapToGrid w:val="0"/>
        <w:spacing w:before="120" w:beforeLines="50" w:after="50"/>
        <w:ind w:firstLine="540" w:firstLineChars="225"/>
        <w:rPr>
          <w:rFonts w:ascii="宋体" w:hAnsi="宋体"/>
          <w:bCs/>
          <w:color w:val="auto"/>
          <w:sz w:val="24"/>
          <w:szCs w:val="20"/>
          <w:highlight w:val="none"/>
        </w:rPr>
      </w:pPr>
    </w:p>
    <w:p w14:paraId="27451BDF">
      <w:pPr>
        <w:pStyle w:val="9"/>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14:paraId="22C1E74E">
      <w:pPr>
        <w:pStyle w:val="9"/>
        <w:snapToGrid w:val="0"/>
        <w:spacing w:before="50" w:after="50"/>
        <w:ind w:firstLine="540" w:firstLineChars="225"/>
        <w:rPr>
          <w:rFonts w:ascii="宋体" w:hAnsi="宋体"/>
          <w:bCs/>
          <w:color w:val="auto"/>
          <w:sz w:val="24"/>
          <w:szCs w:val="24"/>
          <w:highlight w:val="none"/>
        </w:rPr>
      </w:pPr>
    </w:p>
    <w:p w14:paraId="656247F6">
      <w:pPr>
        <w:pStyle w:val="9"/>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投标人地址：</w:t>
      </w:r>
    </w:p>
    <w:p w14:paraId="6093B154">
      <w:pPr>
        <w:pStyle w:val="9"/>
        <w:snapToGrid w:val="0"/>
        <w:spacing w:before="50" w:after="50"/>
        <w:ind w:firstLine="960" w:firstLineChars="400"/>
        <w:rPr>
          <w:rFonts w:ascii="宋体" w:hAnsi="宋体"/>
          <w:bCs/>
          <w:color w:val="auto"/>
          <w:sz w:val="24"/>
          <w:szCs w:val="24"/>
          <w:highlight w:val="none"/>
        </w:rPr>
      </w:pPr>
    </w:p>
    <w:p w14:paraId="423CC17C">
      <w:pPr>
        <w:snapToGrid w:val="0"/>
        <w:spacing w:before="120"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14:paraId="14F76D70">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7C87FC18">
      <w:pPr>
        <w:snapToGrid w:val="0"/>
        <w:spacing w:line="360" w:lineRule="auto"/>
        <w:jc w:val="left"/>
        <w:rPr>
          <w:rFonts w:ascii="宋体" w:hAnsi="宋体"/>
          <w:b/>
          <w:color w:val="auto"/>
          <w:sz w:val="24"/>
          <w:highlight w:val="none"/>
        </w:rPr>
      </w:pPr>
      <w:r>
        <w:rPr>
          <w:rFonts w:ascii="宋体" w:hAnsi="宋体"/>
          <w:color w:val="auto"/>
          <w:sz w:val="24"/>
          <w:szCs w:val="20"/>
          <w:highlight w:val="none"/>
        </w:rPr>
        <w:br w:type="page"/>
      </w:r>
      <w:r>
        <w:rPr>
          <w:rFonts w:hint="eastAsia" w:ascii="宋体" w:hAnsi="宋体"/>
          <w:b/>
          <w:color w:val="auto"/>
          <w:sz w:val="24"/>
          <w:highlight w:val="none"/>
        </w:rPr>
        <w:t>2.商务及技术文件目录</w:t>
      </w:r>
    </w:p>
    <w:p w14:paraId="594C4252">
      <w:pPr>
        <w:snapToGrid w:val="0"/>
        <w:spacing w:before="50" w:after="120" w:afterLines="50" w:line="360" w:lineRule="auto"/>
        <w:ind w:firstLine="560" w:firstLineChars="200"/>
        <w:jc w:val="left"/>
        <w:rPr>
          <w:rFonts w:ascii="微软雅黑" w:hAnsi="微软雅黑" w:eastAsia="微软雅黑"/>
          <w:b/>
          <w:bCs/>
          <w:color w:val="auto"/>
          <w:sz w:val="32"/>
          <w:szCs w:val="32"/>
          <w:highlight w:val="none"/>
        </w:rPr>
      </w:pPr>
      <w:r>
        <w:rPr>
          <w:rFonts w:hint="eastAsia" w:ascii="宋体" w:hAnsi="宋体"/>
          <w:color w:val="auto"/>
          <w:sz w:val="28"/>
          <w:szCs w:val="28"/>
          <w:highlight w:val="none"/>
        </w:rPr>
        <w:t>根据招标文件规定及投标人提供的材料自行编写目录。</w:t>
      </w:r>
    </w:p>
    <w:p w14:paraId="54019926">
      <w:pPr>
        <w:snapToGrid w:val="0"/>
        <w:spacing w:before="50" w:after="120" w:afterLines="50"/>
        <w:jc w:val="left"/>
        <w:rPr>
          <w:rFonts w:ascii="宋体" w:hAnsi="宋体"/>
          <w:color w:val="auto"/>
          <w:highlight w:val="none"/>
        </w:rPr>
      </w:pPr>
    </w:p>
    <w:p w14:paraId="60CB6010">
      <w:pPr>
        <w:snapToGrid w:val="0"/>
        <w:spacing w:before="120" w:beforeLines="50" w:after="50"/>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3.投标人参加本项目无围标串标行为的承诺</w:t>
      </w:r>
    </w:p>
    <w:p w14:paraId="26AD500F">
      <w:pPr>
        <w:snapToGrid w:val="0"/>
        <w:spacing w:before="120" w:beforeLines="50" w:after="50"/>
        <w:jc w:val="left"/>
        <w:rPr>
          <w:rFonts w:ascii="宋体" w:hAnsi="宋体"/>
          <w:b/>
          <w:color w:val="auto"/>
          <w:sz w:val="24"/>
          <w:highlight w:val="none"/>
        </w:rPr>
      </w:pPr>
    </w:p>
    <w:p w14:paraId="1367AD43">
      <w:pPr>
        <w:spacing w:line="360" w:lineRule="auto"/>
        <w:contextualSpacing/>
        <w:rPr>
          <w:rFonts w:ascii="宋体" w:hAnsi="宋体"/>
          <w:b/>
          <w:color w:val="auto"/>
          <w:sz w:val="24"/>
          <w:highlight w:val="none"/>
        </w:rPr>
      </w:pPr>
      <w:r>
        <w:rPr>
          <w:rFonts w:hint="eastAsia" w:ascii="方正小标宋简体" w:hAnsi="方正小标宋简体" w:eastAsia="方正小标宋简体" w:cs="方正小标宋简体"/>
          <w:bCs/>
          <w:color w:val="auto"/>
          <w:spacing w:val="-11"/>
          <w:sz w:val="44"/>
          <w:szCs w:val="44"/>
          <w:highlight w:val="none"/>
        </w:rPr>
        <w:t>投标人参加本项目无围标串标行为的承诺函</w:t>
      </w:r>
    </w:p>
    <w:p w14:paraId="53DB39CE">
      <w:pPr>
        <w:spacing w:line="440" w:lineRule="exact"/>
        <w:contextualSpacing/>
        <w:jc w:val="left"/>
        <w:rPr>
          <w:rFonts w:ascii="宋体" w:hAnsi="宋体"/>
          <w:b/>
          <w:color w:val="auto"/>
          <w:sz w:val="24"/>
          <w:highlight w:val="none"/>
        </w:rPr>
      </w:pPr>
      <w:r>
        <w:rPr>
          <w:rFonts w:hint="eastAsia" w:ascii="宋体" w:hAnsi="宋体"/>
          <w:b/>
          <w:color w:val="auto"/>
          <w:sz w:val="24"/>
          <w:highlight w:val="none"/>
        </w:rPr>
        <w:t>一、我方承诺无下列相互串通投标的情形：</w:t>
      </w:r>
    </w:p>
    <w:p w14:paraId="7EE2B336">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1.不同投标人的投标文件由同一单位或者个人编制；</w:t>
      </w:r>
    </w:p>
    <w:p w14:paraId="0CBE6859">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2.不同投标人委托同一单位或者个人办理投标事宜；</w:t>
      </w:r>
    </w:p>
    <w:p w14:paraId="1F63588C">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3.不同的投标人的投标文件载明的项目管理员为同一个人；</w:t>
      </w:r>
    </w:p>
    <w:p w14:paraId="038EC340">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14:paraId="545D4C92">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5.不同投标人的投标文件相互混装；</w:t>
      </w:r>
    </w:p>
    <w:p w14:paraId="55E6FBF8">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6.不同投标人的投标保证金从同一单位或者个人账户转出。</w:t>
      </w:r>
    </w:p>
    <w:p w14:paraId="4DB1225C">
      <w:pPr>
        <w:spacing w:line="440" w:lineRule="exact"/>
        <w:contextualSpacing/>
        <w:jc w:val="left"/>
        <w:rPr>
          <w:rFonts w:ascii="宋体" w:hAnsi="宋体"/>
          <w:color w:val="auto"/>
          <w:sz w:val="24"/>
          <w:highlight w:val="none"/>
        </w:rPr>
      </w:pPr>
      <w:r>
        <w:rPr>
          <w:rFonts w:hint="eastAsia" w:ascii="宋体" w:hAnsi="宋体"/>
          <w:b/>
          <w:color w:val="auto"/>
          <w:sz w:val="24"/>
          <w:highlight w:val="none"/>
        </w:rPr>
        <w:t>二、我方承诺无下列恶意串通的情形：</w:t>
      </w:r>
    </w:p>
    <w:p w14:paraId="543BF1EF">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1.投标人直接或者间接从采购人或者采购代理机构处获得其他投标人的相关信息并修改其投标文件或者响应文件；</w:t>
      </w:r>
    </w:p>
    <w:p w14:paraId="73B3D574">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2.投标人按照采购人或者采购代理机构的授意撤换、修改投标文件或者响应文件；</w:t>
      </w:r>
    </w:p>
    <w:p w14:paraId="2FA4F41E">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3.投标人之间协商报价、技术方案等投标文件或者响应文件的实质性内容；</w:t>
      </w:r>
    </w:p>
    <w:p w14:paraId="0499720D">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4.属于同一集团、协会、商会等组织成员的投标人按照该组织要求协同参加政府采购活动；</w:t>
      </w:r>
    </w:p>
    <w:p w14:paraId="513A4DE9">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52B428E8">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6.投标人之间商定部分投标人放弃参加政府采购活动或者放弃中标；</w:t>
      </w:r>
    </w:p>
    <w:p w14:paraId="4815D774">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7.投标人与采购人或者采购代理机构之间、投标人相互之间，为谋求特定投标人中标或者排斥其他投标人的其他串通行为。</w:t>
      </w:r>
    </w:p>
    <w:p w14:paraId="25BE0A0A">
      <w:pPr>
        <w:spacing w:line="440" w:lineRule="exact"/>
        <w:ind w:firstLine="472" w:firstLineChars="196"/>
        <w:contextualSpacing/>
        <w:jc w:val="left"/>
        <w:rPr>
          <w:rFonts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以上情形一经核查属实，我方愿意承担一切后果，并不再寻求任何旨在减轻或者免除法律责任的辩解。</w:t>
      </w:r>
    </w:p>
    <w:p w14:paraId="1633F27A">
      <w:pPr>
        <w:pStyle w:val="26"/>
        <w:spacing w:line="440" w:lineRule="exact"/>
        <w:ind w:firstLine="960" w:firstLineChars="400"/>
        <w:contextualSpacing/>
        <w:rPr>
          <w:rFonts w:hAnsi="宋体"/>
          <w:color w:val="auto"/>
          <w:sz w:val="24"/>
          <w:szCs w:val="24"/>
          <w:highlight w:val="none"/>
        </w:rPr>
      </w:pPr>
      <w:r>
        <w:rPr>
          <w:rFonts w:hint="eastAsia" w:hAnsi="宋体"/>
          <w:color w:val="auto"/>
          <w:sz w:val="24"/>
          <w:highlight w:val="none"/>
        </w:rPr>
        <w:t>法定代表人或者委托代理人</w:t>
      </w:r>
      <w:r>
        <w:rPr>
          <w:rFonts w:hint="eastAsia" w:hAnsi="宋体"/>
          <w:color w:val="auto"/>
          <w:spacing w:val="20"/>
          <w:sz w:val="24"/>
          <w:highlight w:val="none"/>
        </w:rPr>
        <w:t>（签字或者电子签名）：</w:t>
      </w:r>
      <w:r>
        <w:rPr>
          <w:rFonts w:hint="eastAsia" w:hAnsi="宋体"/>
          <w:color w:val="auto"/>
          <w:spacing w:val="20"/>
          <w:sz w:val="24"/>
          <w:highlight w:val="none"/>
          <w:u w:val="single"/>
        </w:rPr>
        <w:t xml:space="preserve">        </w:t>
      </w:r>
    </w:p>
    <w:p w14:paraId="4C018D29">
      <w:pPr>
        <w:pStyle w:val="26"/>
        <w:spacing w:line="440" w:lineRule="exact"/>
        <w:contextualSpacing/>
        <w:jc w:val="center"/>
        <w:rPr>
          <w:rFonts w:hAnsi="宋体"/>
          <w:color w:val="auto"/>
          <w:sz w:val="24"/>
          <w:szCs w:val="24"/>
          <w:highlight w:val="none"/>
        </w:rPr>
      </w:pPr>
      <w:r>
        <w:rPr>
          <w:rFonts w:hint="eastAsia" w:hAnsi="宋体"/>
          <w:color w:val="auto"/>
          <w:sz w:val="24"/>
          <w:szCs w:val="24"/>
          <w:highlight w:val="none"/>
        </w:rPr>
        <w:t xml:space="preserve"> </w:t>
      </w:r>
      <w:r>
        <w:rPr>
          <w:rFonts w:hAnsi="宋体"/>
          <w:color w:val="auto"/>
          <w:sz w:val="24"/>
          <w:szCs w:val="24"/>
          <w:highlight w:val="none"/>
        </w:rPr>
        <w:t xml:space="preserve">                                   </w:t>
      </w:r>
      <w:r>
        <w:rPr>
          <w:rFonts w:hint="eastAsia" w:hAnsi="宋体"/>
          <w:color w:val="auto"/>
          <w:sz w:val="24"/>
          <w:szCs w:val="24"/>
          <w:highlight w:val="none"/>
        </w:rPr>
        <w:t>投标人名称（电子签章）</w:t>
      </w:r>
    </w:p>
    <w:p w14:paraId="6FDCD01E">
      <w:pPr>
        <w:pStyle w:val="26"/>
        <w:spacing w:line="440" w:lineRule="exact"/>
        <w:contextualSpacing/>
        <w:rPr>
          <w:rFonts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14:paraId="06258C86">
      <w:pPr>
        <w:snapToGrid w:val="0"/>
        <w:spacing w:before="120" w:beforeLines="50" w:after="50"/>
        <w:jc w:val="left"/>
        <w:rPr>
          <w:rFonts w:ascii="宋体" w:hAnsi="宋体"/>
          <w:b/>
          <w:color w:val="auto"/>
          <w:sz w:val="24"/>
          <w:szCs w:val="20"/>
          <w:highlight w:val="none"/>
        </w:rPr>
      </w:pPr>
      <w:r>
        <w:rPr>
          <w:rFonts w:hint="eastAsia" w:ascii="宋体" w:hAnsi="宋体"/>
          <w:b/>
          <w:color w:val="auto"/>
          <w:sz w:val="24"/>
          <w:highlight w:val="none"/>
        </w:rPr>
        <w:t>4.法定代表人身份证明</w:t>
      </w:r>
    </w:p>
    <w:p w14:paraId="5C71D35E">
      <w:pPr>
        <w:spacing w:before="240" w:beforeLines="100" w:after="120" w:afterLines="50"/>
        <w:ind w:left="540"/>
        <w:jc w:val="center"/>
        <w:rPr>
          <w:rFonts w:ascii="宋体" w:hAnsi="Courier New"/>
          <w:b/>
          <w:color w:val="auto"/>
          <w:sz w:val="32"/>
          <w:szCs w:val="32"/>
          <w:highlight w:val="none"/>
        </w:rPr>
      </w:pPr>
    </w:p>
    <w:p w14:paraId="46AFA070">
      <w:pPr>
        <w:spacing w:before="240" w:beforeLines="100" w:after="120" w:afterLines="50"/>
        <w:ind w:left="54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法定代表人身份证明</w:t>
      </w:r>
    </w:p>
    <w:p w14:paraId="11579533">
      <w:pPr>
        <w:spacing w:line="500" w:lineRule="exact"/>
        <w:ind w:left="54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74652ECE">
      <w:pPr>
        <w:spacing w:line="500" w:lineRule="exact"/>
        <w:ind w:left="54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476237E0">
      <w:pPr>
        <w:spacing w:line="500" w:lineRule="exact"/>
        <w:ind w:left="540"/>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14:paraId="35149B34">
      <w:pPr>
        <w:spacing w:line="500" w:lineRule="exact"/>
        <w:ind w:left="540"/>
        <w:rPr>
          <w:rFonts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4105DFE0">
      <w:pPr>
        <w:spacing w:line="500" w:lineRule="exact"/>
        <w:ind w:left="540"/>
        <w:rPr>
          <w:rFonts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14:paraId="109F6745">
      <w:pPr>
        <w:spacing w:line="500" w:lineRule="exact"/>
        <w:ind w:left="54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14:paraId="7DDC5651">
      <w:pPr>
        <w:spacing w:line="500" w:lineRule="exact"/>
        <w:ind w:left="540"/>
        <w:rPr>
          <w:rFonts w:ascii="宋体" w:hAnsi="宋体"/>
          <w:color w:val="auto"/>
          <w:sz w:val="24"/>
          <w:highlight w:val="none"/>
        </w:rPr>
      </w:pPr>
      <w:r>
        <w:rPr>
          <w:rFonts w:hint="eastAsia" w:ascii="宋体" w:hAnsi="宋体"/>
          <w:color w:val="auto"/>
          <w:sz w:val="24"/>
          <w:highlight w:val="none"/>
        </w:rPr>
        <w:t>特此证明。</w:t>
      </w:r>
    </w:p>
    <w:p w14:paraId="3F65F0E3">
      <w:pPr>
        <w:spacing w:line="500" w:lineRule="exact"/>
        <w:ind w:left="540"/>
        <w:rPr>
          <w:rFonts w:ascii="宋体" w:hAnsi="宋体"/>
          <w:color w:val="auto"/>
          <w:sz w:val="24"/>
          <w:highlight w:val="none"/>
        </w:rPr>
      </w:pPr>
    </w:p>
    <w:p w14:paraId="79C08ADB">
      <w:pPr>
        <w:spacing w:line="500" w:lineRule="exact"/>
        <w:ind w:left="540"/>
        <w:rPr>
          <w:rFonts w:ascii="宋体" w:hAnsi="宋体"/>
          <w:color w:val="auto"/>
          <w:sz w:val="24"/>
          <w:highlight w:val="none"/>
        </w:rPr>
      </w:pPr>
    </w:p>
    <w:p w14:paraId="0B94A864">
      <w:pPr>
        <w:spacing w:line="500" w:lineRule="exact"/>
        <w:ind w:left="540"/>
        <w:rPr>
          <w:rFonts w:ascii="宋体" w:hAnsi="宋体"/>
          <w:color w:val="auto"/>
          <w:sz w:val="24"/>
          <w:highlight w:val="none"/>
        </w:rPr>
      </w:pPr>
      <w:r>
        <w:rPr>
          <w:rFonts w:hint="eastAsia" w:ascii="宋体" w:hAnsi="宋体"/>
          <w:color w:val="auto"/>
          <w:sz w:val="24"/>
          <w:highlight w:val="none"/>
        </w:rPr>
        <w:t>附件：法定代表人有效身份证正反面复印件</w:t>
      </w:r>
    </w:p>
    <w:p w14:paraId="3E34C72E">
      <w:pPr>
        <w:spacing w:line="500" w:lineRule="exact"/>
        <w:ind w:left="540"/>
        <w:rPr>
          <w:rFonts w:ascii="宋体" w:hAnsi="宋体"/>
          <w:color w:val="auto"/>
          <w:sz w:val="24"/>
          <w:highlight w:val="none"/>
        </w:rPr>
      </w:pPr>
    </w:p>
    <w:p w14:paraId="371A942A">
      <w:pPr>
        <w:spacing w:line="500" w:lineRule="exact"/>
        <w:ind w:left="540"/>
        <w:jc w:val="right"/>
        <w:rPr>
          <w:rFonts w:ascii="宋体" w:hAnsi="宋体"/>
          <w:color w:val="auto"/>
          <w:sz w:val="24"/>
          <w:highlight w:val="none"/>
        </w:rPr>
      </w:pPr>
      <w:r>
        <w:rPr>
          <w:rFonts w:hint="eastAsia" w:ascii="宋体" w:hAnsi="宋体"/>
          <w:color w:val="auto"/>
          <w:sz w:val="24"/>
          <w:highlight w:val="none"/>
        </w:rPr>
        <w:t>投标人名称（电子签章）</w:t>
      </w:r>
    </w:p>
    <w:p w14:paraId="246FCB6A">
      <w:pPr>
        <w:spacing w:line="500" w:lineRule="exact"/>
        <w:ind w:left="540"/>
        <w:jc w:val="right"/>
        <w:rPr>
          <w:rFonts w:ascii="宋体" w:hAnsi="宋体"/>
          <w:color w:val="auto"/>
          <w:sz w:val="24"/>
          <w:highlight w:val="none"/>
        </w:rPr>
      </w:pPr>
    </w:p>
    <w:p w14:paraId="47E9B1DF">
      <w:pPr>
        <w:snapToGrid w:val="0"/>
        <w:spacing w:before="120" w:beforeLines="50" w:after="50"/>
        <w:ind w:left="540"/>
        <w:jc w:val="right"/>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28233485">
      <w:pPr>
        <w:snapToGrid w:val="0"/>
        <w:spacing w:before="120" w:beforeLines="50" w:after="50"/>
        <w:jc w:val="center"/>
        <w:rPr>
          <w:rFonts w:ascii="宋体" w:hAnsi="宋体"/>
          <w:b/>
          <w:color w:val="auto"/>
          <w:sz w:val="24"/>
          <w:highlight w:val="none"/>
        </w:rPr>
      </w:pPr>
    </w:p>
    <w:p w14:paraId="3834F37E">
      <w:pPr>
        <w:snapToGrid w:val="0"/>
        <w:spacing w:before="120" w:beforeLines="50" w:after="50"/>
        <w:jc w:val="left"/>
        <w:rPr>
          <w:rFonts w:ascii="宋体" w:hAnsi="宋体"/>
          <w:b/>
          <w:color w:val="auto"/>
          <w:sz w:val="24"/>
          <w:szCs w:val="20"/>
          <w:highlight w:val="none"/>
        </w:rPr>
      </w:pPr>
      <w:r>
        <w:rPr>
          <w:rFonts w:hint="eastAsia" w:ascii="宋体" w:hAnsi="宋体"/>
          <w:color w:val="auto"/>
          <w:sz w:val="24"/>
          <w:highlight w:val="none"/>
        </w:rPr>
        <w:t>注：自然人投标的无需提供</w:t>
      </w:r>
    </w:p>
    <w:p w14:paraId="610B54C8">
      <w:pPr>
        <w:snapToGrid w:val="0"/>
        <w:spacing w:before="120" w:beforeLines="50" w:after="50"/>
        <w:jc w:val="left"/>
        <w:rPr>
          <w:rFonts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5.授权委托书格式</w:t>
      </w:r>
    </w:p>
    <w:p w14:paraId="28CAD959">
      <w:pPr>
        <w:snapToGrid w:val="0"/>
        <w:spacing w:before="120" w:beforeLines="50" w:after="50"/>
        <w:jc w:val="center"/>
        <w:rPr>
          <w:rFonts w:ascii="宋体" w:hAnsi="宋体"/>
          <w:b/>
          <w:color w:val="auto"/>
          <w:sz w:val="44"/>
          <w:szCs w:val="44"/>
          <w:highlight w:val="none"/>
        </w:rPr>
      </w:pPr>
    </w:p>
    <w:p w14:paraId="7944CB51">
      <w:pPr>
        <w:spacing w:line="360" w:lineRule="auto"/>
        <w:contextualSpacing/>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授权委托书</w:t>
      </w:r>
    </w:p>
    <w:p w14:paraId="14B7E624">
      <w:pPr>
        <w:spacing w:line="360" w:lineRule="auto"/>
        <w:contextualSpacing/>
        <w:jc w:val="center"/>
        <w:rPr>
          <w:rFonts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（非联合体投标格式）</w:t>
      </w:r>
    </w:p>
    <w:p w14:paraId="718FB357">
      <w:pPr>
        <w:spacing w:line="360" w:lineRule="auto"/>
        <w:contextualSpacing/>
        <w:jc w:val="center"/>
        <w:rPr>
          <w:rFonts w:ascii="方正小标宋简体" w:hAnsi="方正小标宋简体" w:eastAsia="方正小标宋简体" w:cs="方正小标宋简体"/>
          <w:bCs/>
          <w:color w:val="auto"/>
          <w:sz w:val="24"/>
          <w:highlight w:val="none"/>
        </w:rPr>
      </w:pPr>
      <w:r>
        <w:rPr>
          <w:rFonts w:hint="eastAsia" w:ascii="方正小标宋简体" w:hAnsi="方正小标宋简体" w:eastAsia="方正小标宋简体" w:cs="方正小标宋简体"/>
          <w:bCs/>
          <w:color w:val="auto"/>
          <w:sz w:val="32"/>
          <w:szCs w:val="32"/>
          <w:highlight w:val="none"/>
        </w:rPr>
        <w:t>（如有委托时）</w:t>
      </w:r>
    </w:p>
    <w:p w14:paraId="096E1FFE">
      <w:pPr>
        <w:spacing w:line="440" w:lineRule="exact"/>
        <w:contextualSpacing/>
        <w:jc w:val="center"/>
        <w:rPr>
          <w:rFonts w:ascii="宋体" w:hAnsi="宋体"/>
          <w:b/>
          <w:color w:val="auto"/>
          <w:sz w:val="24"/>
          <w:highlight w:val="none"/>
        </w:rPr>
      </w:pPr>
    </w:p>
    <w:p w14:paraId="5399F3AE">
      <w:pPr>
        <w:spacing w:line="440" w:lineRule="exact"/>
        <w:contextualSpacing/>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3F9E1E84">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14:paraId="0712D834">
      <w:pPr>
        <w:spacing w:line="440" w:lineRule="exact"/>
        <w:contextualSpacing/>
        <w:rPr>
          <w:rFonts w:ascii="宋体" w:hAnsi="宋体"/>
          <w:color w:val="auto"/>
          <w:sz w:val="24"/>
          <w:highlight w:val="none"/>
        </w:rPr>
      </w:pPr>
      <w:r>
        <w:rPr>
          <w:rFonts w:hint="eastAsia" w:ascii="宋体" w:hAnsi="宋体"/>
          <w:color w:val="auto"/>
          <w:sz w:val="24"/>
          <w:highlight w:val="none"/>
        </w:rPr>
        <w:t xml:space="preserve">    我方对委托代理人的签字或者电子签名事项负全部责任。</w:t>
      </w:r>
    </w:p>
    <w:p w14:paraId="47355B53">
      <w:pPr>
        <w:spacing w:line="440" w:lineRule="exact"/>
        <w:ind w:firstLine="480"/>
        <w:contextualSpacing/>
        <w:rPr>
          <w:rFonts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792C0787">
      <w:pPr>
        <w:spacing w:line="440" w:lineRule="exact"/>
        <w:ind w:firstLine="480"/>
        <w:contextualSpacing/>
        <w:rPr>
          <w:rFonts w:ascii="宋体" w:hAnsi="宋体"/>
          <w:color w:val="auto"/>
          <w:sz w:val="24"/>
          <w:highlight w:val="none"/>
        </w:rPr>
      </w:pPr>
      <w:r>
        <w:rPr>
          <w:rFonts w:hint="eastAsia" w:ascii="宋体" w:hAnsi="宋体"/>
          <w:color w:val="auto"/>
          <w:sz w:val="24"/>
          <w:highlight w:val="none"/>
        </w:rPr>
        <w:t>委托代理人无转委托权，特此委托。</w:t>
      </w:r>
    </w:p>
    <w:p w14:paraId="1852F0EF">
      <w:pPr>
        <w:spacing w:line="440" w:lineRule="exact"/>
        <w:ind w:firstLine="480"/>
        <w:contextualSpacing/>
        <w:rPr>
          <w:rFonts w:ascii="宋体" w:hAnsi="宋体"/>
          <w:color w:val="auto"/>
          <w:sz w:val="24"/>
          <w:highlight w:val="none"/>
        </w:rPr>
      </w:pPr>
      <w:r>
        <w:rPr>
          <w:rFonts w:hint="eastAsia" w:ascii="宋体" w:hAnsi="宋体"/>
          <w:color w:val="auto"/>
          <w:sz w:val="24"/>
          <w:highlight w:val="none"/>
        </w:rPr>
        <w:t>附：法定代表人身份证明及委托代理人有效身份证正反面复印件</w:t>
      </w:r>
    </w:p>
    <w:p w14:paraId="41998E6D">
      <w:pPr>
        <w:spacing w:line="440" w:lineRule="exact"/>
        <w:contextualSpacing/>
        <w:rPr>
          <w:rFonts w:ascii="宋体" w:hAnsi="宋体"/>
          <w:color w:val="auto"/>
          <w:sz w:val="24"/>
          <w:highlight w:val="none"/>
        </w:rPr>
      </w:pPr>
    </w:p>
    <w:p w14:paraId="0FB0225E">
      <w:pPr>
        <w:spacing w:line="440" w:lineRule="exact"/>
        <w:contextualSpacing/>
        <w:rPr>
          <w:rFonts w:ascii="宋体" w:hAnsi="宋体"/>
          <w:color w:val="auto"/>
          <w:sz w:val="24"/>
          <w:highlight w:val="none"/>
        </w:rPr>
      </w:pPr>
      <w:r>
        <w:rPr>
          <w:rFonts w:hint="eastAsia" w:ascii="宋体" w:hAnsi="宋体"/>
          <w:color w:val="auto"/>
          <w:sz w:val="24"/>
          <w:highlight w:val="none"/>
        </w:rPr>
        <w:t>委托代理人（签字或者电子签名）：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277D0909">
      <w:pPr>
        <w:spacing w:line="440" w:lineRule="exact"/>
        <w:contextualSpacing/>
        <w:rPr>
          <w:rFonts w:ascii="宋体" w:hAnsi="宋体"/>
          <w:color w:val="auto"/>
          <w:sz w:val="24"/>
          <w:highlight w:val="none"/>
          <w:u w:val="single"/>
        </w:rPr>
      </w:pPr>
      <w:r>
        <w:rPr>
          <w:rFonts w:hint="eastAsia" w:ascii="宋体" w:hAnsi="宋体"/>
          <w:color w:val="auto"/>
          <w:sz w:val="24"/>
          <w:highlight w:val="none"/>
        </w:rPr>
        <w:t>委托代理人身份证号码：</w:t>
      </w:r>
      <w:r>
        <w:rPr>
          <w:rFonts w:hint="eastAsia" w:ascii="宋体" w:hAnsi="宋体"/>
          <w:color w:val="auto"/>
          <w:sz w:val="24"/>
          <w:highlight w:val="none"/>
          <w:u w:val="single"/>
        </w:rPr>
        <w:t xml:space="preserve">                             </w:t>
      </w:r>
    </w:p>
    <w:p w14:paraId="127F2F12">
      <w:pPr>
        <w:spacing w:line="440" w:lineRule="exact"/>
        <w:contextualSpacing/>
        <w:rPr>
          <w:rFonts w:ascii="宋体" w:hAnsi="宋体"/>
          <w:color w:val="auto"/>
          <w:sz w:val="24"/>
          <w:highlight w:val="none"/>
          <w:u w:val="single"/>
        </w:rPr>
      </w:pPr>
      <w:r>
        <w:rPr>
          <w:rFonts w:hint="eastAsia" w:ascii="宋体" w:hAnsi="宋体"/>
          <w:color w:val="auto"/>
          <w:sz w:val="24"/>
          <w:highlight w:val="none"/>
        </w:rPr>
        <w:t>法定代表人（签字或者盖章或者电子签名）：</w:t>
      </w:r>
      <w:r>
        <w:rPr>
          <w:rFonts w:hint="eastAsia" w:ascii="宋体" w:hAnsi="宋体"/>
          <w:color w:val="auto"/>
          <w:sz w:val="24"/>
          <w:highlight w:val="none"/>
          <w:u w:val="single"/>
        </w:rPr>
        <w:t xml:space="preserve">              </w:t>
      </w:r>
    </w:p>
    <w:p w14:paraId="6B6038BF">
      <w:pPr>
        <w:spacing w:line="440" w:lineRule="exact"/>
        <w:contextualSpacing/>
        <w:rPr>
          <w:rFonts w:ascii="宋体" w:hAnsi="宋体"/>
          <w:color w:val="auto"/>
          <w:sz w:val="24"/>
          <w:highlight w:val="none"/>
        </w:rPr>
      </w:pPr>
      <w:r>
        <w:rPr>
          <w:rFonts w:hint="eastAsia" w:ascii="宋体" w:hAnsi="宋体"/>
          <w:color w:val="auto"/>
          <w:sz w:val="24"/>
          <w:highlight w:val="none"/>
        </w:rPr>
        <w:t xml:space="preserve"> </w:t>
      </w:r>
    </w:p>
    <w:p w14:paraId="5252C706">
      <w:pPr>
        <w:spacing w:line="440" w:lineRule="exact"/>
        <w:contextualSpacing/>
        <w:jc w:val="center"/>
        <w:rPr>
          <w:rFonts w:ascii="宋体" w:hAnsi="宋体"/>
          <w:color w:val="auto"/>
          <w:sz w:val="24"/>
          <w:highlight w:val="none"/>
        </w:rPr>
      </w:pPr>
      <w:r>
        <w:rPr>
          <w:rFonts w:hint="eastAsia" w:ascii="宋体" w:hAnsi="宋体"/>
          <w:color w:val="auto"/>
          <w:sz w:val="24"/>
          <w:highlight w:val="none"/>
        </w:rPr>
        <w:t xml:space="preserve">                                                投标人名称（电子签章）：</w:t>
      </w:r>
    </w:p>
    <w:p w14:paraId="5738C590">
      <w:pPr>
        <w:spacing w:line="440" w:lineRule="exact"/>
        <w:contextualSpacing/>
        <w:jc w:val="center"/>
        <w:rPr>
          <w:rFonts w:ascii="宋体" w:hAnsi="宋体"/>
          <w:color w:val="auto"/>
          <w:sz w:val="24"/>
          <w:highlight w:val="none"/>
        </w:rPr>
      </w:pPr>
      <w:r>
        <w:rPr>
          <w:rFonts w:hint="eastAsia" w:ascii="宋体" w:hAnsi="宋体"/>
          <w:color w:val="auto"/>
          <w:sz w:val="24"/>
          <w:highlight w:val="none"/>
        </w:rPr>
        <w:t xml:space="preserve">                                              年    月    日</w:t>
      </w:r>
    </w:p>
    <w:p w14:paraId="776BA575">
      <w:pPr>
        <w:spacing w:line="440" w:lineRule="exact"/>
        <w:contextualSpacing/>
        <w:rPr>
          <w:rFonts w:ascii="宋体" w:hAnsi="宋体" w:cs="仿宋_GB2312"/>
          <w:color w:val="auto"/>
          <w:sz w:val="24"/>
          <w:highlight w:val="none"/>
        </w:rPr>
      </w:pPr>
      <w:r>
        <w:rPr>
          <w:rFonts w:hint="eastAsia" w:ascii="宋体" w:hAnsi="宋体" w:cs="仿宋_GB2312"/>
          <w:color w:val="auto"/>
          <w:sz w:val="24"/>
          <w:highlight w:val="none"/>
        </w:rPr>
        <w:t>注：1.</w:t>
      </w:r>
      <w:bookmarkStart w:id="162" w:name="_Hlk65851555"/>
      <w:bookmarkStart w:id="163" w:name="_Hlk65851620"/>
      <w:r>
        <w:rPr>
          <w:rFonts w:hint="eastAsia" w:ascii="宋体" w:hAnsi="宋体" w:cs="仿宋_GB2312"/>
          <w:color w:val="auto"/>
          <w:sz w:val="24"/>
          <w:highlight w:val="none"/>
        </w:rPr>
        <w:t>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w:t>
      </w:r>
      <w:bookmarkEnd w:id="162"/>
      <w:r>
        <w:rPr>
          <w:rFonts w:hint="eastAsia" w:ascii="宋体" w:hAnsi="宋体" w:cs="仿宋_GB2312"/>
          <w:color w:val="auto"/>
          <w:sz w:val="24"/>
          <w:highlight w:val="none"/>
        </w:rPr>
        <w:t>委托代理人必须在授权委托书上签字</w:t>
      </w:r>
      <w:r>
        <w:rPr>
          <w:rFonts w:hint="eastAsia" w:ascii="宋体" w:hAnsi="宋体"/>
          <w:color w:val="auto"/>
          <w:sz w:val="24"/>
          <w:highlight w:val="none"/>
        </w:rPr>
        <w:t>或者电子签名</w:t>
      </w:r>
      <w:r>
        <w:rPr>
          <w:rFonts w:hint="eastAsia" w:ascii="宋体" w:hAnsi="宋体" w:cs="仿宋_GB2312"/>
          <w:color w:val="auto"/>
          <w:sz w:val="24"/>
          <w:highlight w:val="none"/>
        </w:rPr>
        <w:t>，</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bookmarkEnd w:id="163"/>
    </w:p>
    <w:p w14:paraId="216B145B">
      <w:pPr>
        <w:spacing w:line="440" w:lineRule="exact"/>
        <w:ind w:firstLine="480" w:firstLineChars="200"/>
        <w:contextualSpacing/>
        <w:jc w:val="left"/>
        <w:rPr>
          <w:rFonts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14:paraId="1F0C2149">
      <w:pPr>
        <w:snapToGrid w:val="0"/>
        <w:spacing w:before="120" w:beforeLines="50" w:after="50"/>
        <w:ind w:firstLine="566" w:firstLineChars="236"/>
        <w:jc w:val="center"/>
        <w:rPr>
          <w:rFonts w:ascii="宋体" w:hAnsi="宋体"/>
          <w:color w:val="auto"/>
          <w:sz w:val="24"/>
          <w:highlight w:val="none"/>
        </w:rPr>
      </w:pPr>
      <w:r>
        <w:rPr>
          <w:rFonts w:ascii="宋体" w:hAnsi="宋体"/>
          <w:color w:val="auto"/>
          <w:sz w:val="24"/>
          <w:highlight w:val="none"/>
        </w:rPr>
        <w:br w:type="page"/>
      </w:r>
    </w:p>
    <w:p w14:paraId="0E711388">
      <w:pPr>
        <w:rPr>
          <w:rFonts w:ascii="宋体" w:hAnsi="宋体"/>
          <w:b/>
          <w:color w:val="auto"/>
          <w:sz w:val="24"/>
          <w:szCs w:val="20"/>
          <w:highlight w:val="none"/>
        </w:rPr>
      </w:pPr>
      <w:r>
        <w:rPr>
          <w:rFonts w:hint="eastAsia" w:ascii="宋体" w:hAnsi="宋体"/>
          <w:b/>
          <w:color w:val="auto"/>
          <w:sz w:val="24"/>
          <w:highlight w:val="none"/>
        </w:rPr>
        <w:t>6.商务要求偏离表格式</w:t>
      </w:r>
    </w:p>
    <w:p w14:paraId="4201BE31">
      <w:pPr>
        <w:snapToGrid w:val="0"/>
        <w:spacing w:before="50"/>
        <w:jc w:val="left"/>
        <w:rPr>
          <w:rFonts w:ascii="宋体" w:hAnsi="宋体"/>
          <w:color w:val="auto"/>
          <w:sz w:val="24"/>
          <w:highlight w:val="none"/>
        </w:rPr>
      </w:pPr>
    </w:p>
    <w:p w14:paraId="1F566F81">
      <w:pPr>
        <w:pStyle w:val="26"/>
        <w:rPr>
          <w:rFonts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p w14:paraId="247FB2FD">
      <w:pPr>
        <w:snapToGrid w:val="0"/>
        <w:spacing w:before="50"/>
        <w:jc w:val="left"/>
        <w:rPr>
          <w:rFonts w:ascii="宋体" w:hAnsi="宋体"/>
          <w:color w:val="auto"/>
          <w:sz w:val="24"/>
          <w:highlight w:val="none"/>
          <w:u w:val="single"/>
        </w:rPr>
      </w:pPr>
    </w:p>
    <w:tbl>
      <w:tblPr>
        <w:tblStyle w:val="47"/>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5B3FD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14:paraId="267D9D0E">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项目</w:t>
            </w:r>
          </w:p>
        </w:tc>
        <w:tc>
          <w:tcPr>
            <w:tcW w:w="3336" w:type="dxa"/>
            <w:tcBorders>
              <w:top w:val="single" w:color="auto" w:sz="4" w:space="0"/>
              <w:left w:val="single" w:color="auto" w:sz="4" w:space="0"/>
              <w:bottom w:val="single" w:color="auto" w:sz="4" w:space="0"/>
              <w:right w:val="single" w:color="auto" w:sz="4" w:space="0"/>
            </w:tcBorders>
          </w:tcPr>
          <w:p w14:paraId="22793CDA">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招标文件商务要求</w:t>
            </w:r>
          </w:p>
        </w:tc>
        <w:tc>
          <w:tcPr>
            <w:tcW w:w="1760" w:type="dxa"/>
            <w:tcBorders>
              <w:top w:val="single" w:color="auto" w:sz="4" w:space="0"/>
              <w:left w:val="single" w:color="auto" w:sz="4" w:space="0"/>
              <w:bottom w:val="single" w:color="auto" w:sz="4" w:space="0"/>
              <w:right w:val="single" w:color="auto" w:sz="4" w:space="0"/>
            </w:tcBorders>
          </w:tcPr>
          <w:p w14:paraId="666BB639">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tcPr>
          <w:p w14:paraId="0D1B4C32">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偏离说明</w:t>
            </w:r>
          </w:p>
        </w:tc>
      </w:tr>
      <w:tr w14:paraId="2E30FE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vAlign w:val="center"/>
          </w:tcPr>
          <w:p w14:paraId="03385207">
            <w:pPr>
              <w:jc w:val="center"/>
              <w:rPr>
                <w:rFonts w:ascii="宋体" w:hAnsi="宋体"/>
                <w:i/>
                <w:color w:val="auto"/>
                <w:sz w:val="24"/>
                <w:highlight w:val="none"/>
              </w:rPr>
            </w:pPr>
            <w:r>
              <w:rPr>
                <w:rFonts w:hint="eastAsia" w:ascii="宋体" w:hAnsi="宋体"/>
                <w:color w:val="auto"/>
                <w:sz w:val="24"/>
                <w:highlight w:val="none"/>
              </w:rPr>
              <w:t>交付时间和地点</w:t>
            </w:r>
          </w:p>
        </w:tc>
        <w:tc>
          <w:tcPr>
            <w:tcW w:w="3336" w:type="dxa"/>
            <w:tcBorders>
              <w:top w:val="single" w:color="auto" w:sz="4" w:space="0"/>
              <w:left w:val="single" w:color="auto" w:sz="4" w:space="0"/>
              <w:bottom w:val="single" w:color="auto" w:sz="4" w:space="0"/>
              <w:right w:val="single" w:color="auto" w:sz="4" w:space="0"/>
            </w:tcBorders>
          </w:tcPr>
          <w:p w14:paraId="33798B85">
            <w:pPr>
              <w:snapToGrid w:val="0"/>
              <w:spacing w:before="120" w:beforeLines="50"/>
              <w:jc w:val="center"/>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3DFD2ABD">
            <w:pPr>
              <w:snapToGrid w:val="0"/>
              <w:spacing w:before="120" w:beforeLines="50"/>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63AE1B77">
            <w:pPr>
              <w:snapToGrid w:val="0"/>
              <w:spacing w:before="120" w:beforeLines="50"/>
              <w:jc w:val="center"/>
              <w:rPr>
                <w:rFonts w:ascii="宋体" w:hAnsi="宋体"/>
                <w:color w:val="auto"/>
                <w:sz w:val="24"/>
                <w:highlight w:val="none"/>
              </w:rPr>
            </w:pPr>
          </w:p>
        </w:tc>
      </w:tr>
      <w:tr w14:paraId="226B5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vAlign w:val="center"/>
          </w:tcPr>
          <w:p w14:paraId="3E17FE81">
            <w:pPr>
              <w:jc w:val="center"/>
              <w:rPr>
                <w:rFonts w:ascii="宋体" w:hAnsi="宋体"/>
                <w:i/>
                <w:color w:val="auto"/>
                <w:sz w:val="24"/>
                <w:highlight w:val="none"/>
              </w:rPr>
            </w:pPr>
            <w:r>
              <w:rPr>
                <w:rFonts w:hint="eastAsia" w:ascii="宋体" w:hAnsi="宋体"/>
                <w:color w:val="auto"/>
                <w:sz w:val="24"/>
                <w:highlight w:val="none"/>
              </w:rPr>
              <w:t>合同签订时间</w:t>
            </w:r>
          </w:p>
        </w:tc>
        <w:tc>
          <w:tcPr>
            <w:tcW w:w="3336" w:type="dxa"/>
            <w:tcBorders>
              <w:top w:val="single" w:color="auto" w:sz="4" w:space="0"/>
              <w:left w:val="single" w:color="auto" w:sz="4" w:space="0"/>
              <w:bottom w:val="single" w:color="auto" w:sz="4" w:space="0"/>
              <w:right w:val="single" w:color="auto" w:sz="4" w:space="0"/>
            </w:tcBorders>
          </w:tcPr>
          <w:p w14:paraId="756D9A39">
            <w:pPr>
              <w:snapToGrid w:val="0"/>
              <w:spacing w:before="120" w:beforeLines="50"/>
              <w:rPr>
                <w:rFonts w:ascii="宋体" w:hAnsi="宋体"/>
                <w:color w:val="auto"/>
                <w:sz w:val="24"/>
                <w:highlight w:val="none"/>
                <w:u w:val="single"/>
              </w:rPr>
            </w:pPr>
          </w:p>
        </w:tc>
        <w:tc>
          <w:tcPr>
            <w:tcW w:w="1760" w:type="dxa"/>
            <w:tcBorders>
              <w:top w:val="single" w:color="auto" w:sz="4" w:space="0"/>
              <w:left w:val="single" w:color="auto" w:sz="4" w:space="0"/>
              <w:bottom w:val="single" w:color="auto" w:sz="4" w:space="0"/>
              <w:right w:val="single" w:color="auto" w:sz="4" w:space="0"/>
            </w:tcBorders>
          </w:tcPr>
          <w:p w14:paraId="07AAEA65">
            <w:pPr>
              <w:snapToGrid w:val="0"/>
              <w:spacing w:before="120" w:beforeLines="50"/>
              <w:ind w:left="43"/>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04A6669B">
            <w:pPr>
              <w:snapToGrid w:val="0"/>
              <w:spacing w:before="120" w:beforeLines="50"/>
              <w:ind w:left="43"/>
              <w:jc w:val="center"/>
              <w:rPr>
                <w:rFonts w:ascii="宋体" w:hAnsi="宋体"/>
                <w:color w:val="auto"/>
                <w:sz w:val="24"/>
                <w:highlight w:val="none"/>
              </w:rPr>
            </w:pPr>
          </w:p>
        </w:tc>
      </w:tr>
      <w:tr w14:paraId="02A87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14:paraId="730FC2BC">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w:t>
            </w:r>
          </w:p>
        </w:tc>
        <w:tc>
          <w:tcPr>
            <w:tcW w:w="3336" w:type="dxa"/>
            <w:tcBorders>
              <w:top w:val="single" w:color="auto" w:sz="4" w:space="0"/>
              <w:left w:val="single" w:color="auto" w:sz="4" w:space="0"/>
              <w:bottom w:val="single" w:color="auto" w:sz="4" w:space="0"/>
              <w:right w:val="single" w:color="auto" w:sz="4" w:space="0"/>
            </w:tcBorders>
          </w:tcPr>
          <w:p w14:paraId="522F5CAD">
            <w:pPr>
              <w:snapToGrid w:val="0"/>
              <w:spacing w:before="120" w:beforeLines="50"/>
              <w:jc w:val="center"/>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087E6A9B">
            <w:pPr>
              <w:snapToGrid w:val="0"/>
              <w:spacing w:before="120" w:beforeLines="50"/>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54478326">
            <w:pPr>
              <w:snapToGrid w:val="0"/>
              <w:spacing w:before="120" w:beforeLines="50"/>
              <w:jc w:val="center"/>
              <w:rPr>
                <w:rFonts w:ascii="宋体" w:hAnsi="宋体"/>
                <w:color w:val="auto"/>
                <w:sz w:val="24"/>
                <w:highlight w:val="none"/>
              </w:rPr>
            </w:pPr>
          </w:p>
        </w:tc>
      </w:tr>
    </w:tbl>
    <w:p w14:paraId="13FA8B56">
      <w:pPr>
        <w:pStyle w:val="20"/>
        <w:rPr>
          <w:rFonts w:ascii="宋体" w:hAnsi="宋体"/>
          <w:color w:val="auto"/>
          <w:highlight w:val="none"/>
        </w:rPr>
      </w:pPr>
      <w:r>
        <w:rPr>
          <w:rFonts w:hint="eastAsia" w:ascii="宋体" w:hAnsi="宋体"/>
          <w:color w:val="auto"/>
          <w:highlight w:val="none"/>
        </w:rPr>
        <w:t>注：</w:t>
      </w:r>
    </w:p>
    <w:p w14:paraId="18687014">
      <w:pPr>
        <w:pStyle w:val="3"/>
        <w:spacing w:line="520" w:lineRule="exact"/>
        <w:ind w:firstLine="0" w:firstLineChars="0"/>
        <w:rPr>
          <w:rFonts w:hAnsi="仿宋_GB2312" w:cs="仿宋_GB2312"/>
          <w:color w:val="auto"/>
          <w:szCs w:val="32"/>
          <w:highlight w:val="none"/>
        </w:rPr>
      </w:pPr>
      <w:r>
        <w:rPr>
          <w:rFonts w:hint="eastAsia" w:ascii="宋体" w:hAnsi="宋体" w:eastAsia="宋体"/>
          <w:color w:val="auto"/>
          <w:sz w:val="24"/>
          <w:szCs w:val="24"/>
          <w:highlight w:val="none"/>
        </w:rPr>
        <w:t>1.</w:t>
      </w:r>
      <w:r>
        <w:rPr>
          <w:rFonts w:hint="eastAsia"/>
          <w:color w:val="auto"/>
          <w:highlight w:val="none"/>
        </w:rPr>
        <w:t xml:space="preserve"> </w:t>
      </w:r>
      <w:r>
        <w:rPr>
          <w:rFonts w:hint="eastAsia" w:ascii="宋体" w:hAnsi="宋体" w:eastAsia="宋体"/>
          <w:color w:val="auto"/>
          <w:sz w:val="24"/>
          <w:szCs w:val="24"/>
          <w:highlight w:val="none"/>
        </w:rPr>
        <w:t>说明：应对照招标文件“第二章 采购需求”中的商务要求逐条作明确的投标响应，并作出偏离说明。</w:t>
      </w:r>
    </w:p>
    <w:p w14:paraId="60831FE6">
      <w:pPr>
        <w:pStyle w:val="20"/>
        <w:rPr>
          <w:rFonts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投标人应根据自身的承诺，对照招标文件要求在“偏离说明”中注明“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14:paraId="7BF4635A">
      <w:pPr>
        <w:snapToGrid w:val="0"/>
        <w:spacing w:before="50" w:after="50"/>
        <w:rPr>
          <w:rFonts w:ascii="宋体" w:hAnsi="宋体"/>
          <w:color w:val="auto"/>
          <w:sz w:val="24"/>
          <w:highlight w:val="none"/>
        </w:rPr>
      </w:pPr>
    </w:p>
    <w:p w14:paraId="7B506D23">
      <w:pPr>
        <w:snapToGrid w:val="0"/>
        <w:spacing w:before="50" w:after="50"/>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15CDE0EB">
      <w:pPr>
        <w:snapToGrid w:val="0"/>
        <w:spacing w:before="120" w:beforeLines="50"/>
        <w:rPr>
          <w:rFonts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06BEFD44">
      <w:pPr>
        <w:snapToGrid w:val="0"/>
        <w:spacing w:before="120" w:beforeLines="50"/>
        <w:rPr>
          <w:rFonts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7DC7AA52">
      <w:pPr>
        <w:snapToGrid w:val="0"/>
        <w:spacing w:before="120" w:beforeLines="50"/>
        <w:rPr>
          <w:rFonts w:ascii="宋体" w:hAnsi="宋体"/>
          <w:color w:val="auto"/>
          <w:sz w:val="24"/>
          <w:szCs w:val="20"/>
          <w:highlight w:val="none"/>
        </w:rPr>
      </w:pPr>
    </w:p>
    <w:p w14:paraId="0264E802">
      <w:pPr>
        <w:snapToGrid w:val="0"/>
        <w:spacing w:before="120" w:beforeLines="50" w:after="50"/>
        <w:jc w:val="left"/>
        <w:rPr>
          <w:rFonts w:ascii="宋体" w:hAnsi="宋体"/>
          <w:color w:val="auto"/>
          <w:sz w:val="24"/>
          <w:szCs w:val="20"/>
          <w:highlight w:val="none"/>
        </w:rPr>
      </w:pPr>
    </w:p>
    <w:p w14:paraId="3D6C79CF">
      <w:pPr>
        <w:snapToGrid w:val="0"/>
        <w:spacing w:before="120" w:beforeLines="50" w:after="50"/>
        <w:jc w:val="left"/>
        <w:rPr>
          <w:rFonts w:ascii="宋体" w:hAnsi="宋体"/>
          <w:b/>
          <w:color w:val="auto"/>
          <w:sz w:val="24"/>
          <w:highlight w:val="none"/>
        </w:rPr>
      </w:pPr>
      <w:r>
        <w:rPr>
          <w:rFonts w:ascii="宋体" w:hAnsi="宋体"/>
          <w:color w:val="auto"/>
          <w:sz w:val="24"/>
          <w:szCs w:val="20"/>
          <w:highlight w:val="none"/>
        </w:rPr>
        <w:br w:type="page"/>
      </w:r>
      <w:r>
        <w:rPr>
          <w:rFonts w:hint="eastAsia" w:ascii="宋体" w:hAnsi="宋体"/>
          <w:b/>
          <w:color w:val="auto"/>
          <w:sz w:val="24"/>
          <w:highlight w:val="none"/>
        </w:rPr>
        <w:t>7.投标人业绩证明材料</w:t>
      </w:r>
    </w:p>
    <w:p w14:paraId="43BFEFC0">
      <w:pPr>
        <w:pStyle w:val="36"/>
        <w:snapToGrid w:val="0"/>
        <w:ind w:left="480" w:hanging="480"/>
        <w:rPr>
          <w:rFonts w:ascii="宋体" w:hAnsi="宋体"/>
          <w:color w:val="auto"/>
          <w:sz w:val="24"/>
          <w:highlight w:val="none"/>
        </w:rPr>
      </w:pPr>
    </w:p>
    <w:p w14:paraId="7253E0D0">
      <w:pPr>
        <w:pStyle w:val="36"/>
        <w:snapToGrid w:val="0"/>
        <w:ind w:left="480" w:hanging="480"/>
        <w:rPr>
          <w:rFonts w:ascii="宋体" w:hAnsi="宋体"/>
          <w:color w:val="auto"/>
          <w:sz w:val="24"/>
          <w:highlight w:val="none"/>
        </w:rPr>
      </w:pPr>
      <w:r>
        <w:rPr>
          <w:rFonts w:hint="eastAsia" w:ascii="宋体" w:hAnsi="宋体"/>
          <w:color w:val="auto"/>
          <w:sz w:val="24"/>
          <w:highlight w:val="none"/>
        </w:rPr>
        <w:t xml:space="preserve">投标人业绩情况一览表格式： </w:t>
      </w:r>
    </w:p>
    <w:tbl>
      <w:tblPr>
        <w:tblStyle w:val="4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14:paraId="71516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vAlign w:val="center"/>
          </w:tcPr>
          <w:p w14:paraId="41307D0F">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3DD7D4F0">
            <w:pPr>
              <w:snapToGrid w:val="0"/>
              <w:spacing w:line="240" w:lineRule="exact"/>
              <w:jc w:val="center"/>
              <w:rPr>
                <w:rFonts w:ascii="宋体" w:hAnsi="宋体"/>
                <w:color w:val="auto"/>
                <w:sz w:val="24"/>
                <w:highlight w:val="none"/>
              </w:rPr>
            </w:pPr>
            <w:r>
              <w:rPr>
                <w:rFonts w:hint="eastAsia" w:ascii="宋体" w:hAnsi="宋体"/>
                <w:color w:val="auto"/>
                <w:sz w:val="24"/>
                <w:highlight w:val="none"/>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53454AC3">
            <w:pPr>
              <w:snapToGrid w:val="0"/>
              <w:spacing w:line="240" w:lineRule="exact"/>
              <w:jc w:val="center"/>
              <w:rPr>
                <w:rFonts w:ascii="宋体" w:hAnsi="宋体"/>
                <w:color w:val="auto"/>
                <w:sz w:val="24"/>
                <w:highlight w:val="none"/>
              </w:rPr>
            </w:pPr>
            <w:r>
              <w:rPr>
                <w:rFonts w:hint="eastAsia" w:ascii="宋体" w:hAnsi="宋体"/>
                <w:color w:val="auto"/>
                <w:sz w:val="24"/>
                <w:highlight w:val="none"/>
              </w:rPr>
              <w:t>合同金额</w:t>
            </w:r>
          </w:p>
          <w:p w14:paraId="686C4BA6">
            <w:pPr>
              <w:snapToGrid w:val="0"/>
              <w:spacing w:line="240" w:lineRule="exact"/>
              <w:jc w:val="center"/>
              <w:rPr>
                <w:rFonts w:ascii="宋体" w:hAnsi="宋体"/>
                <w:color w:val="auto"/>
                <w:sz w:val="24"/>
                <w:highlight w:val="none"/>
              </w:rPr>
            </w:pPr>
            <w:r>
              <w:rPr>
                <w:rFonts w:hint="eastAsia" w:ascii="宋体" w:hAnsi="宋体"/>
                <w:color w:val="auto"/>
                <w:sz w:val="24"/>
                <w:highlight w:val="none"/>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14:paraId="0FF4BF64">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采购人联系人及</w:t>
            </w:r>
          </w:p>
          <w:p w14:paraId="123BA342">
            <w:pPr>
              <w:snapToGrid w:val="0"/>
              <w:spacing w:line="240" w:lineRule="exact"/>
              <w:jc w:val="center"/>
              <w:rPr>
                <w:rFonts w:ascii="宋体" w:hAnsi="宋体"/>
                <w:color w:val="auto"/>
                <w:sz w:val="24"/>
                <w:highlight w:val="none"/>
              </w:rPr>
            </w:pPr>
            <w:r>
              <w:rPr>
                <w:rFonts w:hint="eastAsia" w:ascii="宋体" w:hAnsi="宋体"/>
                <w:color w:val="auto"/>
                <w:sz w:val="24"/>
                <w:highlight w:val="none"/>
              </w:rPr>
              <w:t>联系电话</w:t>
            </w:r>
          </w:p>
        </w:tc>
      </w:tr>
      <w:tr w14:paraId="548C1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vAlign w:val="center"/>
          </w:tcPr>
          <w:p w14:paraId="7FC5A3C9">
            <w:pPr>
              <w:jc w:val="left"/>
              <w:rPr>
                <w:rFonts w:ascii="宋体" w:hAnsi="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1C95B086">
            <w:pPr>
              <w:jc w:val="left"/>
              <w:rPr>
                <w:rFonts w:ascii="宋体" w:hAnsi="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6B0E7F0E">
            <w:pPr>
              <w:jc w:val="left"/>
              <w:rPr>
                <w:rFonts w:ascii="宋体" w:hAnsi="宋体"/>
                <w:color w:val="auto"/>
                <w:sz w:val="24"/>
                <w:highlight w:val="none"/>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14:paraId="63087D00">
            <w:pPr>
              <w:jc w:val="left"/>
              <w:rPr>
                <w:rFonts w:ascii="宋体" w:hAnsi="宋体"/>
                <w:color w:val="auto"/>
                <w:sz w:val="24"/>
                <w:highlight w:val="none"/>
              </w:rPr>
            </w:pPr>
          </w:p>
        </w:tc>
      </w:tr>
      <w:tr w14:paraId="75FD1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14:paraId="562BD87D">
            <w:pPr>
              <w:snapToGrid w:val="0"/>
              <w:spacing w:line="24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01D27D73">
            <w:pPr>
              <w:snapToGrid w:val="0"/>
              <w:spacing w:line="24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6F6B8278">
            <w:pPr>
              <w:snapToGrid w:val="0"/>
              <w:spacing w:line="24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5C887C25">
            <w:pPr>
              <w:snapToGrid w:val="0"/>
              <w:spacing w:line="240" w:lineRule="exact"/>
              <w:jc w:val="left"/>
              <w:rPr>
                <w:rFonts w:ascii="宋体" w:hAnsi="宋体"/>
                <w:color w:val="auto"/>
                <w:sz w:val="24"/>
                <w:highlight w:val="none"/>
              </w:rPr>
            </w:pPr>
          </w:p>
        </w:tc>
      </w:tr>
      <w:tr w14:paraId="5AEDD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040617EA">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1F3E53CA">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030D39BB">
            <w:pPr>
              <w:snapToGrid w:val="0"/>
              <w:spacing w:before="50" w:after="120" w:afterLines="50" w:line="40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1724EB99">
            <w:pPr>
              <w:snapToGrid w:val="0"/>
              <w:spacing w:before="50" w:after="120" w:afterLines="50" w:line="400" w:lineRule="exact"/>
              <w:jc w:val="left"/>
              <w:rPr>
                <w:rFonts w:ascii="宋体" w:hAnsi="宋体"/>
                <w:color w:val="auto"/>
                <w:sz w:val="24"/>
                <w:highlight w:val="none"/>
              </w:rPr>
            </w:pPr>
          </w:p>
        </w:tc>
      </w:tr>
      <w:tr w14:paraId="4CB50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14:paraId="22FA729C">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2C5A19E1">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5ED7D2DD">
            <w:pPr>
              <w:snapToGrid w:val="0"/>
              <w:spacing w:before="50" w:after="120" w:afterLines="50" w:line="40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0E5771DF">
            <w:pPr>
              <w:snapToGrid w:val="0"/>
              <w:spacing w:before="50" w:after="120" w:afterLines="50" w:line="400" w:lineRule="exact"/>
              <w:jc w:val="left"/>
              <w:rPr>
                <w:rFonts w:ascii="宋体" w:hAnsi="宋体"/>
                <w:color w:val="auto"/>
                <w:sz w:val="24"/>
                <w:highlight w:val="none"/>
              </w:rPr>
            </w:pPr>
          </w:p>
        </w:tc>
      </w:tr>
      <w:tr w14:paraId="7AA9F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494BA207">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48EC13F9">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1DFC3E6C">
            <w:pPr>
              <w:snapToGrid w:val="0"/>
              <w:spacing w:before="50" w:after="120" w:afterLines="50" w:line="40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290B2566">
            <w:pPr>
              <w:snapToGrid w:val="0"/>
              <w:spacing w:before="50" w:after="120" w:afterLines="50" w:line="400" w:lineRule="exact"/>
              <w:jc w:val="left"/>
              <w:rPr>
                <w:rFonts w:ascii="宋体" w:hAnsi="宋体"/>
                <w:color w:val="auto"/>
                <w:sz w:val="24"/>
                <w:highlight w:val="none"/>
              </w:rPr>
            </w:pPr>
          </w:p>
        </w:tc>
      </w:tr>
      <w:tr w14:paraId="3CCD0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1E7444E3">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0731E0D6">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78A8BBCA">
            <w:pPr>
              <w:snapToGrid w:val="0"/>
              <w:spacing w:before="50" w:after="120" w:afterLines="50" w:line="40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116870BE">
            <w:pPr>
              <w:snapToGrid w:val="0"/>
              <w:spacing w:before="50" w:after="120" w:afterLines="50" w:line="400" w:lineRule="exact"/>
              <w:jc w:val="left"/>
              <w:rPr>
                <w:rFonts w:ascii="宋体" w:hAnsi="宋体"/>
                <w:color w:val="auto"/>
                <w:sz w:val="24"/>
                <w:highlight w:val="none"/>
              </w:rPr>
            </w:pPr>
          </w:p>
        </w:tc>
      </w:tr>
    </w:tbl>
    <w:p w14:paraId="32D6CB3C">
      <w:pPr>
        <w:pStyle w:val="17"/>
        <w:spacing w:before="0" w:after="0" w:line="360" w:lineRule="auto"/>
        <w:contextualSpacing/>
        <w:rPr>
          <w:rFonts w:ascii="宋体" w:hAnsi="宋体" w:eastAsia="宋体"/>
          <w:color w:val="auto"/>
          <w:sz w:val="24"/>
          <w:szCs w:val="24"/>
          <w:highlight w:val="none"/>
        </w:rPr>
      </w:pPr>
    </w:p>
    <w:p w14:paraId="63E309E1">
      <w:pPr>
        <w:pStyle w:val="17"/>
        <w:spacing w:before="0" w:after="0" w:line="360" w:lineRule="auto"/>
        <w:contextualSpacing/>
        <w:rPr>
          <w:rFonts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color w:val="auto"/>
          <w:sz w:val="24"/>
          <w:highlight w:val="none"/>
        </w:rPr>
        <w:t>投标人根据评标标准具体要求附业绩证明材料。</w:t>
      </w:r>
    </w:p>
    <w:p w14:paraId="2F8BBFF1">
      <w:pPr>
        <w:pStyle w:val="17"/>
        <w:spacing w:before="0" w:after="0" w:line="360" w:lineRule="auto"/>
        <w:contextualSpacing/>
        <w:jc w:val="left"/>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法定代表人或者委托代理人（签字或者电子签名）：</w:t>
      </w:r>
      <w:r>
        <w:rPr>
          <w:rFonts w:hint="eastAsia" w:ascii="宋体" w:hAnsi="宋体" w:eastAsia="宋体"/>
          <w:color w:val="auto"/>
          <w:sz w:val="24"/>
          <w:szCs w:val="24"/>
          <w:highlight w:val="none"/>
          <w:u w:val="single"/>
        </w:rPr>
        <w:t>　　　　　</w:t>
      </w:r>
    </w:p>
    <w:p w14:paraId="6F632FD1">
      <w:pPr>
        <w:spacing w:line="360" w:lineRule="auto"/>
        <w:ind w:right="480"/>
        <w:contextualSpacing/>
        <w:jc w:val="left"/>
        <w:rPr>
          <w:rFonts w:ascii="宋体" w:hAnsi="宋体"/>
          <w:color w:val="auto"/>
          <w:sz w:val="24"/>
          <w:szCs w:val="20"/>
          <w:highlight w:val="none"/>
        </w:rPr>
      </w:pPr>
      <w:r>
        <w:rPr>
          <w:rFonts w:hint="eastAsia" w:ascii="宋体" w:hAnsi="宋体" w:cs="Arial"/>
          <w:color w:val="auto"/>
          <w:sz w:val="24"/>
          <w:highlight w:val="none"/>
        </w:rPr>
        <w:t xml:space="preserve">投标人名称（电子签章）：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月    日</w:t>
      </w:r>
    </w:p>
    <w:p w14:paraId="2BFAEFB8">
      <w:pPr>
        <w:snapToGrid w:val="0"/>
        <w:spacing w:before="50"/>
        <w:ind w:firstLine="480" w:firstLineChars="200"/>
        <w:jc w:val="left"/>
        <w:rPr>
          <w:rFonts w:ascii="宋体" w:hAnsi="宋体"/>
          <w:color w:val="auto"/>
          <w:sz w:val="24"/>
          <w:szCs w:val="20"/>
          <w:highlight w:val="none"/>
        </w:rPr>
      </w:pPr>
    </w:p>
    <w:p w14:paraId="15671416">
      <w:pPr>
        <w:snapToGrid w:val="0"/>
        <w:spacing w:line="360" w:lineRule="auto"/>
        <w:ind w:right="480" w:firstLine="240" w:firstLineChars="100"/>
        <w:jc w:val="left"/>
        <w:rPr>
          <w:rFonts w:ascii="宋体" w:hAnsi="宋体"/>
          <w:color w:val="auto"/>
          <w:szCs w:val="21"/>
          <w:highlight w:val="none"/>
        </w:rPr>
      </w:pPr>
      <w:r>
        <w:rPr>
          <w:rFonts w:ascii="宋体" w:hAnsi="宋体"/>
          <w:color w:val="auto"/>
          <w:sz w:val="24"/>
          <w:highlight w:val="none"/>
        </w:rPr>
        <w:br w:type="page"/>
      </w:r>
    </w:p>
    <w:p w14:paraId="18693131">
      <w:pPr>
        <w:snapToGrid w:val="0"/>
        <w:spacing w:before="120" w:beforeLines="50"/>
        <w:rPr>
          <w:rFonts w:ascii="宋体" w:hAnsi="宋体"/>
          <w:color w:val="auto"/>
          <w:sz w:val="24"/>
          <w:szCs w:val="20"/>
          <w:highlight w:val="none"/>
        </w:rPr>
        <w:sectPr>
          <w:footerReference r:id="rId6" w:type="first"/>
          <w:headerReference r:id="rId3" w:type="default"/>
          <w:footerReference r:id="rId4" w:type="default"/>
          <w:footerReference r:id="rId5" w:type="even"/>
          <w:pgSz w:w="11906" w:h="16838"/>
          <w:pgMar w:top="1440" w:right="1797" w:bottom="1440" w:left="1797" w:header="851" w:footer="992" w:gutter="0"/>
          <w:cols w:space="720" w:num="1"/>
          <w:docGrid w:linePitch="312" w:charSpace="0"/>
        </w:sectPr>
      </w:pPr>
    </w:p>
    <w:p w14:paraId="47EE0FE9">
      <w:pPr>
        <w:snapToGrid w:val="0"/>
        <w:spacing w:before="120" w:beforeLines="50" w:after="50"/>
        <w:jc w:val="left"/>
        <w:rPr>
          <w:rFonts w:ascii="宋体" w:hAnsi="宋体"/>
          <w:b/>
          <w:color w:val="auto"/>
          <w:sz w:val="24"/>
          <w:highlight w:val="none"/>
        </w:rPr>
      </w:pPr>
      <w:r>
        <w:rPr>
          <w:rFonts w:hint="eastAsia" w:ascii="宋体" w:hAnsi="宋体"/>
          <w:b/>
          <w:color w:val="auto"/>
          <w:sz w:val="24"/>
          <w:highlight w:val="none"/>
        </w:rPr>
        <w:t>8. 设备性能配置清单格式</w:t>
      </w:r>
    </w:p>
    <w:p w14:paraId="3D3D02FD">
      <w:pPr>
        <w:snapToGrid w:val="0"/>
        <w:spacing w:before="120" w:beforeLines="50" w:after="50"/>
        <w:ind w:left="142"/>
        <w:jc w:val="left"/>
        <w:rPr>
          <w:rFonts w:ascii="宋体" w:hAnsi="宋体"/>
          <w:b/>
          <w:color w:val="auto"/>
          <w:sz w:val="24"/>
          <w:highlight w:val="none"/>
        </w:rPr>
      </w:pPr>
    </w:p>
    <w:p w14:paraId="0A5A51EE">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设备性能配置清单</w:t>
      </w:r>
    </w:p>
    <w:p w14:paraId="483E7B33">
      <w:pPr>
        <w:pStyle w:val="26"/>
        <w:rPr>
          <w:color w:val="auto"/>
          <w:sz w:val="24"/>
          <w:szCs w:val="24"/>
          <w:highlight w:val="none"/>
        </w:rPr>
      </w:pPr>
      <w:r>
        <w:rPr>
          <w:rFonts w:hint="eastAsia"/>
          <w:color w:val="auto"/>
          <w:sz w:val="24"/>
          <w:szCs w:val="24"/>
          <w:highlight w:val="none"/>
        </w:rPr>
        <w:t>所投分标：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4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6"/>
        <w:gridCol w:w="1736"/>
        <w:gridCol w:w="940"/>
        <w:gridCol w:w="763"/>
        <w:gridCol w:w="1316"/>
        <w:gridCol w:w="1186"/>
        <w:gridCol w:w="703"/>
        <w:gridCol w:w="1428"/>
      </w:tblGrid>
      <w:tr w14:paraId="06B47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267" w:type="pct"/>
            <w:tcBorders>
              <w:top w:val="single" w:color="auto" w:sz="4" w:space="0"/>
              <w:left w:val="single" w:color="auto" w:sz="4" w:space="0"/>
              <w:bottom w:val="single" w:color="auto" w:sz="4" w:space="0"/>
              <w:right w:val="single" w:color="auto" w:sz="4" w:space="0"/>
            </w:tcBorders>
            <w:vAlign w:val="center"/>
          </w:tcPr>
          <w:p w14:paraId="5AB46797">
            <w:pPr>
              <w:snapToGrid w:val="0"/>
              <w:spacing w:before="50" w:after="50"/>
              <w:jc w:val="center"/>
              <w:rPr>
                <w:rFonts w:ascii="宋体" w:hAnsi="宋体"/>
                <w:color w:val="auto"/>
                <w:sz w:val="24"/>
                <w:highlight w:val="none"/>
              </w:rPr>
            </w:pPr>
            <w:r>
              <w:rPr>
                <w:rFonts w:hint="eastAsia" w:ascii="宋体" w:hAnsi="宋体"/>
                <w:color w:val="auto"/>
                <w:sz w:val="24"/>
                <w:highlight w:val="none"/>
              </w:rPr>
              <w:t>序号</w:t>
            </w:r>
          </w:p>
        </w:tc>
        <w:tc>
          <w:tcPr>
            <w:tcW w:w="1017" w:type="pct"/>
            <w:tcBorders>
              <w:top w:val="single" w:color="auto" w:sz="4" w:space="0"/>
              <w:left w:val="single" w:color="auto" w:sz="4" w:space="0"/>
              <w:bottom w:val="single" w:color="auto" w:sz="4" w:space="0"/>
              <w:right w:val="single" w:color="auto" w:sz="4" w:space="0"/>
            </w:tcBorders>
            <w:vAlign w:val="center"/>
          </w:tcPr>
          <w:p w14:paraId="5D5A76D0">
            <w:pPr>
              <w:snapToGrid w:val="0"/>
              <w:spacing w:before="50" w:after="50"/>
              <w:jc w:val="center"/>
              <w:rPr>
                <w:rFonts w:ascii="宋体" w:hAnsi="宋体"/>
                <w:color w:val="auto"/>
                <w:sz w:val="24"/>
                <w:highlight w:val="none"/>
              </w:rPr>
            </w:pPr>
            <w:r>
              <w:rPr>
                <w:rFonts w:hint="eastAsia" w:hAnsi="宋体" w:cs="Courier New"/>
                <w:color w:val="auto"/>
                <w:sz w:val="24"/>
                <w:highlight w:val="none"/>
              </w:rPr>
              <w:t>标的的名称</w:t>
            </w:r>
            <w:r>
              <w:rPr>
                <w:rFonts w:hint="eastAsia" w:hAnsi="宋体" w:cs="Courier New"/>
                <w:color w:val="auto"/>
                <w:sz w:val="24"/>
                <w:highlight w:val="none"/>
              </w:rPr>
              <w:t>（货物名称）</w:t>
            </w:r>
          </w:p>
        </w:tc>
        <w:tc>
          <w:tcPr>
            <w:tcW w:w="551" w:type="pct"/>
            <w:tcBorders>
              <w:top w:val="single" w:color="auto" w:sz="4" w:space="0"/>
              <w:left w:val="single" w:color="auto" w:sz="4" w:space="0"/>
              <w:bottom w:val="single" w:color="auto" w:sz="4" w:space="0"/>
              <w:right w:val="single" w:color="auto" w:sz="4" w:space="0"/>
            </w:tcBorders>
            <w:vAlign w:val="center"/>
          </w:tcPr>
          <w:p w14:paraId="30327930">
            <w:pPr>
              <w:snapToGrid w:val="0"/>
              <w:spacing w:before="50" w:after="50"/>
              <w:jc w:val="center"/>
              <w:rPr>
                <w:rFonts w:ascii="宋体" w:hAnsi="宋体"/>
                <w:color w:val="auto"/>
                <w:sz w:val="24"/>
                <w:highlight w:val="none"/>
              </w:rPr>
            </w:pPr>
            <w:r>
              <w:rPr>
                <w:rFonts w:hint="eastAsia" w:ascii="宋体" w:hAnsi="宋体"/>
                <w:color w:val="auto"/>
                <w:sz w:val="24"/>
                <w:highlight w:val="none"/>
              </w:rPr>
              <w:t>数量及单位</w:t>
            </w:r>
          </w:p>
        </w:tc>
        <w:tc>
          <w:tcPr>
            <w:tcW w:w="447" w:type="pct"/>
            <w:tcBorders>
              <w:top w:val="single" w:color="auto" w:sz="4" w:space="0"/>
              <w:left w:val="single" w:color="auto" w:sz="4" w:space="0"/>
              <w:bottom w:val="single" w:color="auto" w:sz="4" w:space="0"/>
              <w:right w:val="single" w:color="auto" w:sz="4" w:space="0"/>
            </w:tcBorders>
            <w:vAlign w:val="center"/>
          </w:tcPr>
          <w:p w14:paraId="71707BDE">
            <w:pPr>
              <w:snapToGrid w:val="0"/>
              <w:spacing w:before="50" w:after="50"/>
              <w:jc w:val="center"/>
              <w:rPr>
                <w:rFonts w:ascii="宋体" w:hAnsi="宋体"/>
                <w:color w:val="auto"/>
                <w:sz w:val="24"/>
                <w:highlight w:val="none"/>
              </w:rPr>
            </w:pPr>
            <w:r>
              <w:rPr>
                <w:rFonts w:hint="eastAsia" w:ascii="宋体" w:hAnsi="宋体"/>
                <w:color w:val="auto"/>
                <w:sz w:val="24"/>
                <w:highlight w:val="none"/>
              </w:rPr>
              <w:t>品牌</w:t>
            </w:r>
          </w:p>
        </w:tc>
        <w:tc>
          <w:tcPr>
            <w:tcW w:w="771" w:type="pct"/>
            <w:tcBorders>
              <w:top w:val="single" w:color="auto" w:sz="4" w:space="0"/>
              <w:left w:val="single" w:color="auto" w:sz="4" w:space="0"/>
              <w:bottom w:val="single" w:color="auto" w:sz="4" w:space="0"/>
              <w:right w:val="single" w:color="auto" w:sz="4" w:space="0"/>
            </w:tcBorders>
          </w:tcPr>
          <w:p w14:paraId="6A54966B">
            <w:pPr>
              <w:snapToGrid w:val="0"/>
              <w:spacing w:before="50" w:after="50"/>
              <w:jc w:val="center"/>
              <w:rPr>
                <w:rFonts w:ascii="宋体" w:hAnsi="宋体"/>
                <w:color w:val="auto"/>
                <w:sz w:val="24"/>
                <w:highlight w:val="none"/>
              </w:rPr>
            </w:pPr>
          </w:p>
          <w:p w14:paraId="3E64117C">
            <w:pPr>
              <w:snapToGrid w:val="0"/>
              <w:spacing w:before="50" w:after="50"/>
              <w:jc w:val="center"/>
              <w:rPr>
                <w:rFonts w:ascii="宋体" w:hAnsi="宋体"/>
                <w:color w:val="auto"/>
                <w:sz w:val="24"/>
                <w:highlight w:val="none"/>
              </w:rPr>
            </w:pPr>
            <w:r>
              <w:rPr>
                <w:rFonts w:hint="eastAsia" w:ascii="宋体" w:hAnsi="宋体"/>
                <w:color w:val="auto"/>
                <w:sz w:val="24"/>
                <w:highlight w:val="none"/>
              </w:rPr>
              <w:t>规格型号</w:t>
            </w:r>
          </w:p>
        </w:tc>
        <w:tc>
          <w:tcPr>
            <w:tcW w:w="695" w:type="pct"/>
            <w:tcBorders>
              <w:top w:val="single" w:color="auto" w:sz="4" w:space="0"/>
              <w:left w:val="single" w:color="auto" w:sz="4" w:space="0"/>
              <w:bottom w:val="single" w:color="auto" w:sz="4" w:space="0"/>
              <w:right w:val="single" w:color="auto" w:sz="4" w:space="0"/>
            </w:tcBorders>
            <w:vAlign w:val="center"/>
          </w:tcPr>
          <w:p w14:paraId="49D6DADF">
            <w:pPr>
              <w:snapToGrid w:val="0"/>
              <w:spacing w:before="50" w:after="50"/>
              <w:jc w:val="center"/>
              <w:rPr>
                <w:rFonts w:ascii="宋体" w:hAnsi="宋体"/>
                <w:color w:val="auto"/>
                <w:sz w:val="24"/>
                <w:highlight w:val="none"/>
              </w:rPr>
            </w:pPr>
            <w:r>
              <w:rPr>
                <w:rFonts w:hint="eastAsia" w:ascii="宋体" w:hAnsi="宋体"/>
                <w:color w:val="auto"/>
                <w:sz w:val="24"/>
                <w:highlight w:val="none"/>
              </w:rPr>
              <w:t>制造商</w:t>
            </w:r>
          </w:p>
        </w:tc>
        <w:tc>
          <w:tcPr>
            <w:tcW w:w="412" w:type="pct"/>
            <w:tcBorders>
              <w:top w:val="single" w:color="auto" w:sz="4" w:space="0"/>
              <w:left w:val="single" w:color="auto" w:sz="4" w:space="0"/>
              <w:bottom w:val="single" w:color="auto" w:sz="4" w:space="0"/>
              <w:right w:val="single" w:color="auto" w:sz="4" w:space="0"/>
            </w:tcBorders>
            <w:vAlign w:val="center"/>
          </w:tcPr>
          <w:p w14:paraId="69FDB27D">
            <w:pPr>
              <w:snapToGrid w:val="0"/>
              <w:spacing w:before="50" w:after="50"/>
              <w:jc w:val="center"/>
              <w:rPr>
                <w:rFonts w:ascii="宋体" w:hAnsi="宋体"/>
                <w:color w:val="auto"/>
                <w:sz w:val="24"/>
                <w:highlight w:val="none"/>
              </w:rPr>
            </w:pPr>
            <w:r>
              <w:rPr>
                <w:rFonts w:hint="eastAsia" w:ascii="宋体" w:hAnsi="宋体"/>
                <w:color w:val="auto"/>
                <w:sz w:val="24"/>
                <w:highlight w:val="none"/>
              </w:rPr>
              <w:t>原产地</w:t>
            </w:r>
          </w:p>
        </w:tc>
        <w:tc>
          <w:tcPr>
            <w:tcW w:w="837" w:type="pct"/>
            <w:tcBorders>
              <w:top w:val="single" w:color="auto" w:sz="4" w:space="0"/>
              <w:left w:val="single" w:color="auto" w:sz="4" w:space="0"/>
              <w:bottom w:val="single" w:color="auto" w:sz="4" w:space="0"/>
              <w:right w:val="single" w:color="auto" w:sz="4" w:space="0"/>
            </w:tcBorders>
            <w:vAlign w:val="center"/>
          </w:tcPr>
          <w:p w14:paraId="74BF9C9C">
            <w:pPr>
              <w:snapToGrid w:val="0"/>
              <w:spacing w:before="50" w:after="50"/>
              <w:jc w:val="center"/>
              <w:rPr>
                <w:rFonts w:ascii="宋体" w:hAnsi="宋体"/>
                <w:color w:val="auto"/>
                <w:sz w:val="24"/>
                <w:highlight w:val="none"/>
              </w:rPr>
            </w:pPr>
            <w:r>
              <w:rPr>
                <w:rFonts w:hint="eastAsia" w:ascii="宋体" w:hAnsi="宋体"/>
                <w:color w:val="auto"/>
                <w:sz w:val="24"/>
                <w:highlight w:val="none"/>
              </w:rPr>
              <w:t>参数性能、指标及配置</w:t>
            </w:r>
          </w:p>
        </w:tc>
      </w:tr>
      <w:tr w14:paraId="2D1F4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267" w:type="pct"/>
            <w:tcBorders>
              <w:top w:val="single" w:color="auto" w:sz="4" w:space="0"/>
              <w:left w:val="single" w:color="auto" w:sz="4" w:space="0"/>
              <w:bottom w:val="single" w:color="auto" w:sz="4" w:space="0"/>
              <w:right w:val="single" w:color="auto" w:sz="4" w:space="0"/>
            </w:tcBorders>
            <w:vAlign w:val="center"/>
          </w:tcPr>
          <w:p w14:paraId="776D1D8B">
            <w:pPr>
              <w:snapToGrid w:val="0"/>
              <w:spacing w:before="50" w:after="50"/>
              <w:jc w:val="center"/>
              <w:rPr>
                <w:rFonts w:ascii="宋体" w:hAnsi="宋体"/>
                <w:color w:val="auto"/>
                <w:sz w:val="24"/>
                <w:highlight w:val="none"/>
              </w:rPr>
            </w:pPr>
          </w:p>
        </w:tc>
        <w:tc>
          <w:tcPr>
            <w:tcW w:w="1017" w:type="pct"/>
            <w:tcBorders>
              <w:top w:val="single" w:color="auto" w:sz="4" w:space="0"/>
              <w:left w:val="single" w:color="auto" w:sz="4" w:space="0"/>
              <w:bottom w:val="single" w:color="auto" w:sz="4" w:space="0"/>
              <w:right w:val="single" w:color="auto" w:sz="4" w:space="0"/>
            </w:tcBorders>
            <w:vAlign w:val="center"/>
          </w:tcPr>
          <w:p w14:paraId="39966424">
            <w:pPr>
              <w:snapToGrid w:val="0"/>
              <w:spacing w:before="50" w:after="50"/>
              <w:jc w:val="center"/>
              <w:rPr>
                <w:rFonts w:ascii="宋体" w:hAnsi="宋体"/>
                <w:color w:val="auto"/>
                <w:sz w:val="24"/>
                <w:highlight w:val="none"/>
              </w:rPr>
            </w:pPr>
          </w:p>
        </w:tc>
        <w:tc>
          <w:tcPr>
            <w:tcW w:w="551" w:type="pct"/>
            <w:tcBorders>
              <w:top w:val="single" w:color="auto" w:sz="4" w:space="0"/>
              <w:left w:val="single" w:color="auto" w:sz="4" w:space="0"/>
              <w:bottom w:val="single" w:color="auto" w:sz="4" w:space="0"/>
              <w:right w:val="single" w:color="auto" w:sz="4" w:space="0"/>
            </w:tcBorders>
            <w:vAlign w:val="center"/>
          </w:tcPr>
          <w:p w14:paraId="03A3283C">
            <w:pPr>
              <w:snapToGrid w:val="0"/>
              <w:spacing w:before="50" w:after="50"/>
              <w:jc w:val="center"/>
              <w:rPr>
                <w:rFonts w:ascii="宋体" w:hAnsi="宋体"/>
                <w:color w:val="auto"/>
                <w:sz w:val="24"/>
                <w:highlight w:val="none"/>
              </w:rPr>
            </w:pPr>
          </w:p>
        </w:tc>
        <w:tc>
          <w:tcPr>
            <w:tcW w:w="447" w:type="pct"/>
            <w:tcBorders>
              <w:top w:val="single" w:color="auto" w:sz="4" w:space="0"/>
              <w:left w:val="single" w:color="auto" w:sz="4" w:space="0"/>
              <w:bottom w:val="single" w:color="auto" w:sz="4" w:space="0"/>
              <w:right w:val="single" w:color="auto" w:sz="4" w:space="0"/>
            </w:tcBorders>
            <w:vAlign w:val="center"/>
          </w:tcPr>
          <w:p w14:paraId="7692D8FC">
            <w:pPr>
              <w:snapToGrid w:val="0"/>
              <w:spacing w:before="50" w:after="50"/>
              <w:jc w:val="center"/>
              <w:rPr>
                <w:rFonts w:ascii="宋体" w:hAnsi="宋体"/>
                <w:color w:val="auto"/>
                <w:sz w:val="24"/>
                <w:highlight w:val="none"/>
              </w:rPr>
            </w:pPr>
          </w:p>
        </w:tc>
        <w:tc>
          <w:tcPr>
            <w:tcW w:w="771" w:type="pct"/>
            <w:tcBorders>
              <w:top w:val="single" w:color="auto" w:sz="4" w:space="0"/>
              <w:left w:val="single" w:color="auto" w:sz="4" w:space="0"/>
              <w:bottom w:val="single" w:color="auto" w:sz="4" w:space="0"/>
              <w:right w:val="single" w:color="auto" w:sz="4" w:space="0"/>
            </w:tcBorders>
          </w:tcPr>
          <w:p w14:paraId="047C42FC">
            <w:pPr>
              <w:snapToGrid w:val="0"/>
              <w:spacing w:before="50" w:after="50"/>
              <w:jc w:val="center"/>
              <w:rPr>
                <w:rFonts w:ascii="宋体" w:hAnsi="宋体"/>
                <w:color w:val="auto"/>
                <w:sz w:val="24"/>
                <w:highlight w:val="none"/>
              </w:rPr>
            </w:pPr>
          </w:p>
        </w:tc>
        <w:tc>
          <w:tcPr>
            <w:tcW w:w="695" w:type="pct"/>
            <w:tcBorders>
              <w:top w:val="single" w:color="auto" w:sz="4" w:space="0"/>
              <w:left w:val="single" w:color="auto" w:sz="4" w:space="0"/>
              <w:bottom w:val="single" w:color="auto" w:sz="4" w:space="0"/>
              <w:right w:val="single" w:color="auto" w:sz="4" w:space="0"/>
            </w:tcBorders>
            <w:vAlign w:val="center"/>
          </w:tcPr>
          <w:p w14:paraId="2AB8E320">
            <w:pPr>
              <w:snapToGrid w:val="0"/>
              <w:spacing w:before="50" w:after="50"/>
              <w:jc w:val="center"/>
              <w:rPr>
                <w:rFonts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14:paraId="490F3D3F">
            <w:pPr>
              <w:snapToGrid w:val="0"/>
              <w:spacing w:before="50" w:after="50"/>
              <w:jc w:val="center"/>
              <w:rPr>
                <w:rFonts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vAlign w:val="center"/>
          </w:tcPr>
          <w:p w14:paraId="2DA7C6C3">
            <w:pPr>
              <w:snapToGrid w:val="0"/>
              <w:spacing w:before="50" w:after="50"/>
              <w:jc w:val="center"/>
              <w:rPr>
                <w:rFonts w:ascii="宋体" w:hAnsi="宋体"/>
                <w:color w:val="auto"/>
                <w:sz w:val="24"/>
                <w:highlight w:val="none"/>
              </w:rPr>
            </w:pPr>
          </w:p>
        </w:tc>
      </w:tr>
      <w:tr w14:paraId="00FE0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267" w:type="pct"/>
            <w:tcBorders>
              <w:top w:val="single" w:color="auto" w:sz="4" w:space="0"/>
              <w:left w:val="single" w:color="auto" w:sz="4" w:space="0"/>
              <w:bottom w:val="single" w:color="auto" w:sz="4" w:space="0"/>
              <w:right w:val="single" w:color="auto" w:sz="4" w:space="0"/>
            </w:tcBorders>
            <w:vAlign w:val="center"/>
          </w:tcPr>
          <w:p w14:paraId="37B170ED">
            <w:pPr>
              <w:snapToGrid w:val="0"/>
              <w:spacing w:before="50" w:after="50"/>
              <w:jc w:val="center"/>
              <w:rPr>
                <w:rFonts w:ascii="宋体" w:hAnsi="宋体"/>
                <w:color w:val="auto"/>
                <w:sz w:val="24"/>
                <w:highlight w:val="none"/>
              </w:rPr>
            </w:pPr>
          </w:p>
        </w:tc>
        <w:tc>
          <w:tcPr>
            <w:tcW w:w="1017" w:type="pct"/>
            <w:tcBorders>
              <w:top w:val="single" w:color="auto" w:sz="4" w:space="0"/>
              <w:left w:val="single" w:color="auto" w:sz="4" w:space="0"/>
              <w:bottom w:val="single" w:color="auto" w:sz="4" w:space="0"/>
              <w:right w:val="single" w:color="auto" w:sz="4" w:space="0"/>
            </w:tcBorders>
            <w:vAlign w:val="center"/>
          </w:tcPr>
          <w:p w14:paraId="71FE251C">
            <w:pPr>
              <w:snapToGrid w:val="0"/>
              <w:spacing w:before="50" w:after="50"/>
              <w:jc w:val="center"/>
              <w:rPr>
                <w:rFonts w:ascii="宋体" w:hAnsi="宋体"/>
                <w:color w:val="auto"/>
                <w:sz w:val="24"/>
                <w:highlight w:val="none"/>
              </w:rPr>
            </w:pPr>
          </w:p>
        </w:tc>
        <w:tc>
          <w:tcPr>
            <w:tcW w:w="551" w:type="pct"/>
            <w:tcBorders>
              <w:top w:val="single" w:color="auto" w:sz="4" w:space="0"/>
              <w:left w:val="single" w:color="auto" w:sz="4" w:space="0"/>
              <w:bottom w:val="single" w:color="auto" w:sz="4" w:space="0"/>
              <w:right w:val="single" w:color="auto" w:sz="4" w:space="0"/>
            </w:tcBorders>
            <w:vAlign w:val="center"/>
          </w:tcPr>
          <w:p w14:paraId="59B6D215">
            <w:pPr>
              <w:snapToGrid w:val="0"/>
              <w:spacing w:before="50" w:after="50"/>
              <w:jc w:val="center"/>
              <w:rPr>
                <w:rFonts w:ascii="宋体" w:hAnsi="宋体"/>
                <w:color w:val="auto"/>
                <w:sz w:val="24"/>
                <w:highlight w:val="none"/>
              </w:rPr>
            </w:pPr>
          </w:p>
        </w:tc>
        <w:tc>
          <w:tcPr>
            <w:tcW w:w="447" w:type="pct"/>
            <w:tcBorders>
              <w:top w:val="single" w:color="auto" w:sz="4" w:space="0"/>
              <w:left w:val="single" w:color="auto" w:sz="4" w:space="0"/>
              <w:bottom w:val="single" w:color="auto" w:sz="4" w:space="0"/>
              <w:right w:val="single" w:color="auto" w:sz="4" w:space="0"/>
            </w:tcBorders>
            <w:vAlign w:val="center"/>
          </w:tcPr>
          <w:p w14:paraId="19143F79">
            <w:pPr>
              <w:snapToGrid w:val="0"/>
              <w:spacing w:before="50" w:after="50"/>
              <w:jc w:val="center"/>
              <w:rPr>
                <w:rFonts w:ascii="宋体" w:hAnsi="宋体"/>
                <w:color w:val="auto"/>
                <w:sz w:val="24"/>
                <w:highlight w:val="none"/>
              </w:rPr>
            </w:pPr>
          </w:p>
        </w:tc>
        <w:tc>
          <w:tcPr>
            <w:tcW w:w="771" w:type="pct"/>
            <w:tcBorders>
              <w:top w:val="single" w:color="auto" w:sz="4" w:space="0"/>
              <w:left w:val="single" w:color="auto" w:sz="4" w:space="0"/>
              <w:bottom w:val="single" w:color="auto" w:sz="4" w:space="0"/>
              <w:right w:val="single" w:color="auto" w:sz="4" w:space="0"/>
            </w:tcBorders>
          </w:tcPr>
          <w:p w14:paraId="50A80061">
            <w:pPr>
              <w:snapToGrid w:val="0"/>
              <w:spacing w:before="50" w:after="50"/>
              <w:jc w:val="center"/>
              <w:rPr>
                <w:rFonts w:ascii="宋体" w:hAnsi="宋体"/>
                <w:color w:val="auto"/>
                <w:sz w:val="24"/>
                <w:highlight w:val="none"/>
              </w:rPr>
            </w:pPr>
          </w:p>
        </w:tc>
        <w:tc>
          <w:tcPr>
            <w:tcW w:w="695" w:type="pct"/>
            <w:tcBorders>
              <w:top w:val="single" w:color="auto" w:sz="4" w:space="0"/>
              <w:left w:val="single" w:color="auto" w:sz="4" w:space="0"/>
              <w:bottom w:val="single" w:color="auto" w:sz="4" w:space="0"/>
              <w:right w:val="single" w:color="auto" w:sz="4" w:space="0"/>
            </w:tcBorders>
            <w:vAlign w:val="center"/>
          </w:tcPr>
          <w:p w14:paraId="655104A7">
            <w:pPr>
              <w:snapToGrid w:val="0"/>
              <w:spacing w:before="50" w:after="50"/>
              <w:jc w:val="center"/>
              <w:rPr>
                <w:rFonts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14:paraId="27FAA5F3">
            <w:pPr>
              <w:snapToGrid w:val="0"/>
              <w:spacing w:before="50" w:after="50"/>
              <w:jc w:val="center"/>
              <w:rPr>
                <w:rFonts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vAlign w:val="center"/>
          </w:tcPr>
          <w:p w14:paraId="79DF43D8">
            <w:pPr>
              <w:snapToGrid w:val="0"/>
              <w:spacing w:before="50" w:after="50"/>
              <w:jc w:val="center"/>
              <w:rPr>
                <w:rFonts w:ascii="宋体" w:hAnsi="宋体"/>
                <w:color w:val="auto"/>
                <w:sz w:val="24"/>
                <w:highlight w:val="none"/>
              </w:rPr>
            </w:pPr>
          </w:p>
        </w:tc>
      </w:tr>
      <w:tr w14:paraId="24C54F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67" w:type="pct"/>
            <w:tcBorders>
              <w:top w:val="single" w:color="auto" w:sz="4" w:space="0"/>
              <w:left w:val="single" w:color="auto" w:sz="4" w:space="0"/>
              <w:bottom w:val="single" w:color="auto" w:sz="4" w:space="0"/>
              <w:right w:val="single" w:color="auto" w:sz="4" w:space="0"/>
            </w:tcBorders>
            <w:vAlign w:val="center"/>
          </w:tcPr>
          <w:p w14:paraId="05B989F4">
            <w:pPr>
              <w:snapToGrid w:val="0"/>
              <w:spacing w:before="50" w:after="50"/>
              <w:jc w:val="center"/>
              <w:rPr>
                <w:rFonts w:ascii="宋体" w:hAnsi="宋体"/>
                <w:color w:val="auto"/>
                <w:sz w:val="24"/>
                <w:highlight w:val="none"/>
              </w:rPr>
            </w:pPr>
          </w:p>
        </w:tc>
        <w:tc>
          <w:tcPr>
            <w:tcW w:w="1017" w:type="pct"/>
            <w:tcBorders>
              <w:top w:val="single" w:color="auto" w:sz="4" w:space="0"/>
              <w:left w:val="single" w:color="auto" w:sz="4" w:space="0"/>
              <w:bottom w:val="single" w:color="auto" w:sz="4" w:space="0"/>
              <w:right w:val="single" w:color="auto" w:sz="4" w:space="0"/>
            </w:tcBorders>
            <w:vAlign w:val="center"/>
          </w:tcPr>
          <w:p w14:paraId="1EF3D2BE">
            <w:pPr>
              <w:snapToGrid w:val="0"/>
              <w:spacing w:before="50" w:after="50"/>
              <w:jc w:val="center"/>
              <w:rPr>
                <w:rFonts w:ascii="宋体" w:hAnsi="宋体"/>
                <w:color w:val="auto"/>
                <w:sz w:val="24"/>
                <w:highlight w:val="none"/>
              </w:rPr>
            </w:pPr>
          </w:p>
        </w:tc>
        <w:tc>
          <w:tcPr>
            <w:tcW w:w="551" w:type="pct"/>
            <w:tcBorders>
              <w:top w:val="single" w:color="auto" w:sz="4" w:space="0"/>
              <w:left w:val="single" w:color="auto" w:sz="4" w:space="0"/>
              <w:bottom w:val="single" w:color="auto" w:sz="4" w:space="0"/>
              <w:right w:val="single" w:color="auto" w:sz="4" w:space="0"/>
            </w:tcBorders>
            <w:vAlign w:val="center"/>
          </w:tcPr>
          <w:p w14:paraId="5D1AE5F1">
            <w:pPr>
              <w:snapToGrid w:val="0"/>
              <w:spacing w:before="50" w:after="50"/>
              <w:jc w:val="center"/>
              <w:rPr>
                <w:rFonts w:ascii="宋体" w:hAnsi="宋体"/>
                <w:color w:val="auto"/>
                <w:sz w:val="24"/>
                <w:highlight w:val="none"/>
              </w:rPr>
            </w:pPr>
          </w:p>
        </w:tc>
        <w:tc>
          <w:tcPr>
            <w:tcW w:w="447" w:type="pct"/>
            <w:tcBorders>
              <w:top w:val="single" w:color="auto" w:sz="4" w:space="0"/>
              <w:left w:val="single" w:color="auto" w:sz="4" w:space="0"/>
              <w:bottom w:val="single" w:color="auto" w:sz="4" w:space="0"/>
              <w:right w:val="single" w:color="auto" w:sz="4" w:space="0"/>
            </w:tcBorders>
            <w:vAlign w:val="center"/>
          </w:tcPr>
          <w:p w14:paraId="6EDAE38F">
            <w:pPr>
              <w:snapToGrid w:val="0"/>
              <w:spacing w:before="50" w:after="50"/>
              <w:jc w:val="center"/>
              <w:rPr>
                <w:rFonts w:ascii="宋体" w:hAnsi="宋体"/>
                <w:color w:val="auto"/>
                <w:sz w:val="24"/>
                <w:highlight w:val="none"/>
              </w:rPr>
            </w:pPr>
          </w:p>
        </w:tc>
        <w:tc>
          <w:tcPr>
            <w:tcW w:w="771" w:type="pct"/>
            <w:tcBorders>
              <w:top w:val="single" w:color="auto" w:sz="4" w:space="0"/>
              <w:left w:val="single" w:color="auto" w:sz="4" w:space="0"/>
              <w:bottom w:val="single" w:color="auto" w:sz="4" w:space="0"/>
              <w:right w:val="single" w:color="auto" w:sz="4" w:space="0"/>
            </w:tcBorders>
          </w:tcPr>
          <w:p w14:paraId="79B43DB6">
            <w:pPr>
              <w:snapToGrid w:val="0"/>
              <w:spacing w:before="50" w:after="50"/>
              <w:jc w:val="center"/>
              <w:rPr>
                <w:rFonts w:ascii="宋体" w:hAnsi="宋体"/>
                <w:color w:val="auto"/>
                <w:sz w:val="24"/>
                <w:highlight w:val="none"/>
              </w:rPr>
            </w:pPr>
          </w:p>
        </w:tc>
        <w:tc>
          <w:tcPr>
            <w:tcW w:w="695" w:type="pct"/>
            <w:tcBorders>
              <w:top w:val="single" w:color="auto" w:sz="4" w:space="0"/>
              <w:left w:val="single" w:color="auto" w:sz="4" w:space="0"/>
              <w:bottom w:val="single" w:color="auto" w:sz="4" w:space="0"/>
              <w:right w:val="single" w:color="auto" w:sz="4" w:space="0"/>
            </w:tcBorders>
            <w:vAlign w:val="center"/>
          </w:tcPr>
          <w:p w14:paraId="351D0EF2">
            <w:pPr>
              <w:snapToGrid w:val="0"/>
              <w:spacing w:before="50" w:after="50"/>
              <w:jc w:val="center"/>
              <w:rPr>
                <w:rFonts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14:paraId="42D2E287">
            <w:pPr>
              <w:snapToGrid w:val="0"/>
              <w:spacing w:before="50" w:after="50"/>
              <w:jc w:val="center"/>
              <w:rPr>
                <w:rFonts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vAlign w:val="center"/>
          </w:tcPr>
          <w:p w14:paraId="410555CB">
            <w:pPr>
              <w:snapToGrid w:val="0"/>
              <w:spacing w:before="50" w:after="50"/>
              <w:jc w:val="center"/>
              <w:rPr>
                <w:rFonts w:ascii="宋体" w:hAnsi="宋体"/>
                <w:color w:val="auto"/>
                <w:sz w:val="24"/>
                <w:highlight w:val="none"/>
              </w:rPr>
            </w:pPr>
          </w:p>
        </w:tc>
      </w:tr>
    </w:tbl>
    <w:p w14:paraId="4F2D60C6">
      <w:pPr>
        <w:spacing w:line="360" w:lineRule="auto"/>
        <w:contextualSpacing/>
        <w:rPr>
          <w:rFonts w:ascii="宋体" w:hAnsi="宋体"/>
          <w:color w:val="auto"/>
          <w:sz w:val="24"/>
          <w:highlight w:val="none"/>
        </w:rPr>
      </w:pPr>
      <w:r>
        <w:rPr>
          <w:rFonts w:hint="eastAsia" w:ascii="宋体" w:hAnsi="宋体"/>
          <w:color w:val="auto"/>
          <w:sz w:val="24"/>
          <w:highlight w:val="none"/>
        </w:rPr>
        <w:t>备注：</w:t>
      </w:r>
    </w:p>
    <w:p w14:paraId="72F4854A">
      <w:pPr>
        <w:spacing w:line="360" w:lineRule="auto"/>
        <w:ind w:firstLine="480" w:firstLineChars="200"/>
        <w:contextualSpacing/>
        <w:rPr>
          <w:rFonts w:ascii="宋体" w:hAnsi="宋体"/>
          <w:b/>
          <w:color w:val="auto"/>
          <w:sz w:val="24"/>
          <w:highlight w:val="none"/>
        </w:rPr>
      </w:pPr>
      <w:r>
        <w:rPr>
          <w:rFonts w:hint="eastAsia" w:ascii="宋体" w:hAnsi="宋体"/>
          <w:color w:val="auto"/>
          <w:sz w:val="24"/>
          <w:highlight w:val="none"/>
        </w:rPr>
        <w:t>以上设备性能配置清单中“货物名称、数量及单位、品牌、规格型号、制造商、原产地、参数性能、指标及配置”必须如实填写完整，品牌、规格型号没有则填无，填写有缺漏</w:t>
      </w:r>
      <w:r>
        <w:rPr>
          <w:rFonts w:hint="eastAsia" w:ascii="宋体" w:hAnsi="宋体"/>
          <w:bCs/>
          <w:color w:val="auto"/>
          <w:sz w:val="24"/>
          <w:highlight w:val="none"/>
        </w:rPr>
        <w:t>的，</w:t>
      </w:r>
      <w:r>
        <w:rPr>
          <w:rFonts w:hint="eastAsia" w:ascii="宋体" w:hAnsi="宋体"/>
          <w:b/>
          <w:color w:val="auto"/>
          <w:sz w:val="24"/>
          <w:highlight w:val="none"/>
        </w:rPr>
        <w:t>作无效投标处理。</w:t>
      </w:r>
      <w:r>
        <w:rPr>
          <w:rFonts w:hint="eastAsia" w:hAnsi="宋体" w:cs="Courier New"/>
          <w:color w:val="auto"/>
          <w:sz w:val="24"/>
          <w:highlight w:val="none"/>
        </w:rPr>
        <w:t>标的的名称</w:t>
      </w:r>
      <w:r>
        <w:rPr>
          <w:rFonts w:hint="eastAsia" w:ascii="宋体" w:hAnsi="宋体"/>
          <w:color w:val="auto"/>
          <w:sz w:val="24"/>
          <w:highlight w:val="none"/>
        </w:rPr>
        <w:t>、数量及单位、品牌必须与“开标一览表”一致，</w:t>
      </w:r>
      <w:r>
        <w:rPr>
          <w:rFonts w:hint="eastAsia" w:ascii="宋体" w:hAnsi="宋体"/>
          <w:b/>
          <w:color w:val="auto"/>
          <w:sz w:val="24"/>
          <w:highlight w:val="none"/>
        </w:rPr>
        <w:t>否则按无效投标处理。</w:t>
      </w:r>
    </w:p>
    <w:p w14:paraId="68D3AB7E">
      <w:pPr>
        <w:spacing w:line="360" w:lineRule="auto"/>
        <w:ind w:firstLine="480" w:firstLineChars="200"/>
        <w:contextualSpacing/>
        <w:rPr>
          <w:rFonts w:ascii="宋体" w:hAnsi="宋体"/>
          <w:color w:val="auto"/>
          <w:sz w:val="24"/>
          <w:highlight w:val="none"/>
        </w:rPr>
      </w:pPr>
    </w:p>
    <w:p w14:paraId="755DC75E">
      <w:pPr>
        <w:spacing w:line="360" w:lineRule="auto"/>
        <w:contextualSpacing/>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0C09DEA3">
      <w:pPr>
        <w:spacing w:line="360" w:lineRule="auto"/>
        <w:contextualSpacing/>
        <w:rPr>
          <w:rFonts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27EA0626">
      <w:pPr>
        <w:spacing w:line="360" w:lineRule="auto"/>
        <w:contextualSpacing/>
        <w:rPr>
          <w:rFonts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31E531FF">
      <w:pPr>
        <w:snapToGrid w:val="0"/>
        <w:spacing w:before="50" w:after="120" w:afterLines="50"/>
        <w:jc w:val="left"/>
        <w:rPr>
          <w:rFonts w:ascii="宋体" w:hAnsi="宋体"/>
          <w:color w:val="auto"/>
          <w:sz w:val="24"/>
          <w:szCs w:val="20"/>
          <w:highlight w:val="none"/>
        </w:rPr>
      </w:pPr>
    </w:p>
    <w:p w14:paraId="19B54062">
      <w:pPr>
        <w:snapToGrid w:val="0"/>
        <w:spacing w:before="50" w:after="120" w:afterLines="50"/>
        <w:jc w:val="left"/>
        <w:rPr>
          <w:rFonts w:ascii="宋体" w:hAnsi="宋体"/>
          <w:color w:val="auto"/>
          <w:sz w:val="24"/>
          <w:szCs w:val="20"/>
          <w:highlight w:val="none"/>
        </w:rPr>
      </w:pPr>
    </w:p>
    <w:p w14:paraId="1E10324B">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9. 技术要求偏离表格式</w:t>
      </w:r>
    </w:p>
    <w:p w14:paraId="2D59F2AA">
      <w:pPr>
        <w:snapToGrid w:val="0"/>
        <w:spacing w:before="120" w:beforeLines="50" w:after="50"/>
        <w:ind w:left="142"/>
        <w:jc w:val="left"/>
        <w:rPr>
          <w:rFonts w:ascii="宋体" w:hAnsi="宋体"/>
          <w:b/>
          <w:color w:val="auto"/>
          <w:sz w:val="24"/>
          <w:highlight w:val="none"/>
        </w:rPr>
      </w:pPr>
    </w:p>
    <w:p w14:paraId="052B2DC1">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技术要求偏离表</w:t>
      </w:r>
    </w:p>
    <w:p w14:paraId="0DA77AFA">
      <w:pPr>
        <w:pStyle w:val="26"/>
        <w:rPr>
          <w:rFonts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tbl>
      <w:tblPr>
        <w:tblStyle w:val="47"/>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11D54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68F8E948">
            <w:pPr>
              <w:pStyle w:val="26"/>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项号</w:t>
            </w:r>
          </w:p>
        </w:tc>
        <w:tc>
          <w:tcPr>
            <w:tcW w:w="2143" w:type="dxa"/>
            <w:vAlign w:val="center"/>
          </w:tcPr>
          <w:p w14:paraId="20E1B83D">
            <w:pPr>
              <w:pStyle w:val="26"/>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标的的名称</w:t>
            </w:r>
          </w:p>
        </w:tc>
        <w:tc>
          <w:tcPr>
            <w:tcW w:w="1834" w:type="dxa"/>
            <w:vAlign w:val="center"/>
          </w:tcPr>
          <w:p w14:paraId="54C9EBB1">
            <w:pPr>
              <w:pStyle w:val="26"/>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技术要求</w:t>
            </w:r>
          </w:p>
        </w:tc>
        <w:tc>
          <w:tcPr>
            <w:tcW w:w="2181" w:type="dxa"/>
            <w:vAlign w:val="center"/>
          </w:tcPr>
          <w:p w14:paraId="74835C42">
            <w:pPr>
              <w:pStyle w:val="26"/>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投标响应</w:t>
            </w:r>
          </w:p>
        </w:tc>
        <w:tc>
          <w:tcPr>
            <w:tcW w:w="1934" w:type="dxa"/>
            <w:vAlign w:val="center"/>
          </w:tcPr>
          <w:p w14:paraId="46C7706C">
            <w:pPr>
              <w:pStyle w:val="26"/>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偏离说明</w:t>
            </w:r>
          </w:p>
        </w:tc>
      </w:tr>
      <w:tr w14:paraId="5757E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33EAA89E">
            <w:pPr>
              <w:pStyle w:val="26"/>
              <w:spacing w:line="600" w:lineRule="exact"/>
              <w:jc w:val="center"/>
              <w:rPr>
                <w:rFonts w:hAnsi="宋体" w:cs="Courier New"/>
                <w:color w:val="auto"/>
                <w:kern w:val="2"/>
                <w:sz w:val="24"/>
                <w:szCs w:val="24"/>
                <w:highlight w:val="none"/>
              </w:rPr>
            </w:pPr>
          </w:p>
        </w:tc>
        <w:tc>
          <w:tcPr>
            <w:tcW w:w="2143" w:type="dxa"/>
            <w:vAlign w:val="center"/>
          </w:tcPr>
          <w:p w14:paraId="64D89190">
            <w:pPr>
              <w:pStyle w:val="26"/>
              <w:spacing w:line="600" w:lineRule="exact"/>
              <w:jc w:val="center"/>
              <w:rPr>
                <w:rFonts w:hAnsi="宋体" w:cs="Courier New"/>
                <w:color w:val="auto"/>
                <w:kern w:val="2"/>
                <w:sz w:val="24"/>
                <w:szCs w:val="24"/>
                <w:highlight w:val="none"/>
              </w:rPr>
            </w:pPr>
          </w:p>
        </w:tc>
        <w:tc>
          <w:tcPr>
            <w:tcW w:w="1834" w:type="dxa"/>
            <w:vAlign w:val="center"/>
          </w:tcPr>
          <w:p w14:paraId="7546B9B4">
            <w:pPr>
              <w:pStyle w:val="26"/>
              <w:spacing w:line="600" w:lineRule="exact"/>
              <w:jc w:val="center"/>
              <w:rPr>
                <w:rFonts w:hAnsi="宋体" w:cs="Courier New"/>
                <w:color w:val="auto"/>
                <w:kern w:val="2"/>
                <w:sz w:val="24"/>
                <w:szCs w:val="24"/>
                <w:highlight w:val="none"/>
              </w:rPr>
            </w:pPr>
          </w:p>
        </w:tc>
        <w:tc>
          <w:tcPr>
            <w:tcW w:w="2181" w:type="dxa"/>
            <w:vAlign w:val="center"/>
          </w:tcPr>
          <w:p w14:paraId="512A822A">
            <w:pPr>
              <w:pStyle w:val="26"/>
              <w:spacing w:line="600" w:lineRule="exact"/>
              <w:jc w:val="center"/>
              <w:rPr>
                <w:rFonts w:hAnsi="宋体" w:cs="Courier New"/>
                <w:color w:val="auto"/>
                <w:kern w:val="2"/>
                <w:sz w:val="24"/>
                <w:szCs w:val="24"/>
                <w:highlight w:val="none"/>
              </w:rPr>
            </w:pPr>
          </w:p>
        </w:tc>
        <w:tc>
          <w:tcPr>
            <w:tcW w:w="1934" w:type="dxa"/>
            <w:vAlign w:val="center"/>
          </w:tcPr>
          <w:p w14:paraId="7C5609C5">
            <w:pPr>
              <w:pStyle w:val="26"/>
              <w:spacing w:line="600" w:lineRule="exact"/>
              <w:jc w:val="center"/>
              <w:rPr>
                <w:rFonts w:hAnsi="宋体" w:cs="Courier New"/>
                <w:color w:val="auto"/>
                <w:kern w:val="2"/>
                <w:sz w:val="24"/>
                <w:szCs w:val="24"/>
                <w:highlight w:val="none"/>
              </w:rPr>
            </w:pPr>
          </w:p>
        </w:tc>
      </w:tr>
      <w:tr w14:paraId="554A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27FB73A">
            <w:pPr>
              <w:pStyle w:val="26"/>
              <w:spacing w:line="600" w:lineRule="exact"/>
              <w:rPr>
                <w:rFonts w:hAnsi="宋体" w:cs="Courier New"/>
                <w:color w:val="auto"/>
                <w:kern w:val="2"/>
                <w:sz w:val="24"/>
                <w:szCs w:val="24"/>
                <w:highlight w:val="none"/>
              </w:rPr>
            </w:pPr>
          </w:p>
        </w:tc>
        <w:tc>
          <w:tcPr>
            <w:tcW w:w="2143" w:type="dxa"/>
          </w:tcPr>
          <w:p w14:paraId="6FE06A06">
            <w:pPr>
              <w:pStyle w:val="26"/>
              <w:spacing w:line="600" w:lineRule="exact"/>
              <w:rPr>
                <w:rFonts w:hAnsi="宋体" w:cs="Courier New"/>
                <w:color w:val="auto"/>
                <w:kern w:val="2"/>
                <w:sz w:val="24"/>
                <w:szCs w:val="24"/>
                <w:highlight w:val="none"/>
              </w:rPr>
            </w:pPr>
          </w:p>
        </w:tc>
        <w:tc>
          <w:tcPr>
            <w:tcW w:w="1834" w:type="dxa"/>
          </w:tcPr>
          <w:p w14:paraId="171EA3EF">
            <w:pPr>
              <w:pStyle w:val="26"/>
              <w:spacing w:line="600" w:lineRule="exact"/>
              <w:rPr>
                <w:rFonts w:hAnsi="宋体" w:cs="Courier New"/>
                <w:color w:val="auto"/>
                <w:kern w:val="2"/>
                <w:sz w:val="24"/>
                <w:szCs w:val="24"/>
                <w:highlight w:val="none"/>
              </w:rPr>
            </w:pPr>
          </w:p>
        </w:tc>
        <w:tc>
          <w:tcPr>
            <w:tcW w:w="2181" w:type="dxa"/>
          </w:tcPr>
          <w:p w14:paraId="0E2B8C28">
            <w:pPr>
              <w:pStyle w:val="26"/>
              <w:spacing w:line="600" w:lineRule="exact"/>
              <w:rPr>
                <w:rFonts w:hAnsi="宋体" w:cs="Courier New"/>
                <w:color w:val="auto"/>
                <w:kern w:val="2"/>
                <w:sz w:val="24"/>
                <w:szCs w:val="24"/>
                <w:highlight w:val="none"/>
              </w:rPr>
            </w:pPr>
          </w:p>
        </w:tc>
        <w:tc>
          <w:tcPr>
            <w:tcW w:w="1934" w:type="dxa"/>
          </w:tcPr>
          <w:p w14:paraId="47D50541">
            <w:pPr>
              <w:pStyle w:val="26"/>
              <w:spacing w:line="600" w:lineRule="exact"/>
              <w:rPr>
                <w:rFonts w:hAnsi="宋体" w:cs="Courier New"/>
                <w:color w:val="auto"/>
                <w:kern w:val="2"/>
                <w:sz w:val="24"/>
                <w:szCs w:val="24"/>
                <w:highlight w:val="none"/>
              </w:rPr>
            </w:pPr>
          </w:p>
        </w:tc>
      </w:tr>
      <w:tr w14:paraId="28C0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3458CAB">
            <w:pPr>
              <w:pStyle w:val="26"/>
              <w:spacing w:line="600" w:lineRule="exact"/>
              <w:rPr>
                <w:rFonts w:hAnsi="宋体" w:cs="Courier New"/>
                <w:color w:val="auto"/>
                <w:kern w:val="2"/>
                <w:sz w:val="24"/>
                <w:szCs w:val="24"/>
                <w:highlight w:val="none"/>
              </w:rPr>
            </w:pPr>
          </w:p>
        </w:tc>
        <w:tc>
          <w:tcPr>
            <w:tcW w:w="2143" w:type="dxa"/>
          </w:tcPr>
          <w:p w14:paraId="7B65356B">
            <w:pPr>
              <w:pStyle w:val="26"/>
              <w:spacing w:line="600" w:lineRule="exact"/>
              <w:rPr>
                <w:rFonts w:hAnsi="宋体" w:cs="Courier New"/>
                <w:color w:val="auto"/>
                <w:kern w:val="2"/>
                <w:sz w:val="24"/>
                <w:szCs w:val="24"/>
                <w:highlight w:val="none"/>
              </w:rPr>
            </w:pPr>
          </w:p>
        </w:tc>
        <w:tc>
          <w:tcPr>
            <w:tcW w:w="1834" w:type="dxa"/>
          </w:tcPr>
          <w:p w14:paraId="5C86C173">
            <w:pPr>
              <w:pStyle w:val="26"/>
              <w:spacing w:line="600" w:lineRule="exact"/>
              <w:rPr>
                <w:rFonts w:hAnsi="宋体" w:cs="Courier New"/>
                <w:color w:val="auto"/>
                <w:kern w:val="2"/>
                <w:sz w:val="24"/>
                <w:szCs w:val="24"/>
                <w:highlight w:val="none"/>
              </w:rPr>
            </w:pPr>
          </w:p>
        </w:tc>
        <w:tc>
          <w:tcPr>
            <w:tcW w:w="2181" w:type="dxa"/>
          </w:tcPr>
          <w:p w14:paraId="2BE0AF7B">
            <w:pPr>
              <w:pStyle w:val="26"/>
              <w:spacing w:line="600" w:lineRule="exact"/>
              <w:rPr>
                <w:rFonts w:hAnsi="宋体" w:cs="Courier New"/>
                <w:color w:val="auto"/>
                <w:kern w:val="2"/>
                <w:sz w:val="24"/>
                <w:szCs w:val="24"/>
                <w:highlight w:val="none"/>
              </w:rPr>
            </w:pPr>
          </w:p>
        </w:tc>
        <w:tc>
          <w:tcPr>
            <w:tcW w:w="1934" w:type="dxa"/>
          </w:tcPr>
          <w:p w14:paraId="1F73728F">
            <w:pPr>
              <w:pStyle w:val="26"/>
              <w:spacing w:line="600" w:lineRule="exact"/>
              <w:rPr>
                <w:rFonts w:hAnsi="宋体" w:cs="Courier New"/>
                <w:color w:val="auto"/>
                <w:kern w:val="2"/>
                <w:sz w:val="24"/>
                <w:szCs w:val="24"/>
                <w:highlight w:val="none"/>
              </w:rPr>
            </w:pPr>
          </w:p>
        </w:tc>
      </w:tr>
    </w:tbl>
    <w:p w14:paraId="783610BB">
      <w:pPr>
        <w:pStyle w:val="20"/>
        <w:rPr>
          <w:rFonts w:ascii="宋体" w:hAnsi="宋体"/>
          <w:color w:val="auto"/>
          <w:highlight w:val="none"/>
        </w:rPr>
      </w:pPr>
      <w:r>
        <w:rPr>
          <w:rFonts w:hint="eastAsia" w:ascii="宋体" w:hAnsi="宋体"/>
          <w:color w:val="auto"/>
          <w:highlight w:val="none"/>
        </w:rPr>
        <w:t>注：</w:t>
      </w:r>
    </w:p>
    <w:p w14:paraId="2B0F5D06">
      <w:pPr>
        <w:pStyle w:val="3"/>
        <w:spacing w:line="360" w:lineRule="auto"/>
        <w:ind w:firstLine="0" w:firstLineChars="0"/>
        <w:rPr>
          <w:rFonts w:hAnsi="仿宋_GB2312" w:cs="仿宋_GB2312"/>
          <w:color w:val="auto"/>
          <w:szCs w:val="32"/>
          <w:highlight w:val="none"/>
        </w:rPr>
      </w:pPr>
      <w:r>
        <w:rPr>
          <w:rFonts w:hint="eastAsia" w:ascii="宋体" w:hAnsi="宋体" w:eastAsia="宋体"/>
          <w:color w:val="auto"/>
          <w:sz w:val="24"/>
          <w:szCs w:val="24"/>
          <w:highlight w:val="none"/>
        </w:rPr>
        <w:t>1. 说明：应对照招标文件“第二章 采购需求”中的“技术要求”逐条作明确的投标响应，并作出偏离说明。</w:t>
      </w:r>
    </w:p>
    <w:p w14:paraId="2B30D496">
      <w:pPr>
        <w:pStyle w:val="20"/>
        <w:spacing w:line="360" w:lineRule="auto"/>
        <w:rPr>
          <w:rFonts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投标人根据投标货物的性能指标，对照招标文件技术要求，在“偏离说明”中注明“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14:paraId="56BB4DE2">
      <w:pPr>
        <w:pStyle w:val="3"/>
        <w:spacing w:line="360" w:lineRule="auto"/>
        <w:ind w:firstLine="0" w:firstLineChars="0"/>
        <w:rPr>
          <w:rFonts w:ascii="宋体" w:hAnsi="宋体"/>
          <w:color w:val="auto"/>
          <w:sz w:val="24"/>
          <w:highlight w:val="none"/>
        </w:rPr>
      </w:pPr>
      <w:r>
        <w:rPr>
          <w:rFonts w:hint="eastAsia" w:ascii="宋体" w:hAnsi="宋体" w:eastAsia="宋体"/>
          <w:color w:val="auto"/>
          <w:sz w:val="24"/>
          <w:szCs w:val="24"/>
          <w:highlight w:val="none"/>
        </w:rPr>
        <w:t>3</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 如技术要求偏离表中的投标响应与佐证材料不一致的，以佐证材料为准。</w:t>
      </w:r>
    </w:p>
    <w:p w14:paraId="2437EB3F">
      <w:pPr>
        <w:snapToGrid w:val="0"/>
        <w:spacing w:before="50" w:after="50" w:line="360" w:lineRule="auto"/>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310FB141">
      <w:pPr>
        <w:snapToGrid w:val="0"/>
        <w:spacing w:before="50" w:after="50" w:line="360" w:lineRule="auto"/>
        <w:rPr>
          <w:rFonts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35677C29">
      <w:pPr>
        <w:snapToGrid w:val="0"/>
        <w:spacing w:before="50" w:after="50" w:line="360" w:lineRule="auto"/>
        <w:rPr>
          <w:rFonts w:ascii="宋体" w:hAnsi="宋体"/>
          <w:color w:val="auto"/>
          <w:spacing w:val="20"/>
          <w:sz w:val="24"/>
          <w:highlight w:val="none"/>
          <w:u w:val="singl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2E5223CD">
      <w:pPr>
        <w:snapToGrid w:val="0"/>
        <w:spacing w:before="50" w:after="50" w:line="360" w:lineRule="auto"/>
        <w:rPr>
          <w:rFonts w:ascii="宋体" w:hAnsi="宋体"/>
          <w:color w:val="auto"/>
          <w:sz w:val="24"/>
          <w:szCs w:val="20"/>
          <w:highlight w:val="none"/>
        </w:rPr>
      </w:pPr>
    </w:p>
    <w:p w14:paraId="7999558A">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10. 项目实施人员一览表格式</w:t>
      </w:r>
    </w:p>
    <w:p w14:paraId="6564F0E6">
      <w:pPr>
        <w:snapToGrid w:val="0"/>
        <w:spacing w:before="120" w:beforeLines="50" w:after="50"/>
        <w:ind w:left="142"/>
        <w:jc w:val="left"/>
        <w:rPr>
          <w:rFonts w:ascii="宋体" w:hAnsi="宋体"/>
          <w:b/>
          <w:color w:val="auto"/>
          <w:sz w:val="24"/>
          <w:highlight w:val="none"/>
        </w:rPr>
      </w:pPr>
    </w:p>
    <w:p w14:paraId="558A6FC1">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0237A481">
      <w:pPr>
        <w:pStyle w:val="26"/>
        <w:rPr>
          <w:color w:val="auto"/>
          <w:sz w:val="24"/>
          <w:szCs w:val="24"/>
          <w:highlight w:val="none"/>
        </w:rPr>
      </w:pPr>
      <w:r>
        <w:rPr>
          <w:rFonts w:hint="eastAsia"/>
          <w:color w:val="auto"/>
          <w:sz w:val="24"/>
          <w:szCs w:val="24"/>
          <w:highlight w:val="none"/>
        </w:rPr>
        <w:t>所投分标：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1596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617ED68">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姓名</w:t>
            </w:r>
          </w:p>
        </w:tc>
        <w:tc>
          <w:tcPr>
            <w:tcW w:w="709" w:type="dxa"/>
            <w:vAlign w:val="center"/>
          </w:tcPr>
          <w:p w14:paraId="47E5ACB8">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职务</w:t>
            </w:r>
          </w:p>
        </w:tc>
        <w:tc>
          <w:tcPr>
            <w:tcW w:w="1701" w:type="dxa"/>
            <w:vAlign w:val="center"/>
          </w:tcPr>
          <w:p w14:paraId="797FB8FB">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vAlign w:val="center"/>
          </w:tcPr>
          <w:p w14:paraId="0D7BDB2C">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证书编号</w:t>
            </w:r>
          </w:p>
        </w:tc>
        <w:tc>
          <w:tcPr>
            <w:tcW w:w="1698" w:type="dxa"/>
            <w:vAlign w:val="center"/>
          </w:tcPr>
          <w:p w14:paraId="279C7252">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参加本单位</w:t>
            </w:r>
          </w:p>
          <w:p w14:paraId="23869A1A">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工作时间</w:t>
            </w:r>
          </w:p>
        </w:tc>
        <w:tc>
          <w:tcPr>
            <w:tcW w:w="1843" w:type="dxa"/>
            <w:vAlign w:val="center"/>
          </w:tcPr>
          <w:p w14:paraId="0987D2B7">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劳动合同编号</w:t>
            </w:r>
          </w:p>
        </w:tc>
      </w:tr>
      <w:tr w14:paraId="4838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FB6BB53">
            <w:pPr>
              <w:snapToGrid w:val="0"/>
              <w:spacing w:before="50" w:after="120" w:afterLines="50"/>
              <w:jc w:val="center"/>
              <w:rPr>
                <w:rFonts w:ascii="宋体" w:hAnsi="宋体"/>
                <w:color w:val="auto"/>
                <w:sz w:val="24"/>
                <w:szCs w:val="20"/>
                <w:highlight w:val="none"/>
              </w:rPr>
            </w:pPr>
          </w:p>
        </w:tc>
        <w:tc>
          <w:tcPr>
            <w:tcW w:w="709" w:type="dxa"/>
            <w:vAlign w:val="center"/>
          </w:tcPr>
          <w:p w14:paraId="54341136">
            <w:pPr>
              <w:snapToGrid w:val="0"/>
              <w:spacing w:before="50" w:after="120" w:afterLines="50"/>
              <w:jc w:val="center"/>
              <w:rPr>
                <w:rFonts w:ascii="宋体" w:hAnsi="宋体"/>
                <w:color w:val="auto"/>
                <w:sz w:val="24"/>
                <w:szCs w:val="20"/>
                <w:highlight w:val="none"/>
              </w:rPr>
            </w:pPr>
          </w:p>
        </w:tc>
        <w:tc>
          <w:tcPr>
            <w:tcW w:w="1701" w:type="dxa"/>
            <w:vAlign w:val="center"/>
          </w:tcPr>
          <w:p w14:paraId="72E0FA5D">
            <w:pPr>
              <w:snapToGrid w:val="0"/>
              <w:spacing w:before="50" w:after="120" w:afterLines="50"/>
              <w:jc w:val="center"/>
              <w:rPr>
                <w:rFonts w:ascii="宋体" w:hAnsi="宋体"/>
                <w:color w:val="auto"/>
                <w:sz w:val="24"/>
                <w:szCs w:val="20"/>
                <w:highlight w:val="none"/>
              </w:rPr>
            </w:pPr>
          </w:p>
        </w:tc>
        <w:tc>
          <w:tcPr>
            <w:tcW w:w="1420" w:type="dxa"/>
            <w:vAlign w:val="center"/>
          </w:tcPr>
          <w:p w14:paraId="5F4C55E9">
            <w:pPr>
              <w:snapToGrid w:val="0"/>
              <w:spacing w:before="50" w:after="120" w:afterLines="50"/>
              <w:jc w:val="center"/>
              <w:rPr>
                <w:rFonts w:ascii="宋体" w:hAnsi="宋体"/>
                <w:color w:val="auto"/>
                <w:sz w:val="24"/>
                <w:szCs w:val="20"/>
                <w:highlight w:val="none"/>
              </w:rPr>
            </w:pPr>
          </w:p>
        </w:tc>
        <w:tc>
          <w:tcPr>
            <w:tcW w:w="1698" w:type="dxa"/>
            <w:vAlign w:val="center"/>
          </w:tcPr>
          <w:p w14:paraId="0A7C8F4B">
            <w:pPr>
              <w:snapToGrid w:val="0"/>
              <w:spacing w:before="50" w:after="120" w:afterLines="50"/>
              <w:jc w:val="center"/>
              <w:rPr>
                <w:rFonts w:ascii="宋体" w:hAnsi="宋体"/>
                <w:color w:val="auto"/>
                <w:sz w:val="24"/>
                <w:szCs w:val="20"/>
                <w:highlight w:val="none"/>
              </w:rPr>
            </w:pPr>
          </w:p>
        </w:tc>
        <w:tc>
          <w:tcPr>
            <w:tcW w:w="1843" w:type="dxa"/>
            <w:vAlign w:val="center"/>
          </w:tcPr>
          <w:p w14:paraId="35852520">
            <w:pPr>
              <w:snapToGrid w:val="0"/>
              <w:spacing w:before="50" w:after="120" w:afterLines="50"/>
              <w:jc w:val="center"/>
              <w:rPr>
                <w:rFonts w:ascii="宋体" w:hAnsi="宋体"/>
                <w:color w:val="auto"/>
                <w:sz w:val="24"/>
                <w:szCs w:val="20"/>
                <w:highlight w:val="none"/>
              </w:rPr>
            </w:pPr>
          </w:p>
        </w:tc>
      </w:tr>
      <w:tr w14:paraId="3B97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0690306">
            <w:pPr>
              <w:snapToGrid w:val="0"/>
              <w:spacing w:before="50" w:after="120" w:afterLines="50"/>
              <w:jc w:val="center"/>
              <w:rPr>
                <w:rFonts w:ascii="宋体" w:hAnsi="宋体"/>
                <w:color w:val="auto"/>
                <w:sz w:val="24"/>
                <w:szCs w:val="20"/>
                <w:highlight w:val="none"/>
              </w:rPr>
            </w:pPr>
          </w:p>
        </w:tc>
        <w:tc>
          <w:tcPr>
            <w:tcW w:w="709" w:type="dxa"/>
            <w:vAlign w:val="center"/>
          </w:tcPr>
          <w:p w14:paraId="4672CB8A">
            <w:pPr>
              <w:snapToGrid w:val="0"/>
              <w:spacing w:before="50" w:after="120" w:afterLines="50"/>
              <w:jc w:val="center"/>
              <w:rPr>
                <w:rFonts w:ascii="宋体" w:hAnsi="宋体"/>
                <w:color w:val="auto"/>
                <w:sz w:val="24"/>
                <w:szCs w:val="20"/>
                <w:highlight w:val="none"/>
              </w:rPr>
            </w:pPr>
          </w:p>
        </w:tc>
        <w:tc>
          <w:tcPr>
            <w:tcW w:w="1701" w:type="dxa"/>
            <w:vAlign w:val="center"/>
          </w:tcPr>
          <w:p w14:paraId="39141B31">
            <w:pPr>
              <w:snapToGrid w:val="0"/>
              <w:spacing w:before="50" w:after="120" w:afterLines="50"/>
              <w:jc w:val="center"/>
              <w:rPr>
                <w:rFonts w:ascii="宋体" w:hAnsi="宋体"/>
                <w:color w:val="auto"/>
                <w:sz w:val="24"/>
                <w:szCs w:val="20"/>
                <w:highlight w:val="none"/>
              </w:rPr>
            </w:pPr>
          </w:p>
        </w:tc>
        <w:tc>
          <w:tcPr>
            <w:tcW w:w="1420" w:type="dxa"/>
            <w:vAlign w:val="center"/>
          </w:tcPr>
          <w:p w14:paraId="66701982">
            <w:pPr>
              <w:snapToGrid w:val="0"/>
              <w:spacing w:before="50" w:after="120" w:afterLines="50"/>
              <w:jc w:val="center"/>
              <w:rPr>
                <w:rFonts w:ascii="宋体" w:hAnsi="宋体"/>
                <w:color w:val="auto"/>
                <w:sz w:val="24"/>
                <w:szCs w:val="20"/>
                <w:highlight w:val="none"/>
              </w:rPr>
            </w:pPr>
          </w:p>
        </w:tc>
        <w:tc>
          <w:tcPr>
            <w:tcW w:w="1698" w:type="dxa"/>
            <w:vAlign w:val="center"/>
          </w:tcPr>
          <w:p w14:paraId="4EE70FBD">
            <w:pPr>
              <w:snapToGrid w:val="0"/>
              <w:spacing w:before="50" w:after="120" w:afterLines="50"/>
              <w:jc w:val="center"/>
              <w:rPr>
                <w:rFonts w:ascii="宋体" w:hAnsi="宋体"/>
                <w:color w:val="auto"/>
                <w:sz w:val="24"/>
                <w:szCs w:val="20"/>
                <w:highlight w:val="none"/>
              </w:rPr>
            </w:pPr>
          </w:p>
        </w:tc>
        <w:tc>
          <w:tcPr>
            <w:tcW w:w="1843" w:type="dxa"/>
            <w:vAlign w:val="center"/>
          </w:tcPr>
          <w:p w14:paraId="7C6B904F">
            <w:pPr>
              <w:snapToGrid w:val="0"/>
              <w:spacing w:before="50" w:after="120" w:afterLines="50"/>
              <w:jc w:val="center"/>
              <w:rPr>
                <w:rFonts w:ascii="宋体" w:hAnsi="宋体"/>
                <w:color w:val="auto"/>
                <w:sz w:val="24"/>
                <w:szCs w:val="20"/>
                <w:highlight w:val="none"/>
              </w:rPr>
            </w:pPr>
          </w:p>
        </w:tc>
      </w:tr>
      <w:tr w14:paraId="6FD6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07946A4">
            <w:pPr>
              <w:snapToGrid w:val="0"/>
              <w:spacing w:before="50" w:after="120" w:afterLines="50"/>
              <w:jc w:val="center"/>
              <w:rPr>
                <w:rFonts w:ascii="宋体" w:hAnsi="宋体"/>
                <w:color w:val="auto"/>
                <w:sz w:val="24"/>
                <w:szCs w:val="20"/>
                <w:highlight w:val="none"/>
              </w:rPr>
            </w:pPr>
          </w:p>
        </w:tc>
        <w:tc>
          <w:tcPr>
            <w:tcW w:w="709" w:type="dxa"/>
            <w:vAlign w:val="center"/>
          </w:tcPr>
          <w:p w14:paraId="15366883">
            <w:pPr>
              <w:snapToGrid w:val="0"/>
              <w:spacing w:before="50" w:after="120" w:afterLines="50"/>
              <w:jc w:val="center"/>
              <w:rPr>
                <w:rFonts w:ascii="宋体" w:hAnsi="宋体"/>
                <w:color w:val="auto"/>
                <w:sz w:val="24"/>
                <w:szCs w:val="20"/>
                <w:highlight w:val="none"/>
              </w:rPr>
            </w:pPr>
          </w:p>
        </w:tc>
        <w:tc>
          <w:tcPr>
            <w:tcW w:w="1701" w:type="dxa"/>
            <w:vAlign w:val="center"/>
          </w:tcPr>
          <w:p w14:paraId="339624B1">
            <w:pPr>
              <w:snapToGrid w:val="0"/>
              <w:spacing w:before="50" w:after="120" w:afterLines="50"/>
              <w:jc w:val="center"/>
              <w:rPr>
                <w:rFonts w:ascii="宋体" w:hAnsi="宋体"/>
                <w:color w:val="auto"/>
                <w:sz w:val="24"/>
                <w:szCs w:val="20"/>
                <w:highlight w:val="none"/>
              </w:rPr>
            </w:pPr>
          </w:p>
        </w:tc>
        <w:tc>
          <w:tcPr>
            <w:tcW w:w="1420" w:type="dxa"/>
            <w:vAlign w:val="center"/>
          </w:tcPr>
          <w:p w14:paraId="0E108733">
            <w:pPr>
              <w:snapToGrid w:val="0"/>
              <w:spacing w:before="50" w:after="120" w:afterLines="50"/>
              <w:jc w:val="center"/>
              <w:rPr>
                <w:rFonts w:ascii="宋体" w:hAnsi="宋体"/>
                <w:color w:val="auto"/>
                <w:sz w:val="24"/>
                <w:szCs w:val="20"/>
                <w:highlight w:val="none"/>
              </w:rPr>
            </w:pPr>
          </w:p>
        </w:tc>
        <w:tc>
          <w:tcPr>
            <w:tcW w:w="1698" w:type="dxa"/>
            <w:vAlign w:val="center"/>
          </w:tcPr>
          <w:p w14:paraId="4452047B">
            <w:pPr>
              <w:snapToGrid w:val="0"/>
              <w:spacing w:before="50" w:after="120" w:afterLines="50"/>
              <w:jc w:val="center"/>
              <w:rPr>
                <w:rFonts w:ascii="宋体" w:hAnsi="宋体"/>
                <w:color w:val="auto"/>
                <w:sz w:val="24"/>
                <w:szCs w:val="20"/>
                <w:highlight w:val="none"/>
              </w:rPr>
            </w:pPr>
          </w:p>
        </w:tc>
        <w:tc>
          <w:tcPr>
            <w:tcW w:w="1843" w:type="dxa"/>
            <w:vAlign w:val="center"/>
          </w:tcPr>
          <w:p w14:paraId="243A130D">
            <w:pPr>
              <w:snapToGrid w:val="0"/>
              <w:spacing w:before="50" w:after="120" w:afterLines="50"/>
              <w:jc w:val="center"/>
              <w:rPr>
                <w:rFonts w:ascii="宋体" w:hAnsi="宋体"/>
                <w:color w:val="auto"/>
                <w:sz w:val="24"/>
                <w:szCs w:val="20"/>
                <w:highlight w:val="none"/>
              </w:rPr>
            </w:pPr>
          </w:p>
        </w:tc>
      </w:tr>
    </w:tbl>
    <w:p w14:paraId="35FD41D8">
      <w:pPr>
        <w:snapToGrid w:val="0"/>
        <w:spacing w:before="50" w:after="120" w:afterLines="50"/>
        <w:jc w:val="left"/>
        <w:rPr>
          <w:rFonts w:ascii="宋体" w:hAnsi="宋体"/>
          <w:color w:val="auto"/>
          <w:sz w:val="24"/>
          <w:szCs w:val="20"/>
          <w:highlight w:val="none"/>
        </w:rPr>
      </w:pPr>
    </w:p>
    <w:p w14:paraId="5A2FB05E">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14:paraId="6F3DD8C0">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在填写时，如本表格不适合投标单位的实际情况，可根据本表格式自行制表填写。</w:t>
      </w:r>
    </w:p>
    <w:p w14:paraId="23CBB557">
      <w:pPr>
        <w:spacing w:line="360" w:lineRule="auto"/>
        <w:contextualSpacing/>
        <w:jc w:val="left"/>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投标人应当附本表所列证书的复印件并加盖投标人电子签章。</w:t>
      </w:r>
    </w:p>
    <w:p w14:paraId="2EF9D6D7">
      <w:pPr>
        <w:spacing w:line="360" w:lineRule="auto"/>
        <w:contextualSpacing/>
        <w:jc w:val="left"/>
        <w:rPr>
          <w:rFonts w:ascii="宋体" w:hAnsi="宋体"/>
          <w:color w:val="auto"/>
          <w:sz w:val="24"/>
          <w:szCs w:val="20"/>
          <w:highlight w:val="none"/>
        </w:rPr>
      </w:pPr>
    </w:p>
    <w:p w14:paraId="4DAAA425">
      <w:pPr>
        <w:spacing w:line="360" w:lineRule="auto"/>
        <w:contextualSpacing/>
        <w:jc w:val="left"/>
        <w:rPr>
          <w:rFonts w:ascii="宋体" w:hAnsi="宋体"/>
          <w:color w:val="auto"/>
          <w:sz w:val="24"/>
          <w:szCs w:val="20"/>
          <w:highlight w:val="none"/>
        </w:rPr>
      </w:pPr>
    </w:p>
    <w:p w14:paraId="500364F0">
      <w:pPr>
        <w:spacing w:line="360" w:lineRule="auto"/>
        <w:contextualSpacing/>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021DAC64">
      <w:pPr>
        <w:spacing w:line="360" w:lineRule="auto"/>
        <w:contextualSpacing/>
        <w:jc w:val="left"/>
        <w:rPr>
          <w:rFonts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00707B00">
      <w:pPr>
        <w:spacing w:line="360" w:lineRule="auto"/>
        <w:contextualSpacing/>
        <w:jc w:val="left"/>
        <w:rPr>
          <w:rFonts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5669E387">
      <w:pPr>
        <w:snapToGrid w:val="0"/>
        <w:spacing w:before="50" w:after="120" w:afterLines="50"/>
        <w:jc w:val="left"/>
        <w:rPr>
          <w:rFonts w:ascii="宋体" w:hAnsi="宋体"/>
          <w:color w:val="auto"/>
          <w:sz w:val="24"/>
          <w:szCs w:val="20"/>
          <w:highlight w:val="none"/>
        </w:rPr>
      </w:pPr>
    </w:p>
    <w:p w14:paraId="69216445">
      <w:pPr>
        <w:snapToGrid w:val="0"/>
        <w:spacing w:before="120" w:beforeLines="50" w:after="50"/>
        <w:ind w:left="142"/>
        <w:jc w:val="left"/>
        <w:rPr>
          <w:b/>
          <w:color w:val="auto"/>
          <w:sz w:val="28"/>
          <w:szCs w:val="28"/>
          <w:highlight w:val="none"/>
        </w:rPr>
      </w:pPr>
      <w:r>
        <w:rPr>
          <w:rFonts w:ascii="宋体" w:hAnsi="宋体"/>
          <w:b/>
          <w:color w:val="auto"/>
          <w:sz w:val="24"/>
          <w:highlight w:val="none"/>
        </w:rPr>
        <w:br w:type="page"/>
      </w:r>
      <w:r>
        <w:rPr>
          <w:rFonts w:hint="eastAsia"/>
          <w:b/>
          <w:color w:val="auto"/>
          <w:sz w:val="28"/>
          <w:szCs w:val="28"/>
          <w:highlight w:val="none"/>
        </w:rPr>
        <w:t>四、其他文书、文件格式</w:t>
      </w:r>
    </w:p>
    <w:p w14:paraId="02D14AAE">
      <w:pPr>
        <w:snapToGrid w:val="0"/>
        <w:spacing w:before="120" w:beforeLines="50" w:after="50"/>
        <w:jc w:val="left"/>
        <w:rPr>
          <w:color w:val="auto"/>
          <w:highlight w:val="none"/>
        </w:rPr>
      </w:pPr>
      <w:r>
        <w:rPr>
          <w:rFonts w:hint="eastAsia" w:ascii="宋体" w:hAnsi="宋体"/>
          <w:b/>
          <w:color w:val="auto"/>
          <w:sz w:val="24"/>
          <w:highlight w:val="none"/>
        </w:rPr>
        <w:t>1.中小企业声明函格式</w:t>
      </w:r>
    </w:p>
    <w:p w14:paraId="7C8822D8">
      <w:pPr>
        <w:rPr>
          <w:color w:val="auto"/>
          <w:highlight w:val="none"/>
        </w:rPr>
      </w:pPr>
    </w:p>
    <w:p w14:paraId="16136081">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中小企业声明函（货物）</w:t>
      </w:r>
    </w:p>
    <w:p w14:paraId="52879561">
      <w:pPr>
        <w:spacing w:before="2" w:line="500" w:lineRule="exact"/>
        <w:rPr>
          <w:rFonts w:ascii="宋体" w:hAnsi="宋体" w:cs="宋体"/>
          <w:b/>
          <w:bCs/>
          <w:color w:val="auto"/>
          <w:sz w:val="27"/>
          <w:szCs w:val="27"/>
          <w:highlight w:val="none"/>
        </w:rPr>
      </w:pPr>
    </w:p>
    <w:p w14:paraId="14A39263">
      <w:pPr>
        <w:pStyle w:val="21"/>
        <w:spacing w:line="360" w:lineRule="auto"/>
        <w:ind w:left="-426" w:leftChars="-203" w:right="142" w:firstLine="480" w:firstLineChars="200"/>
        <w:contextualSpacing/>
        <w:rPr>
          <w:rFonts w:ascii="宋体" w:hAnsi="宋体"/>
          <w:color w:val="auto"/>
          <w:kern w:val="24"/>
          <w:highlight w:val="none"/>
        </w:rPr>
      </w:pPr>
      <w:r>
        <w:rPr>
          <w:rFonts w:ascii="宋体" w:hAnsi="宋体"/>
          <w:color w:val="auto"/>
          <w:kern w:val="24"/>
          <w:highlight w:val="none"/>
        </w:rPr>
        <w:t>本公司（联合体）郑重声明，根据《政府采购促进中小企业发展管理办法》（财库﹝2020﹞46号）的规定，本公司（联合体）参加</w:t>
      </w:r>
      <w:r>
        <w:rPr>
          <w:rFonts w:ascii="宋体" w:hAnsi="宋体"/>
          <w:color w:val="auto"/>
          <w:kern w:val="24"/>
          <w:highlight w:val="none"/>
          <w:u w:val="single"/>
        </w:rPr>
        <w:t>（单位名称）</w:t>
      </w:r>
      <w:r>
        <w:rPr>
          <w:rFonts w:ascii="宋体" w:hAnsi="宋体"/>
          <w:color w:val="auto"/>
          <w:kern w:val="24"/>
          <w:highlight w:val="none"/>
        </w:rPr>
        <w:t>的</w:t>
      </w:r>
      <w:r>
        <w:rPr>
          <w:rFonts w:ascii="宋体" w:hAnsi="宋体"/>
          <w:color w:val="auto"/>
          <w:kern w:val="24"/>
          <w:highlight w:val="none"/>
          <w:u w:val="single"/>
        </w:rPr>
        <w:t>（项目名称）</w:t>
      </w:r>
      <w:r>
        <w:rPr>
          <w:rFonts w:ascii="宋体" w:hAnsi="宋体"/>
          <w:color w:val="auto"/>
          <w:kern w:val="24"/>
          <w:highlight w:val="none"/>
        </w:rPr>
        <w:t>采购活动，提供的货物全部由符合政策要求的中小企业制造。相关企业（含联合体中的中小企业、签订分包意向协议的中小企业）的具体情况如下：</w:t>
      </w:r>
    </w:p>
    <w:p w14:paraId="083A660E">
      <w:pPr>
        <w:tabs>
          <w:tab w:val="left" w:pos="1384"/>
          <w:tab w:val="left" w:pos="4562"/>
          <w:tab w:val="left" w:pos="6803"/>
        </w:tabs>
        <w:spacing w:line="360" w:lineRule="auto"/>
        <w:ind w:left="-426" w:right="-58" w:firstLine="655"/>
        <w:contextualSpacing/>
        <w:rPr>
          <w:rFonts w:ascii="宋体" w:hAnsi="宋体"/>
          <w:color w:val="auto"/>
          <w:kern w:val="24"/>
          <w:sz w:val="24"/>
          <w:highlight w:val="none"/>
        </w:rPr>
      </w:pPr>
      <w:r>
        <w:rPr>
          <w:rFonts w:ascii="宋体" w:hAnsi="宋体"/>
          <w:color w:val="auto"/>
          <w:kern w:val="24"/>
          <w:sz w:val="24"/>
          <w:highlight w:val="none"/>
        </w:rPr>
        <w:t>1.</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（采购文件中明确的所属行业）</w:t>
      </w:r>
      <w:r>
        <w:rPr>
          <w:rFonts w:ascii="宋体" w:hAnsi="宋体"/>
          <w:color w:val="auto"/>
          <w:kern w:val="24"/>
          <w:sz w:val="24"/>
          <w:highlight w:val="none"/>
        </w:rPr>
        <w:t>行业；制造商为</w:t>
      </w:r>
      <w:r>
        <w:rPr>
          <w:rFonts w:ascii="宋体" w:hAnsi="宋体"/>
          <w:color w:val="auto"/>
          <w:kern w:val="24"/>
          <w:sz w:val="24"/>
          <w:highlight w:val="none"/>
          <w:u w:val="single"/>
        </w:rPr>
        <w:t>（企业名称）</w:t>
      </w:r>
      <w:r>
        <w:rPr>
          <w:rFonts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14:paraId="61BE7AAD">
      <w:pPr>
        <w:tabs>
          <w:tab w:val="left" w:pos="1065"/>
          <w:tab w:val="left" w:pos="6477"/>
        </w:tabs>
        <w:spacing w:line="360" w:lineRule="auto"/>
        <w:ind w:left="-426" w:right="-58" w:firstLine="655"/>
        <w:contextualSpacing/>
        <w:rPr>
          <w:rFonts w:ascii="宋体" w:hAnsi="宋体"/>
          <w:color w:val="auto"/>
          <w:kern w:val="24"/>
          <w:sz w:val="24"/>
          <w:highlight w:val="none"/>
        </w:rPr>
      </w:pPr>
      <w:r>
        <w:rPr>
          <w:rFonts w:ascii="宋体" w:hAnsi="宋体"/>
          <w:color w:val="auto"/>
          <w:kern w:val="24"/>
          <w:sz w:val="24"/>
          <w:highlight w:val="none"/>
        </w:rPr>
        <w:t>2.</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（采购文件中明确的所属行业）</w:t>
      </w:r>
      <w:r>
        <w:rPr>
          <w:rFonts w:ascii="宋体" w:hAnsi="宋体"/>
          <w:color w:val="auto"/>
          <w:kern w:val="24"/>
          <w:sz w:val="24"/>
          <w:highlight w:val="none"/>
        </w:rPr>
        <w:t>行业；制造商为</w:t>
      </w:r>
      <w:r>
        <w:rPr>
          <w:rFonts w:ascii="宋体" w:hAnsi="宋体"/>
          <w:color w:val="auto"/>
          <w:kern w:val="24"/>
          <w:sz w:val="24"/>
          <w:highlight w:val="none"/>
          <w:u w:val="single"/>
        </w:rPr>
        <w:t>（企业名称）</w:t>
      </w:r>
      <w:r>
        <w:rPr>
          <w:rFonts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14:paraId="6444E471">
      <w:pPr>
        <w:pStyle w:val="21"/>
        <w:spacing w:line="360" w:lineRule="auto"/>
        <w:ind w:left="142" w:right="142"/>
        <w:contextualSpacing/>
        <w:rPr>
          <w:rFonts w:ascii="宋体" w:hAnsi="宋体"/>
          <w:color w:val="auto"/>
          <w:kern w:val="24"/>
          <w:highlight w:val="none"/>
        </w:rPr>
      </w:pPr>
      <w:r>
        <w:rPr>
          <w:rFonts w:ascii="宋体" w:hAnsi="宋体"/>
          <w:color w:val="auto"/>
          <w:kern w:val="24"/>
          <w:highlight w:val="none"/>
        </w:rPr>
        <w:t xml:space="preserve">…… </w:t>
      </w:r>
    </w:p>
    <w:p w14:paraId="69A88F82">
      <w:pPr>
        <w:pStyle w:val="21"/>
        <w:spacing w:line="360" w:lineRule="auto"/>
        <w:ind w:left="-405" w:leftChars="-193" w:right="142" w:firstLine="453" w:firstLineChars="189"/>
        <w:contextualSpacing/>
        <w:rPr>
          <w:rFonts w:ascii="宋体" w:hAnsi="宋体"/>
          <w:color w:val="auto"/>
          <w:kern w:val="24"/>
          <w:highlight w:val="none"/>
        </w:rPr>
      </w:pPr>
      <w:r>
        <w:rPr>
          <w:rFonts w:ascii="宋体" w:hAnsi="宋体"/>
          <w:color w:val="auto"/>
          <w:kern w:val="24"/>
          <w:highlight w:val="none"/>
        </w:rPr>
        <w:t>以上企业，不属于大企业的分支机构，不存在控股股东为大企业的情形，也不存在与大企业的负责人为同一人的情形。</w:t>
      </w:r>
    </w:p>
    <w:p w14:paraId="32E9D4E6">
      <w:pPr>
        <w:pStyle w:val="21"/>
        <w:spacing w:line="360" w:lineRule="auto"/>
        <w:ind w:left="-426" w:right="142" w:firstLine="567"/>
        <w:contextualSpacing/>
        <w:rPr>
          <w:rFonts w:ascii="宋体" w:hAnsi="宋体"/>
          <w:color w:val="auto"/>
          <w:kern w:val="24"/>
          <w:highlight w:val="none"/>
        </w:rPr>
      </w:pPr>
      <w:r>
        <w:rPr>
          <w:rFonts w:ascii="宋体" w:hAnsi="宋体"/>
          <w:color w:val="auto"/>
          <w:kern w:val="24"/>
          <w:highlight w:val="none"/>
        </w:rPr>
        <w:t>本企业对上述声明内容的真实性负责。如有虚假，将依法承担相应责任。</w:t>
      </w:r>
    </w:p>
    <w:p w14:paraId="59666877">
      <w:pPr>
        <w:pStyle w:val="21"/>
        <w:spacing w:line="360" w:lineRule="auto"/>
        <w:ind w:left="3960" w:right="1808"/>
        <w:contextualSpacing/>
        <w:rPr>
          <w:rFonts w:ascii="宋体" w:hAnsi="宋体"/>
          <w:color w:val="auto"/>
          <w:kern w:val="24"/>
          <w:highlight w:val="none"/>
        </w:rPr>
      </w:pPr>
    </w:p>
    <w:p w14:paraId="5476FAE6">
      <w:pPr>
        <w:pStyle w:val="21"/>
        <w:spacing w:line="360" w:lineRule="auto"/>
        <w:ind w:left="3960" w:right="1808"/>
        <w:contextualSpacing/>
        <w:rPr>
          <w:rFonts w:ascii="宋体" w:hAnsi="宋体"/>
          <w:color w:val="auto"/>
          <w:kern w:val="24"/>
          <w:highlight w:val="none"/>
        </w:rPr>
      </w:pPr>
      <w:r>
        <w:rPr>
          <w:rFonts w:ascii="宋体" w:hAnsi="宋体"/>
          <w:color w:val="auto"/>
          <w:kern w:val="24"/>
          <w:highlight w:val="none"/>
        </w:rPr>
        <w:t>企业名称（</w:t>
      </w:r>
      <w:r>
        <w:rPr>
          <w:rFonts w:hint="eastAsia" w:ascii="宋体" w:hAnsi="宋体"/>
          <w:color w:val="auto"/>
          <w:kern w:val="24"/>
          <w:highlight w:val="none"/>
        </w:rPr>
        <w:t>电子签章</w:t>
      </w:r>
      <w:r>
        <w:rPr>
          <w:rFonts w:ascii="宋体" w:hAnsi="宋体"/>
          <w:color w:val="auto"/>
          <w:kern w:val="24"/>
          <w:highlight w:val="none"/>
        </w:rPr>
        <w:t xml:space="preserve">）： </w:t>
      </w:r>
    </w:p>
    <w:p w14:paraId="1F949F07">
      <w:pPr>
        <w:pStyle w:val="21"/>
        <w:spacing w:line="360" w:lineRule="auto"/>
        <w:ind w:left="3960" w:right="1808"/>
        <w:contextualSpacing/>
        <w:rPr>
          <w:rFonts w:ascii="宋体" w:hAnsi="宋体"/>
          <w:color w:val="auto"/>
          <w:kern w:val="24"/>
          <w:highlight w:val="none"/>
        </w:rPr>
      </w:pPr>
      <w:r>
        <w:rPr>
          <w:rFonts w:ascii="宋体" w:hAnsi="宋体"/>
          <w:color w:val="auto"/>
          <w:kern w:val="24"/>
          <w:highlight w:val="none"/>
        </w:rPr>
        <w:t>日</w:t>
      </w:r>
      <w:r>
        <w:rPr>
          <w:rFonts w:hint="eastAsia" w:ascii="宋体" w:hAnsi="宋体"/>
          <w:color w:val="auto"/>
          <w:kern w:val="24"/>
          <w:highlight w:val="none"/>
        </w:rPr>
        <w:t xml:space="preserve"> </w:t>
      </w:r>
      <w:r>
        <w:rPr>
          <w:rFonts w:ascii="宋体" w:hAnsi="宋体"/>
          <w:color w:val="auto"/>
          <w:kern w:val="24"/>
          <w:highlight w:val="none"/>
        </w:rPr>
        <w:t>期：</w:t>
      </w:r>
    </w:p>
    <w:p w14:paraId="4DDCD5BA">
      <w:pPr>
        <w:pStyle w:val="21"/>
        <w:spacing w:line="360" w:lineRule="auto"/>
        <w:ind w:left="3960" w:right="1808"/>
        <w:contextualSpacing/>
        <w:rPr>
          <w:rFonts w:ascii="宋体" w:hAnsi="宋体"/>
          <w:color w:val="auto"/>
          <w:kern w:val="24"/>
          <w:highlight w:val="none"/>
        </w:rPr>
      </w:pPr>
    </w:p>
    <w:p w14:paraId="56BE8188">
      <w:pPr>
        <w:pStyle w:val="21"/>
        <w:spacing w:line="360" w:lineRule="auto"/>
        <w:ind w:left="3960" w:right="1808"/>
        <w:contextualSpacing/>
        <w:rPr>
          <w:rFonts w:ascii="宋体" w:hAnsi="宋体"/>
          <w:color w:val="auto"/>
          <w:kern w:val="24"/>
          <w:highlight w:val="none"/>
        </w:rPr>
      </w:pPr>
    </w:p>
    <w:p w14:paraId="280F8BA1">
      <w:pPr>
        <w:pStyle w:val="21"/>
        <w:spacing w:line="360" w:lineRule="auto"/>
        <w:ind w:left="-426" w:right="142" w:firstLine="567"/>
        <w:contextualSpacing/>
        <w:rPr>
          <w:rFonts w:ascii="宋体" w:hAnsi="宋体"/>
          <w:color w:val="auto"/>
          <w:kern w:val="24"/>
          <w:highlight w:val="none"/>
        </w:rPr>
      </w:pPr>
      <w:r>
        <w:rPr>
          <w:rFonts w:hint="eastAsia" w:ascii="宋体" w:hAnsi="宋体"/>
          <w:color w:val="auto"/>
          <w:kern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13E28517">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2.残疾人福利性单位声明函格式</w:t>
      </w:r>
    </w:p>
    <w:p w14:paraId="374C8CC2">
      <w:pPr>
        <w:spacing w:line="588" w:lineRule="exact"/>
        <w:jc w:val="center"/>
        <w:rPr>
          <w:rFonts w:ascii="仿宋_GB2312" w:eastAsia="仿宋_GB2312"/>
          <w:b/>
          <w:color w:val="auto"/>
          <w:spacing w:val="6"/>
          <w:sz w:val="32"/>
          <w:szCs w:val="32"/>
          <w:highlight w:val="none"/>
        </w:rPr>
      </w:pPr>
    </w:p>
    <w:p w14:paraId="4C7D5C66">
      <w:pPr>
        <w:spacing w:line="588" w:lineRule="exact"/>
        <w:jc w:val="center"/>
        <w:rPr>
          <w:rFonts w:ascii="方正小标宋简体" w:hAnsi="方正小标宋简体" w:eastAsia="方正小标宋简体" w:cs="方正小标宋简体"/>
          <w:bCs/>
          <w:color w:val="auto"/>
          <w:spacing w:val="6"/>
          <w:sz w:val="44"/>
          <w:szCs w:val="44"/>
          <w:highlight w:val="none"/>
        </w:rPr>
      </w:pPr>
      <w:r>
        <w:rPr>
          <w:rFonts w:hint="eastAsia" w:ascii="方正小标宋简体" w:hAnsi="方正小标宋简体" w:eastAsia="方正小标宋简体" w:cs="方正小标宋简体"/>
          <w:bCs/>
          <w:color w:val="auto"/>
          <w:spacing w:val="6"/>
          <w:sz w:val="44"/>
          <w:szCs w:val="44"/>
          <w:highlight w:val="none"/>
        </w:rPr>
        <w:t>残疾人福利性单位声明函</w:t>
      </w:r>
    </w:p>
    <w:p w14:paraId="184162B1">
      <w:pPr>
        <w:spacing w:line="360" w:lineRule="auto"/>
        <w:contextualSpacing/>
        <w:rPr>
          <w:rFonts w:ascii="仿宋_GB2312" w:eastAsia="仿宋_GB2312"/>
          <w:bCs/>
          <w:color w:val="auto"/>
          <w:spacing w:val="6"/>
          <w:sz w:val="30"/>
          <w:szCs w:val="30"/>
          <w:highlight w:val="none"/>
        </w:rPr>
      </w:pPr>
    </w:p>
    <w:p w14:paraId="5FC1C8A5">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highlight w:val="none"/>
        </w:rPr>
        <w:t>疾人福利性单位制造的货物（不包括使用非残疾人福利性单位注册商标的货物）。</w:t>
      </w:r>
    </w:p>
    <w:p w14:paraId="453E07A7">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2B47C373">
      <w:pPr>
        <w:spacing w:line="360" w:lineRule="auto"/>
        <w:ind w:firstLine="504" w:firstLineChars="200"/>
        <w:contextualSpacing/>
        <w:rPr>
          <w:rFonts w:ascii="宋体" w:hAnsi="宋体"/>
          <w:color w:val="auto"/>
          <w:spacing w:val="6"/>
          <w:sz w:val="24"/>
          <w:highlight w:val="none"/>
        </w:rPr>
      </w:pPr>
    </w:p>
    <w:p w14:paraId="48C426B2">
      <w:pPr>
        <w:spacing w:line="360" w:lineRule="auto"/>
        <w:ind w:firstLine="504" w:firstLineChars="200"/>
        <w:contextualSpacing/>
        <w:rPr>
          <w:rFonts w:ascii="宋体" w:hAnsi="宋体"/>
          <w:color w:val="auto"/>
          <w:spacing w:val="6"/>
          <w:sz w:val="24"/>
          <w:highlight w:val="none"/>
        </w:rPr>
      </w:pPr>
    </w:p>
    <w:p w14:paraId="258784C7">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单位名称（电子签章）：</w:t>
      </w:r>
    </w:p>
    <w:p w14:paraId="68A5756E">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日  期：</w:t>
      </w:r>
    </w:p>
    <w:p w14:paraId="5E5E2986">
      <w:pPr>
        <w:spacing w:line="360" w:lineRule="auto"/>
        <w:contextualSpacing/>
        <w:rPr>
          <w:rFonts w:ascii="宋体" w:hAnsi="宋体"/>
          <w:color w:val="auto"/>
          <w:sz w:val="24"/>
          <w:highlight w:val="none"/>
        </w:rPr>
      </w:pPr>
    </w:p>
    <w:p w14:paraId="24D0E2CB">
      <w:pPr>
        <w:spacing w:line="360" w:lineRule="auto"/>
        <w:contextualSpacing/>
        <w:rPr>
          <w:rFonts w:ascii="宋体" w:hAnsi="宋体"/>
          <w:color w:val="auto"/>
          <w:sz w:val="24"/>
          <w:highlight w:val="none"/>
        </w:rPr>
      </w:pPr>
    </w:p>
    <w:p w14:paraId="62A40AFF">
      <w:pPr>
        <w:spacing w:line="360" w:lineRule="auto"/>
        <w:contextualSpacing/>
        <w:rPr>
          <w:rFonts w:ascii="宋体" w:hAnsi="宋体"/>
          <w:color w:val="auto"/>
          <w:sz w:val="24"/>
          <w:highlight w:val="none"/>
        </w:rPr>
      </w:pPr>
    </w:p>
    <w:p w14:paraId="0B2F70DB">
      <w:pPr>
        <w:spacing w:line="360" w:lineRule="auto"/>
        <w:contextualSpacing/>
        <w:rPr>
          <w:rFonts w:ascii="宋体" w:hAnsi="宋体"/>
          <w:color w:val="auto"/>
          <w:sz w:val="24"/>
          <w:highlight w:val="none"/>
        </w:rPr>
      </w:pPr>
      <w:r>
        <w:rPr>
          <w:rFonts w:hint="eastAsia" w:ascii="宋体" w:hAnsi="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2438796D">
      <w:pPr>
        <w:spacing w:line="360" w:lineRule="auto"/>
        <w:jc w:val="left"/>
        <w:rPr>
          <w:rFonts w:ascii="宋体" w:hAnsi="宋体"/>
          <w:color w:val="auto"/>
          <w:sz w:val="24"/>
          <w:highlight w:val="none"/>
        </w:rPr>
      </w:pPr>
      <w:r>
        <w:rPr>
          <w:rFonts w:ascii="宋体" w:hAnsi="宋体"/>
          <w:color w:val="auto"/>
          <w:sz w:val="24"/>
          <w:highlight w:val="none"/>
        </w:rPr>
        <w:br w:type="page"/>
      </w:r>
      <w:r>
        <w:rPr>
          <w:rFonts w:hint="eastAsia" w:ascii="宋体" w:hAnsi="宋体"/>
          <w:b/>
          <w:color w:val="auto"/>
          <w:sz w:val="24"/>
          <w:highlight w:val="none"/>
        </w:rPr>
        <w:t>3.质疑函（格式）</w:t>
      </w:r>
    </w:p>
    <w:p w14:paraId="317FECAB">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质疑函（格式）</w:t>
      </w:r>
    </w:p>
    <w:p w14:paraId="5494518A">
      <w:pPr>
        <w:pStyle w:val="26"/>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一、质疑供应商基本信息：</w:t>
      </w:r>
    </w:p>
    <w:p w14:paraId="060ED647">
      <w:pPr>
        <w:pStyle w:val="26"/>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D4B4DB3">
      <w:pPr>
        <w:pStyle w:val="26"/>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5B8B897">
      <w:pPr>
        <w:pStyle w:val="26"/>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055B516">
      <w:pPr>
        <w:pStyle w:val="26"/>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18292266">
      <w:pPr>
        <w:pStyle w:val="26"/>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6C227C9D">
      <w:pPr>
        <w:pStyle w:val="26"/>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82E6710">
      <w:pPr>
        <w:pStyle w:val="26"/>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二、质疑项目基本情况：</w:t>
      </w:r>
    </w:p>
    <w:p w14:paraId="5DC4FF80">
      <w:pPr>
        <w:pStyle w:val="26"/>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1C5E0C1E">
      <w:pPr>
        <w:pStyle w:val="26"/>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64A4C127">
      <w:pPr>
        <w:pStyle w:val="26"/>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4876BACF">
      <w:pPr>
        <w:pStyle w:val="26"/>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质疑事项：</w:t>
      </w:r>
    </w:p>
    <w:p w14:paraId="7D88A071">
      <w:pPr>
        <w:pStyle w:val="26"/>
        <w:spacing w:line="360" w:lineRule="auto"/>
        <w:ind w:left="25" w:leftChars="12" w:firstLine="352" w:firstLineChars="147"/>
        <w:rPr>
          <w:rFonts w:hAnsi="宋体"/>
          <w:color w:val="auto"/>
          <w:sz w:val="24"/>
          <w:szCs w:val="24"/>
          <w:highlight w:val="none"/>
        </w:rPr>
      </w:pPr>
      <w:r>
        <w:rPr>
          <w:rFonts w:hint="eastAsia" w:hAnsi="宋体"/>
          <w:color w:val="auto"/>
          <w:sz w:val="24"/>
          <w:szCs w:val="24"/>
          <w:highlight w:val="none"/>
        </w:rPr>
        <w:t>□招标文件   招标文件获取日期：</w:t>
      </w:r>
      <w:r>
        <w:rPr>
          <w:rFonts w:hint="eastAsia" w:hAnsi="宋体"/>
          <w:bCs/>
          <w:color w:val="auto"/>
          <w:sz w:val="24"/>
          <w:szCs w:val="24"/>
          <w:highlight w:val="none"/>
          <w:u w:val="single"/>
        </w:rPr>
        <w:t xml:space="preserve">                                   </w:t>
      </w:r>
    </w:p>
    <w:p w14:paraId="74C71691">
      <w:pPr>
        <w:pStyle w:val="26"/>
        <w:spacing w:line="360" w:lineRule="auto"/>
        <w:ind w:left="25" w:leftChars="12" w:firstLine="352" w:firstLineChars="147"/>
        <w:rPr>
          <w:rFonts w:hAnsi="宋体"/>
          <w:color w:val="auto"/>
          <w:sz w:val="24"/>
          <w:szCs w:val="24"/>
          <w:highlight w:val="none"/>
        </w:rPr>
      </w:pPr>
      <w:r>
        <w:rPr>
          <w:rFonts w:hint="eastAsia" w:hAnsi="宋体"/>
          <w:color w:val="auto"/>
          <w:sz w:val="24"/>
          <w:szCs w:val="24"/>
          <w:highlight w:val="none"/>
        </w:rPr>
        <w:t xml:space="preserve">□招标过程   </w:t>
      </w:r>
    </w:p>
    <w:p w14:paraId="73755120">
      <w:pPr>
        <w:pStyle w:val="26"/>
        <w:spacing w:line="360" w:lineRule="auto"/>
        <w:ind w:left="25" w:leftChars="12" w:firstLine="352" w:firstLineChars="147"/>
        <w:rPr>
          <w:rFonts w:hAnsi="宋体"/>
          <w:bCs/>
          <w:color w:val="auto"/>
          <w:sz w:val="24"/>
          <w:szCs w:val="24"/>
          <w:highlight w:val="none"/>
          <w:u w:val="single"/>
        </w:rPr>
      </w:pPr>
      <w:r>
        <w:rPr>
          <w:rFonts w:hint="eastAsia" w:hAnsi="宋体"/>
          <w:color w:val="auto"/>
          <w:sz w:val="24"/>
          <w:szCs w:val="24"/>
          <w:highlight w:val="none"/>
        </w:rPr>
        <w:t xml:space="preserve">□招标结果   </w:t>
      </w:r>
    </w:p>
    <w:p w14:paraId="64E52160">
      <w:pPr>
        <w:pStyle w:val="26"/>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三、质疑事项具体内容</w:t>
      </w:r>
    </w:p>
    <w:p w14:paraId="5B7F52E8">
      <w:pPr>
        <w:pStyle w:val="26"/>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7FBE78CB">
      <w:pPr>
        <w:pStyle w:val="26"/>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194B4BF1">
      <w:pPr>
        <w:pStyle w:val="26"/>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44245623">
      <w:pPr>
        <w:pStyle w:val="26"/>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质疑事项2</w:t>
      </w:r>
    </w:p>
    <w:p w14:paraId="7461412E">
      <w:pPr>
        <w:pStyle w:val="26"/>
        <w:spacing w:line="360" w:lineRule="auto"/>
        <w:ind w:left="25" w:leftChars="12" w:firstLine="472" w:firstLineChars="197"/>
        <w:rPr>
          <w:rFonts w:hAnsi="宋体"/>
          <w:color w:val="auto"/>
          <w:sz w:val="24"/>
          <w:szCs w:val="24"/>
          <w:highlight w:val="none"/>
        </w:rPr>
      </w:pPr>
      <w:r>
        <w:rPr>
          <w:rFonts w:hAnsi="宋体"/>
          <w:color w:val="auto"/>
          <w:sz w:val="24"/>
          <w:szCs w:val="24"/>
          <w:highlight w:val="none"/>
        </w:rPr>
        <w:t>……</w:t>
      </w:r>
    </w:p>
    <w:p w14:paraId="618C7CCF">
      <w:pPr>
        <w:pStyle w:val="26"/>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四、与质疑事项相关的质疑请求：</w:t>
      </w:r>
    </w:p>
    <w:p w14:paraId="7BB41A9F">
      <w:pPr>
        <w:pStyle w:val="26"/>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485877E5">
      <w:pPr>
        <w:pStyle w:val="26"/>
        <w:spacing w:line="360" w:lineRule="auto"/>
        <w:ind w:left="25" w:leftChars="12" w:firstLine="352" w:firstLineChars="147"/>
        <w:rPr>
          <w:rFonts w:hAnsi="宋体"/>
          <w:color w:val="auto"/>
          <w:sz w:val="24"/>
          <w:szCs w:val="24"/>
          <w:highlight w:val="none"/>
        </w:rPr>
      </w:pPr>
    </w:p>
    <w:p w14:paraId="2C13A37D">
      <w:pPr>
        <w:pStyle w:val="26"/>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14:paraId="0AC359FD">
      <w:pPr>
        <w:pStyle w:val="26"/>
        <w:spacing w:line="360" w:lineRule="auto"/>
        <w:ind w:left="25" w:leftChars="12" w:firstLine="352" w:firstLineChars="147"/>
        <w:rPr>
          <w:rFonts w:hAnsi="宋体"/>
          <w:color w:val="auto"/>
          <w:sz w:val="24"/>
          <w:szCs w:val="24"/>
          <w:highlight w:val="none"/>
        </w:rPr>
      </w:pPr>
    </w:p>
    <w:p w14:paraId="14965112">
      <w:pPr>
        <w:pStyle w:val="26"/>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6D137169">
      <w:pPr>
        <w:pStyle w:val="26"/>
        <w:snapToGrid w:val="0"/>
        <w:spacing w:line="360" w:lineRule="auto"/>
        <w:rPr>
          <w:rFonts w:hAnsi="宋体"/>
          <w:b/>
          <w:color w:val="auto"/>
          <w:sz w:val="24"/>
          <w:szCs w:val="24"/>
          <w:highlight w:val="none"/>
        </w:rPr>
      </w:pPr>
    </w:p>
    <w:p w14:paraId="0AECB8B5">
      <w:pPr>
        <w:pStyle w:val="26"/>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14:paraId="41417769">
      <w:pPr>
        <w:pStyle w:val="26"/>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1ED8B831">
      <w:pPr>
        <w:pStyle w:val="26"/>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77BFE99">
      <w:pPr>
        <w:pStyle w:val="26"/>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00F9E7E2">
      <w:pPr>
        <w:pStyle w:val="26"/>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4.质疑函的质疑请求应与质疑事项相关。</w:t>
      </w:r>
    </w:p>
    <w:p w14:paraId="48022195">
      <w:pPr>
        <w:pStyle w:val="26"/>
        <w:spacing w:line="360" w:lineRule="auto"/>
        <w:ind w:left="25" w:leftChars="12" w:firstLine="354" w:firstLineChars="147"/>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774E24CD">
      <w:pPr>
        <w:pStyle w:val="26"/>
        <w:snapToGrid w:val="0"/>
        <w:rPr>
          <w:b/>
          <w:color w:val="auto"/>
          <w:sz w:val="24"/>
          <w:szCs w:val="24"/>
          <w:highlight w:val="none"/>
        </w:rPr>
      </w:pPr>
    </w:p>
    <w:p w14:paraId="691A5F9C">
      <w:pPr>
        <w:spacing w:line="360" w:lineRule="auto"/>
        <w:jc w:val="left"/>
        <w:rPr>
          <w:rFonts w:ascii="宋体" w:hAnsi="宋体"/>
          <w:b/>
          <w:bCs/>
          <w:color w:val="auto"/>
          <w:sz w:val="32"/>
          <w:szCs w:val="32"/>
          <w:highlight w:val="none"/>
        </w:rPr>
      </w:pPr>
      <w:r>
        <w:rPr>
          <w:rFonts w:eastAsia="隶书"/>
          <w:color w:val="auto"/>
          <w:sz w:val="44"/>
          <w:highlight w:val="none"/>
        </w:rPr>
        <w:br w:type="page"/>
      </w:r>
      <w:r>
        <w:rPr>
          <w:rFonts w:hint="eastAsia" w:ascii="宋体" w:hAnsi="宋体"/>
          <w:b/>
          <w:color w:val="auto"/>
          <w:sz w:val="24"/>
          <w:highlight w:val="none"/>
        </w:rPr>
        <w:t>4.投诉书（格式）</w:t>
      </w:r>
    </w:p>
    <w:p w14:paraId="5EEBDD0F">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2B8AD7A9">
      <w:pPr>
        <w:pStyle w:val="26"/>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459AA6DF">
      <w:pPr>
        <w:pStyle w:val="26"/>
        <w:snapToGrid w:val="0"/>
        <w:spacing w:line="360" w:lineRule="auto"/>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投标人：</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CDC1304">
      <w:pPr>
        <w:pStyle w:val="26"/>
        <w:snapToGrid w:val="0"/>
        <w:spacing w:line="360" w:lineRule="auto"/>
        <w:ind w:firstLine="480" w:firstLineChars="200"/>
        <w:jc w:val="left"/>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848C9BA">
      <w:pPr>
        <w:pStyle w:val="26"/>
        <w:snapToGrid w:val="0"/>
        <w:spacing w:line="360" w:lineRule="auto"/>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21BA3447">
      <w:pPr>
        <w:pStyle w:val="26"/>
        <w:snapToGrid w:val="0"/>
        <w:spacing w:line="360" w:lineRule="auto"/>
        <w:ind w:firstLine="480" w:firstLineChars="200"/>
        <w:jc w:val="left"/>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3ADBD8D">
      <w:pPr>
        <w:pStyle w:val="26"/>
        <w:snapToGrid w:val="0"/>
        <w:spacing w:line="360" w:lineRule="auto"/>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3B77600C">
      <w:pPr>
        <w:pStyle w:val="26"/>
        <w:snapToGrid w:val="0"/>
        <w:spacing w:line="360" w:lineRule="auto"/>
        <w:ind w:firstLine="480" w:firstLineChars="200"/>
        <w:jc w:val="left"/>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3CBC7218">
      <w:pPr>
        <w:pStyle w:val="26"/>
        <w:snapToGrid w:val="0"/>
        <w:spacing w:line="360" w:lineRule="auto"/>
        <w:ind w:firstLine="480" w:firstLineChars="200"/>
        <w:jc w:val="left"/>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8BF95ED">
      <w:pPr>
        <w:pStyle w:val="26"/>
        <w:snapToGrid w:val="0"/>
        <w:spacing w:line="360" w:lineRule="auto"/>
        <w:ind w:firstLine="480" w:firstLineChars="200"/>
        <w:jc w:val="left"/>
        <w:rPr>
          <w:rFonts w:hAnsi="宋体"/>
          <w:bCs/>
          <w:color w:val="auto"/>
          <w:sz w:val="24"/>
          <w:szCs w:val="24"/>
          <w:highlight w:val="none"/>
        </w:rPr>
      </w:pPr>
      <w:r>
        <w:rPr>
          <w:rFonts w:hint="eastAsia" w:hAnsi="宋体"/>
          <w:bCs/>
          <w:color w:val="auto"/>
          <w:sz w:val="24"/>
          <w:szCs w:val="24"/>
          <w:highlight w:val="none"/>
        </w:rPr>
        <w:t>被投诉人1：</w:t>
      </w:r>
    </w:p>
    <w:p w14:paraId="18C1AF1B">
      <w:pPr>
        <w:pStyle w:val="26"/>
        <w:snapToGrid w:val="0"/>
        <w:spacing w:line="360" w:lineRule="auto"/>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44AD7D51">
      <w:pPr>
        <w:pStyle w:val="26"/>
        <w:snapToGrid w:val="0"/>
        <w:spacing w:line="360" w:lineRule="auto"/>
        <w:ind w:firstLine="480" w:firstLineChars="200"/>
        <w:jc w:val="left"/>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5B46D76">
      <w:pPr>
        <w:pStyle w:val="26"/>
        <w:snapToGrid w:val="0"/>
        <w:spacing w:line="360" w:lineRule="auto"/>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7AFFF459">
      <w:pPr>
        <w:pStyle w:val="26"/>
        <w:snapToGrid w:val="0"/>
        <w:spacing w:line="360" w:lineRule="auto"/>
        <w:ind w:firstLine="480" w:firstLineChars="200"/>
        <w:jc w:val="left"/>
        <w:rPr>
          <w:rFonts w:hAnsi="宋体"/>
          <w:bCs/>
          <w:color w:val="auto"/>
          <w:sz w:val="24"/>
          <w:szCs w:val="24"/>
          <w:highlight w:val="none"/>
        </w:rPr>
      </w:pPr>
      <w:r>
        <w:rPr>
          <w:rFonts w:hint="eastAsia" w:hAnsi="宋体"/>
          <w:bCs/>
          <w:color w:val="auto"/>
          <w:sz w:val="24"/>
          <w:szCs w:val="24"/>
          <w:highlight w:val="none"/>
        </w:rPr>
        <w:t>被投诉人2：</w:t>
      </w:r>
    </w:p>
    <w:p w14:paraId="137E3C50">
      <w:pPr>
        <w:pStyle w:val="26"/>
        <w:snapToGrid w:val="0"/>
        <w:spacing w:line="360" w:lineRule="auto"/>
        <w:ind w:firstLine="480" w:firstLineChars="200"/>
        <w:jc w:val="left"/>
        <w:rPr>
          <w:rFonts w:hAnsi="宋体"/>
          <w:bCs/>
          <w:color w:val="auto"/>
          <w:sz w:val="24"/>
          <w:szCs w:val="24"/>
          <w:highlight w:val="none"/>
        </w:rPr>
      </w:pPr>
      <w:r>
        <w:rPr>
          <w:rFonts w:hAnsi="宋体"/>
          <w:bCs/>
          <w:color w:val="auto"/>
          <w:sz w:val="24"/>
          <w:szCs w:val="24"/>
          <w:highlight w:val="none"/>
        </w:rPr>
        <w:t>……</w:t>
      </w:r>
    </w:p>
    <w:p w14:paraId="5C0254C6">
      <w:pPr>
        <w:pStyle w:val="26"/>
        <w:snapToGrid w:val="0"/>
        <w:spacing w:line="360" w:lineRule="auto"/>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5DD28069">
      <w:pPr>
        <w:pStyle w:val="26"/>
        <w:snapToGrid w:val="0"/>
        <w:spacing w:line="360" w:lineRule="auto"/>
        <w:ind w:firstLine="480" w:firstLineChars="200"/>
        <w:jc w:val="left"/>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36886ED">
      <w:pPr>
        <w:pStyle w:val="26"/>
        <w:snapToGrid w:val="0"/>
        <w:spacing w:line="360" w:lineRule="auto"/>
        <w:ind w:firstLine="480" w:firstLineChars="200"/>
        <w:jc w:val="left"/>
        <w:rPr>
          <w:rFonts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424D8D5">
      <w:pPr>
        <w:pStyle w:val="26"/>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14:paraId="34586816">
      <w:pPr>
        <w:pStyle w:val="26"/>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招标项目的名称：</w:t>
      </w:r>
      <w:r>
        <w:rPr>
          <w:rFonts w:hint="eastAsia" w:hAnsi="宋体"/>
          <w:bCs/>
          <w:color w:val="auto"/>
          <w:sz w:val="24"/>
          <w:szCs w:val="24"/>
          <w:highlight w:val="none"/>
          <w:u w:val="single"/>
        </w:rPr>
        <w:t xml:space="preserve">                                                                   </w:t>
      </w:r>
    </w:p>
    <w:p w14:paraId="2E4EFB68">
      <w:pPr>
        <w:pStyle w:val="26"/>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招标项目的编号：</w:t>
      </w:r>
      <w:r>
        <w:rPr>
          <w:rFonts w:hint="eastAsia" w:hAnsi="宋体"/>
          <w:bCs/>
          <w:color w:val="auto"/>
          <w:sz w:val="24"/>
          <w:szCs w:val="24"/>
          <w:highlight w:val="none"/>
          <w:u w:val="single"/>
        </w:rPr>
        <w:t xml:space="preserve">                                          </w:t>
      </w:r>
    </w:p>
    <w:p w14:paraId="24C285DD">
      <w:pPr>
        <w:pStyle w:val="26"/>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4336576D">
      <w:pPr>
        <w:pStyle w:val="26"/>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38CB1350">
      <w:pPr>
        <w:pStyle w:val="26"/>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招标</w:t>
      </w:r>
      <w:r>
        <w:rPr>
          <w:rFonts w:hint="eastAsia" w:hAnsi="宋体"/>
          <w:bCs/>
          <w:color w:val="auto"/>
          <w:sz w:val="24"/>
          <w:szCs w:val="24"/>
          <w:highlight w:val="none"/>
        </w:rPr>
        <w:t>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291257E6">
      <w:pPr>
        <w:pStyle w:val="26"/>
        <w:spacing w:line="360" w:lineRule="auto"/>
        <w:ind w:left="25" w:leftChars="12" w:firstLine="472" w:firstLineChars="197"/>
        <w:rPr>
          <w:rFonts w:hAnsi="宋体"/>
          <w:b/>
          <w:color w:val="auto"/>
          <w:sz w:val="24"/>
          <w:szCs w:val="24"/>
          <w:highlight w:val="none"/>
        </w:rPr>
      </w:pPr>
      <w:r>
        <w:rPr>
          <w:rFonts w:hint="eastAsia" w:hAnsi="宋体"/>
          <w:color w:val="auto"/>
          <w:sz w:val="24"/>
          <w:szCs w:val="24"/>
          <w:highlight w:val="none"/>
        </w:rPr>
        <w:t>招标</w:t>
      </w:r>
      <w:r>
        <w:rPr>
          <w:rFonts w:hint="eastAsia" w:hAnsi="宋体"/>
          <w:bCs/>
          <w:color w:val="auto"/>
          <w:sz w:val="24"/>
          <w:szCs w:val="24"/>
          <w:highlight w:val="none"/>
        </w:rPr>
        <w:t>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02B50A9B">
      <w:pPr>
        <w:pStyle w:val="26"/>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14:paraId="70F117EA">
      <w:pPr>
        <w:pStyle w:val="26"/>
        <w:spacing w:line="360" w:lineRule="auto"/>
        <w:ind w:left="25" w:leftChars="12" w:firstLine="480" w:firstLineChars="200"/>
        <w:rPr>
          <w:rFonts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46C0C32C">
      <w:pPr>
        <w:pStyle w:val="26"/>
        <w:spacing w:line="360" w:lineRule="auto"/>
        <w:ind w:firstLine="241"/>
        <w:rPr>
          <w:rFonts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7211FAA5">
      <w:pPr>
        <w:pStyle w:val="26"/>
        <w:spacing w:line="360" w:lineRule="auto"/>
        <w:ind w:firstLine="241"/>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3ACD09BC">
      <w:pPr>
        <w:pStyle w:val="26"/>
        <w:spacing w:line="360" w:lineRule="auto"/>
        <w:ind w:firstLine="480" w:firstLineChars="200"/>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14B76AC9">
      <w:pPr>
        <w:pStyle w:val="26"/>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14:paraId="6D44CC2D">
      <w:pPr>
        <w:pStyle w:val="26"/>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11E356A3">
      <w:pPr>
        <w:pStyle w:val="26"/>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1955446C">
      <w:pPr>
        <w:pStyle w:val="26"/>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u w:val="single"/>
        </w:rPr>
        <w:t xml:space="preserve">                                                                                        </w:t>
      </w:r>
    </w:p>
    <w:p w14:paraId="398A255B">
      <w:pPr>
        <w:pStyle w:val="26"/>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15E5D7A8">
      <w:pPr>
        <w:pStyle w:val="26"/>
        <w:spacing w:line="360" w:lineRule="auto"/>
        <w:ind w:left="25" w:leftChars="12" w:firstLine="352" w:firstLineChars="147"/>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7639B473">
      <w:pPr>
        <w:pStyle w:val="26"/>
        <w:spacing w:line="360" w:lineRule="auto"/>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137DAA21">
      <w:pPr>
        <w:pStyle w:val="26"/>
        <w:spacing w:line="360" w:lineRule="auto"/>
        <w:ind w:left="25" w:leftChars="12" w:firstLine="472" w:firstLineChars="197"/>
        <w:rPr>
          <w:rFonts w:hAnsi="宋体"/>
          <w:bCs/>
          <w:color w:val="auto"/>
          <w:sz w:val="24"/>
          <w:szCs w:val="24"/>
          <w:highlight w:val="none"/>
        </w:rPr>
      </w:pPr>
      <w:r>
        <w:rPr>
          <w:rFonts w:hAnsi="宋体"/>
          <w:bCs/>
          <w:color w:val="auto"/>
          <w:sz w:val="24"/>
          <w:szCs w:val="24"/>
          <w:highlight w:val="none"/>
        </w:rPr>
        <w:t>……</w:t>
      </w:r>
    </w:p>
    <w:p w14:paraId="1A02DF63">
      <w:pPr>
        <w:pStyle w:val="26"/>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14:paraId="75A68692">
      <w:pPr>
        <w:pStyle w:val="26"/>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4DDA1D9A">
      <w:pPr>
        <w:pStyle w:val="26"/>
        <w:spacing w:line="360" w:lineRule="auto"/>
        <w:ind w:left="25" w:leftChars="12" w:firstLine="352" w:firstLineChars="147"/>
        <w:rPr>
          <w:rFonts w:hAnsi="宋体"/>
          <w:color w:val="auto"/>
          <w:sz w:val="24"/>
          <w:szCs w:val="24"/>
          <w:highlight w:val="none"/>
        </w:rPr>
      </w:pPr>
    </w:p>
    <w:p w14:paraId="4B6B6BAB">
      <w:pPr>
        <w:pStyle w:val="26"/>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14:paraId="72A8257E">
      <w:pPr>
        <w:pStyle w:val="26"/>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531426D4">
      <w:pPr>
        <w:pStyle w:val="26"/>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 xml:space="preserve">                                                                              </w:t>
      </w:r>
    </w:p>
    <w:p w14:paraId="69CB991A">
      <w:pPr>
        <w:pStyle w:val="26"/>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14:paraId="6D6D21A9">
      <w:pPr>
        <w:pStyle w:val="26"/>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32C8F07F">
      <w:pPr>
        <w:pStyle w:val="26"/>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60F66ED">
      <w:pPr>
        <w:pStyle w:val="26"/>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1B2E346A">
      <w:pPr>
        <w:pStyle w:val="26"/>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3DA1254B">
      <w:pPr>
        <w:pStyle w:val="26"/>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14:paraId="5BCDAF07">
      <w:pPr>
        <w:pStyle w:val="26"/>
        <w:spacing w:line="360" w:lineRule="auto"/>
        <w:ind w:left="25" w:leftChars="12" w:firstLine="354" w:firstLineChars="147"/>
        <w:rPr>
          <w:rFonts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sectPr>
      <w:footerReference r:id="rId10" w:type="first"/>
      <w:headerReference r:id="rId7" w:type="default"/>
      <w:footerReference r:id="rId8" w:type="default"/>
      <w:footerReference r:id="rId9"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entury">
    <w:altName w:val="Times New Roman"/>
    <w:panose1 w:val="02040604050505020304"/>
    <w:charset w:val="00"/>
    <w:family w:val="roman"/>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2489E">
    <w:pPr>
      <w:pStyle w:val="32"/>
      <w:jc w:val="center"/>
    </w:pPr>
    <w:r>
      <w:fldChar w:fldCharType="begin"/>
    </w:r>
    <w:r>
      <w:instrText xml:space="preserve"> PAGE   \* MERGEFORMAT </w:instrText>
    </w:r>
    <w:r>
      <w:fldChar w:fldCharType="separate"/>
    </w:r>
    <w:r>
      <w:rPr>
        <w:lang w:val="zh-CN"/>
      </w:rPr>
      <w:t>30</w:t>
    </w:r>
    <w:r>
      <w:fldChar w:fldCharType="end"/>
    </w:r>
  </w:p>
  <w:p w14:paraId="30C9F228">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9C142">
    <w:pPr>
      <w:pStyle w:val="32"/>
      <w:framePr w:wrap="around" w:vAnchor="text" w:hAnchor="margin" w:xAlign="center" w:y="1"/>
      <w:rPr>
        <w:rStyle w:val="51"/>
      </w:rPr>
    </w:pPr>
    <w:r>
      <w:fldChar w:fldCharType="begin"/>
    </w:r>
    <w:r>
      <w:rPr>
        <w:rStyle w:val="51"/>
      </w:rPr>
      <w:instrText xml:space="preserve">PAGE  </w:instrText>
    </w:r>
    <w:r>
      <w:fldChar w:fldCharType="end"/>
    </w:r>
  </w:p>
  <w:p w14:paraId="38CA48B6">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1CC47">
    <w:pPr>
      <w:pStyle w:val="32"/>
      <w:jc w:val="center"/>
    </w:pPr>
    <w:r>
      <w:fldChar w:fldCharType="begin"/>
    </w:r>
    <w:r>
      <w:instrText xml:space="preserve">PAGE   \* MERGEFORMAT</w:instrText>
    </w:r>
    <w:r>
      <w:fldChar w:fldCharType="separate"/>
    </w:r>
    <w:r>
      <w:rPr>
        <w:lang w:val="zh-CN"/>
      </w:rPr>
      <w:t>1</w:t>
    </w:r>
    <w:r>
      <w:fldChar w:fldCharType="end"/>
    </w:r>
  </w:p>
  <w:p w14:paraId="539D67FA">
    <w:pPr>
      <w:pStyle w:val="32"/>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915AB">
    <w:pPr>
      <w:pStyle w:val="32"/>
      <w:jc w:val="center"/>
    </w:pPr>
    <w:r>
      <w:fldChar w:fldCharType="begin"/>
    </w:r>
    <w:r>
      <w:instrText xml:space="preserve"> PAGE   \* MERGEFORMAT </w:instrText>
    </w:r>
    <w:r>
      <w:fldChar w:fldCharType="separate"/>
    </w:r>
    <w:r>
      <w:rPr>
        <w:lang w:val="zh-CN"/>
      </w:rPr>
      <w:t>104</w:t>
    </w:r>
    <w:r>
      <w:fldChar w:fldCharType="end"/>
    </w:r>
  </w:p>
  <w:p w14:paraId="02195DC8">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90A85">
    <w:pPr>
      <w:pStyle w:val="32"/>
      <w:framePr w:wrap="around" w:vAnchor="text" w:hAnchor="margin" w:xAlign="center" w:y="1"/>
      <w:rPr>
        <w:rStyle w:val="51"/>
      </w:rPr>
    </w:pPr>
    <w:r>
      <w:fldChar w:fldCharType="begin"/>
    </w:r>
    <w:r>
      <w:rPr>
        <w:rStyle w:val="51"/>
      </w:rPr>
      <w:instrText xml:space="preserve">PAGE  </w:instrText>
    </w:r>
    <w:r>
      <w:fldChar w:fldCharType="end"/>
    </w:r>
  </w:p>
  <w:p w14:paraId="733802CE">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0661B">
    <w:pPr>
      <w:pStyle w:val="32"/>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F7273">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2759F">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A1103"/>
    <w:multiLevelType w:val="singleLevel"/>
    <w:tmpl w:val="901A1103"/>
    <w:lvl w:ilvl="0" w:tentative="0">
      <w:start w:val="1"/>
      <w:numFmt w:val="decimal"/>
      <w:suff w:val="nothing"/>
      <w:lvlText w:val="%1、"/>
      <w:lvlJc w:val="left"/>
    </w:lvl>
  </w:abstractNum>
  <w:abstractNum w:abstractNumId="1">
    <w:nsid w:val="BF532DD4"/>
    <w:multiLevelType w:val="singleLevel"/>
    <w:tmpl w:val="BF532DD4"/>
    <w:lvl w:ilvl="0" w:tentative="0">
      <w:start w:val="1"/>
      <w:numFmt w:val="decimal"/>
      <w:suff w:val="nothing"/>
      <w:lvlText w:val="（%1）"/>
      <w:lvlJc w:val="left"/>
    </w:lvl>
  </w:abstractNum>
  <w:abstractNum w:abstractNumId="2">
    <w:nsid w:val="F4109120"/>
    <w:multiLevelType w:val="singleLevel"/>
    <w:tmpl w:val="F4109120"/>
    <w:lvl w:ilvl="0" w:tentative="0">
      <w:start w:val="1"/>
      <w:numFmt w:val="decimal"/>
      <w:suff w:val="space"/>
      <w:lvlText w:val="%1."/>
      <w:lvlJc w:val="left"/>
    </w:lvl>
  </w:abstractNum>
  <w:abstractNum w:abstractNumId="3">
    <w:nsid w:val="FFFFFF7E"/>
    <w:multiLevelType w:val="singleLevel"/>
    <w:tmpl w:val="FFFFFF7E"/>
    <w:lvl w:ilvl="0" w:tentative="0">
      <w:start w:val="1"/>
      <w:numFmt w:val="decimal"/>
      <w:pStyle w:val="22"/>
      <w:lvlText w:val="%1."/>
      <w:lvlJc w:val="left"/>
      <w:pPr>
        <w:tabs>
          <w:tab w:val="left" w:pos="1200"/>
        </w:tabs>
        <w:ind w:left="1200" w:hanging="360"/>
      </w:pPr>
    </w:lvl>
  </w:abstractNum>
  <w:abstractNum w:abstractNumId="4">
    <w:nsid w:val="00000001"/>
    <w:multiLevelType w:val="singleLevel"/>
    <w:tmpl w:val="00000001"/>
    <w:lvl w:ilvl="0" w:tentative="0">
      <w:start w:val="1"/>
      <w:numFmt w:val="decimal"/>
      <w:suff w:val="nothing"/>
      <w:lvlText w:val="%1"/>
      <w:lvlJc w:val="center"/>
      <w:pPr>
        <w:ind w:left="0" w:firstLine="0"/>
      </w:pPr>
      <w:rPr>
        <w:rFonts w:hint="default"/>
      </w:rPr>
    </w:lvl>
  </w:abstractNum>
  <w:abstractNum w:abstractNumId="5">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pStyle w:val="10"/>
      <w:suff w:val="nothing"/>
      <w:lvlText w:val=""/>
      <w:lvlJc w:val="left"/>
      <w:pPr>
        <w:ind w:left="0" w:firstLine="0"/>
      </w:pPr>
      <w:rPr>
        <w:rFonts w:hint="eastAsia"/>
      </w:rPr>
    </w:lvl>
    <w:lvl w:ilvl="6" w:tentative="0">
      <w:start w:val="1"/>
      <w:numFmt w:val="none"/>
      <w:pStyle w:val="11"/>
      <w:suff w:val="nothing"/>
      <w:lvlText w:val=""/>
      <w:lvlJc w:val="left"/>
      <w:pPr>
        <w:ind w:left="0" w:firstLine="0"/>
      </w:pPr>
      <w:rPr>
        <w:rFonts w:hint="eastAsia"/>
      </w:rPr>
    </w:lvl>
    <w:lvl w:ilvl="7" w:tentative="0">
      <w:start w:val="1"/>
      <w:numFmt w:val="none"/>
      <w:pStyle w:val="12"/>
      <w:suff w:val="nothing"/>
      <w:lvlText w:val=""/>
      <w:lvlJc w:val="left"/>
      <w:pPr>
        <w:ind w:left="0" w:firstLine="0"/>
      </w:pPr>
      <w:rPr>
        <w:rFonts w:hint="eastAsia"/>
      </w:rPr>
    </w:lvl>
    <w:lvl w:ilvl="8" w:tentative="0">
      <w:start w:val="1"/>
      <w:numFmt w:val="none"/>
      <w:pStyle w:val="13"/>
      <w:suff w:val="nothing"/>
      <w:lvlText w:val=""/>
      <w:lvlJc w:val="left"/>
      <w:pPr>
        <w:ind w:left="0" w:firstLine="0"/>
      </w:pPr>
      <w:rPr>
        <w:rFonts w:hint="eastAsia"/>
      </w:rPr>
    </w:lvl>
  </w:abstractNum>
  <w:abstractNum w:abstractNumId="6">
    <w:nsid w:val="4C601917"/>
    <w:multiLevelType w:val="singleLevel"/>
    <w:tmpl w:val="4C601917"/>
    <w:lvl w:ilvl="0" w:tentative="0">
      <w:start w:val="1"/>
      <w:numFmt w:val="decimal"/>
      <w:suff w:val="nothing"/>
      <w:lvlText w:val="（%1）"/>
      <w:lvlJc w:val="left"/>
      <w:pPr>
        <w:ind w:left="-2"/>
      </w:pPr>
    </w:lvl>
  </w:abstractNum>
  <w:abstractNum w:abstractNumId="7">
    <w:nsid w:val="5FABD14B"/>
    <w:multiLevelType w:val="singleLevel"/>
    <w:tmpl w:val="5FABD14B"/>
    <w:lvl w:ilvl="0" w:tentative="0">
      <w:start w:val="1"/>
      <w:numFmt w:val="decimal"/>
      <w:suff w:val="nothing"/>
      <w:lvlText w:val="（%1）"/>
      <w:lvlJc w:val="left"/>
    </w:lvl>
  </w:abstractNum>
  <w:num w:numId="1">
    <w:abstractNumId w:val="5"/>
  </w:num>
  <w:num w:numId="2">
    <w:abstractNumId w:val="3"/>
  </w:num>
  <w:num w:numId="3">
    <w:abstractNumId w:val="2"/>
  </w:num>
  <w:num w:numId="4">
    <w:abstractNumId w:val="4"/>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wZTNjNzIzOWZmMDIxZjcwMDk4MjFkNjk0M2ZmMzkifQ=="/>
  </w:docVars>
  <w:rsids>
    <w:rsidRoot w:val="00F9008B"/>
    <w:rsid w:val="0000010C"/>
    <w:rsid w:val="00000266"/>
    <w:rsid w:val="000002AD"/>
    <w:rsid w:val="000004FE"/>
    <w:rsid w:val="00000FE0"/>
    <w:rsid w:val="00001068"/>
    <w:rsid w:val="0000114A"/>
    <w:rsid w:val="000011FA"/>
    <w:rsid w:val="00001731"/>
    <w:rsid w:val="00001C2D"/>
    <w:rsid w:val="00001C55"/>
    <w:rsid w:val="00001CA8"/>
    <w:rsid w:val="00001FAE"/>
    <w:rsid w:val="00002291"/>
    <w:rsid w:val="0000257D"/>
    <w:rsid w:val="00002DBF"/>
    <w:rsid w:val="00002EC0"/>
    <w:rsid w:val="00003224"/>
    <w:rsid w:val="000033F5"/>
    <w:rsid w:val="0000358C"/>
    <w:rsid w:val="00003BEF"/>
    <w:rsid w:val="00003D90"/>
    <w:rsid w:val="00004130"/>
    <w:rsid w:val="0000431F"/>
    <w:rsid w:val="00004634"/>
    <w:rsid w:val="0000494E"/>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2CBA"/>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70A9"/>
    <w:rsid w:val="0001720C"/>
    <w:rsid w:val="0001767E"/>
    <w:rsid w:val="0001776D"/>
    <w:rsid w:val="00017F31"/>
    <w:rsid w:val="00020607"/>
    <w:rsid w:val="0002103A"/>
    <w:rsid w:val="000217E4"/>
    <w:rsid w:val="00021852"/>
    <w:rsid w:val="00021A12"/>
    <w:rsid w:val="00022524"/>
    <w:rsid w:val="00022622"/>
    <w:rsid w:val="00022B0F"/>
    <w:rsid w:val="0002316F"/>
    <w:rsid w:val="00023363"/>
    <w:rsid w:val="000235F3"/>
    <w:rsid w:val="00023644"/>
    <w:rsid w:val="00023712"/>
    <w:rsid w:val="00024E3C"/>
    <w:rsid w:val="00024EB0"/>
    <w:rsid w:val="0002646A"/>
    <w:rsid w:val="0002651D"/>
    <w:rsid w:val="00026CFD"/>
    <w:rsid w:val="00027C8B"/>
    <w:rsid w:val="00027CD9"/>
    <w:rsid w:val="00030242"/>
    <w:rsid w:val="00030B06"/>
    <w:rsid w:val="0003183A"/>
    <w:rsid w:val="00031A60"/>
    <w:rsid w:val="00031CDC"/>
    <w:rsid w:val="000323D8"/>
    <w:rsid w:val="00032461"/>
    <w:rsid w:val="0003263B"/>
    <w:rsid w:val="0003282C"/>
    <w:rsid w:val="00032F6D"/>
    <w:rsid w:val="0003304A"/>
    <w:rsid w:val="0003317E"/>
    <w:rsid w:val="00033413"/>
    <w:rsid w:val="000337F3"/>
    <w:rsid w:val="00034B24"/>
    <w:rsid w:val="00034C27"/>
    <w:rsid w:val="00034E2A"/>
    <w:rsid w:val="0003577F"/>
    <w:rsid w:val="00036466"/>
    <w:rsid w:val="0003675E"/>
    <w:rsid w:val="00037F87"/>
    <w:rsid w:val="00037FA2"/>
    <w:rsid w:val="000400D0"/>
    <w:rsid w:val="00040343"/>
    <w:rsid w:val="00041DFA"/>
    <w:rsid w:val="000425AC"/>
    <w:rsid w:val="00042F4A"/>
    <w:rsid w:val="00043AC8"/>
    <w:rsid w:val="00043BE5"/>
    <w:rsid w:val="00044003"/>
    <w:rsid w:val="00044527"/>
    <w:rsid w:val="00044897"/>
    <w:rsid w:val="00044ACF"/>
    <w:rsid w:val="00044FD5"/>
    <w:rsid w:val="000454F4"/>
    <w:rsid w:val="00045D1E"/>
    <w:rsid w:val="00045E69"/>
    <w:rsid w:val="00045EF4"/>
    <w:rsid w:val="00046547"/>
    <w:rsid w:val="000466D7"/>
    <w:rsid w:val="00046753"/>
    <w:rsid w:val="00047254"/>
    <w:rsid w:val="00047E41"/>
    <w:rsid w:val="0005022B"/>
    <w:rsid w:val="00050525"/>
    <w:rsid w:val="00050771"/>
    <w:rsid w:val="000509BA"/>
    <w:rsid w:val="000513F3"/>
    <w:rsid w:val="00052287"/>
    <w:rsid w:val="000522E0"/>
    <w:rsid w:val="000532F4"/>
    <w:rsid w:val="000535A9"/>
    <w:rsid w:val="000536AE"/>
    <w:rsid w:val="00054CD5"/>
    <w:rsid w:val="00054D03"/>
    <w:rsid w:val="00054E61"/>
    <w:rsid w:val="000550AC"/>
    <w:rsid w:val="0005584D"/>
    <w:rsid w:val="00055CC3"/>
    <w:rsid w:val="00055CD8"/>
    <w:rsid w:val="00055CEE"/>
    <w:rsid w:val="00055FB7"/>
    <w:rsid w:val="000566FA"/>
    <w:rsid w:val="00056A2B"/>
    <w:rsid w:val="00056D18"/>
    <w:rsid w:val="00056DA8"/>
    <w:rsid w:val="00056E37"/>
    <w:rsid w:val="00056EE2"/>
    <w:rsid w:val="00056FE2"/>
    <w:rsid w:val="000570FB"/>
    <w:rsid w:val="000575B8"/>
    <w:rsid w:val="00060131"/>
    <w:rsid w:val="0006026B"/>
    <w:rsid w:val="00060293"/>
    <w:rsid w:val="0006134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6FE3"/>
    <w:rsid w:val="00067002"/>
    <w:rsid w:val="00067993"/>
    <w:rsid w:val="00067B1C"/>
    <w:rsid w:val="00067CED"/>
    <w:rsid w:val="00067F66"/>
    <w:rsid w:val="0007041A"/>
    <w:rsid w:val="00070634"/>
    <w:rsid w:val="00070883"/>
    <w:rsid w:val="000708D1"/>
    <w:rsid w:val="00070C3F"/>
    <w:rsid w:val="0007102C"/>
    <w:rsid w:val="00071D68"/>
    <w:rsid w:val="00071FCE"/>
    <w:rsid w:val="00072661"/>
    <w:rsid w:val="00072CCC"/>
    <w:rsid w:val="0007315D"/>
    <w:rsid w:val="00073549"/>
    <w:rsid w:val="0007483E"/>
    <w:rsid w:val="000751DB"/>
    <w:rsid w:val="0007542D"/>
    <w:rsid w:val="0007578F"/>
    <w:rsid w:val="00075E43"/>
    <w:rsid w:val="00077706"/>
    <w:rsid w:val="00077878"/>
    <w:rsid w:val="000804EF"/>
    <w:rsid w:val="00080558"/>
    <w:rsid w:val="00080998"/>
    <w:rsid w:val="00081230"/>
    <w:rsid w:val="000814E2"/>
    <w:rsid w:val="000818C9"/>
    <w:rsid w:val="00081A21"/>
    <w:rsid w:val="00081CBB"/>
    <w:rsid w:val="00081D42"/>
    <w:rsid w:val="000822EF"/>
    <w:rsid w:val="0008241E"/>
    <w:rsid w:val="000826F5"/>
    <w:rsid w:val="000829B1"/>
    <w:rsid w:val="00082AAB"/>
    <w:rsid w:val="0008307D"/>
    <w:rsid w:val="000831E9"/>
    <w:rsid w:val="000833BB"/>
    <w:rsid w:val="00083A4C"/>
    <w:rsid w:val="00084483"/>
    <w:rsid w:val="0008452D"/>
    <w:rsid w:val="0008467B"/>
    <w:rsid w:val="000850FA"/>
    <w:rsid w:val="00085719"/>
    <w:rsid w:val="000857A6"/>
    <w:rsid w:val="0008599A"/>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9ED"/>
    <w:rsid w:val="00096F37"/>
    <w:rsid w:val="00097FE5"/>
    <w:rsid w:val="000A0354"/>
    <w:rsid w:val="000A091F"/>
    <w:rsid w:val="000A0958"/>
    <w:rsid w:val="000A0FCC"/>
    <w:rsid w:val="000A1033"/>
    <w:rsid w:val="000A2712"/>
    <w:rsid w:val="000A2877"/>
    <w:rsid w:val="000A28E5"/>
    <w:rsid w:val="000A3145"/>
    <w:rsid w:val="000A355D"/>
    <w:rsid w:val="000A35DA"/>
    <w:rsid w:val="000A371E"/>
    <w:rsid w:val="000A3DE5"/>
    <w:rsid w:val="000A4011"/>
    <w:rsid w:val="000A45D5"/>
    <w:rsid w:val="000A490E"/>
    <w:rsid w:val="000A529E"/>
    <w:rsid w:val="000A5B49"/>
    <w:rsid w:val="000A5FE5"/>
    <w:rsid w:val="000A6684"/>
    <w:rsid w:val="000A7194"/>
    <w:rsid w:val="000A7218"/>
    <w:rsid w:val="000A740A"/>
    <w:rsid w:val="000A7446"/>
    <w:rsid w:val="000A7D9A"/>
    <w:rsid w:val="000A7E7F"/>
    <w:rsid w:val="000A7ECD"/>
    <w:rsid w:val="000B01AB"/>
    <w:rsid w:val="000B04DD"/>
    <w:rsid w:val="000B0F01"/>
    <w:rsid w:val="000B1346"/>
    <w:rsid w:val="000B1914"/>
    <w:rsid w:val="000B19DC"/>
    <w:rsid w:val="000B1CA2"/>
    <w:rsid w:val="000B202E"/>
    <w:rsid w:val="000B2293"/>
    <w:rsid w:val="000B24A4"/>
    <w:rsid w:val="000B255C"/>
    <w:rsid w:val="000B395E"/>
    <w:rsid w:val="000B39C3"/>
    <w:rsid w:val="000B3A00"/>
    <w:rsid w:val="000B4840"/>
    <w:rsid w:val="000B4D79"/>
    <w:rsid w:val="000B5272"/>
    <w:rsid w:val="000B5627"/>
    <w:rsid w:val="000B5671"/>
    <w:rsid w:val="000B6BF0"/>
    <w:rsid w:val="000B6CE8"/>
    <w:rsid w:val="000B7DAF"/>
    <w:rsid w:val="000C0026"/>
    <w:rsid w:val="000C0091"/>
    <w:rsid w:val="000C071C"/>
    <w:rsid w:val="000C0BB4"/>
    <w:rsid w:val="000C0BEE"/>
    <w:rsid w:val="000C1CB9"/>
    <w:rsid w:val="000C2159"/>
    <w:rsid w:val="000C21BB"/>
    <w:rsid w:val="000C289B"/>
    <w:rsid w:val="000C352F"/>
    <w:rsid w:val="000C3805"/>
    <w:rsid w:val="000C3F01"/>
    <w:rsid w:val="000C410D"/>
    <w:rsid w:val="000C420D"/>
    <w:rsid w:val="000C4773"/>
    <w:rsid w:val="000C4944"/>
    <w:rsid w:val="000C4E24"/>
    <w:rsid w:val="000C5C4A"/>
    <w:rsid w:val="000C5F01"/>
    <w:rsid w:val="000C5F95"/>
    <w:rsid w:val="000C63C4"/>
    <w:rsid w:val="000C66C1"/>
    <w:rsid w:val="000C6F0B"/>
    <w:rsid w:val="000C6F32"/>
    <w:rsid w:val="000C6FEF"/>
    <w:rsid w:val="000C778C"/>
    <w:rsid w:val="000C7833"/>
    <w:rsid w:val="000C7E1B"/>
    <w:rsid w:val="000C7E73"/>
    <w:rsid w:val="000D001B"/>
    <w:rsid w:val="000D0A45"/>
    <w:rsid w:val="000D136E"/>
    <w:rsid w:val="000D14AC"/>
    <w:rsid w:val="000D15BA"/>
    <w:rsid w:val="000D15BE"/>
    <w:rsid w:val="000D2BCC"/>
    <w:rsid w:val="000D2C9B"/>
    <w:rsid w:val="000D32CC"/>
    <w:rsid w:val="000D35FD"/>
    <w:rsid w:val="000D3D2D"/>
    <w:rsid w:val="000D3D99"/>
    <w:rsid w:val="000D4653"/>
    <w:rsid w:val="000D4696"/>
    <w:rsid w:val="000D4817"/>
    <w:rsid w:val="000D4D0C"/>
    <w:rsid w:val="000D4FB9"/>
    <w:rsid w:val="000D54B4"/>
    <w:rsid w:val="000D584B"/>
    <w:rsid w:val="000D5EE9"/>
    <w:rsid w:val="000D5F55"/>
    <w:rsid w:val="000D6372"/>
    <w:rsid w:val="000D6979"/>
    <w:rsid w:val="000D6CE7"/>
    <w:rsid w:val="000D6E38"/>
    <w:rsid w:val="000D6E63"/>
    <w:rsid w:val="000D711C"/>
    <w:rsid w:val="000D7B6E"/>
    <w:rsid w:val="000E0644"/>
    <w:rsid w:val="000E076D"/>
    <w:rsid w:val="000E087C"/>
    <w:rsid w:val="000E1516"/>
    <w:rsid w:val="000E187C"/>
    <w:rsid w:val="000E1B28"/>
    <w:rsid w:val="000E1E8D"/>
    <w:rsid w:val="000E1EBC"/>
    <w:rsid w:val="000E2173"/>
    <w:rsid w:val="000E220B"/>
    <w:rsid w:val="000E2266"/>
    <w:rsid w:val="000E2A50"/>
    <w:rsid w:val="000E30F2"/>
    <w:rsid w:val="000E316B"/>
    <w:rsid w:val="000E3D08"/>
    <w:rsid w:val="000E4728"/>
    <w:rsid w:val="000E4D1F"/>
    <w:rsid w:val="000E5658"/>
    <w:rsid w:val="000E5698"/>
    <w:rsid w:val="000E5723"/>
    <w:rsid w:val="000E581B"/>
    <w:rsid w:val="000E60DF"/>
    <w:rsid w:val="000E64B2"/>
    <w:rsid w:val="000E65D2"/>
    <w:rsid w:val="000E6919"/>
    <w:rsid w:val="000E6B1B"/>
    <w:rsid w:val="000E6F0C"/>
    <w:rsid w:val="000E732D"/>
    <w:rsid w:val="000F07ED"/>
    <w:rsid w:val="000F0C34"/>
    <w:rsid w:val="000F0CF2"/>
    <w:rsid w:val="000F1401"/>
    <w:rsid w:val="000F1A32"/>
    <w:rsid w:val="000F1CC2"/>
    <w:rsid w:val="000F1D15"/>
    <w:rsid w:val="000F270A"/>
    <w:rsid w:val="000F34C8"/>
    <w:rsid w:val="000F38BC"/>
    <w:rsid w:val="000F3E2A"/>
    <w:rsid w:val="000F4D26"/>
    <w:rsid w:val="000F5639"/>
    <w:rsid w:val="000F58A4"/>
    <w:rsid w:val="000F5F99"/>
    <w:rsid w:val="000F6833"/>
    <w:rsid w:val="000F6A24"/>
    <w:rsid w:val="000F7616"/>
    <w:rsid w:val="000F7DE9"/>
    <w:rsid w:val="000F7E1F"/>
    <w:rsid w:val="000F7F7A"/>
    <w:rsid w:val="001002F4"/>
    <w:rsid w:val="001011FC"/>
    <w:rsid w:val="001014BD"/>
    <w:rsid w:val="0010165F"/>
    <w:rsid w:val="00101E7C"/>
    <w:rsid w:val="001023DC"/>
    <w:rsid w:val="00102572"/>
    <w:rsid w:val="00102946"/>
    <w:rsid w:val="00102FBF"/>
    <w:rsid w:val="0010333D"/>
    <w:rsid w:val="0010372A"/>
    <w:rsid w:val="00103F41"/>
    <w:rsid w:val="00104662"/>
    <w:rsid w:val="00104F34"/>
    <w:rsid w:val="001053C5"/>
    <w:rsid w:val="001055AD"/>
    <w:rsid w:val="00105B3E"/>
    <w:rsid w:val="00105C14"/>
    <w:rsid w:val="0010627F"/>
    <w:rsid w:val="001065A3"/>
    <w:rsid w:val="00106610"/>
    <w:rsid w:val="00106831"/>
    <w:rsid w:val="0010683E"/>
    <w:rsid w:val="0010691D"/>
    <w:rsid w:val="00106B33"/>
    <w:rsid w:val="00106E69"/>
    <w:rsid w:val="00110AC5"/>
    <w:rsid w:val="00110F0B"/>
    <w:rsid w:val="0011108B"/>
    <w:rsid w:val="00111136"/>
    <w:rsid w:val="00111164"/>
    <w:rsid w:val="00111761"/>
    <w:rsid w:val="00112164"/>
    <w:rsid w:val="0011241F"/>
    <w:rsid w:val="001128BF"/>
    <w:rsid w:val="00112D09"/>
    <w:rsid w:val="00112E8F"/>
    <w:rsid w:val="00112F03"/>
    <w:rsid w:val="00112F38"/>
    <w:rsid w:val="001136D6"/>
    <w:rsid w:val="00113821"/>
    <w:rsid w:val="00114058"/>
    <w:rsid w:val="0011449E"/>
    <w:rsid w:val="001153EF"/>
    <w:rsid w:val="00115D55"/>
    <w:rsid w:val="00115E45"/>
    <w:rsid w:val="00115F85"/>
    <w:rsid w:val="0011688E"/>
    <w:rsid w:val="00116ACD"/>
    <w:rsid w:val="00116D94"/>
    <w:rsid w:val="0011718F"/>
    <w:rsid w:val="00117B7D"/>
    <w:rsid w:val="00117EFC"/>
    <w:rsid w:val="001205A8"/>
    <w:rsid w:val="00121766"/>
    <w:rsid w:val="00122A64"/>
    <w:rsid w:val="00123694"/>
    <w:rsid w:val="0012388A"/>
    <w:rsid w:val="0012388C"/>
    <w:rsid w:val="00123AFA"/>
    <w:rsid w:val="00123C8C"/>
    <w:rsid w:val="00123E8B"/>
    <w:rsid w:val="00124B43"/>
    <w:rsid w:val="00124DF8"/>
    <w:rsid w:val="001253EA"/>
    <w:rsid w:val="00125B99"/>
    <w:rsid w:val="00126160"/>
    <w:rsid w:val="00126DB5"/>
    <w:rsid w:val="00127178"/>
    <w:rsid w:val="00127F09"/>
    <w:rsid w:val="0013002A"/>
    <w:rsid w:val="0013085D"/>
    <w:rsid w:val="0013089C"/>
    <w:rsid w:val="00130A2D"/>
    <w:rsid w:val="00130F54"/>
    <w:rsid w:val="001310EE"/>
    <w:rsid w:val="00131888"/>
    <w:rsid w:val="00131F17"/>
    <w:rsid w:val="0013212F"/>
    <w:rsid w:val="001323F9"/>
    <w:rsid w:val="0013251F"/>
    <w:rsid w:val="00133088"/>
    <w:rsid w:val="0013321E"/>
    <w:rsid w:val="00133346"/>
    <w:rsid w:val="001335B1"/>
    <w:rsid w:val="00133B4E"/>
    <w:rsid w:val="0013410F"/>
    <w:rsid w:val="001346A7"/>
    <w:rsid w:val="001346AF"/>
    <w:rsid w:val="00134990"/>
    <w:rsid w:val="00134FB4"/>
    <w:rsid w:val="001354D1"/>
    <w:rsid w:val="00135840"/>
    <w:rsid w:val="00135A0A"/>
    <w:rsid w:val="00135BB9"/>
    <w:rsid w:val="0013621D"/>
    <w:rsid w:val="00136354"/>
    <w:rsid w:val="00136674"/>
    <w:rsid w:val="00136B0E"/>
    <w:rsid w:val="00136C3B"/>
    <w:rsid w:val="001376AB"/>
    <w:rsid w:val="0013777C"/>
    <w:rsid w:val="00137D5F"/>
    <w:rsid w:val="00140082"/>
    <w:rsid w:val="00140175"/>
    <w:rsid w:val="00140757"/>
    <w:rsid w:val="00140D07"/>
    <w:rsid w:val="00141A3A"/>
    <w:rsid w:val="001423FA"/>
    <w:rsid w:val="001427B5"/>
    <w:rsid w:val="001428CF"/>
    <w:rsid w:val="00142D0C"/>
    <w:rsid w:val="00142E3C"/>
    <w:rsid w:val="00143387"/>
    <w:rsid w:val="00144013"/>
    <w:rsid w:val="001455C3"/>
    <w:rsid w:val="00145A17"/>
    <w:rsid w:val="00145BBE"/>
    <w:rsid w:val="001460B5"/>
    <w:rsid w:val="0014641F"/>
    <w:rsid w:val="001464A8"/>
    <w:rsid w:val="001467BB"/>
    <w:rsid w:val="00146A5B"/>
    <w:rsid w:val="00146CA8"/>
    <w:rsid w:val="0014723E"/>
    <w:rsid w:val="00147884"/>
    <w:rsid w:val="00150664"/>
    <w:rsid w:val="00150827"/>
    <w:rsid w:val="00150B0D"/>
    <w:rsid w:val="00150E10"/>
    <w:rsid w:val="00150FBA"/>
    <w:rsid w:val="00151A32"/>
    <w:rsid w:val="00151BDE"/>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A6C"/>
    <w:rsid w:val="00156B10"/>
    <w:rsid w:val="00157673"/>
    <w:rsid w:val="001576FE"/>
    <w:rsid w:val="00157823"/>
    <w:rsid w:val="0015790D"/>
    <w:rsid w:val="00157C5E"/>
    <w:rsid w:val="00157DD3"/>
    <w:rsid w:val="0016015A"/>
    <w:rsid w:val="0016020E"/>
    <w:rsid w:val="00160503"/>
    <w:rsid w:val="00160D7C"/>
    <w:rsid w:val="00160E30"/>
    <w:rsid w:val="0016106D"/>
    <w:rsid w:val="001612E1"/>
    <w:rsid w:val="001614DB"/>
    <w:rsid w:val="0016194E"/>
    <w:rsid w:val="0016236C"/>
    <w:rsid w:val="00162625"/>
    <w:rsid w:val="001630A8"/>
    <w:rsid w:val="00163826"/>
    <w:rsid w:val="00163943"/>
    <w:rsid w:val="00163BA1"/>
    <w:rsid w:val="00163DDF"/>
    <w:rsid w:val="00163F22"/>
    <w:rsid w:val="0016417B"/>
    <w:rsid w:val="0016470E"/>
    <w:rsid w:val="001649D3"/>
    <w:rsid w:val="00164E0A"/>
    <w:rsid w:val="001652D7"/>
    <w:rsid w:val="00165816"/>
    <w:rsid w:val="00165A5F"/>
    <w:rsid w:val="001661D0"/>
    <w:rsid w:val="00166223"/>
    <w:rsid w:val="00167804"/>
    <w:rsid w:val="0016793E"/>
    <w:rsid w:val="00167D4D"/>
    <w:rsid w:val="0017054C"/>
    <w:rsid w:val="00170635"/>
    <w:rsid w:val="0017070D"/>
    <w:rsid w:val="00170837"/>
    <w:rsid w:val="00171035"/>
    <w:rsid w:val="001713B7"/>
    <w:rsid w:val="00171ADB"/>
    <w:rsid w:val="00171E2C"/>
    <w:rsid w:val="00172029"/>
    <w:rsid w:val="001733A4"/>
    <w:rsid w:val="001735D4"/>
    <w:rsid w:val="00173AB9"/>
    <w:rsid w:val="00173EED"/>
    <w:rsid w:val="00174368"/>
    <w:rsid w:val="001744EA"/>
    <w:rsid w:val="00174D82"/>
    <w:rsid w:val="00174E44"/>
    <w:rsid w:val="00175053"/>
    <w:rsid w:val="001753B7"/>
    <w:rsid w:val="001757E7"/>
    <w:rsid w:val="00175873"/>
    <w:rsid w:val="00175C59"/>
    <w:rsid w:val="00175F94"/>
    <w:rsid w:val="001760BC"/>
    <w:rsid w:val="00176674"/>
    <w:rsid w:val="00176818"/>
    <w:rsid w:val="00176B82"/>
    <w:rsid w:val="00176E3B"/>
    <w:rsid w:val="00176ECB"/>
    <w:rsid w:val="0017752D"/>
    <w:rsid w:val="0017759F"/>
    <w:rsid w:val="00177832"/>
    <w:rsid w:val="0018057A"/>
    <w:rsid w:val="001807AE"/>
    <w:rsid w:val="00181178"/>
    <w:rsid w:val="0018119E"/>
    <w:rsid w:val="0018152C"/>
    <w:rsid w:val="00181A74"/>
    <w:rsid w:val="00181DBA"/>
    <w:rsid w:val="00181EEF"/>
    <w:rsid w:val="00181F37"/>
    <w:rsid w:val="00181F3E"/>
    <w:rsid w:val="00182FE0"/>
    <w:rsid w:val="00183911"/>
    <w:rsid w:val="001840C0"/>
    <w:rsid w:val="00184407"/>
    <w:rsid w:val="001845FB"/>
    <w:rsid w:val="00184FB1"/>
    <w:rsid w:val="001857FB"/>
    <w:rsid w:val="00185DA6"/>
    <w:rsid w:val="00185F64"/>
    <w:rsid w:val="00186096"/>
    <w:rsid w:val="001862FE"/>
    <w:rsid w:val="001866F1"/>
    <w:rsid w:val="00186E20"/>
    <w:rsid w:val="0018772E"/>
    <w:rsid w:val="00187A94"/>
    <w:rsid w:val="0019029E"/>
    <w:rsid w:val="00190804"/>
    <w:rsid w:val="0019088F"/>
    <w:rsid w:val="00190C51"/>
    <w:rsid w:val="0019122E"/>
    <w:rsid w:val="0019170B"/>
    <w:rsid w:val="00191DDF"/>
    <w:rsid w:val="00193ACC"/>
    <w:rsid w:val="00193BFE"/>
    <w:rsid w:val="00195322"/>
    <w:rsid w:val="0019560E"/>
    <w:rsid w:val="001958E3"/>
    <w:rsid w:val="0019601B"/>
    <w:rsid w:val="00196048"/>
    <w:rsid w:val="00196764"/>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027"/>
    <w:rsid w:val="001A46FB"/>
    <w:rsid w:val="001A4B5B"/>
    <w:rsid w:val="001A4EA6"/>
    <w:rsid w:val="001A4EC9"/>
    <w:rsid w:val="001A5944"/>
    <w:rsid w:val="001A5FB1"/>
    <w:rsid w:val="001A698A"/>
    <w:rsid w:val="001A6CCC"/>
    <w:rsid w:val="001A6E3B"/>
    <w:rsid w:val="001A70C8"/>
    <w:rsid w:val="001A71C9"/>
    <w:rsid w:val="001A7429"/>
    <w:rsid w:val="001A760C"/>
    <w:rsid w:val="001A770F"/>
    <w:rsid w:val="001A7977"/>
    <w:rsid w:val="001A799B"/>
    <w:rsid w:val="001A7AC7"/>
    <w:rsid w:val="001A7C38"/>
    <w:rsid w:val="001B00C5"/>
    <w:rsid w:val="001B02F8"/>
    <w:rsid w:val="001B2104"/>
    <w:rsid w:val="001B2279"/>
    <w:rsid w:val="001B2729"/>
    <w:rsid w:val="001B2866"/>
    <w:rsid w:val="001B2881"/>
    <w:rsid w:val="001B2B73"/>
    <w:rsid w:val="001B3675"/>
    <w:rsid w:val="001B37C8"/>
    <w:rsid w:val="001B48BA"/>
    <w:rsid w:val="001B4B2C"/>
    <w:rsid w:val="001B4F10"/>
    <w:rsid w:val="001B5154"/>
    <w:rsid w:val="001B54BF"/>
    <w:rsid w:val="001B6E30"/>
    <w:rsid w:val="001B7C83"/>
    <w:rsid w:val="001B7D67"/>
    <w:rsid w:val="001B7F9E"/>
    <w:rsid w:val="001C0206"/>
    <w:rsid w:val="001C0246"/>
    <w:rsid w:val="001C04D4"/>
    <w:rsid w:val="001C0B34"/>
    <w:rsid w:val="001C12A3"/>
    <w:rsid w:val="001C17BB"/>
    <w:rsid w:val="001C187E"/>
    <w:rsid w:val="001C1A37"/>
    <w:rsid w:val="001C1B4B"/>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8B9"/>
    <w:rsid w:val="001C6B5C"/>
    <w:rsid w:val="001C7155"/>
    <w:rsid w:val="001C7E48"/>
    <w:rsid w:val="001D039B"/>
    <w:rsid w:val="001D0849"/>
    <w:rsid w:val="001D1258"/>
    <w:rsid w:val="001D1AB8"/>
    <w:rsid w:val="001D286F"/>
    <w:rsid w:val="001D2C94"/>
    <w:rsid w:val="001D33D9"/>
    <w:rsid w:val="001D36F6"/>
    <w:rsid w:val="001D4303"/>
    <w:rsid w:val="001D4386"/>
    <w:rsid w:val="001D45E5"/>
    <w:rsid w:val="001D461A"/>
    <w:rsid w:val="001D4A9D"/>
    <w:rsid w:val="001D4AAD"/>
    <w:rsid w:val="001D5AFA"/>
    <w:rsid w:val="001D652D"/>
    <w:rsid w:val="001D784A"/>
    <w:rsid w:val="001E04A4"/>
    <w:rsid w:val="001E07C5"/>
    <w:rsid w:val="001E176D"/>
    <w:rsid w:val="001E1BCE"/>
    <w:rsid w:val="001E1E05"/>
    <w:rsid w:val="001E2086"/>
    <w:rsid w:val="001E339F"/>
    <w:rsid w:val="001E3629"/>
    <w:rsid w:val="001E3E7D"/>
    <w:rsid w:val="001E40F0"/>
    <w:rsid w:val="001E4172"/>
    <w:rsid w:val="001E4F08"/>
    <w:rsid w:val="001E5490"/>
    <w:rsid w:val="001E5730"/>
    <w:rsid w:val="001E5E2E"/>
    <w:rsid w:val="001E6352"/>
    <w:rsid w:val="001E6ADE"/>
    <w:rsid w:val="001E70AD"/>
    <w:rsid w:val="001E7237"/>
    <w:rsid w:val="001E7AD1"/>
    <w:rsid w:val="001E7AF6"/>
    <w:rsid w:val="001F01B8"/>
    <w:rsid w:val="001F0FC3"/>
    <w:rsid w:val="001F1188"/>
    <w:rsid w:val="001F1401"/>
    <w:rsid w:val="001F1B8D"/>
    <w:rsid w:val="001F274F"/>
    <w:rsid w:val="001F289C"/>
    <w:rsid w:val="001F2BF9"/>
    <w:rsid w:val="001F3AF2"/>
    <w:rsid w:val="001F6008"/>
    <w:rsid w:val="001F604B"/>
    <w:rsid w:val="001F641B"/>
    <w:rsid w:val="001F6D4D"/>
    <w:rsid w:val="00200D69"/>
    <w:rsid w:val="00200F9D"/>
    <w:rsid w:val="0020130D"/>
    <w:rsid w:val="00201916"/>
    <w:rsid w:val="00201D06"/>
    <w:rsid w:val="00201E9F"/>
    <w:rsid w:val="0020217D"/>
    <w:rsid w:val="00202F25"/>
    <w:rsid w:val="002035B3"/>
    <w:rsid w:val="00203929"/>
    <w:rsid w:val="00203CD6"/>
    <w:rsid w:val="00203D01"/>
    <w:rsid w:val="00204460"/>
    <w:rsid w:val="002051EA"/>
    <w:rsid w:val="00205CBC"/>
    <w:rsid w:val="00206259"/>
    <w:rsid w:val="002074B7"/>
    <w:rsid w:val="0020758D"/>
    <w:rsid w:val="00207C7B"/>
    <w:rsid w:val="00211470"/>
    <w:rsid w:val="00211922"/>
    <w:rsid w:val="0021213A"/>
    <w:rsid w:val="002121B4"/>
    <w:rsid w:val="0021265F"/>
    <w:rsid w:val="00213232"/>
    <w:rsid w:val="00213817"/>
    <w:rsid w:val="00214428"/>
    <w:rsid w:val="002145EB"/>
    <w:rsid w:val="00214F82"/>
    <w:rsid w:val="00215033"/>
    <w:rsid w:val="00215834"/>
    <w:rsid w:val="00215A2A"/>
    <w:rsid w:val="00215CC2"/>
    <w:rsid w:val="00215ED8"/>
    <w:rsid w:val="00215FAF"/>
    <w:rsid w:val="00217700"/>
    <w:rsid w:val="002177E2"/>
    <w:rsid w:val="0021783B"/>
    <w:rsid w:val="002205F3"/>
    <w:rsid w:val="0022085B"/>
    <w:rsid w:val="00220E53"/>
    <w:rsid w:val="0022176C"/>
    <w:rsid w:val="002225D1"/>
    <w:rsid w:val="002230FA"/>
    <w:rsid w:val="00223DF2"/>
    <w:rsid w:val="002243E6"/>
    <w:rsid w:val="002249A2"/>
    <w:rsid w:val="00224C0C"/>
    <w:rsid w:val="002256C2"/>
    <w:rsid w:val="002256D0"/>
    <w:rsid w:val="00225C8E"/>
    <w:rsid w:val="00226428"/>
    <w:rsid w:val="002265A9"/>
    <w:rsid w:val="002266CB"/>
    <w:rsid w:val="00227052"/>
    <w:rsid w:val="002272D5"/>
    <w:rsid w:val="0022738E"/>
    <w:rsid w:val="00227906"/>
    <w:rsid w:val="00227934"/>
    <w:rsid w:val="00227E21"/>
    <w:rsid w:val="00230670"/>
    <w:rsid w:val="00231D05"/>
    <w:rsid w:val="0023241A"/>
    <w:rsid w:val="002336E2"/>
    <w:rsid w:val="00233AC2"/>
    <w:rsid w:val="00233BAF"/>
    <w:rsid w:val="00233E3A"/>
    <w:rsid w:val="00233F80"/>
    <w:rsid w:val="00235420"/>
    <w:rsid w:val="00235700"/>
    <w:rsid w:val="002374CA"/>
    <w:rsid w:val="0024065B"/>
    <w:rsid w:val="002409A6"/>
    <w:rsid w:val="00240C63"/>
    <w:rsid w:val="00240D91"/>
    <w:rsid w:val="00240EA5"/>
    <w:rsid w:val="00241132"/>
    <w:rsid w:val="00241205"/>
    <w:rsid w:val="002418C5"/>
    <w:rsid w:val="002421FD"/>
    <w:rsid w:val="0024261D"/>
    <w:rsid w:val="00242712"/>
    <w:rsid w:val="00242DFB"/>
    <w:rsid w:val="00243146"/>
    <w:rsid w:val="00243807"/>
    <w:rsid w:val="002440AC"/>
    <w:rsid w:val="00244365"/>
    <w:rsid w:val="0024459A"/>
    <w:rsid w:val="002446A3"/>
    <w:rsid w:val="00244771"/>
    <w:rsid w:val="00244903"/>
    <w:rsid w:val="00244AFB"/>
    <w:rsid w:val="002453DF"/>
    <w:rsid w:val="00245A81"/>
    <w:rsid w:val="00246010"/>
    <w:rsid w:val="002462A5"/>
    <w:rsid w:val="00246B86"/>
    <w:rsid w:val="00247335"/>
    <w:rsid w:val="002473EF"/>
    <w:rsid w:val="002477B9"/>
    <w:rsid w:val="00247B69"/>
    <w:rsid w:val="00247CBE"/>
    <w:rsid w:val="00250A1F"/>
    <w:rsid w:val="00250ADA"/>
    <w:rsid w:val="00250F1D"/>
    <w:rsid w:val="00251FF1"/>
    <w:rsid w:val="002520BA"/>
    <w:rsid w:val="00252234"/>
    <w:rsid w:val="002528E3"/>
    <w:rsid w:val="00252944"/>
    <w:rsid w:val="00252D55"/>
    <w:rsid w:val="00252D82"/>
    <w:rsid w:val="00253006"/>
    <w:rsid w:val="002533F5"/>
    <w:rsid w:val="002536B3"/>
    <w:rsid w:val="00253C60"/>
    <w:rsid w:val="00253F21"/>
    <w:rsid w:val="0025429D"/>
    <w:rsid w:val="002549E9"/>
    <w:rsid w:val="00254FF6"/>
    <w:rsid w:val="00255099"/>
    <w:rsid w:val="002555C6"/>
    <w:rsid w:val="00255E14"/>
    <w:rsid w:val="00255FF9"/>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2F9F"/>
    <w:rsid w:val="0026338A"/>
    <w:rsid w:val="00263EC7"/>
    <w:rsid w:val="0026491B"/>
    <w:rsid w:val="00264A36"/>
    <w:rsid w:val="00264B06"/>
    <w:rsid w:val="00264C1B"/>
    <w:rsid w:val="00264E10"/>
    <w:rsid w:val="00265D10"/>
    <w:rsid w:val="00265E2E"/>
    <w:rsid w:val="002661AB"/>
    <w:rsid w:val="00266229"/>
    <w:rsid w:val="0026742B"/>
    <w:rsid w:val="002674FE"/>
    <w:rsid w:val="00267E59"/>
    <w:rsid w:val="002702F6"/>
    <w:rsid w:val="00270748"/>
    <w:rsid w:val="00270CAB"/>
    <w:rsid w:val="0027117F"/>
    <w:rsid w:val="002712DC"/>
    <w:rsid w:val="00271875"/>
    <w:rsid w:val="002718FF"/>
    <w:rsid w:val="00271955"/>
    <w:rsid w:val="00272278"/>
    <w:rsid w:val="00272432"/>
    <w:rsid w:val="00272633"/>
    <w:rsid w:val="00272D2C"/>
    <w:rsid w:val="00272E48"/>
    <w:rsid w:val="00272FBF"/>
    <w:rsid w:val="0027352A"/>
    <w:rsid w:val="002739B5"/>
    <w:rsid w:val="00273A10"/>
    <w:rsid w:val="00273A58"/>
    <w:rsid w:val="0027451B"/>
    <w:rsid w:val="00274CAB"/>
    <w:rsid w:val="00274E8A"/>
    <w:rsid w:val="00275A53"/>
    <w:rsid w:val="00275FCE"/>
    <w:rsid w:val="002766B8"/>
    <w:rsid w:val="0027680F"/>
    <w:rsid w:val="002777C0"/>
    <w:rsid w:val="00281006"/>
    <w:rsid w:val="00281161"/>
    <w:rsid w:val="002815B1"/>
    <w:rsid w:val="00281893"/>
    <w:rsid w:val="00281C1F"/>
    <w:rsid w:val="00281EEA"/>
    <w:rsid w:val="00281F88"/>
    <w:rsid w:val="0028288D"/>
    <w:rsid w:val="002829B7"/>
    <w:rsid w:val="00282B82"/>
    <w:rsid w:val="00282C74"/>
    <w:rsid w:val="00282E5B"/>
    <w:rsid w:val="00283995"/>
    <w:rsid w:val="00283B11"/>
    <w:rsid w:val="002841A9"/>
    <w:rsid w:val="00284313"/>
    <w:rsid w:val="00284554"/>
    <w:rsid w:val="0028456A"/>
    <w:rsid w:val="002848AD"/>
    <w:rsid w:val="00284DE4"/>
    <w:rsid w:val="00285154"/>
    <w:rsid w:val="00285BF2"/>
    <w:rsid w:val="00285C78"/>
    <w:rsid w:val="00285DF8"/>
    <w:rsid w:val="00285E54"/>
    <w:rsid w:val="0028625F"/>
    <w:rsid w:val="002863CE"/>
    <w:rsid w:val="00287E20"/>
    <w:rsid w:val="0029110F"/>
    <w:rsid w:val="00291492"/>
    <w:rsid w:val="00291527"/>
    <w:rsid w:val="0029199A"/>
    <w:rsid w:val="00291BBE"/>
    <w:rsid w:val="00291FEB"/>
    <w:rsid w:val="00293146"/>
    <w:rsid w:val="0029361E"/>
    <w:rsid w:val="002939F4"/>
    <w:rsid w:val="00293D68"/>
    <w:rsid w:val="0029408A"/>
    <w:rsid w:val="00294352"/>
    <w:rsid w:val="002944A0"/>
    <w:rsid w:val="002946E4"/>
    <w:rsid w:val="0029495C"/>
    <w:rsid w:val="002957D9"/>
    <w:rsid w:val="0029599C"/>
    <w:rsid w:val="00295B52"/>
    <w:rsid w:val="00295F4B"/>
    <w:rsid w:val="00296024"/>
    <w:rsid w:val="00296293"/>
    <w:rsid w:val="00296AF7"/>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3DB"/>
    <w:rsid w:val="002A3E69"/>
    <w:rsid w:val="002A44F9"/>
    <w:rsid w:val="002A49EF"/>
    <w:rsid w:val="002A4B8B"/>
    <w:rsid w:val="002A5107"/>
    <w:rsid w:val="002A535E"/>
    <w:rsid w:val="002A5DBD"/>
    <w:rsid w:val="002A6406"/>
    <w:rsid w:val="002A6432"/>
    <w:rsid w:val="002A6CF0"/>
    <w:rsid w:val="002A6FFC"/>
    <w:rsid w:val="002A7010"/>
    <w:rsid w:val="002A70BA"/>
    <w:rsid w:val="002A7A57"/>
    <w:rsid w:val="002A7BB2"/>
    <w:rsid w:val="002A7DCB"/>
    <w:rsid w:val="002B0685"/>
    <w:rsid w:val="002B0B53"/>
    <w:rsid w:val="002B1617"/>
    <w:rsid w:val="002B1A90"/>
    <w:rsid w:val="002B1D11"/>
    <w:rsid w:val="002B273B"/>
    <w:rsid w:val="002B29AA"/>
    <w:rsid w:val="002B2A7E"/>
    <w:rsid w:val="002B2F1B"/>
    <w:rsid w:val="002B3332"/>
    <w:rsid w:val="002B34C7"/>
    <w:rsid w:val="002B5269"/>
    <w:rsid w:val="002B5AFB"/>
    <w:rsid w:val="002B6320"/>
    <w:rsid w:val="002B6499"/>
    <w:rsid w:val="002B66AC"/>
    <w:rsid w:val="002B6852"/>
    <w:rsid w:val="002B77E1"/>
    <w:rsid w:val="002C0656"/>
    <w:rsid w:val="002C0714"/>
    <w:rsid w:val="002C0A96"/>
    <w:rsid w:val="002C1422"/>
    <w:rsid w:val="002C1697"/>
    <w:rsid w:val="002C1BF4"/>
    <w:rsid w:val="002C1E0D"/>
    <w:rsid w:val="002C2266"/>
    <w:rsid w:val="002C2356"/>
    <w:rsid w:val="002C28EB"/>
    <w:rsid w:val="002C316C"/>
    <w:rsid w:val="002C3265"/>
    <w:rsid w:val="002C3AED"/>
    <w:rsid w:val="002C3E56"/>
    <w:rsid w:val="002C414C"/>
    <w:rsid w:val="002C49F8"/>
    <w:rsid w:val="002C4C2F"/>
    <w:rsid w:val="002C5776"/>
    <w:rsid w:val="002C5EED"/>
    <w:rsid w:val="002C66DE"/>
    <w:rsid w:val="002C7193"/>
    <w:rsid w:val="002C7699"/>
    <w:rsid w:val="002C7A49"/>
    <w:rsid w:val="002D0128"/>
    <w:rsid w:val="002D0638"/>
    <w:rsid w:val="002D0B52"/>
    <w:rsid w:val="002D0E85"/>
    <w:rsid w:val="002D0FA7"/>
    <w:rsid w:val="002D12FB"/>
    <w:rsid w:val="002D19D1"/>
    <w:rsid w:val="002D1F35"/>
    <w:rsid w:val="002D1FA3"/>
    <w:rsid w:val="002D1FB8"/>
    <w:rsid w:val="002D20CD"/>
    <w:rsid w:val="002D23C6"/>
    <w:rsid w:val="002D24F0"/>
    <w:rsid w:val="002D25EB"/>
    <w:rsid w:val="002D29F3"/>
    <w:rsid w:val="002D3126"/>
    <w:rsid w:val="002D3529"/>
    <w:rsid w:val="002D3D0A"/>
    <w:rsid w:val="002D3EF0"/>
    <w:rsid w:val="002D478E"/>
    <w:rsid w:val="002D47AE"/>
    <w:rsid w:val="002D4A94"/>
    <w:rsid w:val="002D6216"/>
    <w:rsid w:val="002D65FF"/>
    <w:rsid w:val="002D6D10"/>
    <w:rsid w:val="002D71E2"/>
    <w:rsid w:val="002D7B6A"/>
    <w:rsid w:val="002E0026"/>
    <w:rsid w:val="002E08E8"/>
    <w:rsid w:val="002E0918"/>
    <w:rsid w:val="002E0BAA"/>
    <w:rsid w:val="002E0D96"/>
    <w:rsid w:val="002E0EA5"/>
    <w:rsid w:val="002E0F1C"/>
    <w:rsid w:val="002E17C5"/>
    <w:rsid w:val="002E1E19"/>
    <w:rsid w:val="002E1FAC"/>
    <w:rsid w:val="002E283F"/>
    <w:rsid w:val="002E2854"/>
    <w:rsid w:val="002E2E69"/>
    <w:rsid w:val="002E2E74"/>
    <w:rsid w:val="002E32D2"/>
    <w:rsid w:val="002E361B"/>
    <w:rsid w:val="002E37AB"/>
    <w:rsid w:val="002E3A80"/>
    <w:rsid w:val="002E3FB9"/>
    <w:rsid w:val="002E41C7"/>
    <w:rsid w:val="002E51DF"/>
    <w:rsid w:val="002E57B9"/>
    <w:rsid w:val="002E6127"/>
    <w:rsid w:val="002E6885"/>
    <w:rsid w:val="002E72E4"/>
    <w:rsid w:val="002E739D"/>
    <w:rsid w:val="002F0F36"/>
    <w:rsid w:val="002F1276"/>
    <w:rsid w:val="002F175B"/>
    <w:rsid w:val="002F1986"/>
    <w:rsid w:val="002F1E5F"/>
    <w:rsid w:val="002F2A49"/>
    <w:rsid w:val="002F3550"/>
    <w:rsid w:val="002F3A4F"/>
    <w:rsid w:val="002F3B63"/>
    <w:rsid w:val="002F3C56"/>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E89"/>
    <w:rsid w:val="00302052"/>
    <w:rsid w:val="00302142"/>
    <w:rsid w:val="00302169"/>
    <w:rsid w:val="00302612"/>
    <w:rsid w:val="00303254"/>
    <w:rsid w:val="003032D8"/>
    <w:rsid w:val="003044D9"/>
    <w:rsid w:val="00304D8A"/>
    <w:rsid w:val="00305216"/>
    <w:rsid w:val="003053EA"/>
    <w:rsid w:val="0030555B"/>
    <w:rsid w:val="003061F5"/>
    <w:rsid w:val="00306A49"/>
    <w:rsid w:val="00306D27"/>
    <w:rsid w:val="0030722F"/>
    <w:rsid w:val="0030739C"/>
    <w:rsid w:val="00307A2C"/>
    <w:rsid w:val="00310D51"/>
    <w:rsid w:val="00311B36"/>
    <w:rsid w:val="00311C92"/>
    <w:rsid w:val="0031256E"/>
    <w:rsid w:val="00313321"/>
    <w:rsid w:val="003133AE"/>
    <w:rsid w:val="0031371B"/>
    <w:rsid w:val="00314156"/>
    <w:rsid w:val="00314CF8"/>
    <w:rsid w:val="0031535B"/>
    <w:rsid w:val="003154DD"/>
    <w:rsid w:val="00315FEA"/>
    <w:rsid w:val="00316F76"/>
    <w:rsid w:val="003170F4"/>
    <w:rsid w:val="0032035D"/>
    <w:rsid w:val="003205E9"/>
    <w:rsid w:val="00320B28"/>
    <w:rsid w:val="0032123E"/>
    <w:rsid w:val="003216D5"/>
    <w:rsid w:val="003216FF"/>
    <w:rsid w:val="00321866"/>
    <w:rsid w:val="00321A83"/>
    <w:rsid w:val="00321C1A"/>
    <w:rsid w:val="00321F6B"/>
    <w:rsid w:val="00322389"/>
    <w:rsid w:val="003223CA"/>
    <w:rsid w:val="00322BE5"/>
    <w:rsid w:val="00322E87"/>
    <w:rsid w:val="0032312D"/>
    <w:rsid w:val="00323AA5"/>
    <w:rsid w:val="003242E4"/>
    <w:rsid w:val="0032468D"/>
    <w:rsid w:val="00324926"/>
    <w:rsid w:val="00324B25"/>
    <w:rsid w:val="0032522F"/>
    <w:rsid w:val="003253C4"/>
    <w:rsid w:val="0032550F"/>
    <w:rsid w:val="00325992"/>
    <w:rsid w:val="00325B74"/>
    <w:rsid w:val="0032638F"/>
    <w:rsid w:val="00326B59"/>
    <w:rsid w:val="00326BD4"/>
    <w:rsid w:val="00326E49"/>
    <w:rsid w:val="003272C6"/>
    <w:rsid w:val="00327752"/>
    <w:rsid w:val="00327C7C"/>
    <w:rsid w:val="00330009"/>
    <w:rsid w:val="003301E6"/>
    <w:rsid w:val="003310AB"/>
    <w:rsid w:val="003314D2"/>
    <w:rsid w:val="003315A9"/>
    <w:rsid w:val="00331712"/>
    <w:rsid w:val="0033183B"/>
    <w:rsid w:val="00331A3F"/>
    <w:rsid w:val="00332191"/>
    <w:rsid w:val="00332720"/>
    <w:rsid w:val="00332EED"/>
    <w:rsid w:val="00332F1F"/>
    <w:rsid w:val="003333AB"/>
    <w:rsid w:val="003334A7"/>
    <w:rsid w:val="003337E8"/>
    <w:rsid w:val="00333A14"/>
    <w:rsid w:val="00333B2A"/>
    <w:rsid w:val="00333FD5"/>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D46"/>
    <w:rsid w:val="003451F0"/>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AE4"/>
    <w:rsid w:val="00354B0A"/>
    <w:rsid w:val="00355264"/>
    <w:rsid w:val="0035551B"/>
    <w:rsid w:val="00355532"/>
    <w:rsid w:val="003555ED"/>
    <w:rsid w:val="00355911"/>
    <w:rsid w:val="00355BFC"/>
    <w:rsid w:val="0035636B"/>
    <w:rsid w:val="00356433"/>
    <w:rsid w:val="00357424"/>
    <w:rsid w:val="00357BE9"/>
    <w:rsid w:val="003601A2"/>
    <w:rsid w:val="003605DB"/>
    <w:rsid w:val="00361327"/>
    <w:rsid w:val="00361789"/>
    <w:rsid w:val="0036196D"/>
    <w:rsid w:val="00361A59"/>
    <w:rsid w:val="00361D8E"/>
    <w:rsid w:val="00362136"/>
    <w:rsid w:val="00362517"/>
    <w:rsid w:val="0036268A"/>
    <w:rsid w:val="003627BD"/>
    <w:rsid w:val="00362997"/>
    <w:rsid w:val="00362C59"/>
    <w:rsid w:val="00363040"/>
    <w:rsid w:val="003630B7"/>
    <w:rsid w:val="003633E8"/>
    <w:rsid w:val="00363786"/>
    <w:rsid w:val="003638A4"/>
    <w:rsid w:val="003639BF"/>
    <w:rsid w:val="00363E41"/>
    <w:rsid w:val="00363FD2"/>
    <w:rsid w:val="00364091"/>
    <w:rsid w:val="0036447A"/>
    <w:rsid w:val="0036572E"/>
    <w:rsid w:val="00366168"/>
    <w:rsid w:val="003663D9"/>
    <w:rsid w:val="003666BF"/>
    <w:rsid w:val="00366707"/>
    <w:rsid w:val="00366FA9"/>
    <w:rsid w:val="00367B19"/>
    <w:rsid w:val="00367E49"/>
    <w:rsid w:val="003700E6"/>
    <w:rsid w:val="0037017C"/>
    <w:rsid w:val="00370490"/>
    <w:rsid w:val="00370633"/>
    <w:rsid w:val="0037117C"/>
    <w:rsid w:val="00371C86"/>
    <w:rsid w:val="0037236C"/>
    <w:rsid w:val="003729DE"/>
    <w:rsid w:val="003735D3"/>
    <w:rsid w:val="0037386D"/>
    <w:rsid w:val="00373956"/>
    <w:rsid w:val="003739A4"/>
    <w:rsid w:val="00374153"/>
    <w:rsid w:val="00374671"/>
    <w:rsid w:val="003750E0"/>
    <w:rsid w:val="00375AF1"/>
    <w:rsid w:val="00375C2F"/>
    <w:rsid w:val="00375FC5"/>
    <w:rsid w:val="00376943"/>
    <w:rsid w:val="003769BA"/>
    <w:rsid w:val="00377871"/>
    <w:rsid w:val="003778B2"/>
    <w:rsid w:val="00377D0E"/>
    <w:rsid w:val="00377E58"/>
    <w:rsid w:val="003804EE"/>
    <w:rsid w:val="003805E3"/>
    <w:rsid w:val="00380618"/>
    <w:rsid w:val="0038062E"/>
    <w:rsid w:val="003806D7"/>
    <w:rsid w:val="003807F7"/>
    <w:rsid w:val="00381610"/>
    <w:rsid w:val="00381762"/>
    <w:rsid w:val="00382106"/>
    <w:rsid w:val="00382657"/>
    <w:rsid w:val="00382708"/>
    <w:rsid w:val="00382ADF"/>
    <w:rsid w:val="00382B82"/>
    <w:rsid w:val="003834CE"/>
    <w:rsid w:val="003844BF"/>
    <w:rsid w:val="00384F87"/>
    <w:rsid w:val="0038518F"/>
    <w:rsid w:val="003854D5"/>
    <w:rsid w:val="0038552A"/>
    <w:rsid w:val="003856F1"/>
    <w:rsid w:val="003859EA"/>
    <w:rsid w:val="0038709E"/>
    <w:rsid w:val="00387D30"/>
    <w:rsid w:val="00391753"/>
    <w:rsid w:val="00391C7F"/>
    <w:rsid w:val="00392454"/>
    <w:rsid w:val="00392C85"/>
    <w:rsid w:val="00392FD8"/>
    <w:rsid w:val="00393E11"/>
    <w:rsid w:val="00394475"/>
    <w:rsid w:val="0039517A"/>
    <w:rsid w:val="003958B9"/>
    <w:rsid w:val="00395B51"/>
    <w:rsid w:val="00396796"/>
    <w:rsid w:val="00396EC6"/>
    <w:rsid w:val="003970BA"/>
    <w:rsid w:val="0039746C"/>
    <w:rsid w:val="003978CA"/>
    <w:rsid w:val="00397DC6"/>
    <w:rsid w:val="003A0E82"/>
    <w:rsid w:val="003A0FAC"/>
    <w:rsid w:val="003A1584"/>
    <w:rsid w:val="003A184D"/>
    <w:rsid w:val="003A1F68"/>
    <w:rsid w:val="003A1FB7"/>
    <w:rsid w:val="003A371E"/>
    <w:rsid w:val="003A3957"/>
    <w:rsid w:val="003A462A"/>
    <w:rsid w:val="003A4EA5"/>
    <w:rsid w:val="003A557D"/>
    <w:rsid w:val="003A595F"/>
    <w:rsid w:val="003A5EEC"/>
    <w:rsid w:val="003A6583"/>
    <w:rsid w:val="003A6B7A"/>
    <w:rsid w:val="003A6E38"/>
    <w:rsid w:val="003A79AE"/>
    <w:rsid w:val="003A7CA3"/>
    <w:rsid w:val="003B00B6"/>
    <w:rsid w:val="003B01C4"/>
    <w:rsid w:val="003B09D5"/>
    <w:rsid w:val="003B0BB0"/>
    <w:rsid w:val="003B11EE"/>
    <w:rsid w:val="003B15F8"/>
    <w:rsid w:val="003B1B60"/>
    <w:rsid w:val="003B230B"/>
    <w:rsid w:val="003B23BC"/>
    <w:rsid w:val="003B28BA"/>
    <w:rsid w:val="003B28F6"/>
    <w:rsid w:val="003B2DB5"/>
    <w:rsid w:val="003B2F05"/>
    <w:rsid w:val="003B3966"/>
    <w:rsid w:val="003B39B7"/>
    <w:rsid w:val="003B4754"/>
    <w:rsid w:val="003B4C78"/>
    <w:rsid w:val="003B4EB0"/>
    <w:rsid w:val="003B5094"/>
    <w:rsid w:val="003B5A05"/>
    <w:rsid w:val="003B5F6A"/>
    <w:rsid w:val="003B6B7F"/>
    <w:rsid w:val="003B7820"/>
    <w:rsid w:val="003C01A4"/>
    <w:rsid w:val="003C0219"/>
    <w:rsid w:val="003C0C12"/>
    <w:rsid w:val="003C16EE"/>
    <w:rsid w:val="003C1C87"/>
    <w:rsid w:val="003C2C85"/>
    <w:rsid w:val="003C2F61"/>
    <w:rsid w:val="003C345E"/>
    <w:rsid w:val="003C4409"/>
    <w:rsid w:val="003C4854"/>
    <w:rsid w:val="003C4997"/>
    <w:rsid w:val="003C4DA5"/>
    <w:rsid w:val="003C502A"/>
    <w:rsid w:val="003C5666"/>
    <w:rsid w:val="003C60CC"/>
    <w:rsid w:val="003C64F4"/>
    <w:rsid w:val="003C6D4E"/>
    <w:rsid w:val="003C724B"/>
    <w:rsid w:val="003C73DB"/>
    <w:rsid w:val="003D0185"/>
    <w:rsid w:val="003D02CB"/>
    <w:rsid w:val="003D0382"/>
    <w:rsid w:val="003D069C"/>
    <w:rsid w:val="003D0C2A"/>
    <w:rsid w:val="003D18F6"/>
    <w:rsid w:val="003D191E"/>
    <w:rsid w:val="003D1A19"/>
    <w:rsid w:val="003D2027"/>
    <w:rsid w:val="003D22A5"/>
    <w:rsid w:val="003D23A4"/>
    <w:rsid w:val="003D3414"/>
    <w:rsid w:val="003D3426"/>
    <w:rsid w:val="003D3654"/>
    <w:rsid w:val="003D3721"/>
    <w:rsid w:val="003D413A"/>
    <w:rsid w:val="003D4A9F"/>
    <w:rsid w:val="003D6722"/>
    <w:rsid w:val="003D7428"/>
    <w:rsid w:val="003D77F2"/>
    <w:rsid w:val="003D78CC"/>
    <w:rsid w:val="003D7D01"/>
    <w:rsid w:val="003D7D25"/>
    <w:rsid w:val="003D7ED8"/>
    <w:rsid w:val="003E0003"/>
    <w:rsid w:val="003E0099"/>
    <w:rsid w:val="003E08C7"/>
    <w:rsid w:val="003E1427"/>
    <w:rsid w:val="003E1A72"/>
    <w:rsid w:val="003E1C35"/>
    <w:rsid w:val="003E2582"/>
    <w:rsid w:val="003E2880"/>
    <w:rsid w:val="003E28FB"/>
    <w:rsid w:val="003E2A00"/>
    <w:rsid w:val="003E382C"/>
    <w:rsid w:val="003E3D00"/>
    <w:rsid w:val="003E4531"/>
    <w:rsid w:val="003E4771"/>
    <w:rsid w:val="003E54A8"/>
    <w:rsid w:val="003E5833"/>
    <w:rsid w:val="003E5DA8"/>
    <w:rsid w:val="003E7109"/>
    <w:rsid w:val="003E77DC"/>
    <w:rsid w:val="003E7BC1"/>
    <w:rsid w:val="003F0453"/>
    <w:rsid w:val="003F0C9F"/>
    <w:rsid w:val="003F144A"/>
    <w:rsid w:val="003F18FB"/>
    <w:rsid w:val="003F1B02"/>
    <w:rsid w:val="003F1EFE"/>
    <w:rsid w:val="003F2240"/>
    <w:rsid w:val="003F2460"/>
    <w:rsid w:val="003F2E7B"/>
    <w:rsid w:val="003F3CD5"/>
    <w:rsid w:val="003F4473"/>
    <w:rsid w:val="003F4CF5"/>
    <w:rsid w:val="003F4E31"/>
    <w:rsid w:val="003F51EE"/>
    <w:rsid w:val="003F574E"/>
    <w:rsid w:val="003F60D6"/>
    <w:rsid w:val="003F68E9"/>
    <w:rsid w:val="003F728C"/>
    <w:rsid w:val="003F7E15"/>
    <w:rsid w:val="003F7FDA"/>
    <w:rsid w:val="00400E65"/>
    <w:rsid w:val="00401296"/>
    <w:rsid w:val="004013AD"/>
    <w:rsid w:val="00401E20"/>
    <w:rsid w:val="004021C0"/>
    <w:rsid w:val="004024F9"/>
    <w:rsid w:val="004028CE"/>
    <w:rsid w:val="0040299B"/>
    <w:rsid w:val="0040313D"/>
    <w:rsid w:val="004043FA"/>
    <w:rsid w:val="00404970"/>
    <w:rsid w:val="00405181"/>
    <w:rsid w:val="0040567F"/>
    <w:rsid w:val="00405873"/>
    <w:rsid w:val="00405F09"/>
    <w:rsid w:val="00405F3A"/>
    <w:rsid w:val="004066F4"/>
    <w:rsid w:val="00406A32"/>
    <w:rsid w:val="0040760B"/>
    <w:rsid w:val="00410117"/>
    <w:rsid w:val="00410600"/>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BB4"/>
    <w:rsid w:val="00414D68"/>
    <w:rsid w:val="00414FD9"/>
    <w:rsid w:val="004151BC"/>
    <w:rsid w:val="00415773"/>
    <w:rsid w:val="00415CAE"/>
    <w:rsid w:val="00415EE7"/>
    <w:rsid w:val="004160FA"/>
    <w:rsid w:val="0041669E"/>
    <w:rsid w:val="00416ACA"/>
    <w:rsid w:val="00416C56"/>
    <w:rsid w:val="00417294"/>
    <w:rsid w:val="004176B8"/>
    <w:rsid w:val="00417B99"/>
    <w:rsid w:val="00417CE0"/>
    <w:rsid w:val="004209D5"/>
    <w:rsid w:val="00420FAF"/>
    <w:rsid w:val="00421184"/>
    <w:rsid w:val="004212C1"/>
    <w:rsid w:val="004214B7"/>
    <w:rsid w:val="00421510"/>
    <w:rsid w:val="00421FB5"/>
    <w:rsid w:val="004226ED"/>
    <w:rsid w:val="00422AF4"/>
    <w:rsid w:val="004235F4"/>
    <w:rsid w:val="004236C9"/>
    <w:rsid w:val="00423CF3"/>
    <w:rsid w:val="00423E18"/>
    <w:rsid w:val="004245E4"/>
    <w:rsid w:val="00424B7C"/>
    <w:rsid w:val="0042500C"/>
    <w:rsid w:val="00425514"/>
    <w:rsid w:val="004256BD"/>
    <w:rsid w:val="00425863"/>
    <w:rsid w:val="00425D02"/>
    <w:rsid w:val="00425EDC"/>
    <w:rsid w:val="0042610C"/>
    <w:rsid w:val="00426B30"/>
    <w:rsid w:val="00426C3E"/>
    <w:rsid w:val="004275CD"/>
    <w:rsid w:val="00427E74"/>
    <w:rsid w:val="00427FEB"/>
    <w:rsid w:val="00427FF2"/>
    <w:rsid w:val="004305C0"/>
    <w:rsid w:val="00430B20"/>
    <w:rsid w:val="00430B6C"/>
    <w:rsid w:val="0043194E"/>
    <w:rsid w:val="0043227C"/>
    <w:rsid w:val="004335C0"/>
    <w:rsid w:val="004345E1"/>
    <w:rsid w:val="00435121"/>
    <w:rsid w:val="00435715"/>
    <w:rsid w:val="0043571B"/>
    <w:rsid w:val="00435EE0"/>
    <w:rsid w:val="00435F29"/>
    <w:rsid w:val="0043610C"/>
    <w:rsid w:val="004366FF"/>
    <w:rsid w:val="00437D83"/>
    <w:rsid w:val="004401DD"/>
    <w:rsid w:val="00440344"/>
    <w:rsid w:val="00440C0F"/>
    <w:rsid w:val="00441264"/>
    <w:rsid w:val="00441B0F"/>
    <w:rsid w:val="004425C6"/>
    <w:rsid w:val="00443D5D"/>
    <w:rsid w:val="00445CBA"/>
    <w:rsid w:val="004463CB"/>
    <w:rsid w:val="004466F7"/>
    <w:rsid w:val="00446858"/>
    <w:rsid w:val="00446C99"/>
    <w:rsid w:val="00447304"/>
    <w:rsid w:val="004476F6"/>
    <w:rsid w:val="00447CDD"/>
    <w:rsid w:val="00450127"/>
    <w:rsid w:val="0045075F"/>
    <w:rsid w:val="004514A5"/>
    <w:rsid w:val="004516AD"/>
    <w:rsid w:val="00451E84"/>
    <w:rsid w:val="00451EA3"/>
    <w:rsid w:val="00451F01"/>
    <w:rsid w:val="00454145"/>
    <w:rsid w:val="00454660"/>
    <w:rsid w:val="004546A7"/>
    <w:rsid w:val="00454831"/>
    <w:rsid w:val="004548DF"/>
    <w:rsid w:val="00456CC0"/>
    <w:rsid w:val="00457933"/>
    <w:rsid w:val="00457C78"/>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4236"/>
    <w:rsid w:val="00464381"/>
    <w:rsid w:val="00464B8A"/>
    <w:rsid w:val="00465153"/>
    <w:rsid w:val="00465602"/>
    <w:rsid w:val="004656A4"/>
    <w:rsid w:val="0046599C"/>
    <w:rsid w:val="00465F01"/>
    <w:rsid w:val="00466A4A"/>
    <w:rsid w:val="00466AFD"/>
    <w:rsid w:val="00470696"/>
    <w:rsid w:val="004713A5"/>
    <w:rsid w:val="004718E1"/>
    <w:rsid w:val="00471FEC"/>
    <w:rsid w:val="00472177"/>
    <w:rsid w:val="00472234"/>
    <w:rsid w:val="004724C9"/>
    <w:rsid w:val="00472585"/>
    <w:rsid w:val="0047278F"/>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B2B"/>
    <w:rsid w:val="00481F2B"/>
    <w:rsid w:val="004820C5"/>
    <w:rsid w:val="00482198"/>
    <w:rsid w:val="004823D8"/>
    <w:rsid w:val="00482F20"/>
    <w:rsid w:val="00483196"/>
    <w:rsid w:val="0048340F"/>
    <w:rsid w:val="0048423C"/>
    <w:rsid w:val="00484449"/>
    <w:rsid w:val="004852CE"/>
    <w:rsid w:val="0048540C"/>
    <w:rsid w:val="00485B5F"/>
    <w:rsid w:val="00485F92"/>
    <w:rsid w:val="004860BD"/>
    <w:rsid w:val="004866E1"/>
    <w:rsid w:val="00486C72"/>
    <w:rsid w:val="00487D3A"/>
    <w:rsid w:val="00490954"/>
    <w:rsid w:val="0049102F"/>
    <w:rsid w:val="00491602"/>
    <w:rsid w:val="0049277A"/>
    <w:rsid w:val="00492B38"/>
    <w:rsid w:val="00492FE4"/>
    <w:rsid w:val="00493035"/>
    <w:rsid w:val="00493321"/>
    <w:rsid w:val="004936DE"/>
    <w:rsid w:val="004949B0"/>
    <w:rsid w:val="0049544E"/>
    <w:rsid w:val="00495670"/>
    <w:rsid w:val="0049567B"/>
    <w:rsid w:val="0049604B"/>
    <w:rsid w:val="00496666"/>
    <w:rsid w:val="00496AC9"/>
    <w:rsid w:val="004A040E"/>
    <w:rsid w:val="004A042D"/>
    <w:rsid w:val="004A1178"/>
    <w:rsid w:val="004A11E0"/>
    <w:rsid w:val="004A1953"/>
    <w:rsid w:val="004A1FC5"/>
    <w:rsid w:val="004A2158"/>
    <w:rsid w:val="004A29A5"/>
    <w:rsid w:val="004A3225"/>
    <w:rsid w:val="004A374A"/>
    <w:rsid w:val="004A395B"/>
    <w:rsid w:val="004A3C59"/>
    <w:rsid w:val="004A3FE2"/>
    <w:rsid w:val="004A4195"/>
    <w:rsid w:val="004A480D"/>
    <w:rsid w:val="004A4D76"/>
    <w:rsid w:val="004A5851"/>
    <w:rsid w:val="004A5A91"/>
    <w:rsid w:val="004A5B0F"/>
    <w:rsid w:val="004A5CF1"/>
    <w:rsid w:val="004A66E0"/>
    <w:rsid w:val="004A7AAE"/>
    <w:rsid w:val="004A7D49"/>
    <w:rsid w:val="004A7E52"/>
    <w:rsid w:val="004A7F21"/>
    <w:rsid w:val="004B07C6"/>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0F3"/>
    <w:rsid w:val="004B6C77"/>
    <w:rsid w:val="004B6D0A"/>
    <w:rsid w:val="004B6DA4"/>
    <w:rsid w:val="004B794C"/>
    <w:rsid w:val="004B7995"/>
    <w:rsid w:val="004C02B3"/>
    <w:rsid w:val="004C098E"/>
    <w:rsid w:val="004C0BBE"/>
    <w:rsid w:val="004C0E2F"/>
    <w:rsid w:val="004C1705"/>
    <w:rsid w:val="004C222E"/>
    <w:rsid w:val="004C2561"/>
    <w:rsid w:val="004C25B4"/>
    <w:rsid w:val="004C2806"/>
    <w:rsid w:val="004C29BD"/>
    <w:rsid w:val="004C3A7A"/>
    <w:rsid w:val="004C3ADD"/>
    <w:rsid w:val="004C3C00"/>
    <w:rsid w:val="004C428E"/>
    <w:rsid w:val="004C441A"/>
    <w:rsid w:val="004C4775"/>
    <w:rsid w:val="004C483D"/>
    <w:rsid w:val="004C48A9"/>
    <w:rsid w:val="004C4D05"/>
    <w:rsid w:val="004C590B"/>
    <w:rsid w:val="004C5BF4"/>
    <w:rsid w:val="004C5E9D"/>
    <w:rsid w:val="004C6017"/>
    <w:rsid w:val="004C62DE"/>
    <w:rsid w:val="004C63C7"/>
    <w:rsid w:val="004C6D39"/>
    <w:rsid w:val="004C6D98"/>
    <w:rsid w:val="004C7217"/>
    <w:rsid w:val="004C7743"/>
    <w:rsid w:val="004C77A7"/>
    <w:rsid w:val="004C7B38"/>
    <w:rsid w:val="004D039E"/>
    <w:rsid w:val="004D04A3"/>
    <w:rsid w:val="004D0C9F"/>
    <w:rsid w:val="004D15FD"/>
    <w:rsid w:val="004D1A0A"/>
    <w:rsid w:val="004D2369"/>
    <w:rsid w:val="004D2485"/>
    <w:rsid w:val="004D2CFC"/>
    <w:rsid w:val="004D3A57"/>
    <w:rsid w:val="004D47FF"/>
    <w:rsid w:val="004D4D35"/>
    <w:rsid w:val="004D518F"/>
    <w:rsid w:val="004D5394"/>
    <w:rsid w:val="004D54D7"/>
    <w:rsid w:val="004D5BB7"/>
    <w:rsid w:val="004D6053"/>
    <w:rsid w:val="004D6FA4"/>
    <w:rsid w:val="004D7C23"/>
    <w:rsid w:val="004E01C6"/>
    <w:rsid w:val="004E0212"/>
    <w:rsid w:val="004E0ADC"/>
    <w:rsid w:val="004E0FB1"/>
    <w:rsid w:val="004E1043"/>
    <w:rsid w:val="004E19DB"/>
    <w:rsid w:val="004E1DCA"/>
    <w:rsid w:val="004E21B4"/>
    <w:rsid w:val="004E252B"/>
    <w:rsid w:val="004E2861"/>
    <w:rsid w:val="004E2A85"/>
    <w:rsid w:val="004E3F72"/>
    <w:rsid w:val="004E47D5"/>
    <w:rsid w:val="004E4A5C"/>
    <w:rsid w:val="004E4A78"/>
    <w:rsid w:val="004E551E"/>
    <w:rsid w:val="004E584D"/>
    <w:rsid w:val="004E58F6"/>
    <w:rsid w:val="004E5E37"/>
    <w:rsid w:val="004E5E4C"/>
    <w:rsid w:val="004E5F79"/>
    <w:rsid w:val="004E623E"/>
    <w:rsid w:val="004E6589"/>
    <w:rsid w:val="004E6A1D"/>
    <w:rsid w:val="004E6CF9"/>
    <w:rsid w:val="004E7152"/>
    <w:rsid w:val="004E734E"/>
    <w:rsid w:val="004E7EC0"/>
    <w:rsid w:val="004E7F48"/>
    <w:rsid w:val="004F014E"/>
    <w:rsid w:val="004F023B"/>
    <w:rsid w:val="004F0BC6"/>
    <w:rsid w:val="004F1123"/>
    <w:rsid w:val="004F1715"/>
    <w:rsid w:val="004F17DA"/>
    <w:rsid w:val="004F355B"/>
    <w:rsid w:val="004F3BD2"/>
    <w:rsid w:val="004F3CBF"/>
    <w:rsid w:val="004F4372"/>
    <w:rsid w:val="004F43E0"/>
    <w:rsid w:val="004F45EB"/>
    <w:rsid w:val="004F5079"/>
    <w:rsid w:val="004F521B"/>
    <w:rsid w:val="004F52BB"/>
    <w:rsid w:val="004F5582"/>
    <w:rsid w:val="004F59B8"/>
    <w:rsid w:val="004F62A7"/>
    <w:rsid w:val="004F62F9"/>
    <w:rsid w:val="004F66B3"/>
    <w:rsid w:val="004F6FA7"/>
    <w:rsid w:val="004F71FB"/>
    <w:rsid w:val="004F7352"/>
    <w:rsid w:val="004F7889"/>
    <w:rsid w:val="0050015C"/>
    <w:rsid w:val="00500418"/>
    <w:rsid w:val="00500CCF"/>
    <w:rsid w:val="00500E62"/>
    <w:rsid w:val="005010DE"/>
    <w:rsid w:val="005011FD"/>
    <w:rsid w:val="0050164B"/>
    <w:rsid w:val="00501A86"/>
    <w:rsid w:val="00501AA5"/>
    <w:rsid w:val="00502958"/>
    <w:rsid w:val="00502BD2"/>
    <w:rsid w:val="00502DA4"/>
    <w:rsid w:val="0050356B"/>
    <w:rsid w:val="00503F83"/>
    <w:rsid w:val="0050421C"/>
    <w:rsid w:val="00504A9B"/>
    <w:rsid w:val="00504E9A"/>
    <w:rsid w:val="00504F83"/>
    <w:rsid w:val="005059B9"/>
    <w:rsid w:val="00505F64"/>
    <w:rsid w:val="00506CC4"/>
    <w:rsid w:val="00506DCD"/>
    <w:rsid w:val="00507325"/>
    <w:rsid w:val="00507583"/>
    <w:rsid w:val="00507C36"/>
    <w:rsid w:val="00507C56"/>
    <w:rsid w:val="00507F13"/>
    <w:rsid w:val="005109D4"/>
    <w:rsid w:val="00510CF4"/>
    <w:rsid w:val="0051160A"/>
    <w:rsid w:val="005118BA"/>
    <w:rsid w:val="00512D87"/>
    <w:rsid w:val="005130DA"/>
    <w:rsid w:val="00513430"/>
    <w:rsid w:val="0051354B"/>
    <w:rsid w:val="00513DDA"/>
    <w:rsid w:val="00513E19"/>
    <w:rsid w:val="005148B4"/>
    <w:rsid w:val="00514B29"/>
    <w:rsid w:val="00514E8C"/>
    <w:rsid w:val="005152B1"/>
    <w:rsid w:val="005152F0"/>
    <w:rsid w:val="0051532D"/>
    <w:rsid w:val="00515856"/>
    <w:rsid w:val="00515F50"/>
    <w:rsid w:val="005163E6"/>
    <w:rsid w:val="005172EC"/>
    <w:rsid w:val="0051740D"/>
    <w:rsid w:val="005178CE"/>
    <w:rsid w:val="005205FF"/>
    <w:rsid w:val="00521356"/>
    <w:rsid w:val="00521CAB"/>
    <w:rsid w:val="00521DFB"/>
    <w:rsid w:val="005224EF"/>
    <w:rsid w:val="00522654"/>
    <w:rsid w:val="00522835"/>
    <w:rsid w:val="0052293D"/>
    <w:rsid w:val="00522AF4"/>
    <w:rsid w:val="00523499"/>
    <w:rsid w:val="0052373F"/>
    <w:rsid w:val="00523BC7"/>
    <w:rsid w:val="00523C08"/>
    <w:rsid w:val="00523C10"/>
    <w:rsid w:val="00523E23"/>
    <w:rsid w:val="005245D5"/>
    <w:rsid w:val="005247FE"/>
    <w:rsid w:val="00524889"/>
    <w:rsid w:val="0052575D"/>
    <w:rsid w:val="005259FC"/>
    <w:rsid w:val="00525A53"/>
    <w:rsid w:val="005260C7"/>
    <w:rsid w:val="005260F1"/>
    <w:rsid w:val="00526569"/>
    <w:rsid w:val="00526726"/>
    <w:rsid w:val="00526F91"/>
    <w:rsid w:val="00527256"/>
    <w:rsid w:val="00527934"/>
    <w:rsid w:val="00527AC0"/>
    <w:rsid w:val="00527B57"/>
    <w:rsid w:val="00527C8D"/>
    <w:rsid w:val="00527C9C"/>
    <w:rsid w:val="00530034"/>
    <w:rsid w:val="00530AC4"/>
    <w:rsid w:val="00531F7B"/>
    <w:rsid w:val="00532064"/>
    <w:rsid w:val="0053268A"/>
    <w:rsid w:val="0053309E"/>
    <w:rsid w:val="00533169"/>
    <w:rsid w:val="00533194"/>
    <w:rsid w:val="005332C8"/>
    <w:rsid w:val="00534021"/>
    <w:rsid w:val="005343C8"/>
    <w:rsid w:val="0053464E"/>
    <w:rsid w:val="00534CBD"/>
    <w:rsid w:val="005352C8"/>
    <w:rsid w:val="005354C1"/>
    <w:rsid w:val="00535F99"/>
    <w:rsid w:val="00536356"/>
    <w:rsid w:val="0053691D"/>
    <w:rsid w:val="00536BBB"/>
    <w:rsid w:val="00536CBB"/>
    <w:rsid w:val="00536DDD"/>
    <w:rsid w:val="00537033"/>
    <w:rsid w:val="00540A37"/>
    <w:rsid w:val="00540AE7"/>
    <w:rsid w:val="00540B49"/>
    <w:rsid w:val="00541415"/>
    <w:rsid w:val="005418DB"/>
    <w:rsid w:val="00541B51"/>
    <w:rsid w:val="005434EA"/>
    <w:rsid w:val="005436B8"/>
    <w:rsid w:val="005455FB"/>
    <w:rsid w:val="00545D55"/>
    <w:rsid w:val="005461AB"/>
    <w:rsid w:val="00546C6A"/>
    <w:rsid w:val="00546FBA"/>
    <w:rsid w:val="00547923"/>
    <w:rsid w:val="00547F04"/>
    <w:rsid w:val="00550924"/>
    <w:rsid w:val="00550D63"/>
    <w:rsid w:val="00550EF1"/>
    <w:rsid w:val="00550FC4"/>
    <w:rsid w:val="00551075"/>
    <w:rsid w:val="005513C8"/>
    <w:rsid w:val="00552204"/>
    <w:rsid w:val="0055236E"/>
    <w:rsid w:val="0055352C"/>
    <w:rsid w:val="005538A6"/>
    <w:rsid w:val="00554F94"/>
    <w:rsid w:val="00555161"/>
    <w:rsid w:val="00555A59"/>
    <w:rsid w:val="00555BB7"/>
    <w:rsid w:val="00555DE6"/>
    <w:rsid w:val="00555EB3"/>
    <w:rsid w:val="005567F6"/>
    <w:rsid w:val="0055695F"/>
    <w:rsid w:val="00556E29"/>
    <w:rsid w:val="00557474"/>
    <w:rsid w:val="00557DAA"/>
    <w:rsid w:val="00557DAD"/>
    <w:rsid w:val="00561138"/>
    <w:rsid w:val="00561572"/>
    <w:rsid w:val="00561699"/>
    <w:rsid w:val="0056194F"/>
    <w:rsid w:val="005619E1"/>
    <w:rsid w:val="00561EEE"/>
    <w:rsid w:val="00562629"/>
    <w:rsid w:val="005628FE"/>
    <w:rsid w:val="0056364B"/>
    <w:rsid w:val="00563D49"/>
    <w:rsid w:val="00564191"/>
    <w:rsid w:val="00564557"/>
    <w:rsid w:val="0056458C"/>
    <w:rsid w:val="00564628"/>
    <w:rsid w:val="005648B9"/>
    <w:rsid w:val="00564A3C"/>
    <w:rsid w:val="00564C5F"/>
    <w:rsid w:val="00564F82"/>
    <w:rsid w:val="005653AF"/>
    <w:rsid w:val="00565501"/>
    <w:rsid w:val="00565755"/>
    <w:rsid w:val="00565DFA"/>
    <w:rsid w:val="0056601E"/>
    <w:rsid w:val="00566406"/>
    <w:rsid w:val="005664A6"/>
    <w:rsid w:val="00566538"/>
    <w:rsid w:val="0056663C"/>
    <w:rsid w:val="0056725A"/>
    <w:rsid w:val="0056741F"/>
    <w:rsid w:val="00567647"/>
    <w:rsid w:val="0056781B"/>
    <w:rsid w:val="00567BE2"/>
    <w:rsid w:val="00570102"/>
    <w:rsid w:val="00570505"/>
    <w:rsid w:val="00570FDD"/>
    <w:rsid w:val="005712E6"/>
    <w:rsid w:val="0057153C"/>
    <w:rsid w:val="00572942"/>
    <w:rsid w:val="005730DB"/>
    <w:rsid w:val="00573251"/>
    <w:rsid w:val="005733A8"/>
    <w:rsid w:val="00573B5B"/>
    <w:rsid w:val="00573F55"/>
    <w:rsid w:val="00574070"/>
    <w:rsid w:val="00575148"/>
    <w:rsid w:val="0057540E"/>
    <w:rsid w:val="005757B6"/>
    <w:rsid w:val="005761E2"/>
    <w:rsid w:val="0058000F"/>
    <w:rsid w:val="00580557"/>
    <w:rsid w:val="0058074F"/>
    <w:rsid w:val="00580A76"/>
    <w:rsid w:val="00581042"/>
    <w:rsid w:val="00581703"/>
    <w:rsid w:val="00581B15"/>
    <w:rsid w:val="005821DD"/>
    <w:rsid w:val="00583908"/>
    <w:rsid w:val="00584757"/>
    <w:rsid w:val="00584E21"/>
    <w:rsid w:val="00585E41"/>
    <w:rsid w:val="0058608B"/>
    <w:rsid w:val="005863C1"/>
    <w:rsid w:val="0058654D"/>
    <w:rsid w:val="00586786"/>
    <w:rsid w:val="00587729"/>
    <w:rsid w:val="00587886"/>
    <w:rsid w:val="00587A66"/>
    <w:rsid w:val="00590147"/>
    <w:rsid w:val="0059028F"/>
    <w:rsid w:val="00590BD1"/>
    <w:rsid w:val="00590D26"/>
    <w:rsid w:val="00591276"/>
    <w:rsid w:val="00591490"/>
    <w:rsid w:val="0059151A"/>
    <w:rsid w:val="005916C9"/>
    <w:rsid w:val="00591C7E"/>
    <w:rsid w:val="00591D27"/>
    <w:rsid w:val="00591DCF"/>
    <w:rsid w:val="00592853"/>
    <w:rsid w:val="005929B4"/>
    <w:rsid w:val="00592A3C"/>
    <w:rsid w:val="0059367F"/>
    <w:rsid w:val="00593720"/>
    <w:rsid w:val="00593909"/>
    <w:rsid w:val="00593A71"/>
    <w:rsid w:val="005941E1"/>
    <w:rsid w:val="005943E2"/>
    <w:rsid w:val="00594B8A"/>
    <w:rsid w:val="00595009"/>
    <w:rsid w:val="005954B7"/>
    <w:rsid w:val="00595A05"/>
    <w:rsid w:val="00595F17"/>
    <w:rsid w:val="00595F3D"/>
    <w:rsid w:val="00595F89"/>
    <w:rsid w:val="00596873"/>
    <w:rsid w:val="00596BB3"/>
    <w:rsid w:val="00596BD4"/>
    <w:rsid w:val="00596FA8"/>
    <w:rsid w:val="005971A7"/>
    <w:rsid w:val="00597310"/>
    <w:rsid w:val="005977AB"/>
    <w:rsid w:val="00597953"/>
    <w:rsid w:val="005A01C5"/>
    <w:rsid w:val="005A0532"/>
    <w:rsid w:val="005A07E7"/>
    <w:rsid w:val="005A0A57"/>
    <w:rsid w:val="005A0B9F"/>
    <w:rsid w:val="005A0DBB"/>
    <w:rsid w:val="005A0EBD"/>
    <w:rsid w:val="005A1270"/>
    <w:rsid w:val="005A1295"/>
    <w:rsid w:val="005A1FBF"/>
    <w:rsid w:val="005A29B1"/>
    <w:rsid w:val="005A2EBF"/>
    <w:rsid w:val="005A380B"/>
    <w:rsid w:val="005A4890"/>
    <w:rsid w:val="005A49D4"/>
    <w:rsid w:val="005A4D7C"/>
    <w:rsid w:val="005A51C9"/>
    <w:rsid w:val="005A5A96"/>
    <w:rsid w:val="005A5D7F"/>
    <w:rsid w:val="005A5DC0"/>
    <w:rsid w:val="005A6B6D"/>
    <w:rsid w:val="005A6ED5"/>
    <w:rsid w:val="005A6F0E"/>
    <w:rsid w:val="005A6F57"/>
    <w:rsid w:val="005A7235"/>
    <w:rsid w:val="005A795B"/>
    <w:rsid w:val="005A7BAF"/>
    <w:rsid w:val="005B05FA"/>
    <w:rsid w:val="005B0652"/>
    <w:rsid w:val="005B1213"/>
    <w:rsid w:val="005B1B55"/>
    <w:rsid w:val="005B1C52"/>
    <w:rsid w:val="005B1DBD"/>
    <w:rsid w:val="005B26B0"/>
    <w:rsid w:val="005B3EBD"/>
    <w:rsid w:val="005B3F0C"/>
    <w:rsid w:val="005B48E8"/>
    <w:rsid w:val="005B564F"/>
    <w:rsid w:val="005B56D9"/>
    <w:rsid w:val="005B5BA3"/>
    <w:rsid w:val="005B5E62"/>
    <w:rsid w:val="005B7230"/>
    <w:rsid w:val="005B7E97"/>
    <w:rsid w:val="005B7F46"/>
    <w:rsid w:val="005C07D2"/>
    <w:rsid w:val="005C09A7"/>
    <w:rsid w:val="005C102D"/>
    <w:rsid w:val="005C132C"/>
    <w:rsid w:val="005C17FB"/>
    <w:rsid w:val="005C1833"/>
    <w:rsid w:val="005C1838"/>
    <w:rsid w:val="005C18C2"/>
    <w:rsid w:val="005C2063"/>
    <w:rsid w:val="005C244F"/>
    <w:rsid w:val="005C2767"/>
    <w:rsid w:val="005C2922"/>
    <w:rsid w:val="005C2C01"/>
    <w:rsid w:val="005C2F60"/>
    <w:rsid w:val="005C30A7"/>
    <w:rsid w:val="005C323D"/>
    <w:rsid w:val="005C3772"/>
    <w:rsid w:val="005C39C3"/>
    <w:rsid w:val="005C4229"/>
    <w:rsid w:val="005C4580"/>
    <w:rsid w:val="005C5065"/>
    <w:rsid w:val="005C52F3"/>
    <w:rsid w:val="005C564C"/>
    <w:rsid w:val="005C56EA"/>
    <w:rsid w:val="005C6234"/>
    <w:rsid w:val="005C64DC"/>
    <w:rsid w:val="005C6605"/>
    <w:rsid w:val="005C71A0"/>
    <w:rsid w:val="005C75B8"/>
    <w:rsid w:val="005C7802"/>
    <w:rsid w:val="005C7B50"/>
    <w:rsid w:val="005D029E"/>
    <w:rsid w:val="005D0427"/>
    <w:rsid w:val="005D0776"/>
    <w:rsid w:val="005D07AE"/>
    <w:rsid w:val="005D0A0B"/>
    <w:rsid w:val="005D0C83"/>
    <w:rsid w:val="005D113B"/>
    <w:rsid w:val="005D1732"/>
    <w:rsid w:val="005D2D9A"/>
    <w:rsid w:val="005D3A6E"/>
    <w:rsid w:val="005D3B21"/>
    <w:rsid w:val="005D4019"/>
    <w:rsid w:val="005D41DC"/>
    <w:rsid w:val="005D460F"/>
    <w:rsid w:val="005D4DC5"/>
    <w:rsid w:val="005D5442"/>
    <w:rsid w:val="005D5C22"/>
    <w:rsid w:val="005D5E6C"/>
    <w:rsid w:val="005D63A9"/>
    <w:rsid w:val="005D65D5"/>
    <w:rsid w:val="005D6C56"/>
    <w:rsid w:val="005D6F49"/>
    <w:rsid w:val="005D7B83"/>
    <w:rsid w:val="005D7E8A"/>
    <w:rsid w:val="005E06FA"/>
    <w:rsid w:val="005E10D7"/>
    <w:rsid w:val="005E11A5"/>
    <w:rsid w:val="005E13D4"/>
    <w:rsid w:val="005E1435"/>
    <w:rsid w:val="005E17E9"/>
    <w:rsid w:val="005E21F3"/>
    <w:rsid w:val="005E235C"/>
    <w:rsid w:val="005E3078"/>
    <w:rsid w:val="005E34C0"/>
    <w:rsid w:val="005E392E"/>
    <w:rsid w:val="005E4565"/>
    <w:rsid w:val="005E45F3"/>
    <w:rsid w:val="005E48EA"/>
    <w:rsid w:val="005E49CA"/>
    <w:rsid w:val="005E5384"/>
    <w:rsid w:val="005E5427"/>
    <w:rsid w:val="005E5428"/>
    <w:rsid w:val="005E5A7C"/>
    <w:rsid w:val="005E5C33"/>
    <w:rsid w:val="005E6976"/>
    <w:rsid w:val="005E6C7A"/>
    <w:rsid w:val="005E703B"/>
    <w:rsid w:val="005E721A"/>
    <w:rsid w:val="005E74EC"/>
    <w:rsid w:val="005E7917"/>
    <w:rsid w:val="005E7AB6"/>
    <w:rsid w:val="005E7B1E"/>
    <w:rsid w:val="005E7CBC"/>
    <w:rsid w:val="005F0854"/>
    <w:rsid w:val="005F0A62"/>
    <w:rsid w:val="005F0FA8"/>
    <w:rsid w:val="005F1C5D"/>
    <w:rsid w:val="005F2317"/>
    <w:rsid w:val="005F2550"/>
    <w:rsid w:val="005F2B2D"/>
    <w:rsid w:val="005F2FD5"/>
    <w:rsid w:val="005F340A"/>
    <w:rsid w:val="005F3AE8"/>
    <w:rsid w:val="005F3B09"/>
    <w:rsid w:val="005F3B47"/>
    <w:rsid w:val="005F47C1"/>
    <w:rsid w:val="005F4926"/>
    <w:rsid w:val="005F4B6F"/>
    <w:rsid w:val="005F5009"/>
    <w:rsid w:val="005F5054"/>
    <w:rsid w:val="005F530F"/>
    <w:rsid w:val="005F65D9"/>
    <w:rsid w:val="005F6768"/>
    <w:rsid w:val="005F69CF"/>
    <w:rsid w:val="005F6E39"/>
    <w:rsid w:val="005F6E58"/>
    <w:rsid w:val="005F7031"/>
    <w:rsid w:val="005F704C"/>
    <w:rsid w:val="005F7A22"/>
    <w:rsid w:val="005F7B9D"/>
    <w:rsid w:val="005F7CF0"/>
    <w:rsid w:val="00600501"/>
    <w:rsid w:val="00600B0C"/>
    <w:rsid w:val="00600D1A"/>
    <w:rsid w:val="00601038"/>
    <w:rsid w:val="00602DFA"/>
    <w:rsid w:val="006031D1"/>
    <w:rsid w:val="0060337E"/>
    <w:rsid w:val="006033BF"/>
    <w:rsid w:val="00603702"/>
    <w:rsid w:val="00603B4B"/>
    <w:rsid w:val="00603F20"/>
    <w:rsid w:val="00604F37"/>
    <w:rsid w:val="0060508A"/>
    <w:rsid w:val="006055AF"/>
    <w:rsid w:val="00605942"/>
    <w:rsid w:val="006059C6"/>
    <w:rsid w:val="00605C9F"/>
    <w:rsid w:val="006068E8"/>
    <w:rsid w:val="00606ADB"/>
    <w:rsid w:val="00606C07"/>
    <w:rsid w:val="006072DE"/>
    <w:rsid w:val="006075F4"/>
    <w:rsid w:val="006078A8"/>
    <w:rsid w:val="00607BAD"/>
    <w:rsid w:val="00607EC7"/>
    <w:rsid w:val="0061048A"/>
    <w:rsid w:val="00610959"/>
    <w:rsid w:val="00610AE7"/>
    <w:rsid w:val="00611178"/>
    <w:rsid w:val="0061148D"/>
    <w:rsid w:val="00611D01"/>
    <w:rsid w:val="00611F1E"/>
    <w:rsid w:val="006122EC"/>
    <w:rsid w:val="006124B3"/>
    <w:rsid w:val="00612611"/>
    <w:rsid w:val="0061279A"/>
    <w:rsid w:val="00612C60"/>
    <w:rsid w:val="00613009"/>
    <w:rsid w:val="006132EA"/>
    <w:rsid w:val="00613CA5"/>
    <w:rsid w:val="0061401C"/>
    <w:rsid w:val="0061420B"/>
    <w:rsid w:val="00614BD4"/>
    <w:rsid w:val="00614D33"/>
    <w:rsid w:val="00614F43"/>
    <w:rsid w:val="0061537D"/>
    <w:rsid w:val="0061537F"/>
    <w:rsid w:val="006156D7"/>
    <w:rsid w:val="00615CF1"/>
    <w:rsid w:val="00615DEA"/>
    <w:rsid w:val="00616A60"/>
    <w:rsid w:val="00616D0C"/>
    <w:rsid w:val="00616EE6"/>
    <w:rsid w:val="006171FB"/>
    <w:rsid w:val="00617283"/>
    <w:rsid w:val="00617A2A"/>
    <w:rsid w:val="00617A94"/>
    <w:rsid w:val="006207F4"/>
    <w:rsid w:val="00620C67"/>
    <w:rsid w:val="00621479"/>
    <w:rsid w:val="00621646"/>
    <w:rsid w:val="00621803"/>
    <w:rsid w:val="00621A34"/>
    <w:rsid w:val="006220F1"/>
    <w:rsid w:val="00623E46"/>
    <w:rsid w:val="0062431C"/>
    <w:rsid w:val="00624604"/>
    <w:rsid w:val="00624D2C"/>
    <w:rsid w:val="00624F7F"/>
    <w:rsid w:val="00625145"/>
    <w:rsid w:val="00626768"/>
    <w:rsid w:val="00627402"/>
    <w:rsid w:val="00627474"/>
    <w:rsid w:val="00627CEA"/>
    <w:rsid w:val="00627E37"/>
    <w:rsid w:val="00630480"/>
    <w:rsid w:val="0063058E"/>
    <w:rsid w:val="006305F8"/>
    <w:rsid w:val="0063197B"/>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70E1"/>
    <w:rsid w:val="00637382"/>
    <w:rsid w:val="006375B2"/>
    <w:rsid w:val="006375BB"/>
    <w:rsid w:val="006409EE"/>
    <w:rsid w:val="00640BF7"/>
    <w:rsid w:val="00640FFF"/>
    <w:rsid w:val="00641436"/>
    <w:rsid w:val="00641761"/>
    <w:rsid w:val="006425FC"/>
    <w:rsid w:val="00642631"/>
    <w:rsid w:val="0064289D"/>
    <w:rsid w:val="00642DF5"/>
    <w:rsid w:val="0064304A"/>
    <w:rsid w:val="0064380B"/>
    <w:rsid w:val="00643A4F"/>
    <w:rsid w:val="00643FF5"/>
    <w:rsid w:val="006441FD"/>
    <w:rsid w:val="00644E5A"/>
    <w:rsid w:val="00644F2C"/>
    <w:rsid w:val="00644F8F"/>
    <w:rsid w:val="006450DD"/>
    <w:rsid w:val="00645141"/>
    <w:rsid w:val="00645349"/>
    <w:rsid w:val="00645AEE"/>
    <w:rsid w:val="00646428"/>
    <w:rsid w:val="00646AFD"/>
    <w:rsid w:val="0064707F"/>
    <w:rsid w:val="006471E8"/>
    <w:rsid w:val="00647E7D"/>
    <w:rsid w:val="00647E90"/>
    <w:rsid w:val="00647FA3"/>
    <w:rsid w:val="006500F7"/>
    <w:rsid w:val="00650769"/>
    <w:rsid w:val="006516B7"/>
    <w:rsid w:val="006518E4"/>
    <w:rsid w:val="00651FB8"/>
    <w:rsid w:val="006520D5"/>
    <w:rsid w:val="0065239B"/>
    <w:rsid w:val="00652BA0"/>
    <w:rsid w:val="00653045"/>
    <w:rsid w:val="00653A25"/>
    <w:rsid w:val="00653D93"/>
    <w:rsid w:val="00653FDA"/>
    <w:rsid w:val="006541A0"/>
    <w:rsid w:val="00654C66"/>
    <w:rsid w:val="00654E99"/>
    <w:rsid w:val="00655104"/>
    <w:rsid w:val="0065548F"/>
    <w:rsid w:val="00655633"/>
    <w:rsid w:val="006558D0"/>
    <w:rsid w:val="006559BB"/>
    <w:rsid w:val="00655D93"/>
    <w:rsid w:val="00655E86"/>
    <w:rsid w:val="00656614"/>
    <w:rsid w:val="00656C4D"/>
    <w:rsid w:val="006577CD"/>
    <w:rsid w:val="00657B16"/>
    <w:rsid w:val="00657CCC"/>
    <w:rsid w:val="00660162"/>
    <w:rsid w:val="0066036D"/>
    <w:rsid w:val="006604FA"/>
    <w:rsid w:val="00660879"/>
    <w:rsid w:val="00660B3F"/>
    <w:rsid w:val="006610B1"/>
    <w:rsid w:val="00661639"/>
    <w:rsid w:val="00661655"/>
    <w:rsid w:val="0066174D"/>
    <w:rsid w:val="00661E36"/>
    <w:rsid w:val="0066318A"/>
    <w:rsid w:val="006631D3"/>
    <w:rsid w:val="00663D0F"/>
    <w:rsid w:val="00664525"/>
    <w:rsid w:val="0066465B"/>
    <w:rsid w:val="00664C81"/>
    <w:rsid w:val="0066500E"/>
    <w:rsid w:val="0066521A"/>
    <w:rsid w:val="0066540C"/>
    <w:rsid w:val="00665EAE"/>
    <w:rsid w:val="006661EA"/>
    <w:rsid w:val="00666749"/>
    <w:rsid w:val="00666909"/>
    <w:rsid w:val="00666EBC"/>
    <w:rsid w:val="00667189"/>
    <w:rsid w:val="0066749E"/>
    <w:rsid w:val="00667CCB"/>
    <w:rsid w:val="00667EFD"/>
    <w:rsid w:val="00670475"/>
    <w:rsid w:val="00670B8C"/>
    <w:rsid w:val="00670C4A"/>
    <w:rsid w:val="00671457"/>
    <w:rsid w:val="00671F3E"/>
    <w:rsid w:val="00672482"/>
    <w:rsid w:val="00672A18"/>
    <w:rsid w:val="0067322C"/>
    <w:rsid w:val="006735D0"/>
    <w:rsid w:val="006739E9"/>
    <w:rsid w:val="00674D52"/>
    <w:rsid w:val="00674E43"/>
    <w:rsid w:val="00674F93"/>
    <w:rsid w:val="0067546F"/>
    <w:rsid w:val="00676287"/>
    <w:rsid w:val="00676739"/>
    <w:rsid w:val="006768DD"/>
    <w:rsid w:val="00676CE4"/>
    <w:rsid w:val="00676EC2"/>
    <w:rsid w:val="00676F61"/>
    <w:rsid w:val="00676FA5"/>
    <w:rsid w:val="006771A4"/>
    <w:rsid w:val="006771AD"/>
    <w:rsid w:val="006774A8"/>
    <w:rsid w:val="00677572"/>
    <w:rsid w:val="00680064"/>
    <w:rsid w:val="00681229"/>
    <w:rsid w:val="00681514"/>
    <w:rsid w:val="0068185E"/>
    <w:rsid w:val="00681BE5"/>
    <w:rsid w:val="00681E30"/>
    <w:rsid w:val="0068379B"/>
    <w:rsid w:val="00683D98"/>
    <w:rsid w:val="00683D99"/>
    <w:rsid w:val="00684079"/>
    <w:rsid w:val="0068484C"/>
    <w:rsid w:val="006848EE"/>
    <w:rsid w:val="006856AA"/>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153"/>
    <w:rsid w:val="00693ACF"/>
    <w:rsid w:val="00693EE5"/>
    <w:rsid w:val="006944C5"/>
    <w:rsid w:val="00694B8D"/>
    <w:rsid w:val="0069561C"/>
    <w:rsid w:val="00695634"/>
    <w:rsid w:val="00695E9C"/>
    <w:rsid w:val="0069600D"/>
    <w:rsid w:val="006963AE"/>
    <w:rsid w:val="00697053"/>
    <w:rsid w:val="006A02DC"/>
    <w:rsid w:val="006A066A"/>
    <w:rsid w:val="006A06CA"/>
    <w:rsid w:val="006A083E"/>
    <w:rsid w:val="006A0FFD"/>
    <w:rsid w:val="006A1170"/>
    <w:rsid w:val="006A14A3"/>
    <w:rsid w:val="006A159D"/>
    <w:rsid w:val="006A18BF"/>
    <w:rsid w:val="006A1F58"/>
    <w:rsid w:val="006A242E"/>
    <w:rsid w:val="006A26AB"/>
    <w:rsid w:val="006A298D"/>
    <w:rsid w:val="006A2BB4"/>
    <w:rsid w:val="006A2F80"/>
    <w:rsid w:val="006A3FD6"/>
    <w:rsid w:val="006A4076"/>
    <w:rsid w:val="006A436F"/>
    <w:rsid w:val="006A4E5B"/>
    <w:rsid w:val="006A59D8"/>
    <w:rsid w:val="006A6B7B"/>
    <w:rsid w:val="006A78F8"/>
    <w:rsid w:val="006A7C26"/>
    <w:rsid w:val="006A7E27"/>
    <w:rsid w:val="006B010E"/>
    <w:rsid w:val="006B03CA"/>
    <w:rsid w:val="006B091F"/>
    <w:rsid w:val="006B0B1E"/>
    <w:rsid w:val="006B0CAF"/>
    <w:rsid w:val="006B0ED0"/>
    <w:rsid w:val="006B0EED"/>
    <w:rsid w:val="006B147E"/>
    <w:rsid w:val="006B14F8"/>
    <w:rsid w:val="006B1854"/>
    <w:rsid w:val="006B1DF6"/>
    <w:rsid w:val="006B233F"/>
    <w:rsid w:val="006B275E"/>
    <w:rsid w:val="006B28EA"/>
    <w:rsid w:val="006B2AAD"/>
    <w:rsid w:val="006B2DA3"/>
    <w:rsid w:val="006B2FBB"/>
    <w:rsid w:val="006B378A"/>
    <w:rsid w:val="006B3BD5"/>
    <w:rsid w:val="006B4185"/>
    <w:rsid w:val="006B4224"/>
    <w:rsid w:val="006B4493"/>
    <w:rsid w:val="006B453E"/>
    <w:rsid w:val="006B4B62"/>
    <w:rsid w:val="006B53DC"/>
    <w:rsid w:val="006B5423"/>
    <w:rsid w:val="006B558A"/>
    <w:rsid w:val="006B5855"/>
    <w:rsid w:val="006B5AB2"/>
    <w:rsid w:val="006B5BC7"/>
    <w:rsid w:val="006B5C67"/>
    <w:rsid w:val="006B6B5D"/>
    <w:rsid w:val="006B6BF6"/>
    <w:rsid w:val="006B6C0D"/>
    <w:rsid w:val="006B7A88"/>
    <w:rsid w:val="006C166D"/>
    <w:rsid w:val="006C1818"/>
    <w:rsid w:val="006C1F8B"/>
    <w:rsid w:val="006C2721"/>
    <w:rsid w:val="006C2BE5"/>
    <w:rsid w:val="006C316A"/>
    <w:rsid w:val="006C3868"/>
    <w:rsid w:val="006C38FF"/>
    <w:rsid w:val="006C3B4B"/>
    <w:rsid w:val="006C3E6E"/>
    <w:rsid w:val="006C3EEA"/>
    <w:rsid w:val="006C3F92"/>
    <w:rsid w:val="006C42FA"/>
    <w:rsid w:val="006C43A6"/>
    <w:rsid w:val="006C4A4A"/>
    <w:rsid w:val="006C4C9C"/>
    <w:rsid w:val="006C4E89"/>
    <w:rsid w:val="006C5022"/>
    <w:rsid w:val="006C53EB"/>
    <w:rsid w:val="006C5434"/>
    <w:rsid w:val="006C5D29"/>
    <w:rsid w:val="006C650D"/>
    <w:rsid w:val="006C69A5"/>
    <w:rsid w:val="006C76A1"/>
    <w:rsid w:val="006C7740"/>
    <w:rsid w:val="006C7FC6"/>
    <w:rsid w:val="006D0389"/>
    <w:rsid w:val="006D0848"/>
    <w:rsid w:val="006D0BA5"/>
    <w:rsid w:val="006D0C15"/>
    <w:rsid w:val="006D0D8B"/>
    <w:rsid w:val="006D0FBF"/>
    <w:rsid w:val="006D10DC"/>
    <w:rsid w:val="006D1586"/>
    <w:rsid w:val="006D19C1"/>
    <w:rsid w:val="006D2827"/>
    <w:rsid w:val="006D2848"/>
    <w:rsid w:val="006D2B19"/>
    <w:rsid w:val="006D2EC9"/>
    <w:rsid w:val="006D3592"/>
    <w:rsid w:val="006D3A05"/>
    <w:rsid w:val="006D3B62"/>
    <w:rsid w:val="006D3FDF"/>
    <w:rsid w:val="006D4527"/>
    <w:rsid w:val="006D4B05"/>
    <w:rsid w:val="006D4F86"/>
    <w:rsid w:val="006D5F98"/>
    <w:rsid w:val="006D6665"/>
    <w:rsid w:val="006D7098"/>
    <w:rsid w:val="006D740E"/>
    <w:rsid w:val="006D7F72"/>
    <w:rsid w:val="006E00B7"/>
    <w:rsid w:val="006E0E5B"/>
    <w:rsid w:val="006E1659"/>
    <w:rsid w:val="006E3023"/>
    <w:rsid w:val="006E3369"/>
    <w:rsid w:val="006E3D12"/>
    <w:rsid w:val="006E449C"/>
    <w:rsid w:val="006E4726"/>
    <w:rsid w:val="006E4E72"/>
    <w:rsid w:val="006E50D0"/>
    <w:rsid w:val="006E5F41"/>
    <w:rsid w:val="006E64BD"/>
    <w:rsid w:val="006E663E"/>
    <w:rsid w:val="006E6EDF"/>
    <w:rsid w:val="006E7BA5"/>
    <w:rsid w:val="006F01E8"/>
    <w:rsid w:val="006F02D7"/>
    <w:rsid w:val="006F0EBB"/>
    <w:rsid w:val="006F1E96"/>
    <w:rsid w:val="006F2706"/>
    <w:rsid w:val="006F2D24"/>
    <w:rsid w:val="006F352A"/>
    <w:rsid w:val="006F37F7"/>
    <w:rsid w:val="006F3909"/>
    <w:rsid w:val="006F4036"/>
    <w:rsid w:val="006F428E"/>
    <w:rsid w:val="006F48E1"/>
    <w:rsid w:val="006F4FA0"/>
    <w:rsid w:val="006F5096"/>
    <w:rsid w:val="006F5160"/>
    <w:rsid w:val="006F5374"/>
    <w:rsid w:val="006F60DF"/>
    <w:rsid w:val="006F64DE"/>
    <w:rsid w:val="006F6766"/>
    <w:rsid w:val="006F68C1"/>
    <w:rsid w:val="006F6CE2"/>
    <w:rsid w:val="006F6E10"/>
    <w:rsid w:val="006F6E97"/>
    <w:rsid w:val="00700F57"/>
    <w:rsid w:val="007014F8"/>
    <w:rsid w:val="0070150D"/>
    <w:rsid w:val="007016D2"/>
    <w:rsid w:val="007018D8"/>
    <w:rsid w:val="00701979"/>
    <w:rsid w:val="00701C6E"/>
    <w:rsid w:val="007029E8"/>
    <w:rsid w:val="00703013"/>
    <w:rsid w:val="00703107"/>
    <w:rsid w:val="00703138"/>
    <w:rsid w:val="00703277"/>
    <w:rsid w:val="0070356D"/>
    <w:rsid w:val="00703981"/>
    <w:rsid w:val="00703CDF"/>
    <w:rsid w:val="00703D7E"/>
    <w:rsid w:val="0070495F"/>
    <w:rsid w:val="00704A08"/>
    <w:rsid w:val="00704B6E"/>
    <w:rsid w:val="00704F10"/>
    <w:rsid w:val="00704F73"/>
    <w:rsid w:val="0070508D"/>
    <w:rsid w:val="0070542E"/>
    <w:rsid w:val="00705849"/>
    <w:rsid w:val="0070604A"/>
    <w:rsid w:val="007060D4"/>
    <w:rsid w:val="0070624C"/>
    <w:rsid w:val="00706451"/>
    <w:rsid w:val="00707E0F"/>
    <w:rsid w:val="0071068A"/>
    <w:rsid w:val="00710E19"/>
    <w:rsid w:val="00710E52"/>
    <w:rsid w:val="0071154B"/>
    <w:rsid w:val="0071174F"/>
    <w:rsid w:val="0071196A"/>
    <w:rsid w:val="007130CA"/>
    <w:rsid w:val="007131CF"/>
    <w:rsid w:val="007133C0"/>
    <w:rsid w:val="00713613"/>
    <w:rsid w:val="007137C6"/>
    <w:rsid w:val="007138FC"/>
    <w:rsid w:val="0071393D"/>
    <w:rsid w:val="00713E79"/>
    <w:rsid w:val="00714073"/>
    <w:rsid w:val="00714245"/>
    <w:rsid w:val="00715441"/>
    <w:rsid w:val="00715739"/>
    <w:rsid w:val="0071576C"/>
    <w:rsid w:val="00715C94"/>
    <w:rsid w:val="007165F0"/>
    <w:rsid w:val="00716A09"/>
    <w:rsid w:val="007170DB"/>
    <w:rsid w:val="007170E4"/>
    <w:rsid w:val="00717880"/>
    <w:rsid w:val="00717CA8"/>
    <w:rsid w:val="007205E7"/>
    <w:rsid w:val="007209C4"/>
    <w:rsid w:val="00721E9E"/>
    <w:rsid w:val="007227FE"/>
    <w:rsid w:val="0072323F"/>
    <w:rsid w:val="007233C3"/>
    <w:rsid w:val="007238D7"/>
    <w:rsid w:val="00723C95"/>
    <w:rsid w:val="00724456"/>
    <w:rsid w:val="007244E7"/>
    <w:rsid w:val="0072505F"/>
    <w:rsid w:val="00725B00"/>
    <w:rsid w:val="0072680C"/>
    <w:rsid w:val="00726B3D"/>
    <w:rsid w:val="00726C64"/>
    <w:rsid w:val="007302C6"/>
    <w:rsid w:val="00730FB0"/>
    <w:rsid w:val="007310B7"/>
    <w:rsid w:val="00731237"/>
    <w:rsid w:val="00731A22"/>
    <w:rsid w:val="0073207E"/>
    <w:rsid w:val="00732523"/>
    <w:rsid w:val="00732664"/>
    <w:rsid w:val="00732BA7"/>
    <w:rsid w:val="007333EA"/>
    <w:rsid w:val="00733601"/>
    <w:rsid w:val="00733A57"/>
    <w:rsid w:val="00733F36"/>
    <w:rsid w:val="007340CE"/>
    <w:rsid w:val="00734781"/>
    <w:rsid w:val="007349FC"/>
    <w:rsid w:val="00734B6F"/>
    <w:rsid w:val="007351A5"/>
    <w:rsid w:val="00735293"/>
    <w:rsid w:val="00735376"/>
    <w:rsid w:val="007363EA"/>
    <w:rsid w:val="00736A02"/>
    <w:rsid w:val="00736E06"/>
    <w:rsid w:val="00736E37"/>
    <w:rsid w:val="00737286"/>
    <w:rsid w:val="007373DB"/>
    <w:rsid w:val="00737847"/>
    <w:rsid w:val="00737F27"/>
    <w:rsid w:val="00737FD3"/>
    <w:rsid w:val="00740240"/>
    <w:rsid w:val="007407DB"/>
    <w:rsid w:val="00740BFC"/>
    <w:rsid w:val="00740F76"/>
    <w:rsid w:val="00741037"/>
    <w:rsid w:val="007422B3"/>
    <w:rsid w:val="007424BF"/>
    <w:rsid w:val="007435F1"/>
    <w:rsid w:val="00743DDD"/>
    <w:rsid w:val="00744625"/>
    <w:rsid w:val="007446BB"/>
    <w:rsid w:val="00744AF1"/>
    <w:rsid w:val="00745882"/>
    <w:rsid w:val="00745A04"/>
    <w:rsid w:val="00745A0F"/>
    <w:rsid w:val="00745DFD"/>
    <w:rsid w:val="00746197"/>
    <w:rsid w:val="0074689C"/>
    <w:rsid w:val="00746B3F"/>
    <w:rsid w:val="00747117"/>
    <w:rsid w:val="007479C2"/>
    <w:rsid w:val="00747B0D"/>
    <w:rsid w:val="007503EA"/>
    <w:rsid w:val="00751452"/>
    <w:rsid w:val="007521A5"/>
    <w:rsid w:val="00752488"/>
    <w:rsid w:val="00753959"/>
    <w:rsid w:val="00753DD6"/>
    <w:rsid w:val="00754A4A"/>
    <w:rsid w:val="007566FB"/>
    <w:rsid w:val="007567A8"/>
    <w:rsid w:val="00756D6A"/>
    <w:rsid w:val="0076043F"/>
    <w:rsid w:val="00760D17"/>
    <w:rsid w:val="00760F66"/>
    <w:rsid w:val="007611F8"/>
    <w:rsid w:val="00761200"/>
    <w:rsid w:val="00761931"/>
    <w:rsid w:val="00761BD1"/>
    <w:rsid w:val="007627BA"/>
    <w:rsid w:val="0076291E"/>
    <w:rsid w:val="00762C76"/>
    <w:rsid w:val="00762D81"/>
    <w:rsid w:val="0076317B"/>
    <w:rsid w:val="007643D5"/>
    <w:rsid w:val="00765366"/>
    <w:rsid w:val="00765914"/>
    <w:rsid w:val="0076614D"/>
    <w:rsid w:val="0076624C"/>
    <w:rsid w:val="0076627D"/>
    <w:rsid w:val="00766304"/>
    <w:rsid w:val="007665D3"/>
    <w:rsid w:val="00767A28"/>
    <w:rsid w:val="00767DD2"/>
    <w:rsid w:val="00770264"/>
    <w:rsid w:val="0077082B"/>
    <w:rsid w:val="00770E60"/>
    <w:rsid w:val="00771594"/>
    <w:rsid w:val="00771C8F"/>
    <w:rsid w:val="0077266E"/>
    <w:rsid w:val="0077292E"/>
    <w:rsid w:val="00772A5F"/>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E7E"/>
    <w:rsid w:val="00777EFA"/>
    <w:rsid w:val="007804DD"/>
    <w:rsid w:val="00780EC1"/>
    <w:rsid w:val="00780F3B"/>
    <w:rsid w:val="0078115B"/>
    <w:rsid w:val="007816EE"/>
    <w:rsid w:val="00782071"/>
    <w:rsid w:val="00782783"/>
    <w:rsid w:val="00782946"/>
    <w:rsid w:val="00782ECD"/>
    <w:rsid w:val="0078363B"/>
    <w:rsid w:val="00783CCF"/>
    <w:rsid w:val="00783F5B"/>
    <w:rsid w:val="00784609"/>
    <w:rsid w:val="00784720"/>
    <w:rsid w:val="0078481D"/>
    <w:rsid w:val="00784D91"/>
    <w:rsid w:val="007859FC"/>
    <w:rsid w:val="00785F1E"/>
    <w:rsid w:val="00785F4C"/>
    <w:rsid w:val="0078609C"/>
    <w:rsid w:val="00786355"/>
    <w:rsid w:val="00787370"/>
    <w:rsid w:val="007874AE"/>
    <w:rsid w:val="0078750B"/>
    <w:rsid w:val="00787F5E"/>
    <w:rsid w:val="0079024D"/>
    <w:rsid w:val="00791069"/>
    <w:rsid w:val="007911B8"/>
    <w:rsid w:val="00791DAE"/>
    <w:rsid w:val="007930E8"/>
    <w:rsid w:val="00793A57"/>
    <w:rsid w:val="00793A9C"/>
    <w:rsid w:val="00793F28"/>
    <w:rsid w:val="007944D2"/>
    <w:rsid w:val="00794AC7"/>
    <w:rsid w:val="00794B19"/>
    <w:rsid w:val="00794FFA"/>
    <w:rsid w:val="00795B8D"/>
    <w:rsid w:val="00795E34"/>
    <w:rsid w:val="00795F0E"/>
    <w:rsid w:val="00797D8F"/>
    <w:rsid w:val="007A0C00"/>
    <w:rsid w:val="007A0E15"/>
    <w:rsid w:val="007A176E"/>
    <w:rsid w:val="007A19BF"/>
    <w:rsid w:val="007A2A69"/>
    <w:rsid w:val="007A2CF1"/>
    <w:rsid w:val="007A3579"/>
    <w:rsid w:val="007A384E"/>
    <w:rsid w:val="007A3EDF"/>
    <w:rsid w:val="007A41B5"/>
    <w:rsid w:val="007A4486"/>
    <w:rsid w:val="007A4682"/>
    <w:rsid w:val="007A5879"/>
    <w:rsid w:val="007A58A8"/>
    <w:rsid w:val="007A5BDC"/>
    <w:rsid w:val="007A629D"/>
    <w:rsid w:val="007A6610"/>
    <w:rsid w:val="007A6D51"/>
    <w:rsid w:val="007A6DD3"/>
    <w:rsid w:val="007A6FF3"/>
    <w:rsid w:val="007A7169"/>
    <w:rsid w:val="007A71DC"/>
    <w:rsid w:val="007A7A04"/>
    <w:rsid w:val="007B04FF"/>
    <w:rsid w:val="007B0976"/>
    <w:rsid w:val="007B0CAC"/>
    <w:rsid w:val="007B1232"/>
    <w:rsid w:val="007B15F3"/>
    <w:rsid w:val="007B1701"/>
    <w:rsid w:val="007B1C32"/>
    <w:rsid w:val="007B1DBB"/>
    <w:rsid w:val="007B1E0F"/>
    <w:rsid w:val="007B2319"/>
    <w:rsid w:val="007B2FBF"/>
    <w:rsid w:val="007B3E13"/>
    <w:rsid w:val="007B4044"/>
    <w:rsid w:val="007B4046"/>
    <w:rsid w:val="007B4300"/>
    <w:rsid w:val="007B565C"/>
    <w:rsid w:val="007B595F"/>
    <w:rsid w:val="007B5D75"/>
    <w:rsid w:val="007B6D5E"/>
    <w:rsid w:val="007B7115"/>
    <w:rsid w:val="007B736B"/>
    <w:rsid w:val="007C012E"/>
    <w:rsid w:val="007C055A"/>
    <w:rsid w:val="007C0853"/>
    <w:rsid w:val="007C0C90"/>
    <w:rsid w:val="007C0E07"/>
    <w:rsid w:val="007C0E86"/>
    <w:rsid w:val="007C249E"/>
    <w:rsid w:val="007C26CF"/>
    <w:rsid w:val="007C271B"/>
    <w:rsid w:val="007C2C14"/>
    <w:rsid w:val="007C3A55"/>
    <w:rsid w:val="007C3D67"/>
    <w:rsid w:val="007C404B"/>
    <w:rsid w:val="007C4166"/>
    <w:rsid w:val="007C44E1"/>
    <w:rsid w:val="007C48DD"/>
    <w:rsid w:val="007C4A05"/>
    <w:rsid w:val="007C5205"/>
    <w:rsid w:val="007C5711"/>
    <w:rsid w:val="007C57B9"/>
    <w:rsid w:val="007C6325"/>
    <w:rsid w:val="007C73A3"/>
    <w:rsid w:val="007C7975"/>
    <w:rsid w:val="007C7EF5"/>
    <w:rsid w:val="007D0227"/>
    <w:rsid w:val="007D06AC"/>
    <w:rsid w:val="007D0741"/>
    <w:rsid w:val="007D0A53"/>
    <w:rsid w:val="007D0FFC"/>
    <w:rsid w:val="007D1013"/>
    <w:rsid w:val="007D140E"/>
    <w:rsid w:val="007D19EC"/>
    <w:rsid w:val="007D1B28"/>
    <w:rsid w:val="007D2608"/>
    <w:rsid w:val="007D30C3"/>
    <w:rsid w:val="007D35AC"/>
    <w:rsid w:val="007D36B1"/>
    <w:rsid w:val="007D36D7"/>
    <w:rsid w:val="007D3BA1"/>
    <w:rsid w:val="007D3EC8"/>
    <w:rsid w:val="007D40AC"/>
    <w:rsid w:val="007D4317"/>
    <w:rsid w:val="007D4C12"/>
    <w:rsid w:val="007D57E0"/>
    <w:rsid w:val="007D5962"/>
    <w:rsid w:val="007D5A2B"/>
    <w:rsid w:val="007D6213"/>
    <w:rsid w:val="007D63B2"/>
    <w:rsid w:val="007D651D"/>
    <w:rsid w:val="007D71B7"/>
    <w:rsid w:val="007D7C66"/>
    <w:rsid w:val="007D7CF3"/>
    <w:rsid w:val="007E0274"/>
    <w:rsid w:val="007E02A7"/>
    <w:rsid w:val="007E0358"/>
    <w:rsid w:val="007E0415"/>
    <w:rsid w:val="007E0991"/>
    <w:rsid w:val="007E0B2C"/>
    <w:rsid w:val="007E0BD1"/>
    <w:rsid w:val="007E107F"/>
    <w:rsid w:val="007E2FD7"/>
    <w:rsid w:val="007E310B"/>
    <w:rsid w:val="007E3275"/>
    <w:rsid w:val="007E38DA"/>
    <w:rsid w:val="007E3D65"/>
    <w:rsid w:val="007E3EE2"/>
    <w:rsid w:val="007E47E7"/>
    <w:rsid w:val="007E4A98"/>
    <w:rsid w:val="007E4EB6"/>
    <w:rsid w:val="007E5DD7"/>
    <w:rsid w:val="007E6B8C"/>
    <w:rsid w:val="007E6FB9"/>
    <w:rsid w:val="007E7139"/>
    <w:rsid w:val="007E7366"/>
    <w:rsid w:val="007E7EA1"/>
    <w:rsid w:val="007E7EA4"/>
    <w:rsid w:val="007F03CE"/>
    <w:rsid w:val="007F04D3"/>
    <w:rsid w:val="007F137D"/>
    <w:rsid w:val="007F17B5"/>
    <w:rsid w:val="007F2D8D"/>
    <w:rsid w:val="007F2EBF"/>
    <w:rsid w:val="007F3044"/>
    <w:rsid w:val="007F3249"/>
    <w:rsid w:val="007F3704"/>
    <w:rsid w:val="007F4657"/>
    <w:rsid w:val="007F4A02"/>
    <w:rsid w:val="007F5609"/>
    <w:rsid w:val="007F5625"/>
    <w:rsid w:val="007F568A"/>
    <w:rsid w:val="007F59F7"/>
    <w:rsid w:val="007F5E21"/>
    <w:rsid w:val="007F6413"/>
    <w:rsid w:val="007F676E"/>
    <w:rsid w:val="007F6B11"/>
    <w:rsid w:val="007F6E2B"/>
    <w:rsid w:val="007F7033"/>
    <w:rsid w:val="007F7D12"/>
    <w:rsid w:val="007F7F02"/>
    <w:rsid w:val="00800258"/>
    <w:rsid w:val="00800C97"/>
    <w:rsid w:val="0080220F"/>
    <w:rsid w:val="008026A7"/>
    <w:rsid w:val="00802735"/>
    <w:rsid w:val="008028C2"/>
    <w:rsid w:val="00802DDB"/>
    <w:rsid w:val="00802FC1"/>
    <w:rsid w:val="00803445"/>
    <w:rsid w:val="008037D8"/>
    <w:rsid w:val="00803B7E"/>
    <w:rsid w:val="00803DA6"/>
    <w:rsid w:val="008040D9"/>
    <w:rsid w:val="0080436E"/>
    <w:rsid w:val="00804937"/>
    <w:rsid w:val="00804C02"/>
    <w:rsid w:val="00804E1E"/>
    <w:rsid w:val="00804E43"/>
    <w:rsid w:val="008050F5"/>
    <w:rsid w:val="0080519C"/>
    <w:rsid w:val="0080553F"/>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991"/>
    <w:rsid w:val="00817F58"/>
    <w:rsid w:val="008203C5"/>
    <w:rsid w:val="00820B84"/>
    <w:rsid w:val="0082199B"/>
    <w:rsid w:val="00821C2A"/>
    <w:rsid w:val="00821C61"/>
    <w:rsid w:val="008227B7"/>
    <w:rsid w:val="008234D2"/>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0DD6"/>
    <w:rsid w:val="008313E0"/>
    <w:rsid w:val="008317EC"/>
    <w:rsid w:val="0083195D"/>
    <w:rsid w:val="00831B7B"/>
    <w:rsid w:val="00831D90"/>
    <w:rsid w:val="008324F3"/>
    <w:rsid w:val="00832691"/>
    <w:rsid w:val="0083296B"/>
    <w:rsid w:val="00832B8A"/>
    <w:rsid w:val="00833547"/>
    <w:rsid w:val="00833852"/>
    <w:rsid w:val="00833967"/>
    <w:rsid w:val="00833AB9"/>
    <w:rsid w:val="00833B62"/>
    <w:rsid w:val="0083436A"/>
    <w:rsid w:val="00834820"/>
    <w:rsid w:val="00834C82"/>
    <w:rsid w:val="00834DB6"/>
    <w:rsid w:val="00834F93"/>
    <w:rsid w:val="00835F72"/>
    <w:rsid w:val="00840C4A"/>
    <w:rsid w:val="008411B9"/>
    <w:rsid w:val="0084122F"/>
    <w:rsid w:val="00841573"/>
    <w:rsid w:val="00841D08"/>
    <w:rsid w:val="00842D43"/>
    <w:rsid w:val="0084323E"/>
    <w:rsid w:val="00843D50"/>
    <w:rsid w:val="008441D9"/>
    <w:rsid w:val="0084464E"/>
    <w:rsid w:val="00844D85"/>
    <w:rsid w:val="008458BF"/>
    <w:rsid w:val="00846262"/>
    <w:rsid w:val="00846370"/>
    <w:rsid w:val="008463E8"/>
    <w:rsid w:val="00847665"/>
    <w:rsid w:val="008478B7"/>
    <w:rsid w:val="00847925"/>
    <w:rsid w:val="00847BC5"/>
    <w:rsid w:val="00847F11"/>
    <w:rsid w:val="00850010"/>
    <w:rsid w:val="008503F4"/>
    <w:rsid w:val="008504A0"/>
    <w:rsid w:val="00850996"/>
    <w:rsid w:val="00850AC1"/>
    <w:rsid w:val="00850C2A"/>
    <w:rsid w:val="00850DFA"/>
    <w:rsid w:val="00851331"/>
    <w:rsid w:val="008516D1"/>
    <w:rsid w:val="00851CC8"/>
    <w:rsid w:val="00852003"/>
    <w:rsid w:val="0085212C"/>
    <w:rsid w:val="0085223F"/>
    <w:rsid w:val="008529FD"/>
    <w:rsid w:val="00852F9E"/>
    <w:rsid w:val="00854053"/>
    <w:rsid w:val="008543AC"/>
    <w:rsid w:val="008548B8"/>
    <w:rsid w:val="00854965"/>
    <w:rsid w:val="008554D1"/>
    <w:rsid w:val="00855897"/>
    <w:rsid w:val="008558E0"/>
    <w:rsid w:val="008569E0"/>
    <w:rsid w:val="0085745B"/>
    <w:rsid w:val="00857AF7"/>
    <w:rsid w:val="00857BE5"/>
    <w:rsid w:val="00860109"/>
    <w:rsid w:val="008601BD"/>
    <w:rsid w:val="00860359"/>
    <w:rsid w:val="00860E43"/>
    <w:rsid w:val="00861252"/>
    <w:rsid w:val="0086171A"/>
    <w:rsid w:val="0086226C"/>
    <w:rsid w:val="00863C07"/>
    <w:rsid w:val="008640B7"/>
    <w:rsid w:val="00864379"/>
    <w:rsid w:val="008644A4"/>
    <w:rsid w:val="00864A6C"/>
    <w:rsid w:val="00864BB1"/>
    <w:rsid w:val="00864DF7"/>
    <w:rsid w:val="00865278"/>
    <w:rsid w:val="008654F9"/>
    <w:rsid w:val="008658C0"/>
    <w:rsid w:val="00866388"/>
    <w:rsid w:val="00866FE3"/>
    <w:rsid w:val="0086722D"/>
    <w:rsid w:val="00867459"/>
    <w:rsid w:val="00867D56"/>
    <w:rsid w:val="00867D70"/>
    <w:rsid w:val="0087018F"/>
    <w:rsid w:val="00870646"/>
    <w:rsid w:val="008706C3"/>
    <w:rsid w:val="00870BAA"/>
    <w:rsid w:val="00870D91"/>
    <w:rsid w:val="008716D1"/>
    <w:rsid w:val="008716ED"/>
    <w:rsid w:val="008718AD"/>
    <w:rsid w:val="0087193F"/>
    <w:rsid w:val="008724E6"/>
    <w:rsid w:val="008728C8"/>
    <w:rsid w:val="00873205"/>
    <w:rsid w:val="008735E8"/>
    <w:rsid w:val="00873662"/>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77940"/>
    <w:rsid w:val="0087796A"/>
    <w:rsid w:val="00880017"/>
    <w:rsid w:val="00880305"/>
    <w:rsid w:val="0088088A"/>
    <w:rsid w:val="00880A3F"/>
    <w:rsid w:val="00880EE2"/>
    <w:rsid w:val="00881155"/>
    <w:rsid w:val="008813BC"/>
    <w:rsid w:val="00881732"/>
    <w:rsid w:val="008818A2"/>
    <w:rsid w:val="00881FF9"/>
    <w:rsid w:val="0088213D"/>
    <w:rsid w:val="008821C6"/>
    <w:rsid w:val="0088243D"/>
    <w:rsid w:val="0088251A"/>
    <w:rsid w:val="00882530"/>
    <w:rsid w:val="0088288C"/>
    <w:rsid w:val="00882D28"/>
    <w:rsid w:val="00883A67"/>
    <w:rsid w:val="008848E9"/>
    <w:rsid w:val="00884FD8"/>
    <w:rsid w:val="00885244"/>
    <w:rsid w:val="008857C7"/>
    <w:rsid w:val="008858B3"/>
    <w:rsid w:val="00885BF6"/>
    <w:rsid w:val="008866CF"/>
    <w:rsid w:val="00886782"/>
    <w:rsid w:val="008869A1"/>
    <w:rsid w:val="00886B3F"/>
    <w:rsid w:val="008878B9"/>
    <w:rsid w:val="0089015D"/>
    <w:rsid w:val="0089021A"/>
    <w:rsid w:val="0089022E"/>
    <w:rsid w:val="00890475"/>
    <w:rsid w:val="00890A7C"/>
    <w:rsid w:val="00890D11"/>
    <w:rsid w:val="008910EE"/>
    <w:rsid w:val="00891A26"/>
    <w:rsid w:val="00891BCE"/>
    <w:rsid w:val="008923F8"/>
    <w:rsid w:val="008928F1"/>
    <w:rsid w:val="00892BBF"/>
    <w:rsid w:val="00892DB5"/>
    <w:rsid w:val="00893F27"/>
    <w:rsid w:val="008942BD"/>
    <w:rsid w:val="0089478A"/>
    <w:rsid w:val="0089480A"/>
    <w:rsid w:val="00894FE5"/>
    <w:rsid w:val="00895658"/>
    <w:rsid w:val="008956DA"/>
    <w:rsid w:val="00895BA9"/>
    <w:rsid w:val="00895D79"/>
    <w:rsid w:val="0089601B"/>
    <w:rsid w:val="0089655D"/>
    <w:rsid w:val="00896784"/>
    <w:rsid w:val="00896C56"/>
    <w:rsid w:val="00896CB9"/>
    <w:rsid w:val="00897051"/>
    <w:rsid w:val="00897824"/>
    <w:rsid w:val="00897BCB"/>
    <w:rsid w:val="00897C07"/>
    <w:rsid w:val="00897DBA"/>
    <w:rsid w:val="008A02FA"/>
    <w:rsid w:val="008A06A8"/>
    <w:rsid w:val="008A0BCE"/>
    <w:rsid w:val="008A1AAC"/>
    <w:rsid w:val="008A20CA"/>
    <w:rsid w:val="008A239B"/>
    <w:rsid w:val="008A23AB"/>
    <w:rsid w:val="008A28B6"/>
    <w:rsid w:val="008A2956"/>
    <w:rsid w:val="008A2EA1"/>
    <w:rsid w:val="008A2EF6"/>
    <w:rsid w:val="008A3480"/>
    <w:rsid w:val="008A3642"/>
    <w:rsid w:val="008A3C36"/>
    <w:rsid w:val="008A4F3C"/>
    <w:rsid w:val="008A51AD"/>
    <w:rsid w:val="008A53BA"/>
    <w:rsid w:val="008A551D"/>
    <w:rsid w:val="008A56BA"/>
    <w:rsid w:val="008A570A"/>
    <w:rsid w:val="008A58E4"/>
    <w:rsid w:val="008A58E7"/>
    <w:rsid w:val="008A5C1D"/>
    <w:rsid w:val="008A615A"/>
    <w:rsid w:val="008A6357"/>
    <w:rsid w:val="008A64AA"/>
    <w:rsid w:val="008A650C"/>
    <w:rsid w:val="008A66E1"/>
    <w:rsid w:val="008A6A36"/>
    <w:rsid w:val="008A6CB9"/>
    <w:rsid w:val="008A6DC1"/>
    <w:rsid w:val="008A6DD4"/>
    <w:rsid w:val="008A7083"/>
    <w:rsid w:val="008A7100"/>
    <w:rsid w:val="008A7139"/>
    <w:rsid w:val="008A776D"/>
    <w:rsid w:val="008A7C74"/>
    <w:rsid w:val="008B03BD"/>
    <w:rsid w:val="008B04C0"/>
    <w:rsid w:val="008B09E1"/>
    <w:rsid w:val="008B0A83"/>
    <w:rsid w:val="008B0DCF"/>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6EE"/>
    <w:rsid w:val="008B6793"/>
    <w:rsid w:val="008B6E87"/>
    <w:rsid w:val="008B7588"/>
    <w:rsid w:val="008B75C2"/>
    <w:rsid w:val="008B787A"/>
    <w:rsid w:val="008C0A89"/>
    <w:rsid w:val="008C0CBD"/>
    <w:rsid w:val="008C0E71"/>
    <w:rsid w:val="008C1852"/>
    <w:rsid w:val="008C2AF0"/>
    <w:rsid w:val="008C2CFF"/>
    <w:rsid w:val="008C2E1E"/>
    <w:rsid w:val="008C2E22"/>
    <w:rsid w:val="008C2ED2"/>
    <w:rsid w:val="008C3D4D"/>
    <w:rsid w:val="008C4026"/>
    <w:rsid w:val="008C417E"/>
    <w:rsid w:val="008C5B51"/>
    <w:rsid w:val="008C5F0A"/>
    <w:rsid w:val="008C6105"/>
    <w:rsid w:val="008C6124"/>
    <w:rsid w:val="008C6334"/>
    <w:rsid w:val="008C66BD"/>
    <w:rsid w:val="008C6968"/>
    <w:rsid w:val="008C7373"/>
    <w:rsid w:val="008C742A"/>
    <w:rsid w:val="008C74C7"/>
    <w:rsid w:val="008C76A5"/>
    <w:rsid w:val="008C7714"/>
    <w:rsid w:val="008C7F4F"/>
    <w:rsid w:val="008D007F"/>
    <w:rsid w:val="008D00F3"/>
    <w:rsid w:val="008D03C3"/>
    <w:rsid w:val="008D0F27"/>
    <w:rsid w:val="008D11F0"/>
    <w:rsid w:val="008D15A2"/>
    <w:rsid w:val="008D1839"/>
    <w:rsid w:val="008D18CD"/>
    <w:rsid w:val="008D1F86"/>
    <w:rsid w:val="008D20E0"/>
    <w:rsid w:val="008D2B6E"/>
    <w:rsid w:val="008D2C5D"/>
    <w:rsid w:val="008D335C"/>
    <w:rsid w:val="008D35B7"/>
    <w:rsid w:val="008D36BE"/>
    <w:rsid w:val="008D4007"/>
    <w:rsid w:val="008D436A"/>
    <w:rsid w:val="008D46D3"/>
    <w:rsid w:val="008D4C72"/>
    <w:rsid w:val="008D4CF8"/>
    <w:rsid w:val="008D5291"/>
    <w:rsid w:val="008D5368"/>
    <w:rsid w:val="008D561B"/>
    <w:rsid w:val="008D582B"/>
    <w:rsid w:val="008D5CF9"/>
    <w:rsid w:val="008D5D0A"/>
    <w:rsid w:val="008D6794"/>
    <w:rsid w:val="008D7F65"/>
    <w:rsid w:val="008E00C1"/>
    <w:rsid w:val="008E0178"/>
    <w:rsid w:val="008E02F8"/>
    <w:rsid w:val="008E12AF"/>
    <w:rsid w:val="008E1342"/>
    <w:rsid w:val="008E17F3"/>
    <w:rsid w:val="008E1DC9"/>
    <w:rsid w:val="008E1F11"/>
    <w:rsid w:val="008E211C"/>
    <w:rsid w:val="008E24E4"/>
    <w:rsid w:val="008E25C5"/>
    <w:rsid w:val="008E28EC"/>
    <w:rsid w:val="008E2BB3"/>
    <w:rsid w:val="008E2BC5"/>
    <w:rsid w:val="008E2C79"/>
    <w:rsid w:val="008E3176"/>
    <w:rsid w:val="008E3564"/>
    <w:rsid w:val="008E3A0B"/>
    <w:rsid w:val="008E3A90"/>
    <w:rsid w:val="008E3AAB"/>
    <w:rsid w:val="008E4043"/>
    <w:rsid w:val="008E4520"/>
    <w:rsid w:val="008E54E8"/>
    <w:rsid w:val="008E5740"/>
    <w:rsid w:val="008E5868"/>
    <w:rsid w:val="008E5ADB"/>
    <w:rsid w:val="008E5DC8"/>
    <w:rsid w:val="008E6465"/>
    <w:rsid w:val="008E6C57"/>
    <w:rsid w:val="008E7082"/>
    <w:rsid w:val="008E72AF"/>
    <w:rsid w:val="008F069E"/>
    <w:rsid w:val="008F0952"/>
    <w:rsid w:val="008F1154"/>
    <w:rsid w:val="008F1B84"/>
    <w:rsid w:val="008F1B9D"/>
    <w:rsid w:val="008F1DB6"/>
    <w:rsid w:val="008F32B6"/>
    <w:rsid w:val="008F337C"/>
    <w:rsid w:val="008F3563"/>
    <w:rsid w:val="008F39C0"/>
    <w:rsid w:val="008F39E4"/>
    <w:rsid w:val="008F57CD"/>
    <w:rsid w:val="008F5960"/>
    <w:rsid w:val="008F5CD0"/>
    <w:rsid w:val="008F629A"/>
    <w:rsid w:val="008F6A9B"/>
    <w:rsid w:val="008F6F03"/>
    <w:rsid w:val="008F7603"/>
    <w:rsid w:val="008F769D"/>
    <w:rsid w:val="008F76B7"/>
    <w:rsid w:val="008F76DC"/>
    <w:rsid w:val="008F775F"/>
    <w:rsid w:val="008F7D2F"/>
    <w:rsid w:val="009013C5"/>
    <w:rsid w:val="0090147B"/>
    <w:rsid w:val="00901649"/>
    <w:rsid w:val="009019D7"/>
    <w:rsid w:val="00901CBA"/>
    <w:rsid w:val="00901DC6"/>
    <w:rsid w:val="009021DC"/>
    <w:rsid w:val="0090254E"/>
    <w:rsid w:val="00903026"/>
    <w:rsid w:val="0090357B"/>
    <w:rsid w:val="00903832"/>
    <w:rsid w:val="009042D0"/>
    <w:rsid w:val="009044BE"/>
    <w:rsid w:val="009048EB"/>
    <w:rsid w:val="00904913"/>
    <w:rsid w:val="00904B8A"/>
    <w:rsid w:val="00904C15"/>
    <w:rsid w:val="009050B3"/>
    <w:rsid w:val="00905298"/>
    <w:rsid w:val="00905945"/>
    <w:rsid w:val="00905FEB"/>
    <w:rsid w:val="00906164"/>
    <w:rsid w:val="00906252"/>
    <w:rsid w:val="0090672E"/>
    <w:rsid w:val="009068C6"/>
    <w:rsid w:val="00906A4F"/>
    <w:rsid w:val="00906BD6"/>
    <w:rsid w:val="00907074"/>
    <w:rsid w:val="009073C7"/>
    <w:rsid w:val="009078BA"/>
    <w:rsid w:val="009079C7"/>
    <w:rsid w:val="009079F7"/>
    <w:rsid w:val="00907B44"/>
    <w:rsid w:val="00907C33"/>
    <w:rsid w:val="00907DB8"/>
    <w:rsid w:val="009108D2"/>
    <w:rsid w:val="00910C20"/>
    <w:rsid w:val="00910FE1"/>
    <w:rsid w:val="0091106A"/>
    <w:rsid w:val="00911C09"/>
    <w:rsid w:val="00911D1C"/>
    <w:rsid w:val="00912F38"/>
    <w:rsid w:val="0091340D"/>
    <w:rsid w:val="00913C58"/>
    <w:rsid w:val="009140B4"/>
    <w:rsid w:val="00914174"/>
    <w:rsid w:val="0091428A"/>
    <w:rsid w:val="00914733"/>
    <w:rsid w:val="0091495E"/>
    <w:rsid w:val="00914AA5"/>
    <w:rsid w:val="009162DD"/>
    <w:rsid w:val="009163E7"/>
    <w:rsid w:val="0091671A"/>
    <w:rsid w:val="009169F6"/>
    <w:rsid w:val="0091719D"/>
    <w:rsid w:val="00917903"/>
    <w:rsid w:val="00917BEA"/>
    <w:rsid w:val="00917DF0"/>
    <w:rsid w:val="00920189"/>
    <w:rsid w:val="00920203"/>
    <w:rsid w:val="009203A2"/>
    <w:rsid w:val="00920997"/>
    <w:rsid w:val="00920B1E"/>
    <w:rsid w:val="00920DD5"/>
    <w:rsid w:val="00921161"/>
    <w:rsid w:val="0092128B"/>
    <w:rsid w:val="00922492"/>
    <w:rsid w:val="009224EB"/>
    <w:rsid w:val="0092272F"/>
    <w:rsid w:val="00922BE2"/>
    <w:rsid w:val="00922EDE"/>
    <w:rsid w:val="009237D9"/>
    <w:rsid w:val="0092406C"/>
    <w:rsid w:val="00924096"/>
    <w:rsid w:val="009243BC"/>
    <w:rsid w:val="009244D5"/>
    <w:rsid w:val="0092523A"/>
    <w:rsid w:val="009252F1"/>
    <w:rsid w:val="00925588"/>
    <w:rsid w:val="00925A0E"/>
    <w:rsid w:val="00925AF5"/>
    <w:rsid w:val="009261FC"/>
    <w:rsid w:val="00926268"/>
    <w:rsid w:val="00926416"/>
    <w:rsid w:val="009264A2"/>
    <w:rsid w:val="0092715D"/>
    <w:rsid w:val="00927299"/>
    <w:rsid w:val="00927585"/>
    <w:rsid w:val="00930632"/>
    <w:rsid w:val="009310BC"/>
    <w:rsid w:val="00931D3F"/>
    <w:rsid w:val="009324C4"/>
    <w:rsid w:val="00932671"/>
    <w:rsid w:val="00932A7A"/>
    <w:rsid w:val="00932D26"/>
    <w:rsid w:val="00932D49"/>
    <w:rsid w:val="009330BF"/>
    <w:rsid w:val="00933817"/>
    <w:rsid w:val="00933EE7"/>
    <w:rsid w:val="00934510"/>
    <w:rsid w:val="0093476C"/>
    <w:rsid w:val="00935A1E"/>
    <w:rsid w:val="00935AA3"/>
    <w:rsid w:val="00935B7C"/>
    <w:rsid w:val="00935BC9"/>
    <w:rsid w:val="00935E3A"/>
    <w:rsid w:val="00936005"/>
    <w:rsid w:val="0093607C"/>
    <w:rsid w:val="00940008"/>
    <w:rsid w:val="00940FFA"/>
    <w:rsid w:val="00941503"/>
    <w:rsid w:val="0094185F"/>
    <w:rsid w:val="0094187D"/>
    <w:rsid w:val="00941A4A"/>
    <w:rsid w:val="009423ED"/>
    <w:rsid w:val="00942C90"/>
    <w:rsid w:val="00942F29"/>
    <w:rsid w:val="00942FB6"/>
    <w:rsid w:val="009430E1"/>
    <w:rsid w:val="009434EB"/>
    <w:rsid w:val="00943EA6"/>
    <w:rsid w:val="009443F2"/>
    <w:rsid w:val="00944510"/>
    <w:rsid w:val="009448F2"/>
    <w:rsid w:val="009451E0"/>
    <w:rsid w:val="0094524B"/>
    <w:rsid w:val="009456E3"/>
    <w:rsid w:val="00945759"/>
    <w:rsid w:val="00945925"/>
    <w:rsid w:val="00945949"/>
    <w:rsid w:val="009466E9"/>
    <w:rsid w:val="00946CB3"/>
    <w:rsid w:val="00946D20"/>
    <w:rsid w:val="00946E51"/>
    <w:rsid w:val="009470FE"/>
    <w:rsid w:val="009473F4"/>
    <w:rsid w:val="0094767D"/>
    <w:rsid w:val="00947EB9"/>
    <w:rsid w:val="00950231"/>
    <w:rsid w:val="00950794"/>
    <w:rsid w:val="009507AA"/>
    <w:rsid w:val="009509EF"/>
    <w:rsid w:val="009515CA"/>
    <w:rsid w:val="00951691"/>
    <w:rsid w:val="00951FCE"/>
    <w:rsid w:val="009521CC"/>
    <w:rsid w:val="0095226C"/>
    <w:rsid w:val="0095269B"/>
    <w:rsid w:val="00952C05"/>
    <w:rsid w:val="00952D52"/>
    <w:rsid w:val="009540B7"/>
    <w:rsid w:val="009543D0"/>
    <w:rsid w:val="0095448C"/>
    <w:rsid w:val="00954AF9"/>
    <w:rsid w:val="00954DAE"/>
    <w:rsid w:val="00955410"/>
    <w:rsid w:val="009558EE"/>
    <w:rsid w:val="009559D5"/>
    <w:rsid w:val="00955C17"/>
    <w:rsid w:val="00955FFA"/>
    <w:rsid w:val="00956170"/>
    <w:rsid w:val="00956BA1"/>
    <w:rsid w:val="00956D42"/>
    <w:rsid w:val="00956F0F"/>
    <w:rsid w:val="0095727F"/>
    <w:rsid w:val="009572AF"/>
    <w:rsid w:val="00957E41"/>
    <w:rsid w:val="0096016E"/>
    <w:rsid w:val="0096023A"/>
    <w:rsid w:val="009607AB"/>
    <w:rsid w:val="00961154"/>
    <w:rsid w:val="009615DB"/>
    <w:rsid w:val="00962683"/>
    <w:rsid w:val="00962E23"/>
    <w:rsid w:val="009633ED"/>
    <w:rsid w:val="0096487C"/>
    <w:rsid w:val="00964B45"/>
    <w:rsid w:val="00964BC2"/>
    <w:rsid w:val="00964D4A"/>
    <w:rsid w:val="00964EAE"/>
    <w:rsid w:val="00965023"/>
    <w:rsid w:val="009650B7"/>
    <w:rsid w:val="0096515D"/>
    <w:rsid w:val="00965841"/>
    <w:rsid w:val="00966623"/>
    <w:rsid w:val="009678DB"/>
    <w:rsid w:val="00970728"/>
    <w:rsid w:val="009707C9"/>
    <w:rsid w:val="00971303"/>
    <w:rsid w:val="00971615"/>
    <w:rsid w:val="00971E0B"/>
    <w:rsid w:val="00972101"/>
    <w:rsid w:val="00972285"/>
    <w:rsid w:val="009723CC"/>
    <w:rsid w:val="00972FB5"/>
    <w:rsid w:val="00973607"/>
    <w:rsid w:val="009736FE"/>
    <w:rsid w:val="00973B96"/>
    <w:rsid w:val="00973E3C"/>
    <w:rsid w:val="00974763"/>
    <w:rsid w:val="009757CA"/>
    <w:rsid w:val="0097617E"/>
    <w:rsid w:val="00976E76"/>
    <w:rsid w:val="00977A14"/>
    <w:rsid w:val="00977E9B"/>
    <w:rsid w:val="009807BF"/>
    <w:rsid w:val="009809CE"/>
    <w:rsid w:val="0098131F"/>
    <w:rsid w:val="00981479"/>
    <w:rsid w:val="009814DA"/>
    <w:rsid w:val="00981614"/>
    <w:rsid w:val="00981F74"/>
    <w:rsid w:val="0098237C"/>
    <w:rsid w:val="009829B3"/>
    <w:rsid w:val="00982C31"/>
    <w:rsid w:val="00982D45"/>
    <w:rsid w:val="00983165"/>
    <w:rsid w:val="00983343"/>
    <w:rsid w:val="009833C4"/>
    <w:rsid w:val="009834E0"/>
    <w:rsid w:val="009838FF"/>
    <w:rsid w:val="0098410C"/>
    <w:rsid w:val="00984149"/>
    <w:rsid w:val="00984788"/>
    <w:rsid w:val="00984909"/>
    <w:rsid w:val="00984FF3"/>
    <w:rsid w:val="00984FF9"/>
    <w:rsid w:val="009850C5"/>
    <w:rsid w:val="00986326"/>
    <w:rsid w:val="00986849"/>
    <w:rsid w:val="00986BB7"/>
    <w:rsid w:val="00986D4B"/>
    <w:rsid w:val="00986F6D"/>
    <w:rsid w:val="0098727C"/>
    <w:rsid w:val="00987708"/>
    <w:rsid w:val="00987DF0"/>
    <w:rsid w:val="00987E2E"/>
    <w:rsid w:val="0099008B"/>
    <w:rsid w:val="0099177B"/>
    <w:rsid w:val="00991B8C"/>
    <w:rsid w:val="00991FAA"/>
    <w:rsid w:val="0099367E"/>
    <w:rsid w:val="00993FE4"/>
    <w:rsid w:val="0099425E"/>
    <w:rsid w:val="00994942"/>
    <w:rsid w:val="00994CDC"/>
    <w:rsid w:val="00995AC3"/>
    <w:rsid w:val="009969CD"/>
    <w:rsid w:val="0099770A"/>
    <w:rsid w:val="00997769"/>
    <w:rsid w:val="00997A2E"/>
    <w:rsid w:val="009A048E"/>
    <w:rsid w:val="009A119F"/>
    <w:rsid w:val="009A1609"/>
    <w:rsid w:val="009A16A3"/>
    <w:rsid w:val="009A1702"/>
    <w:rsid w:val="009A1A7E"/>
    <w:rsid w:val="009A1F6D"/>
    <w:rsid w:val="009A3480"/>
    <w:rsid w:val="009A3DB8"/>
    <w:rsid w:val="009A43B3"/>
    <w:rsid w:val="009A464D"/>
    <w:rsid w:val="009A496F"/>
    <w:rsid w:val="009A4B78"/>
    <w:rsid w:val="009A4C02"/>
    <w:rsid w:val="009A4D73"/>
    <w:rsid w:val="009A4E41"/>
    <w:rsid w:val="009A5297"/>
    <w:rsid w:val="009A5851"/>
    <w:rsid w:val="009A5D40"/>
    <w:rsid w:val="009A5E10"/>
    <w:rsid w:val="009A6665"/>
    <w:rsid w:val="009A743F"/>
    <w:rsid w:val="009A74F7"/>
    <w:rsid w:val="009B00F2"/>
    <w:rsid w:val="009B0FB2"/>
    <w:rsid w:val="009B1113"/>
    <w:rsid w:val="009B1C34"/>
    <w:rsid w:val="009B1D22"/>
    <w:rsid w:val="009B1E86"/>
    <w:rsid w:val="009B27C4"/>
    <w:rsid w:val="009B2BE6"/>
    <w:rsid w:val="009B2D92"/>
    <w:rsid w:val="009B31DE"/>
    <w:rsid w:val="009B3250"/>
    <w:rsid w:val="009B3D24"/>
    <w:rsid w:val="009B42D2"/>
    <w:rsid w:val="009B4A06"/>
    <w:rsid w:val="009B60EA"/>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AAD"/>
    <w:rsid w:val="009D0F71"/>
    <w:rsid w:val="009D111C"/>
    <w:rsid w:val="009D17A0"/>
    <w:rsid w:val="009D1F7A"/>
    <w:rsid w:val="009D2873"/>
    <w:rsid w:val="009D2942"/>
    <w:rsid w:val="009D2BE9"/>
    <w:rsid w:val="009D3A1A"/>
    <w:rsid w:val="009D426A"/>
    <w:rsid w:val="009D5BDB"/>
    <w:rsid w:val="009D6B03"/>
    <w:rsid w:val="009D6B3D"/>
    <w:rsid w:val="009D7422"/>
    <w:rsid w:val="009D78E7"/>
    <w:rsid w:val="009D7979"/>
    <w:rsid w:val="009E0742"/>
    <w:rsid w:val="009E0B29"/>
    <w:rsid w:val="009E1291"/>
    <w:rsid w:val="009E12BC"/>
    <w:rsid w:val="009E139D"/>
    <w:rsid w:val="009E224D"/>
    <w:rsid w:val="009E26D5"/>
    <w:rsid w:val="009E2A07"/>
    <w:rsid w:val="009E3398"/>
    <w:rsid w:val="009E3577"/>
    <w:rsid w:val="009E37A5"/>
    <w:rsid w:val="009E395B"/>
    <w:rsid w:val="009E3D2B"/>
    <w:rsid w:val="009E3E84"/>
    <w:rsid w:val="009E4097"/>
    <w:rsid w:val="009E4664"/>
    <w:rsid w:val="009E4D8E"/>
    <w:rsid w:val="009E4E90"/>
    <w:rsid w:val="009E4EB7"/>
    <w:rsid w:val="009E57C1"/>
    <w:rsid w:val="009E624A"/>
    <w:rsid w:val="009E6975"/>
    <w:rsid w:val="009E6B32"/>
    <w:rsid w:val="009E7039"/>
    <w:rsid w:val="009E70F3"/>
    <w:rsid w:val="009E750E"/>
    <w:rsid w:val="009E7E98"/>
    <w:rsid w:val="009F00EE"/>
    <w:rsid w:val="009F0827"/>
    <w:rsid w:val="009F0BED"/>
    <w:rsid w:val="009F1673"/>
    <w:rsid w:val="009F3255"/>
    <w:rsid w:val="009F34AA"/>
    <w:rsid w:val="009F3DCE"/>
    <w:rsid w:val="009F4298"/>
    <w:rsid w:val="009F44FF"/>
    <w:rsid w:val="009F45E2"/>
    <w:rsid w:val="009F46E8"/>
    <w:rsid w:val="009F472D"/>
    <w:rsid w:val="009F4CF0"/>
    <w:rsid w:val="009F4E88"/>
    <w:rsid w:val="009F50D1"/>
    <w:rsid w:val="009F539C"/>
    <w:rsid w:val="009F55CD"/>
    <w:rsid w:val="009F573B"/>
    <w:rsid w:val="009F5918"/>
    <w:rsid w:val="009F596D"/>
    <w:rsid w:val="009F6654"/>
    <w:rsid w:val="009F6A91"/>
    <w:rsid w:val="009F6AA9"/>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E0E"/>
    <w:rsid w:val="00A040D1"/>
    <w:rsid w:val="00A044B7"/>
    <w:rsid w:val="00A04A0A"/>
    <w:rsid w:val="00A050A8"/>
    <w:rsid w:val="00A056A3"/>
    <w:rsid w:val="00A059AF"/>
    <w:rsid w:val="00A05B51"/>
    <w:rsid w:val="00A06286"/>
    <w:rsid w:val="00A06318"/>
    <w:rsid w:val="00A063BC"/>
    <w:rsid w:val="00A067D7"/>
    <w:rsid w:val="00A068E1"/>
    <w:rsid w:val="00A06A80"/>
    <w:rsid w:val="00A06D8A"/>
    <w:rsid w:val="00A0711F"/>
    <w:rsid w:val="00A07B0B"/>
    <w:rsid w:val="00A102A0"/>
    <w:rsid w:val="00A10860"/>
    <w:rsid w:val="00A114FA"/>
    <w:rsid w:val="00A11AF3"/>
    <w:rsid w:val="00A12ACF"/>
    <w:rsid w:val="00A12C09"/>
    <w:rsid w:val="00A13084"/>
    <w:rsid w:val="00A1327F"/>
    <w:rsid w:val="00A13817"/>
    <w:rsid w:val="00A138D3"/>
    <w:rsid w:val="00A13E0F"/>
    <w:rsid w:val="00A14010"/>
    <w:rsid w:val="00A144B7"/>
    <w:rsid w:val="00A145F8"/>
    <w:rsid w:val="00A149B4"/>
    <w:rsid w:val="00A152D3"/>
    <w:rsid w:val="00A15E82"/>
    <w:rsid w:val="00A15F4F"/>
    <w:rsid w:val="00A160AB"/>
    <w:rsid w:val="00A16745"/>
    <w:rsid w:val="00A16747"/>
    <w:rsid w:val="00A17E93"/>
    <w:rsid w:val="00A20013"/>
    <w:rsid w:val="00A200E6"/>
    <w:rsid w:val="00A2056F"/>
    <w:rsid w:val="00A20582"/>
    <w:rsid w:val="00A20C65"/>
    <w:rsid w:val="00A21767"/>
    <w:rsid w:val="00A21FD5"/>
    <w:rsid w:val="00A22751"/>
    <w:rsid w:val="00A22940"/>
    <w:rsid w:val="00A22C96"/>
    <w:rsid w:val="00A23102"/>
    <w:rsid w:val="00A233D8"/>
    <w:rsid w:val="00A2343F"/>
    <w:rsid w:val="00A23505"/>
    <w:rsid w:val="00A236AC"/>
    <w:rsid w:val="00A237D0"/>
    <w:rsid w:val="00A23A4D"/>
    <w:rsid w:val="00A23F8E"/>
    <w:rsid w:val="00A2428B"/>
    <w:rsid w:val="00A247E5"/>
    <w:rsid w:val="00A248BD"/>
    <w:rsid w:val="00A24D81"/>
    <w:rsid w:val="00A24EA5"/>
    <w:rsid w:val="00A25173"/>
    <w:rsid w:val="00A252F0"/>
    <w:rsid w:val="00A259F2"/>
    <w:rsid w:val="00A263F6"/>
    <w:rsid w:val="00A26463"/>
    <w:rsid w:val="00A2660E"/>
    <w:rsid w:val="00A26916"/>
    <w:rsid w:val="00A26B47"/>
    <w:rsid w:val="00A26FF1"/>
    <w:rsid w:val="00A27547"/>
    <w:rsid w:val="00A27806"/>
    <w:rsid w:val="00A3068C"/>
    <w:rsid w:val="00A3127F"/>
    <w:rsid w:val="00A31922"/>
    <w:rsid w:val="00A31BCC"/>
    <w:rsid w:val="00A31C70"/>
    <w:rsid w:val="00A31C87"/>
    <w:rsid w:val="00A325BB"/>
    <w:rsid w:val="00A3297A"/>
    <w:rsid w:val="00A32A58"/>
    <w:rsid w:val="00A32EEC"/>
    <w:rsid w:val="00A336C5"/>
    <w:rsid w:val="00A339D9"/>
    <w:rsid w:val="00A33BD6"/>
    <w:rsid w:val="00A34979"/>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A3F"/>
    <w:rsid w:val="00A41B15"/>
    <w:rsid w:val="00A41DE9"/>
    <w:rsid w:val="00A42180"/>
    <w:rsid w:val="00A4224E"/>
    <w:rsid w:val="00A4229F"/>
    <w:rsid w:val="00A428A9"/>
    <w:rsid w:val="00A42ACA"/>
    <w:rsid w:val="00A4327C"/>
    <w:rsid w:val="00A43AAB"/>
    <w:rsid w:val="00A43AFE"/>
    <w:rsid w:val="00A447E3"/>
    <w:rsid w:val="00A44AAD"/>
    <w:rsid w:val="00A44D3B"/>
    <w:rsid w:val="00A45241"/>
    <w:rsid w:val="00A45280"/>
    <w:rsid w:val="00A452B8"/>
    <w:rsid w:val="00A45BF7"/>
    <w:rsid w:val="00A463B5"/>
    <w:rsid w:val="00A463BA"/>
    <w:rsid w:val="00A46675"/>
    <w:rsid w:val="00A46A5F"/>
    <w:rsid w:val="00A471A3"/>
    <w:rsid w:val="00A47597"/>
    <w:rsid w:val="00A477AC"/>
    <w:rsid w:val="00A4795F"/>
    <w:rsid w:val="00A47E44"/>
    <w:rsid w:val="00A47F91"/>
    <w:rsid w:val="00A507D7"/>
    <w:rsid w:val="00A50A5C"/>
    <w:rsid w:val="00A50BE2"/>
    <w:rsid w:val="00A50CC6"/>
    <w:rsid w:val="00A50DF3"/>
    <w:rsid w:val="00A50E40"/>
    <w:rsid w:val="00A51462"/>
    <w:rsid w:val="00A51946"/>
    <w:rsid w:val="00A51DEC"/>
    <w:rsid w:val="00A51FF7"/>
    <w:rsid w:val="00A52079"/>
    <w:rsid w:val="00A52143"/>
    <w:rsid w:val="00A521E9"/>
    <w:rsid w:val="00A5298E"/>
    <w:rsid w:val="00A52B3E"/>
    <w:rsid w:val="00A5313B"/>
    <w:rsid w:val="00A5320E"/>
    <w:rsid w:val="00A53F7B"/>
    <w:rsid w:val="00A54090"/>
    <w:rsid w:val="00A54282"/>
    <w:rsid w:val="00A546F1"/>
    <w:rsid w:val="00A549D3"/>
    <w:rsid w:val="00A54DF0"/>
    <w:rsid w:val="00A57E98"/>
    <w:rsid w:val="00A60017"/>
    <w:rsid w:val="00A60849"/>
    <w:rsid w:val="00A6105B"/>
    <w:rsid w:val="00A61355"/>
    <w:rsid w:val="00A61668"/>
    <w:rsid w:val="00A621D3"/>
    <w:rsid w:val="00A628F8"/>
    <w:rsid w:val="00A62B7A"/>
    <w:rsid w:val="00A62D09"/>
    <w:rsid w:val="00A631A1"/>
    <w:rsid w:val="00A632EA"/>
    <w:rsid w:val="00A6339D"/>
    <w:rsid w:val="00A634BE"/>
    <w:rsid w:val="00A6386B"/>
    <w:rsid w:val="00A63AD7"/>
    <w:rsid w:val="00A63BFD"/>
    <w:rsid w:val="00A6491F"/>
    <w:rsid w:val="00A64C72"/>
    <w:rsid w:val="00A64D1A"/>
    <w:rsid w:val="00A65320"/>
    <w:rsid w:val="00A65615"/>
    <w:rsid w:val="00A65BA5"/>
    <w:rsid w:val="00A66354"/>
    <w:rsid w:val="00A66DC5"/>
    <w:rsid w:val="00A66E37"/>
    <w:rsid w:val="00A66ECF"/>
    <w:rsid w:val="00A67E38"/>
    <w:rsid w:val="00A703E4"/>
    <w:rsid w:val="00A704C9"/>
    <w:rsid w:val="00A70DC6"/>
    <w:rsid w:val="00A71080"/>
    <w:rsid w:val="00A71986"/>
    <w:rsid w:val="00A71E05"/>
    <w:rsid w:val="00A71E3D"/>
    <w:rsid w:val="00A71E73"/>
    <w:rsid w:val="00A72740"/>
    <w:rsid w:val="00A73A64"/>
    <w:rsid w:val="00A742AD"/>
    <w:rsid w:val="00A746D7"/>
    <w:rsid w:val="00A74AB2"/>
    <w:rsid w:val="00A75A27"/>
    <w:rsid w:val="00A75A46"/>
    <w:rsid w:val="00A75B36"/>
    <w:rsid w:val="00A75D2E"/>
    <w:rsid w:val="00A7663A"/>
    <w:rsid w:val="00A7696B"/>
    <w:rsid w:val="00A769D4"/>
    <w:rsid w:val="00A775AD"/>
    <w:rsid w:val="00A8008F"/>
    <w:rsid w:val="00A804C7"/>
    <w:rsid w:val="00A80625"/>
    <w:rsid w:val="00A80857"/>
    <w:rsid w:val="00A80A39"/>
    <w:rsid w:val="00A80D41"/>
    <w:rsid w:val="00A80DF0"/>
    <w:rsid w:val="00A80E64"/>
    <w:rsid w:val="00A81A16"/>
    <w:rsid w:val="00A823A7"/>
    <w:rsid w:val="00A824D4"/>
    <w:rsid w:val="00A825C8"/>
    <w:rsid w:val="00A82742"/>
    <w:rsid w:val="00A82A29"/>
    <w:rsid w:val="00A83984"/>
    <w:rsid w:val="00A83A1E"/>
    <w:rsid w:val="00A84198"/>
    <w:rsid w:val="00A841AB"/>
    <w:rsid w:val="00A84A93"/>
    <w:rsid w:val="00A84FFD"/>
    <w:rsid w:val="00A86104"/>
    <w:rsid w:val="00A8655A"/>
    <w:rsid w:val="00A87203"/>
    <w:rsid w:val="00A87744"/>
    <w:rsid w:val="00A87AE6"/>
    <w:rsid w:val="00A87B09"/>
    <w:rsid w:val="00A87C22"/>
    <w:rsid w:val="00A90590"/>
    <w:rsid w:val="00A90A97"/>
    <w:rsid w:val="00A90CB4"/>
    <w:rsid w:val="00A910DA"/>
    <w:rsid w:val="00A914B9"/>
    <w:rsid w:val="00A915B7"/>
    <w:rsid w:val="00A920E1"/>
    <w:rsid w:val="00A92AFD"/>
    <w:rsid w:val="00A933AE"/>
    <w:rsid w:val="00A93863"/>
    <w:rsid w:val="00A93928"/>
    <w:rsid w:val="00A9415E"/>
    <w:rsid w:val="00A9423F"/>
    <w:rsid w:val="00A94EBD"/>
    <w:rsid w:val="00A9510D"/>
    <w:rsid w:val="00A95580"/>
    <w:rsid w:val="00A9568A"/>
    <w:rsid w:val="00A956AC"/>
    <w:rsid w:val="00A95D2A"/>
    <w:rsid w:val="00A96214"/>
    <w:rsid w:val="00A967E8"/>
    <w:rsid w:val="00A97F4B"/>
    <w:rsid w:val="00AA04C5"/>
    <w:rsid w:val="00AA10B1"/>
    <w:rsid w:val="00AA1E17"/>
    <w:rsid w:val="00AA2803"/>
    <w:rsid w:val="00AA2AB3"/>
    <w:rsid w:val="00AA2BF2"/>
    <w:rsid w:val="00AA2D68"/>
    <w:rsid w:val="00AA2D6F"/>
    <w:rsid w:val="00AA3987"/>
    <w:rsid w:val="00AA3B68"/>
    <w:rsid w:val="00AA3E79"/>
    <w:rsid w:val="00AA42D3"/>
    <w:rsid w:val="00AA4FB4"/>
    <w:rsid w:val="00AA5C0B"/>
    <w:rsid w:val="00AA5E3B"/>
    <w:rsid w:val="00AA63AD"/>
    <w:rsid w:val="00AA65B4"/>
    <w:rsid w:val="00AA6A75"/>
    <w:rsid w:val="00AA745E"/>
    <w:rsid w:val="00AB04AB"/>
    <w:rsid w:val="00AB0733"/>
    <w:rsid w:val="00AB09D2"/>
    <w:rsid w:val="00AB0B64"/>
    <w:rsid w:val="00AB0C30"/>
    <w:rsid w:val="00AB176B"/>
    <w:rsid w:val="00AB2AF7"/>
    <w:rsid w:val="00AB37E6"/>
    <w:rsid w:val="00AB3DBA"/>
    <w:rsid w:val="00AB431C"/>
    <w:rsid w:val="00AB470E"/>
    <w:rsid w:val="00AB5467"/>
    <w:rsid w:val="00AB5A7E"/>
    <w:rsid w:val="00AB7538"/>
    <w:rsid w:val="00AB77F3"/>
    <w:rsid w:val="00AC0256"/>
    <w:rsid w:val="00AC0AAD"/>
    <w:rsid w:val="00AC1231"/>
    <w:rsid w:val="00AC1992"/>
    <w:rsid w:val="00AC1E14"/>
    <w:rsid w:val="00AC2CFA"/>
    <w:rsid w:val="00AC3263"/>
    <w:rsid w:val="00AC337E"/>
    <w:rsid w:val="00AC3E12"/>
    <w:rsid w:val="00AC406E"/>
    <w:rsid w:val="00AC430C"/>
    <w:rsid w:val="00AC4951"/>
    <w:rsid w:val="00AC4A6B"/>
    <w:rsid w:val="00AC5C19"/>
    <w:rsid w:val="00AC60F0"/>
    <w:rsid w:val="00AC6657"/>
    <w:rsid w:val="00AC6D7A"/>
    <w:rsid w:val="00AC7363"/>
    <w:rsid w:val="00AC7401"/>
    <w:rsid w:val="00AC7901"/>
    <w:rsid w:val="00AC79F3"/>
    <w:rsid w:val="00AC7FDD"/>
    <w:rsid w:val="00AD0949"/>
    <w:rsid w:val="00AD0F1D"/>
    <w:rsid w:val="00AD1179"/>
    <w:rsid w:val="00AD1359"/>
    <w:rsid w:val="00AD19F0"/>
    <w:rsid w:val="00AD1FCE"/>
    <w:rsid w:val="00AD24D1"/>
    <w:rsid w:val="00AD26E1"/>
    <w:rsid w:val="00AD29CC"/>
    <w:rsid w:val="00AD3268"/>
    <w:rsid w:val="00AD3652"/>
    <w:rsid w:val="00AD3DE2"/>
    <w:rsid w:val="00AD4135"/>
    <w:rsid w:val="00AD4261"/>
    <w:rsid w:val="00AD46F5"/>
    <w:rsid w:val="00AD4CB1"/>
    <w:rsid w:val="00AD51A3"/>
    <w:rsid w:val="00AD598B"/>
    <w:rsid w:val="00AD7154"/>
    <w:rsid w:val="00AD797D"/>
    <w:rsid w:val="00AD7E02"/>
    <w:rsid w:val="00AE0034"/>
    <w:rsid w:val="00AE0483"/>
    <w:rsid w:val="00AE08DD"/>
    <w:rsid w:val="00AE13BD"/>
    <w:rsid w:val="00AE156F"/>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24E7"/>
    <w:rsid w:val="00AF272B"/>
    <w:rsid w:val="00AF291B"/>
    <w:rsid w:val="00AF2DAA"/>
    <w:rsid w:val="00AF2EBD"/>
    <w:rsid w:val="00AF33AE"/>
    <w:rsid w:val="00AF34C9"/>
    <w:rsid w:val="00AF3CDC"/>
    <w:rsid w:val="00AF44B1"/>
    <w:rsid w:val="00AF5790"/>
    <w:rsid w:val="00AF5800"/>
    <w:rsid w:val="00AF6986"/>
    <w:rsid w:val="00AF69FE"/>
    <w:rsid w:val="00AF6A77"/>
    <w:rsid w:val="00AF6D1B"/>
    <w:rsid w:val="00AF73ED"/>
    <w:rsid w:val="00AF7B5B"/>
    <w:rsid w:val="00AF7D69"/>
    <w:rsid w:val="00AF7ED2"/>
    <w:rsid w:val="00B004D8"/>
    <w:rsid w:val="00B00830"/>
    <w:rsid w:val="00B00CC5"/>
    <w:rsid w:val="00B016D2"/>
    <w:rsid w:val="00B02091"/>
    <w:rsid w:val="00B02B43"/>
    <w:rsid w:val="00B03D36"/>
    <w:rsid w:val="00B04540"/>
    <w:rsid w:val="00B046F1"/>
    <w:rsid w:val="00B05116"/>
    <w:rsid w:val="00B051A7"/>
    <w:rsid w:val="00B05F1A"/>
    <w:rsid w:val="00B07B33"/>
    <w:rsid w:val="00B07FA2"/>
    <w:rsid w:val="00B100CF"/>
    <w:rsid w:val="00B1074F"/>
    <w:rsid w:val="00B10E82"/>
    <w:rsid w:val="00B111A6"/>
    <w:rsid w:val="00B115E5"/>
    <w:rsid w:val="00B118EE"/>
    <w:rsid w:val="00B11B03"/>
    <w:rsid w:val="00B11B79"/>
    <w:rsid w:val="00B11C5B"/>
    <w:rsid w:val="00B121CD"/>
    <w:rsid w:val="00B12343"/>
    <w:rsid w:val="00B12529"/>
    <w:rsid w:val="00B128C5"/>
    <w:rsid w:val="00B12B11"/>
    <w:rsid w:val="00B12C94"/>
    <w:rsid w:val="00B12D5B"/>
    <w:rsid w:val="00B135AB"/>
    <w:rsid w:val="00B135D7"/>
    <w:rsid w:val="00B13797"/>
    <w:rsid w:val="00B137BF"/>
    <w:rsid w:val="00B13A1B"/>
    <w:rsid w:val="00B13A76"/>
    <w:rsid w:val="00B142D9"/>
    <w:rsid w:val="00B1436F"/>
    <w:rsid w:val="00B14BC4"/>
    <w:rsid w:val="00B14F3D"/>
    <w:rsid w:val="00B158A3"/>
    <w:rsid w:val="00B15B25"/>
    <w:rsid w:val="00B15C36"/>
    <w:rsid w:val="00B15EA0"/>
    <w:rsid w:val="00B16069"/>
    <w:rsid w:val="00B17A4E"/>
    <w:rsid w:val="00B17B30"/>
    <w:rsid w:val="00B17C2F"/>
    <w:rsid w:val="00B2153E"/>
    <w:rsid w:val="00B21F72"/>
    <w:rsid w:val="00B21FA7"/>
    <w:rsid w:val="00B22022"/>
    <w:rsid w:val="00B225E4"/>
    <w:rsid w:val="00B22666"/>
    <w:rsid w:val="00B231C5"/>
    <w:rsid w:val="00B23F7A"/>
    <w:rsid w:val="00B240B1"/>
    <w:rsid w:val="00B24208"/>
    <w:rsid w:val="00B24374"/>
    <w:rsid w:val="00B24728"/>
    <w:rsid w:val="00B248A9"/>
    <w:rsid w:val="00B2490A"/>
    <w:rsid w:val="00B24BE3"/>
    <w:rsid w:val="00B24D28"/>
    <w:rsid w:val="00B24F1C"/>
    <w:rsid w:val="00B25D76"/>
    <w:rsid w:val="00B27032"/>
    <w:rsid w:val="00B27085"/>
    <w:rsid w:val="00B30003"/>
    <w:rsid w:val="00B3015C"/>
    <w:rsid w:val="00B30AD9"/>
    <w:rsid w:val="00B31201"/>
    <w:rsid w:val="00B31B00"/>
    <w:rsid w:val="00B31B4B"/>
    <w:rsid w:val="00B31E36"/>
    <w:rsid w:val="00B32E26"/>
    <w:rsid w:val="00B338B7"/>
    <w:rsid w:val="00B34061"/>
    <w:rsid w:val="00B34376"/>
    <w:rsid w:val="00B3440A"/>
    <w:rsid w:val="00B34441"/>
    <w:rsid w:val="00B35167"/>
    <w:rsid w:val="00B35533"/>
    <w:rsid w:val="00B35534"/>
    <w:rsid w:val="00B35A87"/>
    <w:rsid w:val="00B35AFD"/>
    <w:rsid w:val="00B35F9A"/>
    <w:rsid w:val="00B3609C"/>
    <w:rsid w:val="00B36236"/>
    <w:rsid w:val="00B3662E"/>
    <w:rsid w:val="00B366D2"/>
    <w:rsid w:val="00B366FA"/>
    <w:rsid w:val="00B36E86"/>
    <w:rsid w:val="00B379BA"/>
    <w:rsid w:val="00B412FD"/>
    <w:rsid w:val="00B422BE"/>
    <w:rsid w:val="00B4241D"/>
    <w:rsid w:val="00B426BB"/>
    <w:rsid w:val="00B42EB9"/>
    <w:rsid w:val="00B436F0"/>
    <w:rsid w:val="00B441FE"/>
    <w:rsid w:val="00B44821"/>
    <w:rsid w:val="00B44AD3"/>
    <w:rsid w:val="00B45062"/>
    <w:rsid w:val="00B450EB"/>
    <w:rsid w:val="00B45152"/>
    <w:rsid w:val="00B45E54"/>
    <w:rsid w:val="00B464E4"/>
    <w:rsid w:val="00B4689A"/>
    <w:rsid w:val="00B46D5F"/>
    <w:rsid w:val="00B46E7B"/>
    <w:rsid w:val="00B47DC5"/>
    <w:rsid w:val="00B505B3"/>
    <w:rsid w:val="00B50882"/>
    <w:rsid w:val="00B50A74"/>
    <w:rsid w:val="00B513BE"/>
    <w:rsid w:val="00B51BE0"/>
    <w:rsid w:val="00B520A0"/>
    <w:rsid w:val="00B5257E"/>
    <w:rsid w:val="00B525CE"/>
    <w:rsid w:val="00B52CFD"/>
    <w:rsid w:val="00B52EED"/>
    <w:rsid w:val="00B53103"/>
    <w:rsid w:val="00B545A8"/>
    <w:rsid w:val="00B55F22"/>
    <w:rsid w:val="00B56527"/>
    <w:rsid w:val="00B57019"/>
    <w:rsid w:val="00B576DA"/>
    <w:rsid w:val="00B57710"/>
    <w:rsid w:val="00B601C9"/>
    <w:rsid w:val="00B60D04"/>
    <w:rsid w:val="00B6158F"/>
    <w:rsid w:val="00B61EE8"/>
    <w:rsid w:val="00B633A3"/>
    <w:rsid w:val="00B63533"/>
    <w:rsid w:val="00B63BDB"/>
    <w:rsid w:val="00B64A0E"/>
    <w:rsid w:val="00B64DDF"/>
    <w:rsid w:val="00B6601E"/>
    <w:rsid w:val="00B663AA"/>
    <w:rsid w:val="00B66DD5"/>
    <w:rsid w:val="00B67722"/>
    <w:rsid w:val="00B67B97"/>
    <w:rsid w:val="00B67F01"/>
    <w:rsid w:val="00B70329"/>
    <w:rsid w:val="00B70764"/>
    <w:rsid w:val="00B711AB"/>
    <w:rsid w:val="00B714F0"/>
    <w:rsid w:val="00B71A40"/>
    <w:rsid w:val="00B71C8C"/>
    <w:rsid w:val="00B71CB4"/>
    <w:rsid w:val="00B71FD7"/>
    <w:rsid w:val="00B725E7"/>
    <w:rsid w:val="00B72967"/>
    <w:rsid w:val="00B72C07"/>
    <w:rsid w:val="00B72DF7"/>
    <w:rsid w:val="00B72F42"/>
    <w:rsid w:val="00B733FB"/>
    <w:rsid w:val="00B73E44"/>
    <w:rsid w:val="00B74290"/>
    <w:rsid w:val="00B74510"/>
    <w:rsid w:val="00B74BD4"/>
    <w:rsid w:val="00B74BF7"/>
    <w:rsid w:val="00B76185"/>
    <w:rsid w:val="00B76BCD"/>
    <w:rsid w:val="00B7786D"/>
    <w:rsid w:val="00B779E6"/>
    <w:rsid w:val="00B804E2"/>
    <w:rsid w:val="00B811B2"/>
    <w:rsid w:val="00B81BA3"/>
    <w:rsid w:val="00B82213"/>
    <w:rsid w:val="00B8276E"/>
    <w:rsid w:val="00B83A62"/>
    <w:rsid w:val="00B83B59"/>
    <w:rsid w:val="00B84252"/>
    <w:rsid w:val="00B8468F"/>
    <w:rsid w:val="00B849F1"/>
    <w:rsid w:val="00B84FC6"/>
    <w:rsid w:val="00B857F5"/>
    <w:rsid w:val="00B86D6C"/>
    <w:rsid w:val="00B86EB5"/>
    <w:rsid w:val="00B86F47"/>
    <w:rsid w:val="00B874B4"/>
    <w:rsid w:val="00B876C1"/>
    <w:rsid w:val="00B8787A"/>
    <w:rsid w:val="00B87887"/>
    <w:rsid w:val="00B90123"/>
    <w:rsid w:val="00B90196"/>
    <w:rsid w:val="00B911C1"/>
    <w:rsid w:val="00B91374"/>
    <w:rsid w:val="00B922C3"/>
    <w:rsid w:val="00B9272A"/>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060E"/>
    <w:rsid w:val="00BA19C4"/>
    <w:rsid w:val="00BA3038"/>
    <w:rsid w:val="00BA360A"/>
    <w:rsid w:val="00BA370A"/>
    <w:rsid w:val="00BA48BC"/>
    <w:rsid w:val="00BA4A29"/>
    <w:rsid w:val="00BA4BE7"/>
    <w:rsid w:val="00BA550D"/>
    <w:rsid w:val="00BA5F20"/>
    <w:rsid w:val="00BA5F44"/>
    <w:rsid w:val="00BA68D9"/>
    <w:rsid w:val="00BA6FD8"/>
    <w:rsid w:val="00BA7172"/>
    <w:rsid w:val="00BA72CF"/>
    <w:rsid w:val="00BA7B01"/>
    <w:rsid w:val="00BB02D7"/>
    <w:rsid w:val="00BB0D9F"/>
    <w:rsid w:val="00BB0DEE"/>
    <w:rsid w:val="00BB0F93"/>
    <w:rsid w:val="00BB1031"/>
    <w:rsid w:val="00BB1B33"/>
    <w:rsid w:val="00BB2480"/>
    <w:rsid w:val="00BB27FD"/>
    <w:rsid w:val="00BB2C4E"/>
    <w:rsid w:val="00BB2E29"/>
    <w:rsid w:val="00BB2F74"/>
    <w:rsid w:val="00BB3206"/>
    <w:rsid w:val="00BB32C2"/>
    <w:rsid w:val="00BB3B0D"/>
    <w:rsid w:val="00BB4144"/>
    <w:rsid w:val="00BB4369"/>
    <w:rsid w:val="00BB524C"/>
    <w:rsid w:val="00BB5DAB"/>
    <w:rsid w:val="00BB6195"/>
    <w:rsid w:val="00BB61A3"/>
    <w:rsid w:val="00BB67EA"/>
    <w:rsid w:val="00BB707E"/>
    <w:rsid w:val="00BB7568"/>
    <w:rsid w:val="00BC007C"/>
    <w:rsid w:val="00BC0157"/>
    <w:rsid w:val="00BC0497"/>
    <w:rsid w:val="00BC0986"/>
    <w:rsid w:val="00BC0AB2"/>
    <w:rsid w:val="00BC11A4"/>
    <w:rsid w:val="00BC1308"/>
    <w:rsid w:val="00BC1BF4"/>
    <w:rsid w:val="00BC2600"/>
    <w:rsid w:val="00BC2F24"/>
    <w:rsid w:val="00BC33BE"/>
    <w:rsid w:val="00BC3A47"/>
    <w:rsid w:val="00BC3EEB"/>
    <w:rsid w:val="00BC4780"/>
    <w:rsid w:val="00BC4901"/>
    <w:rsid w:val="00BC52C8"/>
    <w:rsid w:val="00BC5485"/>
    <w:rsid w:val="00BC549C"/>
    <w:rsid w:val="00BC570E"/>
    <w:rsid w:val="00BC5A6C"/>
    <w:rsid w:val="00BC5AF6"/>
    <w:rsid w:val="00BC5B4B"/>
    <w:rsid w:val="00BC5E69"/>
    <w:rsid w:val="00BC5EDB"/>
    <w:rsid w:val="00BC69A2"/>
    <w:rsid w:val="00BC6ED6"/>
    <w:rsid w:val="00BC6F03"/>
    <w:rsid w:val="00BC6FA1"/>
    <w:rsid w:val="00BC70CE"/>
    <w:rsid w:val="00BC7487"/>
    <w:rsid w:val="00BC7DDD"/>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5984"/>
    <w:rsid w:val="00BD6D43"/>
    <w:rsid w:val="00BD7090"/>
    <w:rsid w:val="00BD7490"/>
    <w:rsid w:val="00BD767F"/>
    <w:rsid w:val="00BD7DA0"/>
    <w:rsid w:val="00BE096B"/>
    <w:rsid w:val="00BE09C3"/>
    <w:rsid w:val="00BE0C27"/>
    <w:rsid w:val="00BE15BB"/>
    <w:rsid w:val="00BE198F"/>
    <w:rsid w:val="00BE4CCF"/>
    <w:rsid w:val="00BE5964"/>
    <w:rsid w:val="00BE5D68"/>
    <w:rsid w:val="00BE660B"/>
    <w:rsid w:val="00BE6AFE"/>
    <w:rsid w:val="00BE6BBE"/>
    <w:rsid w:val="00BE7021"/>
    <w:rsid w:val="00BE7300"/>
    <w:rsid w:val="00BE76F7"/>
    <w:rsid w:val="00BE784F"/>
    <w:rsid w:val="00BE79C6"/>
    <w:rsid w:val="00BE7F3F"/>
    <w:rsid w:val="00BF0238"/>
    <w:rsid w:val="00BF0717"/>
    <w:rsid w:val="00BF1750"/>
    <w:rsid w:val="00BF178E"/>
    <w:rsid w:val="00BF189F"/>
    <w:rsid w:val="00BF18F2"/>
    <w:rsid w:val="00BF1B44"/>
    <w:rsid w:val="00BF1F01"/>
    <w:rsid w:val="00BF1FC2"/>
    <w:rsid w:val="00BF23CC"/>
    <w:rsid w:val="00BF243F"/>
    <w:rsid w:val="00BF2708"/>
    <w:rsid w:val="00BF28FC"/>
    <w:rsid w:val="00BF4C2B"/>
    <w:rsid w:val="00BF507A"/>
    <w:rsid w:val="00BF53F1"/>
    <w:rsid w:val="00BF5717"/>
    <w:rsid w:val="00BF585E"/>
    <w:rsid w:val="00BF5B9D"/>
    <w:rsid w:val="00BF5C45"/>
    <w:rsid w:val="00BF5FA3"/>
    <w:rsid w:val="00BF62F2"/>
    <w:rsid w:val="00BF63A5"/>
    <w:rsid w:val="00BF72A7"/>
    <w:rsid w:val="00BF7558"/>
    <w:rsid w:val="00BF7DD2"/>
    <w:rsid w:val="00C0111E"/>
    <w:rsid w:val="00C02676"/>
    <w:rsid w:val="00C029AB"/>
    <w:rsid w:val="00C02D74"/>
    <w:rsid w:val="00C03661"/>
    <w:rsid w:val="00C03BD5"/>
    <w:rsid w:val="00C03C8B"/>
    <w:rsid w:val="00C03F3C"/>
    <w:rsid w:val="00C0425C"/>
    <w:rsid w:val="00C049BE"/>
    <w:rsid w:val="00C04A71"/>
    <w:rsid w:val="00C04DF0"/>
    <w:rsid w:val="00C050BB"/>
    <w:rsid w:val="00C05A4C"/>
    <w:rsid w:val="00C05A67"/>
    <w:rsid w:val="00C0641F"/>
    <w:rsid w:val="00C06E6F"/>
    <w:rsid w:val="00C07371"/>
    <w:rsid w:val="00C075DB"/>
    <w:rsid w:val="00C07EBA"/>
    <w:rsid w:val="00C07FBC"/>
    <w:rsid w:val="00C100E7"/>
    <w:rsid w:val="00C11113"/>
    <w:rsid w:val="00C11687"/>
    <w:rsid w:val="00C11E28"/>
    <w:rsid w:val="00C11F66"/>
    <w:rsid w:val="00C1225B"/>
    <w:rsid w:val="00C122F9"/>
    <w:rsid w:val="00C1253A"/>
    <w:rsid w:val="00C128C9"/>
    <w:rsid w:val="00C12CF3"/>
    <w:rsid w:val="00C12F88"/>
    <w:rsid w:val="00C131A8"/>
    <w:rsid w:val="00C1322D"/>
    <w:rsid w:val="00C135A3"/>
    <w:rsid w:val="00C1477A"/>
    <w:rsid w:val="00C14A62"/>
    <w:rsid w:val="00C151F5"/>
    <w:rsid w:val="00C158EB"/>
    <w:rsid w:val="00C159B1"/>
    <w:rsid w:val="00C15D51"/>
    <w:rsid w:val="00C161F5"/>
    <w:rsid w:val="00C16BE6"/>
    <w:rsid w:val="00C16C92"/>
    <w:rsid w:val="00C1706B"/>
    <w:rsid w:val="00C17DB7"/>
    <w:rsid w:val="00C17E48"/>
    <w:rsid w:val="00C17F0B"/>
    <w:rsid w:val="00C201E7"/>
    <w:rsid w:val="00C20506"/>
    <w:rsid w:val="00C20AA2"/>
    <w:rsid w:val="00C20B91"/>
    <w:rsid w:val="00C21155"/>
    <w:rsid w:val="00C2146C"/>
    <w:rsid w:val="00C214D7"/>
    <w:rsid w:val="00C21561"/>
    <w:rsid w:val="00C217EE"/>
    <w:rsid w:val="00C22784"/>
    <w:rsid w:val="00C23843"/>
    <w:rsid w:val="00C23A4C"/>
    <w:rsid w:val="00C2419D"/>
    <w:rsid w:val="00C243A4"/>
    <w:rsid w:val="00C24416"/>
    <w:rsid w:val="00C248DB"/>
    <w:rsid w:val="00C26170"/>
    <w:rsid w:val="00C26B5A"/>
    <w:rsid w:val="00C26D52"/>
    <w:rsid w:val="00C303E4"/>
    <w:rsid w:val="00C30775"/>
    <w:rsid w:val="00C30B8D"/>
    <w:rsid w:val="00C3134E"/>
    <w:rsid w:val="00C315D8"/>
    <w:rsid w:val="00C31C4A"/>
    <w:rsid w:val="00C31D2D"/>
    <w:rsid w:val="00C3209A"/>
    <w:rsid w:val="00C32639"/>
    <w:rsid w:val="00C32808"/>
    <w:rsid w:val="00C32AD2"/>
    <w:rsid w:val="00C33114"/>
    <w:rsid w:val="00C34193"/>
    <w:rsid w:val="00C347FD"/>
    <w:rsid w:val="00C34DAE"/>
    <w:rsid w:val="00C34E1E"/>
    <w:rsid w:val="00C34E5A"/>
    <w:rsid w:val="00C353D2"/>
    <w:rsid w:val="00C35D9C"/>
    <w:rsid w:val="00C36219"/>
    <w:rsid w:val="00C3698E"/>
    <w:rsid w:val="00C36CCA"/>
    <w:rsid w:val="00C36E1C"/>
    <w:rsid w:val="00C36F42"/>
    <w:rsid w:val="00C3718A"/>
    <w:rsid w:val="00C3728D"/>
    <w:rsid w:val="00C379C5"/>
    <w:rsid w:val="00C37EEE"/>
    <w:rsid w:val="00C40453"/>
    <w:rsid w:val="00C40544"/>
    <w:rsid w:val="00C40E71"/>
    <w:rsid w:val="00C40FBC"/>
    <w:rsid w:val="00C4141D"/>
    <w:rsid w:val="00C41879"/>
    <w:rsid w:val="00C41A7C"/>
    <w:rsid w:val="00C42CEF"/>
    <w:rsid w:val="00C42D55"/>
    <w:rsid w:val="00C43080"/>
    <w:rsid w:val="00C4370E"/>
    <w:rsid w:val="00C43823"/>
    <w:rsid w:val="00C4384B"/>
    <w:rsid w:val="00C4393C"/>
    <w:rsid w:val="00C43F2D"/>
    <w:rsid w:val="00C44068"/>
    <w:rsid w:val="00C442AE"/>
    <w:rsid w:val="00C44DCD"/>
    <w:rsid w:val="00C4518B"/>
    <w:rsid w:val="00C45780"/>
    <w:rsid w:val="00C458D6"/>
    <w:rsid w:val="00C45919"/>
    <w:rsid w:val="00C4655A"/>
    <w:rsid w:val="00C466BF"/>
    <w:rsid w:val="00C47385"/>
    <w:rsid w:val="00C47555"/>
    <w:rsid w:val="00C476AC"/>
    <w:rsid w:val="00C47E67"/>
    <w:rsid w:val="00C47FD9"/>
    <w:rsid w:val="00C50C1A"/>
    <w:rsid w:val="00C50E1E"/>
    <w:rsid w:val="00C51508"/>
    <w:rsid w:val="00C51D73"/>
    <w:rsid w:val="00C52283"/>
    <w:rsid w:val="00C52A05"/>
    <w:rsid w:val="00C52E97"/>
    <w:rsid w:val="00C52EAF"/>
    <w:rsid w:val="00C53189"/>
    <w:rsid w:val="00C534E5"/>
    <w:rsid w:val="00C534F4"/>
    <w:rsid w:val="00C5375B"/>
    <w:rsid w:val="00C53B15"/>
    <w:rsid w:val="00C53DA9"/>
    <w:rsid w:val="00C53EF7"/>
    <w:rsid w:val="00C54280"/>
    <w:rsid w:val="00C54616"/>
    <w:rsid w:val="00C54929"/>
    <w:rsid w:val="00C550B6"/>
    <w:rsid w:val="00C55373"/>
    <w:rsid w:val="00C556B1"/>
    <w:rsid w:val="00C557BE"/>
    <w:rsid w:val="00C55A05"/>
    <w:rsid w:val="00C56101"/>
    <w:rsid w:val="00C565F2"/>
    <w:rsid w:val="00C567E3"/>
    <w:rsid w:val="00C56C45"/>
    <w:rsid w:val="00C573CC"/>
    <w:rsid w:val="00C57B81"/>
    <w:rsid w:val="00C57FB9"/>
    <w:rsid w:val="00C602BD"/>
    <w:rsid w:val="00C6077B"/>
    <w:rsid w:val="00C60950"/>
    <w:rsid w:val="00C60DD1"/>
    <w:rsid w:val="00C61565"/>
    <w:rsid w:val="00C61574"/>
    <w:rsid w:val="00C615B4"/>
    <w:rsid w:val="00C61AC6"/>
    <w:rsid w:val="00C61ACF"/>
    <w:rsid w:val="00C6211D"/>
    <w:rsid w:val="00C62537"/>
    <w:rsid w:val="00C62973"/>
    <w:rsid w:val="00C62B32"/>
    <w:rsid w:val="00C63DED"/>
    <w:rsid w:val="00C63E88"/>
    <w:rsid w:val="00C6436D"/>
    <w:rsid w:val="00C64F97"/>
    <w:rsid w:val="00C65585"/>
    <w:rsid w:val="00C656EB"/>
    <w:rsid w:val="00C65DF4"/>
    <w:rsid w:val="00C661C6"/>
    <w:rsid w:val="00C67880"/>
    <w:rsid w:val="00C67B49"/>
    <w:rsid w:val="00C711F5"/>
    <w:rsid w:val="00C71326"/>
    <w:rsid w:val="00C713A1"/>
    <w:rsid w:val="00C71828"/>
    <w:rsid w:val="00C72105"/>
    <w:rsid w:val="00C74520"/>
    <w:rsid w:val="00C74954"/>
    <w:rsid w:val="00C76028"/>
    <w:rsid w:val="00C76184"/>
    <w:rsid w:val="00C76462"/>
    <w:rsid w:val="00C7673D"/>
    <w:rsid w:val="00C76A80"/>
    <w:rsid w:val="00C76C27"/>
    <w:rsid w:val="00C76F07"/>
    <w:rsid w:val="00C77960"/>
    <w:rsid w:val="00C77EF6"/>
    <w:rsid w:val="00C80B4B"/>
    <w:rsid w:val="00C80D63"/>
    <w:rsid w:val="00C812D5"/>
    <w:rsid w:val="00C81BEA"/>
    <w:rsid w:val="00C81DF5"/>
    <w:rsid w:val="00C82188"/>
    <w:rsid w:val="00C8242B"/>
    <w:rsid w:val="00C82A50"/>
    <w:rsid w:val="00C83240"/>
    <w:rsid w:val="00C83381"/>
    <w:rsid w:val="00C83607"/>
    <w:rsid w:val="00C83768"/>
    <w:rsid w:val="00C83B18"/>
    <w:rsid w:val="00C840C3"/>
    <w:rsid w:val="00C841B4"/>
    <w:rsid w:val="00C84266"/>
    <w:rsid w:val="00C8450F"/>
    <w:rsid w:val="00C8466F"/>
    <w:rsid w:val="00C849E0"/>
    <w:rsid w:val="00C84B74"/>
    <w:rsid w:val="00C8512A"/>
    <w:rsid w:val="00C85378"/>
    <w:rsid w:val="00C85970"/>
    <w:rsid w:val="00C85E9B"/>
    <w:rsid w:val="00C874C8"/>
    <w:rsid w:val="00C8768B"/>
    <w:rsid w:val="00C90165"/>
    <w:rsid w:val="00C902DA"/>
    <w:rsid w:val="00C90733"/>
    <w:rsid w:val="00C921C4"/>
    <w:rsid w:val="00C9235F"/>
    <w:rsid w:val="00C9257F"/>
    <w:rsid w:val="00C92BF4"/>
    <w:rsid w:val="00C9319C"/>
    <w:rsid w:val="00C934F6"/>
    <w:rsid w:val="00C93874"/>
    <w:rsid w:val="00C93A4C"/>
    <w:rsid w:val="00C944EB"/>
    <w:rsid w:val="00C94856"/>
    <w:rsid w:val="00C94FD2"/>
    <w:rsid w:val="00C95341"/>
    <w:rsid w:val="00C95B76"/>
    <w:rsid w:val="00C964C3"/>
    <w:rsid w:val="00C96635"/>
    <w:rsid w:val="00C966B7"/>
    <w:rsid w:val="00C969DB"/>
    <w:rsid w:val="00C96A6E"/>
    <w:rsid w:val="00C97A4A"/>
    <w:rsid w:val="00C97DC9"/>
    <w:rsid w:val="00C97EE3"/>
    <w:rsid w:val="00CA042A"/>
    <w:rsid w:val="00CA12BA"/>
    <w:rsid w:val="00CA165C"/>
    <w:rsid w:val="00CA1C0D"/>
    <w:rsid w:val="00CA1DAE"/>
    <w:rsid w:val="00CA1E62"/>
    <w:rsid w:val="00CA2267"/>
    <w:rsid w:val="00CA38AD"/>
    <w:rsid w:val="00CA3EEE"/>
    <w:rsid w:val="00CA5098"/>
    <w:rsid w:val="00CA5503"/>
    <w:rsid w:val="00CA66C3"/>
    <w:rsid w:val="00CA6CAD"/>
    <w:rsid w:val="00CA70A8"/>
    <w:rsid w:val="00CA70D0"/>
    <w:rsid w:val="00CA74A4"/>
    <w:rsid w:val="00CA7683"/>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3A45"/>
    <w:rsid w:val="00CB4728"/>
    <w:rsid w:val="00CB49A6"/>
    <w:rsid w:val="00CB58E3"/>
    <w:rsid w:val="00CB59E7"/>
    <w:rsid w:val="00CB5D27"/>
    <w:rsid w:val="00CB5E4A"/>
    <w:rsid w:val="00CB6FCA"/>
    <w:rsid w:val="00CB724D"/>
    <w:rsid w:val="00CB73EA"/>
    <w:rsid w:val="00CB76E3"/>
    <w:rsid w:val="00CB7D4E"/>
    <w:rsid w:val="00CB7F1F"/>
    <w:rsid w:val="00CC002B"/>
    <w:rsid w:val="00CC07E5"/>
    <w:rsid w:val="00CC09F0"/>
    <w:rsid w:val="00CC0AB5"/>
    <w:rsid w:val="00CC0C11"/>
    <w:rsid w:val="00CC1F52"/>
    <w:rsid w:val="00CC233F"/>
    <w:rsid w:val="00CC27FD"/>
    <w:rsid w:val="00CC29A4"/>
    <w:rsid w:val="00CC31E8"/>
    <w:rsid w:val="00CC3AB9"/>
    <w:rsid w:val="00CC3C9E"/>
    <w:rsid w:val="00CC45E0"/>
    <w:rsid w:val="00CC4BBE"/>
    <w:rsid w:val="00CC4BC3"/>
    <w:rsid w:val="00CC50C7"/>
    <w:rsid w:val="00CC55AC"/>
    <w:rsid w:val="00CC5859"/>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1C47"/>
    <w:rsid w:val="00CD22C2"/>
    <w:rsid w:val="00CD25F3"/>
    <w:rsid w:val="00CD27FF"/>
    <w:rsid w:val="00CD2875"/>
    <w:rsid w:val="00CD2DF3"/>
    <w:rsid w:val="00CD305C"/>
    <w:rsid w:val="00CD3A6D"/>
    <w:rsid w:val="00CD3E5A"/>
    <w:rsid w:val="00CD3E63"/>
    <w:rsid w:val="00CD40A3"/>
    <w:rsid w:val="00CD4CD3"/>
    <w:rsid w:val="00CD5249"/>
    <w:rsid w:val="00CD589F"/>
    <w:rsid w:val="00CD5BE2"/>
    <w:rsid w:val="00CD60C9"/>
    <w:rsid w:val="00CD6345"/>
    <w:rsid w:val="00CD6BBB"/>
    <w:rsid w:val="00CD6EC2"/>
    <w:rsid w:val="00CD7319"/>
    <w:rsid w:val="00CD7482"/>
    <w:rsid w:val="00CE07C1"/>
    <w:rsid w:val="00CE1567"/>
    <w:rsid w:val="00CE1859"/>
    <w:rsid w:val="00CE1862"/>
    <w:rsid w:val="00CE186F"/>
    <w:rsid w:val="00CE20E3"/>
    <w:rsid w:val="00CE273A"/>
    <w:rsid w:val="00CE321C"/>
    <w:rsid w:val="00CE32E8"/>
    <w:rsid w:val="00CE353C"/>
    <w:rsid w:val="00CE3700"/>
    <w:rsid w:val="00CE3B69"/>
    <w:rsid w:val="00CE4559"/>
    <w:rsid w:val="00CE5118"/>
    <w:rsid w:val="00CE5487"/>
    <w:rsid w:val="00CE59B5"/>
    <w:rsid w:val="00CE59DB"/>
    <w:rsid w:val="00CE5B6A"/>
    <w:rsid w:val="00CE5D3A"/>
    <w:rsid w:val="00CE67D8"/>
    <w:rsid w:val="00CE68EA"/>
    <w:rsid w:val="00CE7381"/>
    <w:rsid w:val="00CE7447"/>
    <w:rsid w:val="00CE74CE"/>
    <w:rsid w:val="00CF0829"/>
    <w:rsid w:val="00CF0E74"/>
    <w:rsid w:val="00CF14E3"/>
    <w:rsid w:val="00CF1833"/>
    <w:rsid w:val="00CF1AEA"/>
    <w:rsid w:val="00CF2091"/>
    <w:rsid w:val="00CF21F6"/>
    <w:rsid w:val="00CF2278"/>
    <w:rsid w:val="00CF2C62"/>
    <w:rsid w:val="00CF2F66"/>
    <w:rsid w:val="00CF337B"/>
    <w:rsid w:val="00CF3FE7"/>
    <w:rsid w:val="00CF4416"/>
    <w:rsid w:val="00CF5762"/>
    <w:rsid w:val="00CF65B4"/>
    <w:rsid w:val="00CF69B0"/>
    <w:rsid w:val="00CF6C05"/>
    <w:rsid w:val="00CF7485"/>
    <w:rsid w:val="00CF764E"/>
    <w:rsid w:val="00CF7E56"/>
    <w:rsid w:val="00D01502"/>
    <w:rsid w:val="00D01744"/>
    <w:rsid w:val="00D01984"/>
    <w:rsid w:val="00D01C03"/>
    <w:rsid w:val="00D025CE"/>
    <w:rsid w:val="00D02A0F"/>
    <w:rsid w:val="00D02CA6"/>
    <w:rsid w:val="00D02DF3"/>
    <w:rsid w:val="00D03181"/>
    <w:rsid w:val="00D03517"/>
    <w:rsid w:val="00D037DC"/>
    <w:rsid w:val="00D0383B"/>
    <w:rsid w:val="00D03A8A"/>
    <w:rsid w:val="00D03DA5"/>
    <w:rsid w:val="00D03F27"/>
    <w:rsid w:val="00D043EE"/>
    <w:rsid w:val="00D0470D"/>
    <w:rsid w:val="00D04BFF"/>
    <w:rsid w:val="00D05249"/>
    <w:rsid w:val="00D055CA"/>
    <w:rsid w:val="00D059FC"/>
    <w:rsid w:val="00D05DEF"/>
    <w:rsid w:val="00D062A6"/>
    <w:rsid w:val="00D06861"/>
    <w:rsid w:val="00D0688A"/>
    <w:rsid w:val="00D06F22"/>
    <w:rsid w:val="00D073D9"/>
    <w:rsid w:val="00D07A9C"/>
    <w:rsid w:val="00D10076"/>
    <w:rsid w:val="00D1033B"/>
    <w:rsid w:val="00D10360"/>
    <w:rsid w:val="00D10477"/>
    <w:rsid w:val="00D107E2"/>
    <w:rsid w:val="00D11D76"/>
    <w:rsid w:val="00D121F5"/>
    <w:rsid w:val="00D126E4"/>
    <w:rsid w:val="00D131BF"/>
    <w:rsid w:val="00D13A90"/>
    <w:rsid w:val="00D140E6"/>
    <w:rsid w:val="00D158EF"/>
    <w:rsid w:val="00D15C14"/>
    <w:rsid w:val="00D15E74"/>
    <w:rsid w:val="00D15FAA"/>
    <w:rsid w:val="00D16C3D"/>
    <w:rsid w:val="00D16ECB"/>
    <w:rsid w:val="00D16EEE"/>
    <w:rsid w:val="00D17167"/>
    <w:rsid w:val="00D17BA5"/>
    <w:rsid w:val="00D2058D"/>
    <w:rsid w:val="00D206A3"/>
    <w:rsid w:val="00D2176E"/>
    <w:rsid w:val="00D2182A"/>
    <w:rsid w:val="00D2193D"/>
    <w:rsid w:val="00D21BCD"/>
    <w:rsid w:val="00D22105"/>
    <w:rsid w:val="00D2211C"/>
    <w:rsid w:val="00D22B55"/>
    <w:rsid w:val="00D22C81"/>
    <w:rsid w:val="00D23055"/>
    <w:rsid w:val="00D230AD"/>
    <w:rsid w:val="00D2320E"/>
    <w:rsid w:val="00D2327A"/>
    <w:rsid w:val="00D234DA"/>
    <w:rsid w:val="00D23C7C"/>
    <w:rsid w:val="00D251AB"/>
    <w:rsid w:val="00D25240"/>
    <w:rsid w:val="00D25AC6"/>
    <w:rsid w:val="00D261D3"/>
    <w:rsid w:val="00D26880"/>
    <w:rsid w:val="00D31125"/>
    <w:rsid w:val="00D319DF"/>
    <w:rsid w:val="00D31C02"/>
    <w:rsid w:val="00D3225E"/>
    <w:rsid w:val="00D324BC"/>
    <w:rsid w:val="00D32B9F"/>
    <w:rsid w:val="00D33565"/>
    <w:rsid w:val="00D33761"/>
    <w:rsid w:val="00D33762"/>
    <w:rsid w:val="00D33A91"/>
    <w:rsid w:val="00D341C7"/>
    <w:rsid w:val="00D344B7"/>
    <w:rsid w:val="00D34BD1"/>
    <w:rsid w:val="00D34D55"/>
    <w:rsid w:val="00D35177"/>
    <w:rsid w:val="00D356CB"/>
    <w:rsid w:val="00D356E1"/>
    <w:rsid w:val="00D40340"/>
    <w:rsid w:val="00D40609"/>
    <w:rsid w:val="00D40983"/>
    <w:rsid w:val="00D41188"/>
    <w:rsid w:val="00D417D3"/>
    <w:rsid w:val="00D418D5"/>
    <w:rsid w:val="00D41940"/>
    <w:rsid w:val="00D41B27"/>
    <w:rsid w:val="00D41DB1"/>
    <w:rsid w:val="00D4249C"/>
    <w:rsid w:val="00D4276D"/>
    <w:rsid w:val="00D42798"/>
    <w:rsid w:val="00D42970"/>
    <w:rsid w:val="00D43AED"/>
    <w:rsid w:val="00D44916"/>
    <w:rsid w:val="00D45AE4"/>
    <w:rsid w:val="00D45CA4"/>
    <w:rsid w:val="00D45EA7"/>
    <w:rsid w:val="00D45F22"/>
    <w:rsid w:val="00D47178"/>
    <w:rsid w:val="00D4752E"/>
    <w:rsid w:val="00D47842"/>
    <w:rsid w:val="00D47BEF"/>
    <w:rsid w:val="00D50826"/>
    <w:rsid w:val="00D50C9B"/>
    <w:rsid w:val="00D51675"/>
    <w:rsid w:val="00D51F73"/>
    <w:rsid w:val="00D52827"/>
    <w:rsid w:val="00D529BE"/>
    <w:rsid w:val="00D52CF6"/>
    <w:rsid w:val="00D53D3E"/>
    <w:rsid w:val="00D547E0"/>
    <w:rsid w:val="00D54992"/>
    <w:rsid w:val="00D55291"/>
    <w:rsid w:val="00D55C48"/>
    <w:rsid w:val="00D55E47"/>
    <w:rsid w:val="00D56392"/>
    <w:rsid w:val="00D56997"/>
    <w:rsid w:val="00D570E6"/>
    <w:rsid w:val="00D5730F"/>
    <w:rsid w:val="00D5774F"/>
    <w:rsid w:val="00D60809"/>
    <w:rsid w:val="00D60D7F"/>
    <w:rsid w:val="00D61C9C"/>
    <w:rsid w:val="00D62111"/>
    <w:rsid w:val="00D62229"/>
    <w:rsid w:val="00D625B8"/>
    <w:rsid w:val="00D626F8"/>
    <w:rsid w:val="00D62A03"/>
    <w:rsid w:val="00D636DC"/>
    <w:rsid w:val="00D63F14"/>
    <w:rsid w:val="00D63F4C"/>
    <w:rsid w:val="00D64613"/>
    <w:rsid w:val="00D64702"/>
    <w:rsid w:val="00D659FA"/>
    <w:rsid w:val="00D66BFD"/>
    <w:rsid w:val="00D66C91"/>
    <w:rsid w:val="00D674EE"/>
    <w:rsid w:val="00D67535"/>
    <w:rsid w:val="00D67A4D"/>
    <w:rsid w:val="00D67BC9"/>
    <w:rsid w:val="00D67DBC"/>
    <w:rsid w:val="00D704D9"/>
    <w:rsid w:val="00D70934"/>
    <w:rsid w:val="00D70BD2"/>
    <w:rsid w:val="00D713F2"/>
    <w:rsid w:val="00D721B1"/>
    <w:rsid w:val="00D7226B"/>
    <w:rsid w:val="00D72705"/>
    <w:rsid w:val="00D738BF"/>
    <w:rsid w:val="00D73B93"/>
    <w:rsid w:val="00D73C95"/>
    <w:rsid w:val="00D7400F"/>
    <w:rsid w:val="00D745C1"/>
    <w:rsid w:val="00D74784"/>
    <w:rsid w:val="00D756F6"/>
    <w:rsid w:val="00D75731"/>
    <w:rsid w:val="00D75B45"/>
    <w:rsid w:val="00D75B5C"/>
    <w:rsid w:val="00D75F8C"/>
    <w:rsid w:val="00D76050"/>
    <w:rsid w:val="00D76309"/>
    <w:rsid w:val="00D763AF"/>
    <w:rsid w:val="00D76423"/>
    <w:rsid w:val="00D767A9"/>
    <w:rsid w:val="00D767BF"/>
    <w:rsid w:val="00D77278"/>
    <w:rsid w:val="00D7749B"/>
    <w:rsid w:val="00D775B5"/>
    <w:rsid w:val="00D77961"/>
    <w:rsid w:val="00D77A47"/>
    <w:rsid w:val="00D77B20"/>
    <w:rsid w:val="00D77B3B"/>
    <w:rsid w:val="00D8007C"/>
    <w:rsid w:val="00D800BF"/>
    <w:rsid w:val="00D8079F"/>
    <w:rsid w:val="00D80D0D"/>
    <w:rsid w:val="00D8103B"/>
    <w:rsid w:val="00D8111B"/>
    <w:rsid w:val="00D81242"/>
    <w:rsid w:val="00D812D2"/>
    <w:rsid w:val="00D82C80"/>
    <w:rsid w:val="00D82D02"/>
    <w:rsid w:val="00D82D0F"/>
    <w:rsid w:val="00D83A5A"/>
    <w:rsid w:val="00D84157"/>
    <w:rsid w:val="00D84BD7"/>
    <w:rsid w:val="00D84DCA"/>
    <w:rsid w:val="00D85114"/>
    <w:rsid w:val="00D857BC"/>
    <w:rsid w:val="00D85CC6"/>
    <w:rsid w:val="00D86A92"/>
    <w:rsid w:val="00D871B6"/>
    <w:rsid w:val="00D875E1"/>
    <w:rsid w:val="00D87F1E"/>
    <w:rsid w:val="00D90275"/>
    <w:rsid w:val="00D902F5"/>
    <w:rsid w:val="00D9075D"/>
    <w:rsid w:val="00D90959"/>
    <w:rsid w:val="00D91410"/>
    <w:rsid w:val="00D91438"/>
    <w:rsid w:val="00D91594"/>
    <w:rsid w:val="00D91ABE"/>
    <w:rsid w:val="00D91DFB"/>
    <w:rsid w:val="00D92042"/>
    <w:rsid w:val="00D921DA"/>
    <w:rsid w:val="00D92C2F"/>
    <w:rsid w:val="00D92F7F"/>
    <w:rsid w:val="00D930AC"/>
    <w:rsid w:val="00D9385C"/>
    <w:rsid w:val="00D9459D"/>
    <w:rsid w:val="00D94730"/>
    <w:rsid w:val="00D94858"/>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8DA"/>
    <w:rsid w:val="00DA1C31"/>
    <w:rsid w:val="00DA1F0C"/>
    <w:rsid w:val="00DA2231"/>
    <w:rsid w:val="00DA3565"/>
    <w:rsid w:val="00DA3A5B"/>
    <w:rsid w:val="00DA3D0B"/>
    <w:rsid w:val="00DA3F51"/>
    <w:rsid w:val="00DA45DB"/>
    <w:rsid w:val="00DA48D9"/>
    <w:rsid w:val="00DA49F8"/>
    <w:rsid w:val="00DA4AAE"/>
    <w:rsid w:val="00DA5572"/>
    <w:rsid w:val="00DA5D5D"/>
    <w:rsid w:val="00DA6A15"/>
    <w:rsid w:val="00DA6CC2"/>
    <w:rsid w:val="00DA7029"/>
    <w:rsid w:val="00DA77A0"/>
    <w:rsid w:val="00DB09A2"/>
    <w:rsid w:val="00DB103D"/>
    <w:rsid w:val="00DB1448"/>
    <w:rsid w:val="00DB1907"/>
    <w:rsid w:val="00DB1998"/>
    <w:rsid w:val="00DB1FC4"/>
    <w:rsid w:val="00DB21F0"/>
    <w:rsid w:val="00DB2C5F"/>
    <w:rsid w:val="00DB3A58"/>
    <w:rsid w:val="00DB3BDF"/>
    <w:rsid w:val="00DB3C58"/>
    <w:rsid w:val="00DB3D46"/>
    <w:rsid w:val="00DB401C"/>
    <w:rsid w:val="00DB46C8"/>
    <w:rsid w:val="00DB540E"/>
    <w:rsid w:val="00DB5A63"/>
    <w:rsid w:val="00DB6166"/>
    <w:rsid w:val="00DB656B"/>
    <w:rsid w:val="00DB691E"/>
    <w:rsid w:val="00DB6C99"/>
    <w:rsid w:val="00DB75A3"/>
    <w:rsid w:val="00DC0574"/>
    <w:rsid w:val="00DC0C65"/>
    <w:rsid w:val="00DC16BF"/>
    <w:rsid w:val="00DC16E1"/>
    <w:rsid w:val="00DC16FC"/>
    <w:rsid w:val="00DC1881"/>
    <w:rsid w:val="00DC1ED7"/>
    <w:rsid w:val="00DC3A6F"/>
    <w:rsid w:val="00DC3AA5"/>
    <w:rsid w:val="00DC3D1C"/>
    <w:rsid w:val="00DC43E1"/>
    <w:rsid w:val="00DC5199"/>
    <w:rsid w:val="00DC57C2"/>
    <w:rsid w:val="00DC5A32"/>
    <w:rsid w:val="00DC5E4E"/>
    <w:rsid w:val="00DC6281"/>
    <w:rsid w:val="00DC651B"/>
    <w:rsid w:val="00DC662F"/>
    <w:rsid w:val="00DC6E78"/>
    <w:rsid w:val="00DC729A"/>
    <w:rsid w:val="00DC73B1"/>
    <w:rsid w:val="00DC7519"/>
    <w:rsid w:val="00DC7630"/>
    <w:rsid w:val="00DC7EB5"/>
    <w:rsid w:val="00DD04AC"/>
    <w:rsid w:val="00DD04DD"/>
    <w:rsid w:val="00DD0891"/>
    <w:rsid w:val="00DD0B35"/>
    <w:rsid w:val="00DD0C4D"/>
    <w:rsid w:val="00DD0F9F"/>
    <w:rsid w:val="00DD11A7"/>
    <w:rsid w:val="00DD1298"/>
    <w:rsid w:val="00DD1A9F"/>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CB6"/>
    <w:rsid w:val="00DE0077"/>
    <w:rsid w:val="00DE0137"/>
    <w:rsid w:val="00DE01BA"/>
    <w:rsid w:val="00DE0DCF"/>
    <w:rsid w:val="00DE137B"/>
    <w:rsid w:val="00DE19D9"/>
    <w:rsid w:val="00DE1DC6"/>
    <w:rsid w:val="00DE1F77"/>
    <w:rsid w:val="00DE21C6"/>
    <w:rsid w:val="00DE22AA"/>
    <w:rsid w:val="00DE288F"/>
    <w:rsid w:val="00DE2C45"/>
    <w:rsid w:val="00DE2D49"/>
    <w:rsid w:val="00DE2F4E"/>
    <w:rsid w:val="00DE3E66"/>
    <w:rsid w:val="00DE3F75"/>
    <w:rsid w:val="00DE41FC"/>
    <w:rsid w:val="00DE45F5"/>
    <w:rsid w:val="00DE4AAD"/>
    <w:rsid w:val="00DE4C0C"/>
    <w:rsid w:val="00DE4FC8"/>
    <w:rsid w:val="00DE53B5"/>
    <w:rsid w:val="00DE5A50"/>
    <w:rsid w:val="00DE60C5"/>
    <w:rsid w:val="00DE6D0C"/>
    <w:rsid w:val="00DE7323"/>
    <w:rsid w:val="00DE75F0"/>
    <w:rsid w:val="00DE77CB"/>
    <w:rsid w:val="00DE795A"/>
    <w:rsid w:val="00DE7EBA"/>
    <w:rsid w:val="00DF0040"/>
    <w:rsid w:val="00DF04BD"/>
    <w:rsid w:val="00DF068D"/>
    <w:rsid w:val="00DF0D3A"/>
    <w:rsid w:val="00DF140A"/>
    <w:rsid w:val="00DF1A9A"/>
    <w:rsid w:val="00DF1C2D"/>
    <w:rsid w:val="00DF1F8A"/>
    <w:rsid w:val="00DF2209"/>
    <w:rsid w:val="00DF248E"/>
    <w:rsid w:val="00DF3577"/>
    <w:rsid w:val="00DF3C7C"/>
    <w:rsid w:val="00DF4063"/>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D3F"/>
    <w:rsid w:val="00E03DED"/>
    <w:rsid w:val="00E0437C"/>
    <w:rsid w:val="00E0452C"/>
    <w:rsid w:val="00E04D61"/>
    <w:rsid w:val="00E0504C"/>
    <w:rsid w:val="00E05074"/>
    <w:rsid w:val="00E05489"/>
    <w:rsid w:val="00E05741"/>
    <w:rsid w:val="00E05F7F"/>
    <w:rsid w:val="00E06549"/>
    <w:rsid w:val="00E06930"/>
    <w:rsid w:val="00E06971"/>
    <w:rsid w:val="00E07514"/>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2FF"/>
    <w:rsid w:val="00E14EFA"/>
    <w:rsid w:val="00E151B9"/>
    <w:rsid w:val="00E158C4"/>
    <w:rsid w:val="00E161E6"/>
    <w:rsid w:val="00E167C9"/>
    <w:rsid w:val="00E1698C"/>
    <w:rsid w:val="00E16BDB"/>
    <w:rsid w:val="00E172BE"/>
    <w:rsid w:val="00E17991"/>
    <w:rsid w:val="00E17CF7"/>
    <w:rsid w:val="00E205D6"/>
    <w:rsid w:val="00E209AB"/>
    <w:rsid w:val="00E216EC"/>
    <w:rsid w:val="00E2189A"/>
    <w:rsid w:val="00E21A60"/>
    <w:rsid w:val="00E22B5A"/>
    <w:rsid w:val="00E22B68"/>
    <w:rsid w:val="00E22CFD"/>
    <w:rsid w:val="00E231C9"/>
    <w:rsid w:val="00E23EBF"/>
    <w:rsid w:val="00E23FD5"/>
    <w:rsid w:val="00E24669"/>
    <w:rsid w:val="00E24836"/>
    <w:rsid w:val="00E24C48"/>
    <w:rsid w:val="00E24EE4"/>
    <w:rsid w:val="00E25981"/>
    <w:rsid w:val="00E26141"/>
    <w:rsid w:val="00E261A6"/>
    <w:rsid w:val="00E266F5"/>
    <w:rsid w:val="00E26C97"/>
    <w:rsid w:val="00E26CCC"/>
    <w:rsid w:val="00E270D3"/>
    <w:rsid w:val="00E27FC7"/>
    <w:rsid w:val="00E3050B"/>
    <w:rsid w:val="00E30700"/>
    <w:rsid w:val="00E31360"/>
    <w:rsid w:val="00E31BB3"/>
    <w:rsid w:val="00E31D28"/>
    <w:rsid w:val="00E32425"/>
    <w:rsid w:val="00E32506"/>
    <w:rsid w:val="00E3252C"/>
    <w:rsid w:val="00E325FF"/>
    <w:rsid w:val="00E32938"/>
    <w:rsid w:val="00E32CB8"/>
    <w:rsid w:val="00E32EB7"/>
    <w:rsid w:val="00E3440F"/>
    <w:rsid w:val="00E34F3A"/>
    <w:rsid w:val="00E35F99"/>
    <w:rsid w:val="00E35F9A"/>
    <w:rsid w:val="00E3637F"/>
    <w:rsid w:val="00E364B6"/>
    <w:rsid w:val="00E36723"/>
    <w:rsid w:val="00E3713C"/>
    <w:rsid w:val="00E37470"/>
    <w:rsid w:val="00E3767B"/>
    <w:rsid w:val="00E37E1C"/>
    <w:rsid w:val="00E40126"/>
    <w:rsid w:val="00E4013B"/>
    <w:rsid w:val="00E40BC3"/>
    <w:rsid w:val="00E40C85"/>
    <w:rsid w:val="00E40CBF"/>
    <w:rsid w:val="00E40E7D"/>
    <w:rsid w:val="00E40EE4"/>
    <w:rsid w:val="00E413C6"/>
    <w:rsid w:val="00E4141C"/>
    <w:rsid w:val="00E420D5"/>
    <w:rsid w:val="00E42517"/>
    <w:rsid w:val="00E42600"/>
    <w:rsid w:val="00E42948"/>
    <w:rsid w:val="00E42D55"/>
    <w:rsid w:val="00E42FFE"/>
    <w:rsid w:val="00E43050"/>
    <w:rsid w:val="00E4316E"/>
    <w:rsid w:val="00E435AB"/>
    <w:rsid w:val="00E44275"/>
    <w:rsid w:val="00E44705"/>
    <w:rsid w:val="00E44777"/>
    <w:rsid w:val="00E44F67"/>
    <w:rsid w:val="00E4535F"/>
    <w:rsid w:val="00E455E3"/>
    <w:rsid w:val="00E466BC"/>
    <w:rsid w:val="00E4686A"/>
    <w:rsid w:val="00E469F2"/>
    <w:rsid w:val="00E46EE9"/>
    <w:rsid w:val="00E479FD"/>
    <w:rsid w:val="00E47F1A"/>
    <w:rsid w:val="00E504D6"/>
    <w:rsid w:val="00E50B6F"/>
    <w:rsid w:val="00E50EBE"/>
    <w:rsid w:val="00E50F69"/>
    <w:rsid w:val="00E50FC6"/>
    <w:rsid w:val="00E5227B"/>
    <w:rsid w:val="00E52372"/>
    <w:rsid w:val="00E5265A"/>
    <w:rsid w:val="00E52786"/>
    <w:rsid w:val="00E52F05"/>
    <w:rsid w:val="00E5312A"/>
    <w:rsid w:val="00E53579"/>
    <w:rsid w:val="00E540CA"/>
    <w:rsid w:val="00E54F3A"/>
    <w:rsid w:val="00E55560"/>
    <w:rsid w:val="00E55B28"/>
    <w:rsid w:val="00E55FCD"/>
    <w:rsid w:val="00E5642F"/>
    <w:rsid w:val="00E56D4A"/>
    <w:rsid w:val="00E57119"/>
    <w:rsid w:val="00E5719E"/>
    <w:rsid w:val="00E57D7B"/>
    <w:rsid w:val="00E57F4B"/>
    <w:rsid w:val="00E602E5"/>
    <w:rsid w:val="00E602F8"/>
    <w:rsid w:val="00E6085B"/>
    <w:rsid w:val="00E60FBA"/>
    <w:rsid w:val="00E60FBF"/>
    <w:rsid w:val="00E611AE"/>
    <w:rsid w:val="00E616F9"/>
    <w:rsid w:val="00E61852"/>
    <w:rsid w:val="00E61A0C"/>
    <w:rsid w:val="00E61D22"/>
    <w:rsid w:val="00E61D96"/>
    <w:rsid w:val="00E61E4B"/>
    <w:rsid w:val="00E63DA2"/>
    <w:rsid w:val="00E641E8"/>
    <w:rsid w:val="00E642AF"/>
    <w:rsid w:val="00E644C6"/>
    <w:rsid w:val="00E64555"/>
    <w:rsid w:val="00E64595"/>
    <w:rsid w:val="00E646BB"/>
    <w:rsid w:val="00E64D24"/>
    <w:rsid w:val="00E64FAF"/>
    <w:rsid w:val="00E653A6"/>
    <w:rsid w:val="00E6549C"/>
    <w:rsid w:val="00E654B9"/>
    <w:rsid w:val="00E655D4"/>
    <w:rsid w:val="00E6589D"/>
    <w:rsid w:val="00E65DBD"/>
    <w:rsid w:val="00E65E8C"/>
    <w:rsid w:val="00E665E7"/>
    <w:rsid w:val="00E66C96"/>
    <w:rsid w:val="00E66D89"/>
    <w:rsid w:val="00E67D87"/>
    <w:rsid w:val="00E70130"/>
    <w:rsid w:val="00E70D73"/>
    <w:rsid w:val="00E71063"/>
    <w:rsid w:val="00E715FC"/>
    <w:rsid w:val="00E71A45"/>
    <w:rsid w:val="00E71B55"/>
    <w:rsid w:val="00E71C21"/>
    <w:rsid w:val="00E729F7"/>
    <w:rsid w:val="00E72F23"/>
    <w:rsid w:val="00E730FC"/>
    <w:rsid w:val="00E73481"/>
    <w:rsid w:val="00E737D1"/>
    <w:rsid w:val="00E7385A"/>
    <w:rsid w:val="00E7391F"/>
    <w:rsid w:val="00E73CE6"/>
    <w:rsid w:val="00E74780"/>
    <w:rsid w:val="00E74956"/>
    <w:rsid w:val="00E752F7"/>
    <w:rsid w:val="00E75848"/>
    <w:rsid w:val="00E759D4"/>
    <w:rsid w:val="00E7631B"/>
    <w:rsid w:val="00E76348"/>
    <w:rsid w:val="00E76A3C"/>
    <w:rsid w:val="00E76F9B"/>
    <w:rsid w:val="00E771FC"/>
    <w:rsid w:val="00E773E5"/>
    <w:rsid w:val="00E77BDD"/>
    <w:rsid w:val="00E806D3"/>
    <w:rsid w:val="00E81C34"/>
    <w:rsid w:val="00E81D83"/>
    <w:rsid w:val="00E821BB"/>
    <w:rsid w:val="00E822E9"/>
    <w:rsid w:val="00E826FE"/>
    <w:rsid w:val="00E8275E"/>
    <w:rsid w:val="00E827AF"/>
    <w:rsid w:val="00E82843"/>
    <w:rsid w:val="00E82DE9"/>
    <w:rsid w:val="00E83253"/>
    <w:rsid w:val="00E83714"/>
    <w:rsid w:val="00E83831"/>
    <w:rsid w:val="00E844AB"/>
    <w:rsid w:val="00E84C97"/>
    <w:rsid w:val="00E85005"/>
    <w:rsid w:val="00E85296"/>
    <w:rsid w:val="00E8533B"/>
    <w:rsid w:val="00E85E4E"/>
    <w:rsid w:val="00E86327"/>
    <w:rsid w:val="00E86A7A"/>
    <w:rsid w:val="00E86DF0"/>
    <w:rsid w:val="00E8788A"/>
    <w:rsid w:val="00E87BD2"/>
    <w:rsid w:val="00E87CDC"/>
    <w:rsid w:val="00E90B33"/>
    <w:rsid w:val="00E911E0"/>
    <w:rsid w:val="00E93407"/>
    <w:rsid w:val="00E940A8"/>
    <w:rsid w:val="00E947E8"/>
    <w:rsid w:val="00E94B0F"/>
    <w:rsid w:val="00E9503F"/>
    <w:rsid w:val="00E956F3"/>
    <w:rsid w:val="00E96E68"/>
    <w:rsid w:val="00E97013"/>
    <w:rsid w:val="00E97EA1"/>
    <w:rsid w:val="00EA0BBE"/>
    <w:rsid w:val="00EA1650"/>
    <w:rsid w:val="00EA1FBC"/>
    <w:rsid w:val="00EA20A1"/>
    <w:rsid w:val="00EA212B"/>
    <w:rsid w:val="00EA24B5"/>
    <w:rsid w:val="00EA2D44"/>
    <w:rsid w:val="00EA3A1D"/>
    <w:rsid w:val="00EA3CD7"/>
    <w:rsid w:val="00EA3E2D"/>
    <w:rsid w:val="00EA4010"/>
    <w:rsid w:val="00EA429D"/>
    <w:rsid w:val="00EA43AF"/>
    <w:rsid w:val="00EA4676"/>
    <w:rsid w:val="00EA47FB"/>
    <w:rsid w:val="00EA4C7C"/>
    <w:rsid w:val="00EA4D4C"/>
    <w:rsid w:val="00EA554F"/>
    <w:rsid w:val="00EA6250"/>
    <w:rsid w:val="00EA66A4"/>
    <w:rsid w:val="00EA6819"/>
    <w:rsid w:val="00EA6A1E"/>
    <w:rsid w:val="00EA75BD"/>
    <w:rsid w:val="00EA7C47"/>
    <w:rsid w:val="00EB0B39"/>
    <w:rsid w:val="00EB0F0F"/>
    <w:rsid w:val="00EB1230"/>
    <w:rsid w:val="00EB12A5"/>
    <w:rsid w:val="00EB1DEF"/>
    <w:rsid w:val="00EB24D8"/>
    <w:rsid w:val="00EB2732"/>
    <w:rsid w:val="00EB277B"/>
    <w:rsid w:val="00EB2F20"/>
    <w:rsid w:val="00EB2F35"/>
    <w:rsid w:val="00EB31DB"/>
    <w:rsid w:val="00EB3422"/>
    <w:rsid w:val="00EB3A31"/>
    <w:rsid w:val="00EB4EAF"/>
    <w:rsid w:val="00EB5424"/>
    <w:rsid w:val="00EB548E"/>
    <w:rsid w:val="00EB5C41"/>
    <w:rsid w:val="00EB5F5A"/>
    <w:rsid w:val="00EB656C"/>
    <w:rsid w:val="00EB657E"/>
    <w:rsid w:val="00EB695E"/>
    <w:rsid w:val="00EB69D1"/>
    <w:rsid w:val="00EB69D4"/>
    <w:rsid w:val="00EB6FE9"/>
    <w:rsid w:val="00EB72FF"/>
    <w:rsid w:val="00EB756F"/>
    <w:rsid w:val="00EB79C8"/>
    <w:rsid w:val="00EB7E78"/>
    <w:rsid w:val="00EC0301"/>
    <w:rsid w:val="00EC08B5"/>
    <w:rsid w:val="00EC09C6"/>
    <w:rsid w:val="00EC0AC1"/>
    <w:rsid w:val="00EC0EA5"/>
    <w:rsid w:val="00EC1056"/>
    <w:rsid w:val="00EC1470"/>
    <w:rsid w:val="00EC222E"/>
    <w:rsid w:val="00EC2716"/>
    <w:rsid w:val="00EC27F3"/>
    <w:rsid w:val="00EC2D11"/>
    <w:rsid w:val="00EC2DBB"/>
    <w:rsid w:val="00EC358E"/>
    <w:rsid w:val="00EC3FD2"/>
    <w:rsid w:val="00EC4095"/>
    <w:rsid w:val="00EC43B5"/>
    <w:rsid w:val="00EC4537"/>
    <w:rsid w:val="00EC4960"/>
    <w:rsid w:val="00EC4AE3"/>
    <w:rsid w:val="00EC5414"/>
    <w:rsid w:val="00EC54EE"/>
    <w:rsid w:val="00EC59B2"/>
    <w:rsid w:val="00EC5A3B"/>
    <w:rsid w:val="00EC5BC0"/>
    <w:rsid w:val="00EC6424"/>
    <w:rsid w:val="00EC786C"/>
    <w:rsid w:val="00EC7ADD"/>
    <w:rsid w:val="00EC7C26"/>
    <w:rsid w:val="00ED04FE"/>
    <w:rsid w:val="00ED0DD0"/>
    <w:rsid w:val="00ED1122"/>
    <w:rsid w:val="00ED1989"/>
    <w:rsid w:val="00ED21A9"/>
    <w:rsid w:val="00ED28F2"/>
    <w:rsid w:val="00ED3145"/>
    <w:rsid w:val="00ED3309"/>
    <w:rsid w:val="00ED33DC"/>
    <w:rsid w:val="00ED356E"/>
    <w:rsid w:val="00ED3792"/>
    <w:rsid w:val="00ED3BDA"/>
    <w:rsid w:val="00ED4A94"/>
    <w:rsid w:val="00ED5A3B"/>
    <w:rsid w:val="00ED5C30"/>
    <w:rsid w:val="00ED5E02"/>
    <w:rsid w:val="00ED5EED"/>
    <w:rsid w:val="00ED612A"/>
    <w:rsid w:val="00ED6846"/>
    <w:rsid w:val="00ED6B1C"/>
    <w:rsid w:val="00ED6CF7"/>
    <w:rsid w:val="00ED6F33"/>
    <w:rsid w:val="00ED7716"/>
    <w:rsid w:val="00ED7737"/>
    <w:rsid w:val="00ED7747"/>
    <w:rsid w:val="00ED77D8"/>
    <w:rsid w:val="00ED7ABC"/>
    <w:rsid w:val="00ED7CF4"/>
    <w:rsid w:val="00ED7FA2"/>
    <w:rsid w:val="00EE0786"/>
    <w:rsid w:val="00EE1B0E"/>
    <w:rsid w:val="00EE22FB"/>
    <w:rsid w:val="00EE2407"/>
    <w:rsid w:val="00EE26AE"/>
    <w:rsid w:val="00EE29C8"/>
    <w:rsid w:val="00EE2A54"/>
    <w:rsid w:val="00EE2FC2"/>
    <w:rsid w:val="00EE3B6B"/>
    <w:rsid w:val="00EE3B88"/>
    <w:rsid w:val="00EE4B75"/>
    <w:rsid w:val="00EE4D34"/>
    <w:rsid w:val="00EE4DBD"/>
    <w:rsid w:val="00EE5E1D"/>
    <w:rsid w:val="00EE6AC6"/>
    <w:rsid w:val="00EE6E26"/>
    <w:rsid w:val="00EE784F"/>
    <w:rsid w:val="00EE7A1D"/>
    <w:rsid w:val="00EE7DBD"/>
    <w:rsid w:val="00EE7E4D"/>
    <w:rsid w:val="00EF0500"/>
    <w:rsid w:val="00EF0553"/>
    <w:rsid w:val="00EF0808"/>
    <w:rsid w:val="00EF1002"/>
    <w:rsid w:val="00EF143F"/>
    <w:rsid w:val="00EF1D3B"/>
    <w:rsid w:val="00EF236B"/>
    <w:rsid w:val="00EF23D8"/>
    <w:rsid w:val="00EF2678"/>
    <w:rsid w:val="00EF2A5A"/>
    <w:rsid w:val="00EF2A87"/>
    <w:rsid w:val="00EF3A74"/>
    <w:rsid w:val="00EF3AE9"/>
    <w:rsid w:val="00EF3EA5"/>
    <w:rsid w:val="00EF49FB"/>
    <w:rsid w:val="00EF55D6"/>
    <w:rsid w:val="00EF644D"/>
    <w:rsid w:val="00EF6BAD"/>
    <w:rsid w:val="00EF6D29"/>
    <w:rsid w:val="00EF7138"/>
    <w:rsid w:val="00EF7E0B"/>
    <w:rsid w:val="00F00725"/>
    <w:rsid w:val="00F00881"/>
    <w:rsid w:val="00F00917"/>
    <w:rsid w:val="00F00B65"/>
    <w:rsid w:val="00F010BB"/>
    <w:rsid w:val="00F012C1"/>
    <w:rsid w:val="00F0175F"/>
    <w:rsid w:val="00F01A41"/>
    <w:rsid w:val="00F01B39"/>
    <w:rsid w:val="00F01B5A"/>
    <w:rsid w:val="00F0276D"/>
    <w:rsid w:val="00F03280"/>
    <w:rsid w:val="00F0362A"/>
    <w:rsid w:val="00F0385C"/>
    <w:rsid w:val="00F03894"/>
    <w:rsid w:val="00F03ABE"/>
    <w:rsid w:val="00F03B69"/>
    <w:rsid w:val="00F04345"/>
    <w:rsid w:val="00F047A4"/>
    <w:rsid w:val="00F04F52"/>
    <w:rsid w:val="00F0510F"/>
    <w:rsid w:val="00F0563F"/>
    <w:rsid w:val="00F064EF"/>
    <w:rsid w:val="00F06558"/>
    <w:rsid w:val="00F06F42"/>
    <w:rsid w:val="00F07122"/>
    <w:rsid w:val="00F074C9"/>
    <w:rsid w:val="00F07C82"/>
    <w:rsid w:val="00F07F5E"/>
    <w:rsid w:val="00F1001E"/>
    <w:rsid w:val="00F1055F"/>
    <w:rsid w:val="00F106BB"/>
    <w:rsid w:val="00F11027"/>
    <w:rsid w:val="00F111BA"/>
    <w:rsid w:val="00F116DD"/>
    <w:rsid w:val="00F11AD3"/>
    <w:rsid w:val="00F11D9F"/>
    <w:rsid w:val="00F11E31"/>
    <w:rsid w:val="00F12C53"/>
    <w:rsid w:val="00F1360C"/>
    <w:rsid w:val="00F13AA1"/>
    <w:rsid w:val="00F13F2A"/>
    <w:rsid w:val="00F14D9E"/>
    <w:rsid w:val="00F15097"/>
    <w:rsid w:val="00F153F8"/>
    <w:rsid w:val="00F15671"/>
    <w:rsid w:val="00F1643E"/>
    <w:rsid w:val="00F16695"/>
    <w:rsid w:val="00F16811"/>
    <w:rsid w:val="00F1733F"/>
    <w:rsid w:val="00F173CF"/>
    <w:rsid w:val="00F179C0"/>
    <w:rsid w:val="00F202E3"/>
    <w:rsid w:val="00F20C6E"/>
    <w:rsid w:val="00F20D6C"/>
    <w:rsid w:val="00F20F03"/>
    <w:rsid w:val="00F22267"/>
    <w:rsid w:val="00F2255F"/>
    <w:rsid w:val="00F225CF"/>
    <w:rsid w:val="00F22882"/>
    <w:rsid w:val="00F22985"/>
    <w:rsid w:val="00F22AEF"/>
    <w:rsid w:val="00F22F7A"/>
    <w:rsid w:val="00F2343C"/>
    <w:rsid w:val="00F23CFC"/>
    <w:rsid w:val="00F24076"/>
    <w:rsid w:val="00F240CB"/>
    <w:rsid w:val="00F2492F"/>
    <w:rsid w:val="00F24B16"/>
    <w:rsid w:val="00F2500D"/>
    <w:rsid w:val="00F253C3"/>
    <w:rsid w:val="00F2596D"/>
    <w:rsid w:val="00F25CAA"/>
    <w:rsid w:val="00F26463"/>
    <w:rsid w:val="00F26AD6"/>
    <w:rsid w:val="00F2711C"/>
    <w:rsid w:val="00F27253"/>
    <w:rsid w:val="00F27327"/>
    <w:rsid w:val="00F277E8"/>
    <w:rsid w:val="00F27B04"/>
    <w:rsid w:val="00F27E3D"/>
    <w:rsid w:val="00F27EB2"/>
    <w:rsid w:val="00F301D0"/>
    <w:rsid w:val="00F30574"/>
    <w:rsid w:val="00F3069F"/>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506"/>
    <w:rsid w:val="00F356D5"/>
    <w:rsid w:val="00F359A5"/>
    <w:rsid w:val="00F361AE"/>
    <w:rsid w:val="00F36240"/>
    <w:rsid w:val="00F363EB"/>
    <w:rsid w:val="00F365BA"/>
    <w:rsid w:val="00F365DE"/>
    <w:rsid w:val="00F366DA"/>
    <w:rsid w:val="00F367CF"/>
    <w:rsid w:val="00F36D37"/>
    <w:rsid w:val="00F3719A"/>
    <w:rsid w:val="00F379BF"/>
    <w:rsid w:val="00F37EA7"/>
    <w:rsid w:val="00F40505"/>
    <w:rsid w:val="00F40805"/>
    <w:rsid w:val="00F40B93"/>
    <w:rsid w:val="00F40C5E"/>
    <w:rsid w:val="00F40E3E"/>
    <w:rsid w:val="00F4163A"/>
    <w:rsid w:val="00F41873"/>
    <w:rsid w:val="00F419C3"/>
    <w:rsid w:val="00F41D91"/>
    <w:rsid w:val="00F41E2B"/>
    <w:rsid w:val="00F423BE"/>
    <w:rsid w:val="00F424A5"/>
    <w:rsid w:val="00F425EF"/>
    <w:rsid w:val="00F428AC"/>
    <w:rsid w:val="00F42EE3"/>
    <w:rsid w:val="00F43149"/>
    <w:rsid w:val="00F43660"/>
    <w:rsid w:val="00F43888"/>
    <w:rsid w:val="00F43B91"/>
    <w:rsid w:val="00F44542"/>
    <w:rsid w:val="00F448DD"/>
    <w:rsid w:val="00F44D6A"/>
    <w:rsid w:val="00F44DB8"/>
    <w:rsid w:val="00F45760"/>
    <w:rsid w:val="00F45836"/>
    <w:rsid w:val="00F45925"/>
    <w:rsid w:val="00F46BA6"/>
    <w:rsid w:val="00F46C97"/>
    <w:rsid w:val="00F4703E"/>
    <w:rsid w:val="00F4775F"/>
    <w:rsid w:val="00F47C3D"/>
    <w:rsid w:val="00F50781"/>
    <w:rsid w:val="00F50CA3"/>
    <w:rsid w:val="00F517ED"/>
    <w:rsid w:val="00F5195A"/>
    <w:rsid w:val="00F51A7A"/>
    <w:rsid w:val="00F51F3F"/>
    <w:rsid w:val="00F528B5"/>
    <w:rsid w:val="00F528E7"/>
    <w:rsid w:val="00F52C8A"/>
    <w:rsid w:val="00F5352D"/>
    <w:rsid w:val="00F53615"/>
    <w:rsid w:val="00F53A91"/>
    <w:rsid w:val="00F54783"/>
    <w:rsid w:val="00F547E9"/>
    <w:rsid w:val="00F5494E"/>
    <w:rsid w:val="00F54ABD"/>
    <w:rsid w:val="00F54ABE"/>
    <w:rsid w:val="00F55804"/>
    <w:rsid w:val="00F55F1A"/>
    <w:rsid w:val="00F5629D"/>
    <w:rsid w:val="00F56310"/>
    <w:rsid w:val="00F5684C"/>
    <w:rsid w:val="00F57210"/>
    <w:rsid w:val="00F577FC"/>
    <w:rsid w:val="00F60241"/>
    <w:rsid w:val="00F602F0"/>
    <w:rsid w:val="00F60622"/>
    <w:rsid w:val="00F60C90"/>
    <w:rsid w:val="00F619EE"/>
    <w:rsid w:val="00F61AF8"/>
    <w:rsid w:val="00F61CF5"/>
    <w:rsid w:val="00F61FF9"/>
    <w:rsid w:val="00F62069"/>
    <w:rsid w:val="00F62159"/>
    <w:rsid w:val="00F625CC"/>
    <w:rsid w:val="00F62A7C"/>
    <w:rsid w:val="00F62B93"/>
    <w:rsid w:val="00F633E5"/>
    <w:rsid w:val="00F63C89"/>
    <w:rsid w:val="00F647EC"/>
    <w:rsid w:val="00F64FAB"/>
    <w:rsid w:val="00F65AC8"/>
    <w:rsid w:val="00F65CEA"/>
    <w:rsid w:val="00F65EED"/>
    <w:rsid w:val="00F65F15"/>
    <w:rsid w:val="00F66443"/>
    <w:rsid w:val="00F675EA"/>
    <w:rsid w:val="00F7074A"/>
    <w:rsid w:val="00F70AD6"/>
    <w:rsid w:val="00F710A5"/>
    <w:rsid w:val="00F71687"/>
    <w:rsid w:val="00F71708"/>
    <w:rsid w:val="00F717C1"/>
    <w:rsid w:val="00F71AAE"/>
    <w:rsid w:val="00F71CDB"/>
    <w:rsid w:val="00F725D3"/>
    <w:rsid w:val="00F7281E"/>
    <w:rsid w:val="00F72C1A"/>
    <w:rsid w:val="00F72C3D"/>
    <w:rsid w:val="00F737AB"/>
    <w:rsid w:val="00F73992"/>
    <w:rsid w:val="00F7406A"/>
    <w:rsid w:val="00F74216"/>
    <w:rsid w:val="00F74F0F"/>
    <w:rsid w:val="00F75731"/>
    <w:rsid w:val="00F75841"/>
    <w:rsid w:val="00F76333"/>
    <w:rsid w:val="00F77100"/>
    <w:rsid w:val="00F77718"/>
    <w:rsid w:val="00F8090F"/>
    <w:rsid w:val="00F80B4B"/>
    <w:rsid w:val="00F8139A"/>
    <w:rsid w:val="00F82AAE"/>
    <w:rsid w:val="00F834BE"/>
    <w:rsid w:val="00F838A9"/>
    <w:rsid w:val="00F849E3"/>
    <w:rsid w:val="00F84B4E"/>
    <w:rsid w:val="00F84C44"/>
    <w:rsid w:val="00F851B7"/>
    <w:rsid w:val="00F8566C"/>
    <w:rsid w:val="00F858D4"/>
    <w:rsid w:val="00F85C65"/>
    <w:rsid w:val="00F860EB"/>
    <w:rsid w:val="00F868B6"/>
    <w:rsid w:val="00F86968"/>
    <w:rsid w:val="00F86E42"/>
    <w:rsid w:val="00F87354"/>
    <w:rsid w:val="00F876E6"/>
    <w:rsid w:val="00F87825"/>
    <w:rsid w:val="00F87838"/>
    <w:rsid w:val="00F879E8"/>
    <w:rsid w:val="00F87FCE"/>
    <w:rsid w:val="00F9008B"/>
    <w:rsid w:val="00F909C7"/>
    <w:rsid w:val="00F91669"/>
    <w:rsid w:val="00F916DE"/>
    <w:rsid w:val="00F9184F"/>
    <w:rsid w:val="00F91943"/>
    <w:rsid w:val="00F91C08"/>
    <w:rsid w:val="00F9231D"/>
    <w:rsid w:val="00F92A66"/>
    <w:rsid w:val="00F931CF"/>
    <w:rsid w:val="00F93A31"/>
    <w:rsid w:val="00F93D6E"/>
    <w:rsid w:val="00F9423D"/>
    <w:rsid w:val="00F94609"/>
    <w:rsid w:val="00F95182"/>
    <w:rsid w:val="00F95625"/>
    <w:rsid w:val="00F957D2"/>
    <w:rsid w:val="00F95D94"/>
    <w:rsid w:val="00F96F86"/>
    <w:rsid w:val="00F977ED"/>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629"/>
    <w:rsid w:val="00FA57D1"/>
    <w:rsid w:val="00FA67E3"/>
    <w:rsid w:val="00FA7157"/>
    <w:rsid w:val="00FA73A6"/>
    <w:rsid w:val="00FA7698"/>
    <w:rsid w:val="00FA78C2"/>
    <w:rsid w:val="00FA7A2D"/>
    <w:rsid w:val="00FA7B4F"/>
    <w:rsid w:val="00FA7DA6"/>
    <w:rsid w:val="00FB02F8"/>
    <w:rsid w:val="00FB06E7"/>
    <w:rsid w:val="00FB0822"/>
    <w:rsid w:val="00FB0C65"/>
    <w:rsid w:val="00FB1093"/>
    <w:rsid w:val="00FB13A0"/>
    <w:rsid w:val="00FB227E"/>
    <w:rsid w:val="00FB267D"/>
    <w:rsid w:val="00FB29E5"/>
    <w:rsid w:val="00FB2A18"/>
    <w:rsid w:val="00FB2BF4"/>
    <w:rsid w:val="00FB2C8D"/>
    <w:rsid w:val="00FB2DC6"/>
    <w:rsid w:val="00FB4926"/>
    <w:rsid w:val="00FB59D4"/>
    <w:rsid w:val="00FB5E81"/>
    <w:rsid w:val="00FB6E6C"/>
    <w:rsid w:val="00FB71B0"/>
    <w:rsid w:val="00FB7ABA"/>
    <w:rsid w:val="00FB7C21"/>
    <w:rsid w:val="00FB7C46"/>
    <w:rsid w:val="00FC04E0"/>
    <w:rsid w:val="00FC0D98"/>
    <w:rsid w:val="00FC0E2F"/>
    <w:rsid w:val="00FC1042"/>
    <w:rsid w:val="00FC11C6"/>
    <w:rsid w:val="00FC1370"/>
    <w:rsid w:val="00FC17D8"/>
    <w:rsid w:val="00FC279A"/>
    <w:rsid w:val="00FC324D"/>
    <w:rsid w:val="00FC39A1"/>
    <w:rsid w:val="00FC3BC3"/>
    <w:rsid w:val="00FC3E47"/>
    <w:rsid w:val="00FC4B53"/>
    <w:rsid w:val="00FC4BAE"/>
    <w:rsid w:val="00FC4F75"/>
    <w:rsid w:val="00FC5160"/>
    <w:rsid w:val="00FC5A36"/>
    <w:rsid w:val="00FC6353"/>
    <w:rsid w:val="00FC69CF"/>
    <w:rsid w:val="00FC6B0B"/>
    <w:rsid w:val="00FC6C22"/>
    <w:rsid w:val="00FC713B"/>
    <w:rsid w:val="00FC7862"/>
    <w:rsid w:val="00FC79D5"/>
    <w:rsid w:val="00FC7B35"/>
    <w:rsid w:val="00FC7B53"/>
    <w:rsid w:val="00FC7BD8"/>
    <w:rsid w:val="00FD0177"/>
    <w:rsid w:val="00FD0AE7"/>
    <w:rsid w:val="00FD0B44"/>
    <w:rsid w:val="00FD0F70"/>
    <w:rsid w:val="00FD1312"/>
    <w:rsid w:val="00FD2315"/>
    <w:rsid w:val="00FD29A7"/>
    <w:rsid w:val="00FD2B15"/>
    <w:rsid w:val="00FD3092"/>
    <w:rsid w:val="00FD3368"/>
    <w:rsid w:val="00FD412E"/>
    <w:rsid w:val="00FD420F"/>
    <w:rsid w:val="00FD4339"/>
    <w:rsid w:val="00FD4B0C"/>
    <w:rsid w:val="00FD4F2F"/>
    <w:rsid w:val="00FD51F7"/>
    <w:rsid w:val="00FD5258"/>
    <w:rsid w:val="00FD5602"/>
    <w:rsid w:val="00FD5661"/>
    <w:rsid w:val="00FD5A2A"/>
    <w:rsid w:val="00FD5AE2"/>
    <w:rsid w:val="00FD62B4"/>
    <w:rsid w:val="00FD7142"/>
    <w:rsid w:val="00FD750F"/>
    <w:rsid w:val="00FE011C"/>
    <w:rsid w:val="00FE07DC"/>
    <w:rsid w:val="00FE08FB"/>
    <w:rsid w:val="00FE1116"/>
    <w:rsid w:val="00FE2075"/>
    <w:rsid w:val="00FE2080"/>
    <w:rsid w:val="00FE27B9"/>
    <w:rsid w:val="00FE2E37"/>
    <w:rsid w:val="00FE3640"/>
    <w:rsid w:val="00FE3780"/>
    <w:rsid w:val="00FE3954"/>
    <w:rsid w:val="00FE3CF7"/>
    <w:rsid w:val="00FE3E50"/>
    <w:rsid w:val="00FE4071"/>
    <w:rsid w:val="00FE42E3"/>
    <w:rsid w:val="00FE4ECD"/>
    <w:rsid w:val="00FE52B7"/>
    <w:rsid w:val="00FE53C5"/>
    <w:rsid w:val="00FE56A8"/>
    <w:rsid w:val="00FE5807"/>
    <w:rsid w:val="00FE5C39"/>
    <w:rsid w:val="00FE5C57"/>
    <w:rsid w:val="00FE624E"/>
    <w:rsid w:val="00FE6415"/>
    <w:rsid w:val="00FE69E7"/>
    <w:rsid w:val="00FE6BB8"/>
    <w:rsid w:val="00FE6E76"/>
    <w:rsid w:val="00FE6F5A"/>
    <w:rsid w:val="00FF027B"/>
    <w:rsid w:val="00FF1174"/>
    <w:rsid w:val="00FF165A"/>
    <w:rsid w:val="00FF1B72"/>
    <w:rsid w:val="00FF1CF1"/>
    <w:rsid w:val="00FF1F4C"/>
    <w:rsid w:val="00FF228F"/>
    <w:rsid w:val="00FF324B"/>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0FF7634"/>
    <w:rsid w:val="017E3F71"/>
    <w:rsid w:val="01AA2C10"/>
    <w:rsid w:val="037738D8"/>
    <w:rsid w:val="03CA2A2C"/>
    <w:rsid w:val="046E4522"/>
    <w:rsid w:val="04AC1580"/>
    <w:rsid w:val="04FA5F8A"/>
    <w:rsid w:val="055A2489"/>
    <w:rsid w:val="0580501B"/>
    <w:rsid w:val="06216784"/>
    <w:rsid w:val="06231119"/>
    <w:rsid w:val="068955F4"/>
    <w:rsid w:val="0730380E"/>
    <w:rsid w:val="075F0692"/>
    <w:rsid w:val="07DB054A"/>
    <w:rsid w:val="083D2AF4"/>
    <w:rsid w:val="08981A4B"/>
    <w:rsid w:val="08F53B23"/>
    <w:rsid w:val="0A053C89"/>
    <w:rsid w:val="0A070656"/>
    <w:rsid w:val="0A2B49D4"/>
    <w:rsid w:val="0A2E6609"/>
    <w:rsid w:val="0A86004B"/>
    <w:rsid w:val="0A913ED8"/>
    <w:rsid w:val="0B24171E"/>
    <w:rsid w:val="0B5C3243"/>
    <w:rsid w:val="0BAD59A4"/>
    <w:rsid w:val="0BFC043E"/>
    <w:rsid w:val="0C3721AC"/>
    <w:rsid w:val="0C466B45"/>
    <w:rsid w:val="0D584403"/>
    <w:rsid w:val="0DEE7765"/>
    <w:rsid w:val="0F2B5D1F"/>
    <w:rsid w:val="0FA70D6C"/>
    <w:rsid w:val="101C0A97"/>
    <w:rsid w:val="10F67974"/>
    <w:rsid w:val="11750A21"/>
    <w:rsid w:val="12685FCD"/>
    <w:rsid w:val="129F1D95"/>
    <w:rsid w:val="143E3535"/>
    <w:rsid w:val="146F2C7A"/>
    <w:rsid w:val="149E4992"/>
    <w:rsid w:val="14C261EE"/>
    <w:rsid w:val="16792394"/>
    <w:rsid w:val="168E672D"/>
    <w:rsid w:val="170E5D26"/>
    <w:rsid w:val="17BE59A2"/>
    <w:rsid w:val="18077515"/>
    <w:rsid w:val="18185849"/>
    <w:rsid w:val="185344DB"/>
    <w:rsid w:val="18CA5D94"/>
    <w:rsid w:val="18DE6D94"/>
    <w:rsid w:val="19BD0194"/>
    <w:rsid w:val="1A3A451F"/>
    <w:rsid w:val="1A442DE9"/>
    <w:rsid w:val="1AA75795"/>
    <w:rsid w:val="1BC305D3"/>
    <w:rsid w:val="1BFF7A92"/>
    <w:rsid w:val="1CD55680"/>
    <w:rsid w:val="1D321E13"/>
    <w:rsid w:val="1DBC044E"/>
    <w:rsid w:val="1DFF68C5"/>
    <w:rsid w:val="1E7F3055"/>
    <w:rsid w:val="1E9159B4"/>
    <w:rsid w:val="1E9A600D"/>
    <w:rsid w:val="1EAF02C7"/>
    <w:rsid w:val="1F4849CA"/>
    <w:rsid w:val="1F873477"/>
    <w:rsid w:val="1FA1483E"/>
    <w:rsid w:val="20DC561B"/>
    <w:rsid w:val="21455F84"/>
    <w:rsid w:val="21B7672D"/>
    <w:rsid w:val="21E8173A"/>
    <w:rsid w:val="22A17F1E"/>
    <w:rsid w:val="23C56E03"/>
    <w:rsid w:val="242E46C9"/>
    <w:rsid w:val="24977600"/>
    <w:rsid w:val="24B831E2"/>
    <w:rsid w:val="24C818E6"/>
    <w:rsid w:val="250B120F"/>
    <w:rsid w:val="252C7220"/>
    <w:rsid w:val="26071ED5"/>
    <w:rsid w:val="26226B65"/>
    <w:rsid w:val="26A50560"/>
    <w:rsid w:val="26CE56D0"/>
    <w:rsid w:val="270F55EE"/>
    <w:rsid w:val="272F1A96"/>
    <w:rsid w:val="27F52753"/>
    <w:rsid w:val="297B0CF7"/>
    <w:rsid w:val="29977B6E"/>
    <w:rsid w:val="2A3D5763"/>
    <w:rsid w:val="2A5E19D9"/>
    <w:rsid w:val="2B822DA1"/>
    <w:rsid w:val="2C330533"/>
    <w:rsid w:val="2C541884"/>
    <w:rsid w:val="2DC129DE"/>
    <w:rsid w:val="2EA133AF"/>
    <w:rsid w:val="2EDD2DD9"/>
    <w:rsid w:val="2F606817"/>
    <w:rsid w:val="2F723467"/>
    <w:rsid w:val="300645B8"/>
    <w:rsid w:val="306835D0"/>
    <w:rsid w:val="30B91060"/>
    <w:rsid w:val="31670F91"/>
    <w:rsid w:val="319430E0"/>
    <w:rsid w:val="321F43E1"/>
    <w:rsid w:val="32A0292F"/>
    <w:rsid w:val="32A02B99"/>
    <w:rsid w:val="32CD1B51"/>
    <w:rsid w:val="330F48D0"/>
    <w:rsid w:val="337D5F7B"/>
    <w:rsid w:val="33D414D0"/>
    <w:rsid w:val="33F51E3D"/>
    <w:rsid w:val="341B2B8A"/>
    <w:rsid w:val="3439368F"/>
    <w:rsid w:val="34603E67"/>
    <w:rsid w:val="34AD7FBE"/>
    <w:rsid w:val="34EE1138"/>
    <w:rsid w:val="3502693D"/>
    <w:rsid w:val="35CD358A"/>
    <w:rsid w:val="35E50281"/>
    <w:rsid w:val="35E5487A"/>
    <w:rsid w:val="35EC1B49"/>
    <w:rsid w:val="36232DB0"/>
    <w:rsid w:val="371A03F6"/>
    <w:rsid w:val="38585500"/>
    <w:rsid w:val="385F359C"/>
    <w:rsid w:val="3A514476"/>
    <w:rsid w:val="3A52685B"/>
    <w:rsid w:val="3A953FE5"/>
    <w:rsid w:val="3AFD68B8"/>
    <w:rsid w:val="3BA80B19"/>
    <w:rsid w:val="3C060196"/>
    <w:rsid w:val="3C4240EC"/>
    <w:rsid w:val="3C9B0CDC"/>
    <w:rsid w:val="3D711B40"/>
    <w:rsid w:val="3E800AA6"/>
    <w:rsid w:val="3E826019"/>
    <w:rsid w:val="3EB0621B"/>
    <w:rsid w:val="3EEF6792"/>
    <w:rsid w:val="3F3A1FEB"/>
    <w:rsid w:val="40A67243"/>
    <w:rsid w:val="42253D73"/>
    <w:rsid w:val="42600C42"/>
    <w:rsid w:val="42732F05"/>
    <w:rsid w:val="433D66A7"/>
    <w:rsid w:val="440141C9"/>
    <w:rsid w:val="442932E5"/>
    <w:rsid w:val="44592171"/>
    <w:rsid w:val="446C1BD7"/>
    <w:rsid w:val="44E4602A"/>
    <w:rsid w:val="45B80788"/>
    <w:rsid w:val="47E9061B"/>
    <w:rsid w:val="48365196"/>
    <w:rsid w:val="484245C7"/>
    <w:rsid w:val="488D7CFE"/>
    <w:rsid w:val="48CC3E16"/>
    <w:rsid w:val="49323FD7"/>
    <w:rsid w:val="4A4B229A"/>
    <w:rsid w:val="4BE75D09"/>
    <w:rsid w:val="4BE95365"/>
    <w:rsid w:val="4C12409B"/>
    <w:rsid w:val="4D9B7742"/>
    <w:rsid w:val="4E7409F6"/>
    <w:rsid w:val="4E9B14FE"/>
    <w:rsid w:val="4EAC5711"/>
    <w:rsid w:val="4F6D341E"/>
    <w:rsid w:val="510B12AC"/>
    <w:rsid w:val="51B2004B"/>
    <w:rsid w:val="51E00AF8"/>
    <w:rsid w:val="522851DA"/>
    <w:rsid w:val="52904232"/>
    <w:rsid w:val="52A51AF3"/>
    <w:rsid w:val="53260AAE"/>
    <w:rsid w:val="54556AEA"/>
    <w:rsid w:val="55131A57"/>
    <w:rsid w:val="55264EA3"/>
    <w:rsid w:val="5527584B"/>
    <w:rsid w:val="55622629"/>
    <w:rsid w:val="55B1434A"/>
    <w:rsid w:val="55FC3A4E"/>
    <w:rsid w:val="563F1955"/>
    <w:rsid w:val="563F2CC8"/>
    <w:rsid w:val="577D71D5"/>
    <w:rsid w:val="579C4D6E"/>
    <w:rsid w:val="58626DC3"/>
    <w:rsid w:val="589B369A"/>
    <w:rsid w:val="595D3044"/>
    <w:rsid w:val="598E41B2"/>
    <w:rsid w:val="59D9433B"/>
    <w:rsid w:val="5A3A2DDD"/>
    <w:rsid w:val="5BF449CD"/>
    <w:rsid w:val="5BF918A2"/>
    <w:rsid w:val="5C6D6FFF"/>
    <w:rsid w:val="60456C49"/>
    <w:rsid w:val="6109328C"/>
    <w:rsid w:val="613F17F9"/>
    <w:rsid w:val="61D1380A"/>
    <w:rsid w:val="62093465"/>
    <w:rsid w:val="620A0DEF"/>
    <w:rsid w:val="622668B9"/>
    <w:rsid w:val="62B8336A"/>
    <w:rsid w:val="635F5CFB"/>
    <w:rsid w:val="63DD1366"/>
    <w:rsid w:val="63E340FD"/>
    <w:rsid w:val="63FC040C"/>
    <w:rsid w:val="641823CD"/>
    <w:rsid w:val="64337579"/>
    <w:rsid w:val="64441196"/>
    <w:rsid w:val="648B53C8"/>
    <w:rsid w:val="65091B75"/>
    <w:rsid w:val="6568774A"/>
    <w:rsid w:val="659B647C"/>
    <w:rsid w:val="65BC6440"/>
    <w:rsid w:val="65C36E7F"/>
    <w:rsid w:val="65D21A26"/>
    <w:rsid w:val="663B7430"/>
    <w:rsid w:val="671E1CA4"/>
    <w:rsid w:val="672A0BC3"/>
    <w:rsid w:val="687775B2"/>
    <w:rsid w:val="695270C8"/>
    <w:rsid w:val="69E87A73"/>
    <w:rsid w:val="6A125484"/>
    <w:rsid w:val="6A1B14A7"/>
    <w:rsid w:val="6B241A17"/>
    <w:rsid w:val="6BDF74AC"/>
    <w:rsid w:val="6C9D0D2C"/>
    <w:rsid w:val="6CD50C99"/>
    <w:rsid w:val="6E1148C4"/>
    <w:rsid w:val="6E914282"/>
    <w:rsid w:val="6E9C0F6F"/>
    <w:rsid w:val="6F0E4EC3"/>
    <w:rsid w:val="6F155478"/>
    <w:rsid w:val="70557737"/>
    <w:rsid w:val="706D27E8"/>
    <w:rsid w:val="70E03275"/>
    <w:rsid w:val="71784BFF"/>
    <w:rsid w:val="71AD7318"/>
    <w:rsid w:val="724063E2"/>
    <w:rsid w:val="726D70E7"/>
    <w:rsid w:val="72A63D8F"/>
    <w:rsid w:val="72CF1EB0"/>
    <w:rsid w:val="72F8153C"/>
    <w:rsid w:val="731B17AA"/>
    <w:rsid w:val="739D75BE"/>
    <w:rsid w:val="747D74F0"/>
    <w:rsid w:val="74C31ECB"/>
    <w:rsid w:val="75942919"/>
    <w:rsid w:val="763C3364"/>
    <w:rsid w:val="76E67008"/>
    <w:rsid w:val="76E9529A"/>
    <w:rsid w:val="78362761"/>
    <w:rsid w:val="78A4286B"/>
    <w:rsid w:val="7AAA36FF"/>
    <w:rsid w:val="7C094856"/>
    <w:rsid w:val="7C9C4E59"/>
    <w:rsid w:val="7E092C14"/>
    <w:rsid w:val="7E28726C"/>
    <w:rsid w:val="7E2F1D63"/>
    <w:rsid w:val="7E6745B7"/>
    <w:rsid w:val="7E895A29"/>
    <w:rsid w:val="7EE53954"/>
    <w:rsid w:val="7F340AFD"/>
    <w:rsid w:val="7F482401"/>
    <w:rsid w:val="7FA06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59"/>
    <w:qFormat/>
    <w:uiPriority w:val="0"/>
    <w:pPr>
      <w:keepNext/>
      <w:keepLines/>
      <w:spacing w:before="260" w:after="260" w:line="416" w:lineRule="auto"/>
      <w:outlineLvl w:val="1"/>
    </w:pPr>
    <w:rPr>
      <w:rFonts w:ascii="Arial" w:hAnsi="Arial" w:eastAsia="黑体"/>
      <w:b/>
      <w:bCs/>
      <w:kern w:val="0"/>
      <w:sz w:val="32"/>
      <w:szCs w:val="32"/>
    </w:rPr>
  </w:style>
  <w:style w:type="paragraph" w:styleId="7">
    <w:name w:val="heading 3"/>
    <w:basedOn w:val="1"/>
    <w:next w:val="1"/>
    <w:link w:val="60"/>
    <w:qFormat/>
    <w:uiPriority w:val="0"/>
    <w:pPr>
      <w:keepNext/>
      <w:keepLines/>
      <w:spacing w:before="260" w:after="260" w:line="416" w:lineRule="auto"/>
      <w:outlineLvl w:val="2"/>
    </w:pPr>
    <w:rPr>
      <w:b/>
      <w:bCs/>
      <w:kern w:val="0"/>
      <w:sz w:val="32"/>
      <w:szCs w:val="32"/>
    </w:rPr>
  </w:style>
  <w:style w:type="paragraph" w:styleId="8">
    <w:name w:val="heading 5"/>
    <w:basedOn w:val="1"/>
    <w:next w:val="9"/>
    <w:link w:val="61"/>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62"/>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63"/>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64"/>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65"/>
    <w:qFormat/>
    <w:uiPriority w:val="0"/>
    <w:pPr>
      <w:keepNext/>
      <w:keepLines/>
      <w:numPr>
        <w:ilvl w:val="8"/>
        <w:numId w:val="1"/>
      </w:numPr>
      <w:spacing w:before="240" w:after="64" w:line="320" w:lineRule="auto"/>
      <w:outlineLvl w:val="8"/>
    </w:pPr>
    <w:rPr>
      <w:rFonts w:ascii="Arial" w:hAnsi="Arial" w:eastAsia="黑体"/>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120"/>
      <w:ind w:left="420" w:leftChars="200" w:firstLine="420" w:firstLineChars="200"/>
    </w:pPr>
    <w:rPr>
      <w:rFonts w:ascii="Times New Roman" w:eastAsia="宋体"/>
      <w:kern w:val="2"/>
      <w:sz w:val="21"/>
      <w:szCs w:val="24"/>
    </w:rPr>
  </w:style>
  <w:style w:type="paragraph" w:styleId="3">
    <w:name w:val="Body Text Indent"/>
    <w:basedOn w:val="1"/>
    <w:next w:val="4"/>
    <w:link w:val="69"/>
    <w:qFormat/>
    <w:uiPriority w:val="0"/>
    <w:pPr>
      <w:ind w:firstLine="830" w:firstLineChars="352"/>
    </w:pPr>
    <w:rPr>
      <w:rFonts w:ascii="仿宋_GB2312" w:eastAsia="仿宋_GB2312"/>
      <w:kern w:val="0"/>
      <w:sz w:val="32"/>
      <w:szCs w:val="20"/>
    </w:rPr>
  </w:style>
  <w:style w:type="paragraph" w:styleId="4">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9">
    <w:name w:val="Normal Indent"/>
    <w:basedOn w:val="1"/>
    <w:qFormat/>
    <w:uiPriority w:val="0"/>
    <w:pPr>
      <w:ind w:firstLine="420"/>
    </w:pPr>
    <w:rPr>
      <w:szCs w:val="20"/>
    </w:rPr>
  </w:style>
  <w:style w:type="paragraph" w:styleId="14">
    <w:name w:val="toc 7"/>
    <w:basedOn w:val="1"/>
    <w:next w:val="1"/>
    <w:unhideWhenUsed/>
    <w:qFormat/>
    <w:uiPriority w:val="39"/>
    <w:pPr>
      <w:ind w:left="2520" w:leftChars="1200"/>
    </w:pPr>
    <w:rPr>
      <w:rFonts w:ascii="Calibri" w:hAnsi="Calibri"/>
      <w:szCs w:val="22"/>
    </w:rPr>
  </w:style>
  <w:style w:type="paragraph" w:styleId="15">
    <w:name w:val="index 8"/>
    <w:basedOn w:val="1"/>
    <w:next w:val="1"/>
    <w:qFormat/>
    <w:uiPriority w:val="0"/>
    <w:pPr>
      <w:spacing w:line="400" w:lineRule="exact"/>
      <w:ind w:left="2940" w:firstLine="1044" w:firstLineChars="200"/>
      <w:jc w:val="left"/>
    </w:pPr>
  </w:style>
  <w:style w:type="paragraph" w:styleId="16">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Document Map"/>
    <w:basedOn w:val="1"/>
    <w:link w:val="66"/>
    <w:unhideWhenUsed/>
    <w:qFormat/>
    <w:uiPriority w:val="0"/>
    <w:pPr>
      <w:shd w:val="clear" w:color="auto" w:fill="000080"/>
    </w:pPr>
    <w:rPr>
      <w:rFonts w:hint="eastAsia" w:ascii="宋体" w:hAnsi="宋体"/>
      <w:kern w:val="0"/>
      <w:sz w:val="20"/>
      <w:szCs w:val="20"/>
    </w:rPr>
  </w:style>
  <w:style w:type="paragraph" w:styleId="19">
    <w:name w:val="annotation text"/>
    <w:basedOn w:val="1"/>
    <w:link w:val="67"/>
    <w:unhideWhenUsed/>
    <w:qFormat/>
    <w:uiPriority w:val="0"/>
    <w:pPr>
      <w:jc w:val="left"/>
    </w:pPr>
  </w:style>
  <w:style w:type="paragraph" w:styleId="20">
    <w:name w:val="Body Text 3"/>
    <w:basedOn w:val="1"/>
    <w:link w:val="68"/>
    <w:qFormat/>
    <w:uiPriority w:val="0"/>
    <w:pPr>
      <w:spacing w:line="500" w:lineRule="exact"/>
    </w:pPr>
    <w:rPr>
      <w:b/>
      <w:bCs/>
      <w:kern w:val="0"/>
      <w:sz w:val="24"/>
    </w:rPr>
  </w:style>
  <w:style w:type="paragraph" w:styleId="21">
    <w:name w:val="Body Text"/>
    <w:basedOn w:val="1"/>
    <w:link w:val="57"/>
    <w:qFormat/>
    <w:uiPriority w:val="99"/>
    <w:pPr>
      <w:spacing w:line="380" w:lineRule="exact"/>
    </w:pPr>
    <w:rPr>
      <w:kern w:val="0"/>
      <w:sz w:val="24"/>
    </w:rPr>
  </w:style>
  <w:style w:type="paragraph" w:styleId="22">
    <w:name w:val="List Number 3"/>
    <w:basedOn w:val="1"/>
    <w:qFormat/>
    <w:uiPriority w:val="0"/>
    <w:pPr>
      <w:numPr>
        <w:ilvl w:val="0"/>
        <w:numId w:val="2"/>
      </w:numPr>
    </w:pPr>
  </w:style>
  <w:style w:type="paragraph" w:styleId="23">
    <w:name w:val="List 2"/>
    <w:basedOn w:val="1"/>
    <w:qFormat/>
    <w:uiPriority w:val="0"/>
    <w:pPr>
      <w:ind w:left="100" w:leftChars="200" w:hanging="200" w:hangingChars="200"/>
    </w:pPr>
    <w:rPr>
      <w:sz w:val="28"/>
    </w:rPr>
  </w:style>
  <w:style w:type="paragraph" w:styleId="24">
    <w:name w:val="toc 5"/>
    <w:basedOn w:val="1"/>
    <w:next w:val="1"/>
    <w:unhideWhenUsed/>
    <w:qFormat/>
    <w:uiPriority w:val="39"/>
    <w:pPr>
      <w:ind w:left="1680" w:leftChars="800"/>
    </w:pPr>
    <w:rPr>
      <w:rFonts w:ascii="Calibri" w:hAnsi="Calibri"/>
      <w:szCs w:val="22"/>
    </w:rPr>
  </w:style>
  <w:style w:type="paragraph" w:styleId="25">
    <w:name w:val="toc 3"/>
    <w:basedOn w:val="1"/>
    <w:next w:val="1"/>
    <w:unhideWhenUsed/>
    <w:qFormat/>
    <w:uiPriority w:val="39"/>
    <w:pPr>
      <w:ind w:left="840" w:leftChars="400"/>
    </w:pPr>
    <w:rPr>
      <w:rFonts w:ascii="Calibri" w:hAnsi="Calibri"/>
      <w:szCs w:val="22"/>
    </w:rPr>
  </w:style>
  <w:style w:type="paragraph" w:styleId="26">
    <w:name w:val="Plain Text"/>
    <w:basedOn w:val="1"/>
    <w:next w:val="15"/>
    <w:link w:val="70"/>
    <w:qFormat/>
    <w:uiPriority w:val="0"/>
    <w:rPr>
      <w:rFonts w:ascii="宋体" w:hAnsi="Courier New"/>
      <w:kern w:val="0"/>
      <w:sz w:val="20"/>
      <w:szCs w:val="21"/>
    </w:rPr>
  </w:style>
  <w:style w:type="paragraph" w:styleId="27">
    <w:name w:val="toc 8"/>
    <w:basedOn w:val="1"/>
    <w:next w:val="1"/>
    <w:unhideWhenUsed/>
    <w:qFormat/>
    <w:uiPriority w:val="39"/>
    <w:pPr>
      <w:ind w:left="2940" w:leftChars="1400"/>
    </w:pPr>
    <w:rPr>
      <w:rFonts w:ascii="Calibri" w:hAnsi="Calibri"/>
      <w:szCs w:val="22"/>
    </w:rPr>
  </w:style>
  <w:style w:type="paragraph" w:styleId="28">
    <w:name w:val="Date"/>
    <w:basedOn w:val="1"/>
    <w:next w:val="1"/>
    <w:link w:val="71"/>
    <w:qFormat/>
    <w:uiPriority w:val="0"/>
    <w:pPr>
      <w:ind w:left="100" w:leftChars="2500"/>
    </w:pPr>
    <w:rPr>
      <w:rFonts w:ascii="宋体" w:hAnsi="Courier New"/>
      <w:kern w:val="0"/>
      <w:sz w:val="20"/>
      <w:szCs w:val="21"/>
    </w:rPr>
  </w:style>
  <w:style w:type="paragraph" w:styleId="29">
    <w:name w:val="Body Text Indent 2"/>
    <w:basedOn w:val="1"/>
    <w:link w:val="72"/>
    <w:qFormat/>
    <w:uiPriority w:val="0"/>
    <w:pPr>
      <w:ind w:firstLine="630"/>
    </w:pPr>
    <w:rPr>
      <w:kern w:val="0"/>
      <w:sz w:val="32"/>
      <w:szCs w:val="20"/>
    </w:rPr>
  </w:style>
  <w:style w:type="paragraph" w:styleId="30">
    <w:name w:val="endnote text"/>
    <w:basedOn w:val="1"/>
    <w:link w:val="73"/>
    <w:unhideWhenUsed/>
    <w:qFormat/>
    <w:uiPriority w:val="99"/>
    <w:pPr>
      <w:snapToGrid w:val="0"/>
      <w:jc w:val="left"/>
    </w:pPr>
  </w:style>
  <w:style w:type="paragraph" w:styleId="31">
    <w:name w:val="Balloon Text"/>
    <w:basedOn w:val="1"/>
    <w:link w:val="74"/>
    <w:semiHidden/>
    <w:qFormat/>
    <w:uiPriority w:val="0"/>
    <w:rPr>
      <w:kern w:val="0"/>
      <w:sz w:val="18"/>
      <w:szCs w:val="18"/>
    </w:rPr>
  </w:style>
  <w:style w:type="paragraph" w:styleId="32">
    <w:name w:val="footer"/>
    <w:basedOn w:val="1"/>
    <w:link w:val="75"/>
    <w:unhideWhenUsed/>
    <w:qFormat/>
    <w:uiPriority w:val="99"/>
    <w:pPr>
      <w:tabs>
        <w:tab w:val="center" w:pos="4153"/>
        <w:tab w:val="right" w:pos="8306"/>
      </w:tabs>
      <w:snapToGrid w:val="0"/>
      <w:jc w:val="left"/>
    </w:pPr>
    <w:rPr>
      <w:kern w:val="0"/>
      <w:sz w:val="18"/>
      <w:szCs w:val="18"/>
    </w:rPr>
  </w:style>
  <w:style w:type="paragraph" w:styleId="33">
    <w:name w:val="header"/>
    <w:basedOn w:val="1"/>
    <w:link w:val="76"/>
    <w:unhideWhenUsed/>
    <w:qFormat/>
    <w:uiPriority w:val="99"/>
    <w:pPr>
      <w:pBdr>
        <w:bottom w:val="single" w:color="auto" w:sz="6" w:space="1"/>
      </w:pBdr>
      <w:tabs>
        <w:tab w:val="center" w:pos="0"/>
        <w:tab w:val="left" w:pos="8306"/>
      </w:tabs>
      <w:snapToGrid w:val="0"/>
      <w:jc w:val="center"/>
    </w:pPr>
    <w:rPr>
      <w:sz w:val="18"/>
      <w:szCs w:val="18"/>
    </w:rPr>
  </w:style>
  <w:style w:type="paragraph" w:styleId="34">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unhideWhenUsed/>
    <w:qFormat/>
    <w:uiPriority w:val="39"/>
    <w:pPr>
      <w:ind w:left="1260" w:leftChars="600"/>
    </w:pPr>
    <w:rPr>
      <w:rFonts w:ascii="Calibri" w:hAnsi="Calibri"/>
      <w:szCs w:val="22"/>
    </w:rPr>
  </w:style>
  <w:style w:type="paragraph" w:styleId="36">
    <w:name w:val="List"/>
    <w:basedOn w:val="1"/>
    <w:qFormat/>
    <w:uiPriority w:val="0"/>
    <w:pPr>
      <w:ind w:left="200" w:hanging="200" w:hangingChars="200"/>
    </w:pPr>
    <w:rPr>
      <w:sz w:val="28"/>
    </w:rPr>
  </w:style>
  <w:style w:type="paragraph" w:styleId="37">
    <w:name w:val="footnote text"/>
    <w:basedOn w:val="1"/>
    <w:link w:val="77"/>
    <w:unhideWhenUsed/>
    <w:qFormat/>
    <w:uiPriority w:val="99"/>
    <w:pPr>
      <w:snapToGrid w:val="0"/>
      <w:jc w:val="left"/>
    </w:pPr>
    <w:rPr>
      <w:sz w:val="18"/>
      <w:szCs w:val="18"/>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78"/>
    <w:qFormat/>
    <w:uiPriority w:val="0"/>
    <w:pPr>
      <w:spacing w:after="120"/>
      <w:ind w:left="420" w:leftChars="200"/>
    </w:pPr>
    <w:rPr>
      <w:kern w:val="0"/>
      <w:sz w:val="16"/>
      <w:szCs w:val="16"/>
    </w:rPr>
  </w:style>
  <w:style w:type="paragraph" w:styleId="40">
    <w:name w:val="toc 2"/>
    <w:basedOn w:val="1"/>
    <w:next w:val="1"/>
    <w:unhideWhenUsed/>
    <w:qFormat/>
    <w:uiPriority w:val="39"/>
    <w:pPr>
      <w:ind w:left="420" w:leftChars="200"/>
    </w:pPr>
  </w:style>
  <w:style w:type="paragraph" w:styleId="41">
    <w:name w:val="toc 9"/>
    <w:basedOn w:val="1"/>
    <w:next w:val="1"/>
    <w:unhideWhenUsed/>
    <w:qFormat/>
    <w:uiPriority w:val="39"/>
    <w:pPr>
      <w:ind w:left="3360" w:leftChars="1600"/>
    </w:pPr>
    <w:rPr>
      <w:rFonts w:ascii="Calibri" w:hAnsi="Calibri"/>
      <w:szCs w:val="22"/>
    </w:rPr>
  </w:style>
  <w:style w:type="paragraph" w:styleId="42">
    <w:name w:val="Body Text 2"/>
    <w:basedOn w:val="1"/>
    <w:link w:val="79"/>
    <w:qFormat/>
    <w:uiPriority w:val="0"/>
    <w:pPr>
      <w:spacing w:after="120" w:line="480" w:lineRule="auto"/>
    </w:pPr>
    <w:rPr>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index 1"/>
    <w:basedOn w:val="1"/>
    <w:next w:val="1"/>
    <w:semiHidden/>
    <w:qFormat/>
    <w:uiPriority w:val="0"/>
    <w:pPr>
      <w:spacing w:line="400" w:lineRule="exact"/>
      <w:ind w:firstLine="420" w:firstLineChars="200"/>
    </w:pPr>
    <w:rPr>
      <w:rFonts w:ascii="宋体" w:hAnsi="Courier New"/>
      <w:b/>
      <w:szCs w:val="20"/>
    </w:rPr>
  </w:style>
  <w:style w:type="paragraph" w:styleId="45">
    <w:name w:val="Title"/>
    <w:basedOn w:val="1"/>
    <w:next w:val="1"/>
    <w:link w:val="80"/>
    <w:qFormat/>
    <w:uiPriority w:val="10"/>
    <w:pPr>
      <w:spacing w:before="240" w:after="60"/>
      <w:jc w:val="center"/>
      <w:outlineLvl w:val="0"/>
    </w:pPr>
    <w:rPr>
      <w:rFonts w:ascii="Cambria" w:hAnsi="Cambria"/>
      <w:b/>
      <w:bCs/>
      <w:sz w:val="32"/>
      <w:szCs w:val="32"/>
    </w:rPr>
  </w:style>
  <w:style w:type="paragraph" w:styleId="46">
    <w:name w:val="annotation subject"/>
    <w:basedOn w:val="19"/>
    <w:next w:val="19"/>
    <w:link w:val="81"/>
    <w:unhideWhenUsed/>
    <w:qFormat/>
    <w:uiPriority w:val="99"/>
    <w:rPr>
      <w:b/>
      <w:bCs/>
    </w:rPr>
  </w:style>
  <w:style w:type="table" w:styleId="48">
    <w:name w:val="Table Grid"/>
    <w:basedOn w:val="4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endnote reference"/>
    <w:unhideWhenUsed/>
    <w:qFormat/>
    <w:uiPriority w:val="99"/>
    <w:rPr>
      <w:vertAlign w:val="superscript"/>
    </w:rPr>
  </w:style>
  <w:style w:type="character" w:styleId="51">
    <w:name w:val="page number"/>
    <w:qFormat/>
    <w:uiPriority w:val="0"/>
  </w:style>
  <w:style w:type="character" w:styleId="52">
    <w:name w:val="FollowedHyperlink"/>
    <w:qFormat/>
    <w:uiPriority w:val="0"/>
    <w:rPr>
      <w:color w:val="800080"/>
      <w:u w:val="single"/>
    </w:rPr>
  </w:style>
  <w:style w:type="character" w:styleId="53">
    <w:name w:val="Hyperlink"/>
    <w:qFormat/>
    <w:uiPriority w:val="99"/>
    <w:rPr>
      <w:color w:val="0000FF"/>
      <w:u w:val="single"/>
    </w:rPr>
  </w:style>
  <w:style w:type="character" w:styleId="54">
    <w:name w:val="annotation reference"/>
    <w:unhideWhenUsed/>
    <w:qFormat/>
    <w:uiPriority w:val="0"/>
    <w:rPr>
      <w:sz w:val="21"/>
      <w:szCs w:val="21"/>
    </w:rPr>
  </w:style>
  <w:style w:type="character" w:styleId="55">
    <w:name w:val="footnote reference"/>
    <w:unhideWhenUsed/>
    <w:qFormat/>
    <w:uiPriority w:val="99"/>
    <w:rPr>
      <w:vertAlign w:val="superscript"/>
    </w:rPr>
  </w:style>
  <w:style w:type="paragraph" w:customStyle="1" w:styleId="5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7">
    <w:name w:val="正文文本 字符"/>
    <w:link w:val="21"/>
    <w:qFormat/>
    <w:uiPriority w:val="99"/>
    <w:rPr>
      <w:rFonts w:ascii="Times New Roman" w:hAnsi="Times New Roman" w:eastAsia="宋体" w:cs="Times New Roman"/>
      <w:sz w:val="24"/>
      <w:szCs w:val="24"/>
    </w:rPr>
  </w:style>
  <w:style w:type="character" w:customStyle="1" w:styleId="58">
    <w:name w:val="标题 1 字符1"/>
    <w:link w:val="5"/>
    <w:qFormat/>
    <w:uiPriority w:val="0"/>
    <w:rPr>
      <w:rFonts w:ascii="Times New Roman" w:hAnsi="Times New Roman" w:eastAsia="宋体" w:cs="Times New Roman"/>
      <w:b/>
      <w:bCs/>
      <w:kern w:val="44"/>
      <w:sz w:val="44"/>
      <w:szCs w:val="44"/>
    </w:rPr>
  </w:style>
  <w:style w:type="character" w:customStyle="1" w:styleId="59">
    <w:name w:val="标题 2 字符"/>
    <w:link w:val="6"/>
    <w:qFormat/>
    <w:uiPriority w:val="0"/>
    <w:rPr>
      <w:rFonts w:ascii="Arial" w:hAnsi="Arial" w:eastAsia="黑体" w:cs="Times New Roman"/>
      <w:b/>
      <w:bCs/>
      <w:sz w:val="32"/>
      <w:szCs w:val="32"/>
    </w:rPr>
  </w:style>
  <w:style w:type="character" w:customStyle="1" w:styleId="60">
    <w:name w:val="标题 3 字符"/>
    <w:link w:val="7"/>
    <w:qFormat/>
    <w:uiPriority w:val="0"/>
    <w:rPr>
      <w:rFonts w:ascii="Times New Roman" w:hAnsi="Times New Roman" w:eastAsia="宋体" w:cs="Times New Roman"/>
      <w:b/>
      <w:bCs/>
      <w:sz w:val="32"/>
      <w:szCs w:val="32"/>
    </w:rPr>
  </w:style>
  <w:style w:type="character" w:customStyle="1" w:styleId="61">
    <w:name w:val="标题 5 字符"/>
    <w:link w:val="8"/>
    <w:qFormat/>
    <w:uiPriority w:val="0"/>
    <w:rPr>
      <w:b/>
      <w:kern w:val="2"/>
      <w:sz w:val="28"/>
      <w:szCs w:val="24"/>
    </w:rPr>
  </w:style>
  <w:style w:type="character" w:customStyle="1" w:styleId="62">
    <w:name w:val="标题 6 字符"/>
    <w:link w:val="10"/>
    <w:qFormat/>
    <w:uiPriority w:val="0"/>
    <w:rPr>
      <w:rFonts w:ascii="Arial" w:hAnsi="Arial" w:eastAsia="黑体"/>
      <w:b/>
      <w:kern w:val="2"/>
      <w:sz w:val="24"/>
      <w:szCs w:val="24"/>
    </w:rPr>
  </w:style>
  <w:style w:type="character" w:customStyle="1" w:styleId="63">
    <w:name w:val="标题 7 字符"/>
    <w:link w:val="11"/>
    <w:qFormat/>
    <w:uiPriority w:val="0"/>
    <w:rPr>
      <w:rFonts w:ascii="Times New Roman" w:hAnsi="Times New Roman"/>
      <w:b/>
      <w:kern w:val="2"/>
      <w:sz w:val="24"/>
      <w:szCs w:val="24"/>
    </w:rPr>
  </w:style>
  <w:style w:type="character" w:customStyle="1" w:styleId="64">
    <w:name w:val="标题 8 字符"/>
    <w:link w:val="12"/>
    <w:qFormat/>
    <w:uiPriority w:val="0"/>
    <w:rPr>
      <w:rFonts w:ascii="Arial" w:hAnsi="Arial" w:eastAsia="黑体"/>
      <w:kern w:val="2"/>
      <w:sz w:val="24"/>
      <w:szCs w:val="24"/>
    </w:rPr>
  </w:style>
  <w:style w:type="character" w:customStyle="1" w:styleId="65">
    <w:name w:val="标题 9 字符"/>
    <w:link w:val="13"/>
    <w:qFormat/>
    <w:uiPriority w:val="0"/>
    <w:rPr>
      <w:rFonts w:ascii="Arial" w:hAnsi="Arial" w:eastAsia="黑体"/>
      <w:kern w:val="2"/>
      <w:sz w:val="21"/>
      <w:szCs w:val="24"/>
    </w:rPr>
  </w:style>
  <w:style w:type="character" w:customStyle="1" w:styleId="66">
    <w:name w:val="文档结构图 字符"/>
    <w:link w:val="18"/>
    <w:qFormat/>
    <w:uiPriority w:val="0"/>
    <w:rPr>
      <w:rFonts w:hint="eastAsia" w:ascii="宋体" w:hAnsi="宋体" w:eastAsia="宋体" w:cs="宋体"/>
    </w:rPr>
  </w:style>
  <w:style w:type="character" w:customStyle="1" w:styleId="67">
    <w:name w:val="批注文字 字符2"/>
    <w:link w:val="19"/>
    <w:qFormat/>
    <w:uiPriority w:val="0"/>
    <w:rPr>
      <w:rFonts w:ascii="Times New Roman" w:hAnsi="Times New Roman"/>
      <w:kern w:val="2"/>
      <w:sz w:val="21"/>
      <w:szCs w:val="24"/>
    </w:rPr>
  </w:style>
  <w:style w:type="character" w:customStyle="1" w:styleId="68">
    <w:name w:val="正文文本 3 字符"/>
    <w:link w:val="20"/>
    <w:qFormat/>
    <w:uiPriority w:val="0"/>
    <w:rPr>
      <w:rFonts w:ascii="Times New Roman" w:hAnsi="Times New Roman" w:eastAsia="宋体" w:cs="Times New Roman"/>
      <w:b/>
      <w:bCs/>
      <w:sz w:val="24"/>
      <w:szCs w:val="24"/>
    </w:rPr>
  </w:style>
  <w:style w:type="character" w:customStyle="1" w:styleId="69">
    <w:name w:val="正文文本缩进 字符1"/>
    <w:link w:val="3"/>
    <w:qFormat/>
    <w:uiPriority w:val="0"/>
    <w:rPr>
      <w:rFonts w:ascii="仿宋_GB2312" w:hAnsi="Times New Roman" w:eastAsia="仿宋_GB2312" w:cs="Times New Roman"/>
      <w:sz w:val="32"/>
      <w:szCs w:val="20"/>
    </w:rPr>
  </w:style>
  <w:style w:type="character" w:customStyle="1" w:styleId="70">
    <w:name w:val="纯文本 字符2"/>
    <w:link w:val="26"/>
    <w:qFormat/>
    <w:uiPriority w:val="0"/>
    <w:rPr>
      <w:rFonts w:ascii="宋体" w:hAnsi="Courier New" w:eastAsia="宋体" w:cs="Courier New"/>
      <w:szCs w:val="21"/>
    </w:rPr>
  </w:style>
  <w:style w:type="character" w:customStyle="1" w:styleId="71">
    <w:name w:val="日期 字符"/>
    <w:link w:val="28"/>
    <w:qFormat/>
    <w:uiPriority w:val="0"/>
    <w:rPr>
      <w:rFonts w:ascii="宋体" w:hAnsi="Courier New" w:eastAsia="宋体" w:cs="Courier New"/>
      <w:szCs w:val="21"/>
    </w:rPr>
  </w:style>
  <w:style w:type="character" w:customStyle="1" w:styleId="72">
    <w:name w:val="正文文本缩进 2 字符"/>
    <w:link w:val="29"/>
    <w:qFormat/>
    <w:uiPriority w:val="0"/>
    <w:rPr>
      <w:rFonts w:ascii="Times New Roman" w:hAnsi="Times New Roman" w:eastAsia="宋体" w:cs="Times New Roman"/>
      <w:sz w:val="32"/>
      <w:szCs w:val="20"/>
    </w:rPr>
  </w:style>
  <w:style w:type="character" w:customStyle="1" w:styleId="73">
    <w:name w:val="尾注文本 字符"/>
    <w:link w:val="30"/>
    <w:semiHidden/>
    <w:qFormat/>
    <w:uiPriority w:val="99"/>
    <w:rPr>
      <w:rFonts w:ascii="Times New Roman" w:hAnsi="Times New Roman"/>
      <w:kern w:val="2"/>
      <w:sz w:val="21"/>
      <w:szCs w:val="24"/>
    </w:rPr>
  </w:style>
  <w:style w:type="character" w:customStyle="1" w:styleId="74">
    <w:name w:val="批注框文本 字符"/>
    <w:link w:val="31"/>
    <w:semiHidden/>
    <w:qFormat/>
    <w:uiPriority w:val="0"/>
    <w:rPr>
      <w:rFonts w:ascii="Times New Roman" w:hAnsi="Times New Roman" w:eastAsia="宋体" w:cs="Times New Roman"/>
      <w:sz w:val="18"/>
      <w:szCs w:val="18"/>
    </w:rPr>
  </w:style>
  <w:style w:type="character" w:customStyle="1" w:styleId="75">
    <w:name w:val="页脚 字符1"/>
    <w:link w:val="32"/>
    <w:qFormat/>
    <w:uiPriority w:val="99"/>
    <w:rPr>
      <w:sz w:val="18"/>
      <w:szCs w:val="18"/>
    </w:rPr>
  </w:style>
  <w:style w:type="character" w:customStyle="1" w:styleId="76">
    <w:name w:val="页眉 字符"/>
    <w:link w:val="33"/>
    <w:qFormat/>
    <w:uiPriority w:val="99"/>
    <w:rPr>
      <w:rFonts w:ascii="Times New Roman" w:hAnsi="Times New Roman"/>
      <w:kern w:val="2"/>
      <w:sz w:val="18"/>
      <w:szCs w:val="18"/>
    </w:rPr>
  </w:style>
  <w:style w:type="character" w:customStyle="1" w:styleId="77">
    <w:name w:val="脚注文本 字符"/>
    <w:link w:val="37"/>
    <w:semiHidden/>
    <w:qFormat/>
    <w:uiPriority w:val="99"/>
    <w:rPr>
      <w:rFonts w:ascii="Times New Roman" w:hAnsi="Times New Roman"/>
      <w:kern w:val="2"/>
      <w:sz w:val="18"/>
      <w:szCs w:val="18"/>
    </w:rPr>
  </w:style>
  <w:style w:type="character" w:customStyle="1" w:styleId="78">
    <w:name w:val="正文文本缩进 3 字符"/>
    <w:link w:val="39"/>
    <w:qFormat/>
    <w:uiPriority w:val="0"/>
    <w:rPr>
      <w:rFonts w:ascii="Times New Roman" w:hAnsi="Times New Roman" w:eastAsia="宋体" w:cs="Times New Roman"/>
      <w:sz w:val="16"/>
      <w:szCs w:val="16"/>
    </w:rPr>
  </w:style>
  <w:style w:type="character" w:customStyle="1" w:styleId="79">
    <w:name w:val="正文文本 2 字符"/>
    <w:link w:val="42"/>
    <w:qFormat/>
    <w:uiPriority w:val="0"/>
    <w:rPr>
      <w:rFonts w:ascii="Times New Roman" w:hAnsi="Times New Roman" w:eastAsia="宋体" w:cs="Times New Roman"/>
      <w:szCs w:val="24"/>
    </w:rPr>
  </w:style>
  <w:style w:type="character" w:customStyle="1" w:styleId="80">
    <w:name w:val="标题 字符"/>
    <w:link w:val="45"/>
    <w:qFormat/>
    <w:uiPriority w:val="10"/>
    <w:rPr>
      <w:rFonts w:ascii="Cambria" w:hAnsi="Cambria" w:cs="Times New Roman"/>
      <w:b/>
      <w:bCs/>
      <w:kern w:val="2"/>
      <w:sz w:val="32"/>
      <w:szCs w:val="32"/>
    </w:rPr>
  </w:style>
  <w:style w:type="character" w:customStyle="1" w:styleId="81">
    <w:name w:val="批注主题 字符"/>
    <w:link w:val="46"/>
    <w:semiHidden/>
    <w:qFormat/>
    <w:uiPriority w:val="99"/>
    <w:rPr>
      <w:rFonts w:ascii="Times New Roman" w:hAnsi="Times New Roman"/>
      <w:b/>
      <w:bCs/>
      <w:kern w:val="2"/>
      <w:sz w:val="21"/>
      <w:szCs w:val="24"/>
    </w:rPr>
  </w:style>
  <w:style w:type="character" w:customStyle="1" w:styleId="82">
    <w:name w:val="批注文字 Char1"/>
    <w:semiHidden/>
    <w:qFormat/>
    <w:locked/>
    <w:uiPriority w:val="0"/>
    <w:rPr>
      <w:rFonts w:ascii="Times New Roman" w:hAnsi="Times New Roman"/>
      <w:kern w:val="2"/>
      <w:sz w:val="21"/>
      <w:szCs w:val="24"/>
    </w:rPr>
  </w:style>
  <w:style w:type="character" w:customStyle="1" w:styleId="83">
    <w:name w:val="case31"/>
    <w:qFormat/>
    <w:uiPriority w:val="0"/>
    <w:rPr>
      <w:rFonts w:hint="default" w:ascii="_x000B__x000C_" w:hAnsi="_x000B__x000C_"/>
      <w:sz w:val="21"/>
      <w:szCs w:val="21"/>
    </w:rPr>
  </w:style>
  <w:style w:type="character" w:customStyle="1" w:styleId="84">
    <w:name w:val="批注文字 Char"/>
    <w:qFormat/>
    <w:uiPriority w:val="99"/>
    <w:rPr>
      <w:rFonts w:ascii="Times New Roman" w:hAnsi="Times New Roman"/>
      <w:kern w:val="2"/>
      <w:sz w:val="21"/>
      <w:szCs w:val="24"/>
    </w:rPr>
  </w:style>
  <w:style w:type="character" w:customStyle="1" w:styleId="85">
    <w:name w:val="纯文本 Char"/>
    <w:qFormat/>
    <w:uiPriority w:val="0"/>
    <w:rPr>
      <w:rFonts w:ascii="宋体" w:hAnsi="Courier New" w:eastAsia="宋体"/>
      <w:kern w:val="2"/>
      <w:sz w:val="21"/>
      <w:lang w:val="en-US" w:eastAsia="zh-CN" w:bidi="ar-SA"/>
    </w:rPr>
  </w:style>
  <w:style w:type="character" w:customStyle="1" w:styleId="86">
    <w:name w:val="纯文本 字符1"/>
    <w:qFormat/>
    <w:uiPriority w:val="0"/>
    <w:rPr>
      <w:rFonts w:ascii="宋体" w:hAnsi="Courier New"/>
    </w:rPr>
  </w:style>
  <w:style w:type="character" w:customStyle="1" w:styleId="87">
    <w:name w:val="批注文字 字符1"/>
    <w:qFormat/>
    <w:uiPriority w:val="0"/>
    <w:rPr>
      <w:rFonts w:ascii="Times New Roman" w:hAnsi="Times New Roman"/>
      <w:kern w:val="2"/>
      <w:sz w:val="21"/>
      <w:szCs w:val="24"/>
    </w:rPr>
  </w:style>
  <w:style w:type="character" w:customStyle="1" w:styleId="88">
    <w:name w:val="正文文本 Char1"/>
    <w:semiHidden/>
    <w:qFormat/>
    <w:locked/>
    <w:uiPriority w:val="99"/>
    <w:rPr>
      <w:sz w:val="24"/>
      <w:szCs w:val="24"/>
    </w:rPr>
  </w:style>
  <w:style w:type="character" w:customStyle="1" w:styleId="89">
    <w:name w:val="apple-style-span"/>
    <w:qFormat/>
    <w:uiPriority w:val="0"/>
  </w:style>
  <w:style w:type="character" w:customStyle="1" w:styleId="90">
    <w:name w:val="textcontents"/>
    <w:qFormat/>
    <w:uiPriority w:val="0"/>
  </w:style>
  <w:style w:type="character" w:customStyle="1" w:styleId="91">
    <w:name w:val="普通文字 Char Char2"/>
    <w:qFormat/>
    <w:uiPriority w:val="0"/>
    <w:rPr>
      <w:rFonts w:ascii="宋体" w:hAnsi="Courier New" w:eastAsia="宋体"/>
      <w:kern w:val="2"/>
      <w:sz w:val="21"/>
      <w:lang w:val="en-US" w:eastAsia="zh-CN" w:bidi="ar-SA"/>
    </w:rPr>
  </w:style>
  <w:style w:type="character" w:customStyle="1" w:styleId="92">
    <w:name w:val="标题 5 Char"/>
    <w:qFormat/>
    <w:uiPriority w:val="0"/>
    <w:rPr>
      <w:b/>
      <w:kern w:val="2"/>
      <w:sz w:val="28"/>
      <w:szCs w:val="24"/>
    </w:rPr>
  </w:style>
  <w:style w:type="character" w:customStyle="1" w:styleId="93">
    <w:name w:val="批注文字 字符"/>
    <w:qFormat/>
    <w:uiPriority w:val="0"/>
    <w:rPr>
      <w:rFonts w:ascii="Times New Roman" w:hAnsi="Times New Roman"/>
      <w:kern w:val="2"/>
      <w:sz w:val="21"/>
      <w:szCs w:val="24"/>
    </w:rPr>
  </w:style>
  <w:style w:type="character" w:customStyle="1" w:styleId="94">
    <w:name w:val="标题 1 字符"/>
    <w:qFormat/>
    <w:uiPriority w:val="9"/>
    <w:rPr>
      <w:rFonts w:ascii="Times New Roman" w:hAnsi="Times New Roman" w:eastAsia="宋体" w:cs="Times New Roman"/>
      <w:b/>
      <w:bCs/>
      <w:kern w:val="44"/>
      <w:sz w:val="44"/>
      <w:szCs w:val="44"/>
    </w:rPr>
  </w:style>
  <w:style w:type="character" w:customStyle="1" w:styleId="95">
    <w:name w:val="纯文本 字符"/>
    <w:qFormat/>
    <w:uiPriority w:val="0"/>
    <w:rPr>
      <w:rFonts w:ascii="宋体" w:hAnsi="Courier New" w:eastAsia="宋体" w:cs="Courier New"/>
      <w:szCs w:val="21"/>
    </w:rPr>
  </w:style>
  <w:style w:type="character" w:customStyle="1" w:styleId="96">
    <w:name w:val="headline-content4"/>
    <w:qFormat/>
    <w:uiPriority w:val="0"/>
  </w:style>
  <w:style w:type="character" w:customStyle="1" w:styleId="9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98">
    <w:name w:val="正文文本缩进 字符"/>
    <w:qFormat/>
    <w:uiPriority w:val="0"/>
    <w:rPr>
      <w:rFonts w:ascii="仿宋_GB2312" w:hAnsi="Times New Roman" w:eastAsia="仿宋_GB2312" w:cs="Times New Roman"/>
      <w:sz w:val="32"/>
      <w:szCs w:val="20"/>
    </w:rPr>
  </w:style>
  <w:style w:type="paragraph" w:customStyle="1" w:styleId="99">
    <w:name w:val="Char1"/>
    <w:basedOn w:val="1"/>
    <w:qFormat/>
    <w:uiPriority w:val="0"/>
    <w:rPr>
      <w:szCs w:val="21"/>
    </w:rPr>
  </w:style>
  <w:style w:type="paragraph" w:styleId="100">
    <w:name w:val="List Paragraph"/>
    <w:basedOn w:val="1"/>
    <w:qFormat/>
    <w:uiPriority w:val="34"/>
    <w:pPr>
      <w:ind w:firstLine="420" w:firstLineChars="200"/>
    </w:pPr>
  </w:style>
  <w:style w:type="paragraph" w:customStyle="1" w:styleId="101">
    <w:name w:val="样式 标题 2 + Times New Roman 四号 非加粗 段前: 5 磅 段后: 0 磅 行距: 固定值 20..."/>
    <w:basedOn w:val="6"/>
    <w:qFormat/>
    <w:uiPriority w:val="0"/>
    <w:pPr>
      <w:spacing w:before="100" w:after="0" w:line="400" w:lineRule="exact"/>
    </w:pPr>
    <w:rPr>
      <w:rFonts w:ascii="Times New Roman" w:hAnsi="Times New Roman" w:cs="宋体"/>
      <w:b w:val="0"/>
      <w:bCs w:val="0"/>
      <w:sz w:val="28"/>
      <w:szCs w:val="20"/>
    </w:rPr>
  </w:style>
  <w:style w:type="paragraph" w:customStyle="1" w:styleId="102">
    <w:name w:val="默认段落字体 Para Char Char Char Char Char Char Char Char Char1 Char Char Char Char"/>
    <w:basedOn w:val="1"/>
    <w:qFormat/>
    <w:uiPriority w:val="0"/>
    <w:rPr>
      <w:rFonts w:ascii="Tahoma" w:hAnsi="Tahoma"/>
      <w:sz w:val="24"/>
      <w:szCs w:val="20"/>
    </w:rPr>
  </w:style>
  <w:style w:type="paragraph" w:customStyle="1" w:styleId="103">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4">
    <w:name w:val="纯文本1"/>
    <w:basedOn w:val="1"/>
    <w:qFormat/>
    <w:uiPriority w:val="0"/>
    <w:rPr>
      <w:rFonts w:ascii="宋体" w:hAnsi="Courier New" w:cs="Century"/>
      <w:szCs w:val="21"/>
    </w:rPr>
  </w:style>
  <w:style w:type="paragraph" w:customStyle="1" w:styleId="105">
    <w:name w:val="Table Paragraph"/>
    <w:basedOn w:val="1"/>
    <w:qFormat/>
    <w:uiPriority w:val="1"/>
    <w:pPr>
      <w:jc w:val="left"/>
    </w:pPr>
    <w:rPr>
      <w:rFonts w:ascii="Calibri" w:hAnsi="Calibri"/>
      <w:kern w:val="0"/>
      <w:sz w:val="22"/>
      <w:szCs w:val="22"/>
      <w:lang w:eastAsia="en-US"/>
    </w:rPr>
  </w:style>
  <w:style w:type="paragraph" w:customStyle="1" w:styleId="10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07">
    <w:name w:val="表格"/>
    <w:basedOn w:val="1"/>
    <w:qFormat/>
    <w:uiPriority w:val="0"/>
    <w:pPr>
      <w:spacing w:line="400" w:lineRule="exact"/>
    </w:pPr>
    <w:rPr>
      <w:sz w:val="24"/>
    </w:rPr>
  </w:style>
  <w:style w:type="paragraph" w:customStyle="1" w:styleId="108">
    <w:name w:val="样式 首行缩进:  2 字符"/>
    <w:basedOn w:val="1"/>
    <w:qFormat/>
    <w:uiPriority w:val="0"/>
    <w:pPr>
      <w:spacing w:line="400" w:lineRule="exact"/>
      <w:ind w:firstLine="200" w:firstLineChars="200"/>
    </w:pPr>
    <w:rPr>
      <w:rFonts w:cs="宋体"/>
      <w:sz w:val="24"/>
    </w:rPr>
  </w:style>
  <w:style w:type="paragraph" w:customStyle="1" w:styleId="109">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0">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111">
    <w:name w:val="正文首行缩进两字符"/>
    <w:basedOn w:val="1"/>
    <w:qFormat/>
    <w:uiPriority w:val="0"/>
    <w:pPr>
      <w:spacing w:line="360" w:lineRule="auto"/>
      <w:ind w:firstLine="200" w:firstLineChars="200"/>
    </w:pPr>
  </w:style>
  <w:style w:type="paragraph" w:customStyle="1" w:styleId="112">
    <w:name w:val="正文段"/>
    <w:basedOn w:val="1"/>
    <w:qFormat/>
    <w:uiPriority w:val="0"/>
    <w:pPr>
      <w:widowControl/>
      <w:snapToGrid w:val="0"/>
      <w:spacing w:after="50" w:afterLines="50"/>
      <w:ind w:firstLine="200" w:firstLineChars="200"/>
    </w:pPr>
    <w:rPr>
      <w:kern w:val="0"/>
      <w:sz w:val="24"/>
      <w:szCs w:val="20"/>
    </w:rPr>
  </w:style>
  <w:style w:type="table" w:customStyle="1" w:styleId="113">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14">
    <w:name w:val="页脚 字符"/>
    <w:qFormat/>
    <w:uiPriority w:val="99"/>
  </w:style>
  <w:style w:type="character" w:customStyle="1" w:styleId="115">
    <w:name w:val="正文2 Char Char"/>
    <w:link w:val="116"/>
    <w:qFormat/>
    <w:uiPriority w:val="0"/>
    <w:rPr>
      <w:kern w:val="2"/>
      <w:sz w:val="24"/>
    </w:rPr>
  </w:style>
  <w:style w:type="paragraph" w:customStyle="1" w:styleId="116">
    <w:name w:val="正文2"/>
    <w:basedOn w:val="1"/>
    <w:link w:val="115"/>
    <w:qFormat/>
    <w:uiPriority w:val="0"/>
    <w:pPr>
      <w:adjustRightInd w:val="0"/>
      <w:spacing w:before="156" w:line="360" w:lineRule="auto"/>
      <w:ind w:firstLine="510" w:firstLineChars="200"/>
    </w:pPr>
    <w:rPr>
      <w:sz w:val="24"/>
      <w:szCs w:val="20"/>
    </w:rPr>
  </w:style>
  <w:style w:type="paragraph" w:customStyle="1" w:styleId="117">
    <w:name w:val="_Style 112"/>
    <w:unhideWhenUsed/>
    <w:qFormat/>
    <w:uiPriority w:val="99"/>
    <w:rPr>
      <w:rFonts w:ascii="Times New Roman" w:hAnsi="Times New Roman" w:eastAsia="宋体" w:cs="Times New Roman"/>
      <w:kern w:val="2"/>
      <w:sz w:val="21"/>
      <w:szCs w:val="24"/>
      <w:lang w:val="en-US" w:eastAsia="zh-CN" w:bidi="ar-SA"/>
    </w:rPr>
  </w:style>
  <w:style w:type="character" w:customStyle="1" w:styleId="118">
    <w:name w:val="表格文字 Char1"/>
    <w:link w:val="119"/>
    <w:qFormat/>
    <w:locked/>
    <w:uiPriority w:val="0"/>
    <w:rPr>
      <w:bCs/>
      <w:spacing w:val="10"/>
      <w:sz w:val="24"/>
    </w:rPr>
  </w:style>
  <w:style w:type="paragraph" w:customStyle="1" w:styleId="119">
    <w:name w:val="表格文字"/>
    <w:basedOn w:val="1"/>
    <w:next w:val="21"/>
    <w:link w:val="118"/>
    <w:qFormat/>
    <w:uiPriority w:val="0"/>
    <w:pPr>
      <w:spacing w:before="25" w:after="25"/>
      <w:jc w:val="left"/>
    </w:pPr>
    <w:rPr>
      <w:bCs/>
      <w:spacing w:val="10"/>
      <w:kern w:val="0"/>
      <w:sz w:val="24"/>
      <w:szCs w:val="20"/>
    </w:rPr>
  </w:style>
  <w:style w:type="paragraph" w:customStyle="1" w:styleId="120">
    <w:name w:val="列出段落1"/>
    <w:basedOn w:val="1"/>
    <w:qFormat/>
    <w:uiPriority w:val="0"/>
    <w:pPr>
      <w:ind w:firstLine="420" w:firstLineChars="200"/>
    </w:pPr>
    <w:rPr>
      <w:szCs w:val="21"/>
    </w:rPr>
  </w:style>
  <w:style w:type="paragraph" w:customStyle="1" w:styleId="121">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22">
    <w:name w:val="纯文本 Char2"/>
    <w:qFormat/>
    <w:uiPriority w:val="0"/>
    <w:rPr>
      <w:rFonts w:ascii="宋体" w:hAnsi="Courier New" w:eastAsia="宋体" w:cs="Courier New"/>
      <w:szCs w:val="21"/>
    </w:rPr>
  </w:style>
  <w:style w:type="character" w:customStyle="1" w:styleId="123">
    <w:name w:val="font11"/>
    <w:basedOn w:val="49"/>
    <w:qFormat/>
    <w:uiPriority w:val="0"/>
    <w:rPr>
      <w:rFonts w:hint="eastAsia" w:ascii="宋体" w:hAnsi="宋体" w:eastAsia="宋体" w:cs="宋体"/>
      <w:color w:val="000000"/>
      <w:sz w:val="24"/>
      <w:szCs w:val="24"/>
      <w:u w:val="none"/>
    </w:rPr>
  </w:style>
  <w:style w:type="paragraph" w:customStyle="1" w:styleId="124">
    <w:name w:val="p15"/>
    <w:basedOn w:val="1"/>
    <w:qFormat/>
    <w:uiPriority w:val="0"/>
    <w:pPr>
      <w:widowControl/>
      <w:ind w:firstLine="420"/>
    </w:pPr>
    <w:rPr>
      <w:szCs w:val="21"/>
    </w:rPr>
  </w:style>
  <w:style w:type="paragraph" w:styleId="125">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26">
    <w:name w:val="NormalCharacter"/>
    <w:qFormat/>
    <w:uiPriority w:val="0"/>
  </w:style>
  <w:style w:type="paragraph" w:customStyle="1" w:styleId="127">
    <w:name w:val="&gt;合同 正文"/>
    <w:autoRedefine/>
    <w:qFormat/>
    <w:uiPriority w:val="0"/>
    <w:pPr>
      <w:spacing w:line="360" w:lineRule="auto"/>
      <w:ind w:firstLine="480" w:firstLineChars="200"/>
    </w:pPr>
    <w:rPr>
      <w:rFonts w:ascii="宋体" w:hAnsi="宋体" w:eastAsia="宋体" w:cs="宋体"/>
      <w:color w:val="000000"/>
      <w:kern w:val="2"/>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92</Pages>
  <Words>9206</Words>
  <Characters>10390</Characters>
  <Lines>103</Lines>
  <Paragraphs>122</Paragraphs>
  <TotalTime>60</TotalTime>
  <ScaleCrop>false</ScaleCrop>
  <LinksUpToDate>false</LinksUpToDate>
  <CharactersWithSpaces>10528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2024-05-20T09:01:00Z</dcterms:created>
  <dc:creator>番茄花园</dc:creator>
  <cp:lastModifiedBy>everyone</cp:lastModifiedBy>
  <cp:lastPrinted>2019-09-27T01:36:00Z</cp:lastPrinted>
  <dcterms:modified xsi:type="dcterms:W3CDTF">2024-12-23T02:32:21Z</dcterms:modified>
  <dc:title>公开招标采购文件范本</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2F2390D3D7B94C419642E824228C9624_13</vt:lpwstr>
  </property>
</Properties>
</file>