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79EC5">
      <w:pPr>
        <w:spacing w:line="360" w:lineRule="auto"/>
        <w:jc w:val="center"/>
        <w:rPr>
          <w:rFonts w:hint="eastAsia" w:ascii="方正小标宋简体" w:hAnsi="宋体" w:eastAsia="方正小标宋简体"/>
          <w:color w:val="000000"/>
          <w:sz w:val="52"/>
          <w:szCs w:val="52"/>
          <w:highlight w:val="none"/>
        </w:rPr>
      </w:pPr>
    </w:p>
    <w:p w14:paraId="697C798F">
      <w:pPr>
        <w:spacing w:line="360" w:lineRule="auto"/>
        <w:jc w:val="center"/>
        <w:rPr>
          <w:rFonts w:hint="eastAsia" w:ascii="方正小标宋简体" w:hAnsi="宋体" w:eastAsia="方正小标宋简体"/>
          <w:color w:val="000000"/>
          <w:sz w:val="52"/>
          <w:szCs w:val="52"/>
          <w:highlight w:val="none"/>
        </w:rPr>
      </w:pPr>
      <w:r>
        <w:rPr>
          <w:rFonts w:hint="eastAsia" w:ascii="方正小标宋简体" w:hAnsi="宋体" w:eastAsia="方正小标宋简体"/>
          <w:color w:val="000000"/>
          <w:sz w:val="52"/>
          <w:szCs w:val="52"/>
          <w:highlight w:val="none"/>
        </w:rPr>
        <w:t>云之龙咨询集团有限公司</w:t>
      </w:r>
    </w:p>
    <w:p w14:paraId="7E041DCF">
      <w:pPr>
        <w:spacing w:line="360" w:lineRule="auto"/>
        <w:rPr>
          <w:rFonts w:hint="eastAsia" w:ascii="仿宋_GB2312" w:hAnsi="宋体" w:eastAsia="仿宋_GB2312"/>
          <w:b/>
          <w:color w:val="000000"/>
          <w:sz w:val="48"/>
          <w:szCs w:val="48"/>
          <w:highlight w:val="none"/>
        </w:rPr>
      </w:pPr>
    </w:p>
    <w:p w14:paraId="749C6022">
      <w:pPr>
        <w:snapToGrid w:val="0"/>
        <w:spacing w:before="120" w:beforeLines="50" w:line="360" w:lineRule="auto"/>
        <w:jc w:val="center"/>
        <w:rPr>
          <w:rFonts w:hint="eastAsia" w:ascii="华文新魏" w:hAnsi="宋体" w:eastAsia="华文新魏"/>
          <w:color w:val="000000"/>
          <w:sz w:val="120"/>
          <w:szCs w:val="120"/>
          <w:highlight w:val="none"/>
        </w:rPr>
      </w:pPr>
      <w:r>
        <w:rPr>
          <w:rFonts w:hint="eastAsia" w:ascii="华文新魏" w:hAnsi="宋体" w:eastAsia="华文新魏"/>
          <w:color w:val="000000"/>
          <w:sz w:val="120"/>
          <w:szCs w:val="120"/>
          <w:highlight w:val="none"/>
        </w:rPr>
        <w:t>招 标 文 件</w:t>
      </w:r>
    </w:p>
    <w:p w14:paraId="0BAE3A7A">
      <w:pPr>
        <w:snapToGrid w:val="0"/>
        <w:spacing w:before="120" w:beforeLines="50" w:line="360" w:lineRule="auto"/>
        <w:jc w:val="center"/>
        <w:rPr>
          <w:rFonts w:hint="eastAsia" w:ascii="仿宋_GB2312" w:hAnsi="宋体" w:eastAsia="仿宋_GB2312"/>
          <w:b/>
          <w:color w:val="000000"/>
          <w:sz w:val="48"/>
          <w:szCs w:val="48"/>
          <w:highlight w:val="none"/>
        </w:rPr>
      </w:pPr>
      <w:r>
        <w:rPr>
          <w:rFonts w:hint="eastAsia" w:ascii="仿宋_GB2312" w:hAnsi="宋体" w:eastAsia="仿宋_GB2312"/>
          <w:b/>
          <w:color w:val="000000"/>
          <w:sz w:val="48"/>
          <w:szCs w:val="48"/>
          <w:highlight w:val="none"/>
        </w:rPr>
        <w:t>（全流程电子化采购）</w:t>
      </w:r>
    </w:p>
    <w:p w14:paraId="58F2E6E1">
      <w:pPr>
        <w:snapToGrid w:val="0"/>
        <w:spacing w:line="360" w:lineRule="auto"/>
        <w:rPr>
          <w:rFonts w:hint="eastAsia" w:ascii="仿宋_GB2312" w:hAnsi="宋体" w:eastAsia="仿宋_GB2312"/>
          <w:color w:val="000000"/>
          <w:sz w:val="30"/>
          <w:szCs w:val="72"/>
          <w:highlight w:val="none"/>
        </w:rPr>
      </w:pPr>
    </w:p>
    <w:p w14:paraId="06C08EC4">
      <w:pPr>
        <w:pStyle w:val="24"/>
        <w:snapToGrid w:val="0"/>
        <w:spacing w:line="360" w:lineRule="auto"/>
        <w:ind w:firstLine="1193" w:firstLineChars="396"/>
        <w:rPr>
          <w:rFonts w:hint="eastAsia" w:ascii="仿宋_GB2312" w:hAnsi="宋体" w:eastAsia="仿宋_GB2312"/>
          <w:b/>
          <w:bCs/>
          <w:color w:val="000000"/>
          <w:sz w:val="30"/>
          <w:szCs w:val="30"/>
          <w:highlight w:val="none"/>
        </w:rPr>
      </w:pPr>
      <w:r>
        <w:rPr>
          <w:rFonts w:hint="eastAsia" w:ascii="仿宋_GB2312" w:hAnsi="宋体" w:eastAsia="仿宋_GB2312"/>
          <w:b/>
          <w:bCs/>
          <w:color w:val="000000"/>
          <w:sz w:val="30"/>
          <w:szCs w:val="30"/>
          <w:highlight w:val="none"/>
        </w:rPr>
        <w:t>项目</w:t>
      </w:r>
      <w:r>
        <w:rPr>
          <w:rFonts w:hint="eastAsia" w:ascii="仿宋_GB2312" w:hAnsi="宋体" w:eastAsia="仿宋_GB2312" w:cs="Courier New"/>
          <w:b/>
          <w:bCs/>
          <w:color w:val="000000"/>
          <w:w w:val="95"/>
          <w:sz w:val="30"/>
          <w:szCs w:val="30"/>
          <w:highlight w:val="none"/>
        </w:rPr>
        <w:t>名称</w:t>
      </w:r>
      <w:r>
        <w:rPr>
          <w:rFonts w:hint="eastAsia" w:ascii="仿宋_GB2312" w:hAnsi="宋体" w:eastAsia="仿宋_GB2312"/>
          <w:b/>
          <w:bCs/>
          <w:color w:val="000000"/>
          <w:sz w:val="30"/>
          <w:szCs w:val="30"/>
          <w:highlight w:val="none"/>
        </w:rPr>
        <w:t>：钦州市第二人民医院气压喷液仪等</w:t>
      </w:r>
    </w:p>
    <w:p w14:paraId="51992C91">
      <w:pPr>
        <w:pStyle w:val="24"/>
        <w:snapToGrid w:val="0"/>
        <w:spacing w:line="360" w:lineRule="auto"/>
        <w:ind w:firstLine="2699" w:firstLineChars="896"/>
        <w:rPr>
          <w:rFonts w:hint="eastAsia" w:ascii="仿宋_GB2312" w:hAnsi="宋体" w:eastAsia="仿宋_GB2312"/>
          <w:b/>
          <w:bCs/>
          <w:color w:val="000000"/>
          <w:sz w:val="30"/>
          <w:szCs w:val="30"/>
          <w:highlight w:val="none"/>
        </w:rPr>
      </w:pPr>
      <w:r>
        <w:rPr>
          <w:rFonts w:hint="eastAsia" w:ascii="仿宋_GB2312" w:hAnsi="宋体" w:eastAsia="仿宋_GB2312"/>
          <w:b/>
          <w:bCs/>
          <w:color w:val="000000"/>
          <w:sz w:val="30"/>
          <w:szCs w:val="30"/>
          <w:highlight w:val="none"/>
        </w:rPr>
        <w:t>医疗设备采购</w:t>
      </w:r>
    </w:p>
    <w:p w14:paraId="720FE1D4">
      <w:pPr>
        <w:snapToGrid w:val="0"/>
        <w:spacing w:line="360" w:lineRule="auto"/>
        <w:ind w:firstLine="1145" w:firstLineChars="400"/>
        <w:rPr>
          <w:rFonts w:hint="eastAsia" w:ascii="仿宋_GB2312" w:hAnsi="宋体" w:eastAsia="仿宋_GB2312"/>
          <w:color w:val="000000"/>
          <w:sz w:val="30"/>
          <w:szCs w:val="72"/>
          <w:highlight w:val="none"/>
        </w:rPr>
      </w:pPr>
      <w:r>
        <w:rPr>
          <w:rFonts w:hint="eastAsia" w:ascii="仿宋_GB2312" w:hAnsi="宋体" w:eastAsia="仿宋_GB2312" w:cs="Courier New"/>
          <w:b/>
          <w:bCs/>
          <w:color w:val="000000"/>
          <w:w w:val="95"/>
          <w:sz w:val="30"/>
          <w:szCs w:val="30"/>
          <w:highlight w:val="none"/>
        </w:rPr>
        <w:t>项目</w:t>
      </w:r>
      <w:r>
        <w:rPr>
          <w:rFonts w:hint="eastAsia" w:ascii="仿宋_GB2312" w:hAnsi="宋体" w:eastAsia="仿宋_GB2312"/>
          <w:b/>
          <w:bCs/>
          <w:color w:val="000000"/>
          <w:sz w:val="30"/>
          <w:szCs w:val="30"/>
          <w:highlight w:val="none"/>
        </w:rPr>
        <w:t>编号</w:t>
      </w:r>
      <w:r>
        <w:rPr>
          <w:rFonts w:hint="eastAsia" w:ascii="仿宋_GB2312" w:hAnsi="宋体" w:eastAsia="仿宋_GB2312" w:cs="Courier New"/>
          <w:b/>
          <w:bCs/>
          <w:color w:val="000000"/>
          <w:w w:val="95"/>
          <w:sz w:val="30"/>
          <w:szCs w:val="30"/>
          <w:highlight w:val="none"/>
        </w:rPr>
        <w:t>：</w:t>
      </w:r>
      <w:r>
        <w:rPr>
          <w:rFonts w:hint="eastAsia" w:ascii="仿宋_GB2312" w:hAnsi="宋体" w:eastAsia="仿宋_GB2312"/>
          <w:b/>
          <w:color w:val="000000"/>
          <w:sz w:val="30"/>
          <w:szCs w:val="48"/>
          <w:highlight w:val="none"/>
        </w:rPr>
        <w:t xml:space="preserve"> </w:t>
      </w:r>
      <w:r>
        <w:rPr>
          <w:rFonts w:ascii="仿宋_GB2312" w:hAnsi="宋体" w:eastAsia="仿宋_GB2312"/>
          <w:b/>
          <w:color w:val="000000"/>
          <w:sz w:val="30"/>
          <w:szCs w:val="48"/>
          <w:highlight w:val="none"/>
        </w:rPr>
        <w:t>QZZC2025-G1-990046-YZLZ</w:t>
      </w:r>
    </w:p>
    <w:p w14:paraId="56EC346C">
      <w:pPr>
        <w:pStyle w:val="24"/>
        <w:snapToGrid w:val="0"/>
        <w:spacing w:line="360" w:lineRule="auto"/>
        <w:ind w:firstLine="1125" w:firstLineChars="393"/>
        <w:rPr>
          <w:rFonts w:hint="eastAsia" w:ascii="仿宋_GB2312" w:hAnsi="宋体" w:eastAsia="仿宋_GB2312"/>
          <w:b/>
          <w:bCs/>
          <w:color w:val="000000"/>
          <w:w w:val="95"/>
          <w:sz w:val="30"/>
          <w:szCs w:val="30"/>
          <w:highlight w:val="none"/>
        </w:rPr>
      </w:pPr>
      <w:r>
        <w:rPr>
          <w:rFonts w:hint="eastAsia" w:ascii="仿宋_GB2312" w:hAnsi="宋体" w:eastAsia="仿宋_GB2312"/>
          <w:b/>
          <w:bCs/>
          <w:color w:val="000000"/>
          <w:w w:val="95"/>
          <w:sz w:val="30"/>
          <w:szCs w:val="30"/>
          <w:highlight w:val="none"/>
        </w:rPr>
        <w:t>采 购 人：</w:t>
      </w:r>
      <w:r>
        <w:rPr>
          <w:rFonts w:hint="eastAsia" w:ascii="仿宋_GB2312" w:hAnsi="宋体" w:eastAsia="仿宋_GB2312"/>
          <w:b/>
          <w:bCs/>
          <w:color w:val="000000"/>
          <w:sz w:val="30"/>
          <w:szCs w:val="30"/>
          <w:highlight w:val="none"/>
        </w:rPr>
        <w:t>钦州市第二人民医院</w:t>
      </w:r>
    </w:p>
    <w:p w14:paraId="6D21831F">
      <w:pPr>
        <w:pStyle w:val="24"/>
        <w:snapToGrid w:val="0"/>
        <w:spacing w:line="360" w:lineRule="auto"/>
        <w:ind w:firstLine="1125" w:firstLineChars="393"/>
        <w:rPr>
          <w:rFonts w:hint="eastAsia" w:ascii="仿宋_GB2312" w:hAnsi="宋体" w:eastAsia="仿宋_GB2312"/>
          <w:b/>
          <w:bCs/>
          <w:color w:val="000000"/>
          <w:w w:val="95"/>
          <w:sz w:val="30"/>
          <w:szCs w:val="30"/>
          <w:highlight w:val="none"/>
        </w:rPr>
      </w:pPr>
      <w:r>
        <w:rPr>
          <w:rFonts w:hint="eastAsia" w:ascii="仿宋_GB2312" w:hAnsi="宋体" w:eastAsia="仿宋_GB2312"/>
          <w:b/>
          <w:bCs/>
          <w:color w:val="000000"/>
          <w:w w:val="95"/>
          <w:sz w:val="30"/>
          <w:szCs w:val="30"/>
          <w:highlight w:val="none"/>
        </w:rPr>
        <w:t>采购代理机构：云之龙咨询集团有限公司</w:t>
      </w:r>
    </w:p>
    <w:p w14:paraId="6BB90AD6">
      <w:pPr>
        <w:pStyle w:val="24"/>
        <w:snapToGrid w:val="0"/>
        <w:spacing w:line="360" w:lineRule="auto"/>
        <w:ind w:firstLine="1125" w:firstLineChars="393"/>
        <w:rPr>
          <w:rFonts w:hint="eastAsia" w:ascii="仿宋_GB2312" w:hAnsi="宋体" w:eastAsia="仿宋_GB2312"/>
          <w:b/>
          <w:bCs/>
          <w:color w:val="000000"/>
          <w:w w:val="95"/>
          <w:sz w:val="30"/>
          <w:szCs w:val="30"/>
          <w:highlight w:val="none"/>
        </w:rPr>
      </w:pPr>
    </w:p>
    <w:p w14:paraId="551D05E7">
      <w:pPr>
        <w:pStyle w:val="24"/>
        <w:snapToGrid w:val="0"/>
        <w:spacing w:line="360" w:lineRule="auto"/>
        <w:ind w:firstLine="841" w:firstLineChars="294"/>
        <w:rPr>
          <w:rFonts w:hint="eastAsia" w:ascii="仿宋_GB2312" w:hAnsi="宋体" w:eastAsia="仿宋_GB2312"/>
          <w:b/>
          <w:bCs/>
          <w:color w:val="000000"/>
          <w:w w:val="95"/>
          <w:sz w:val="30"/>
          <w:szCs w:val="30"/>
          <w:highlight w:val="none"/>
        </w:rPr>
      </w:pPr>
    </w:p>
    <w:p w14:paraId="2BBD26BF">
      <w:pPr>
        <w:pStyle w:val="24"/>
        <w:snapToGrid w:val="0"/>
        <w:spacing w:line="360" w:lineRule="auto"/>
        <w:ind w:firstLine="841" w:firstLineChars="294"/>
        <w:rPr>
          <w:rFonts w:hint="eastAsia" w:ascii="仿宋_GB2312" w:eastAsia="仿宋_GB2312"/>
          <w:color w:val="000000"/>
          <w:szCs w:val="20"/>
          <w:highlight w:val="none"/>
        </w:rPr>
      </w:pPr>
      <w:r>
        <w:rPr>
          <w:rFonts w:hint="eastAsia" w:ascii="仿宋_GB2312" w:hAnsi="宋体" w:eastAsia="仿宋_GB2312"/>
          <w:b/>
          <w:bCs/>
          <w:color w:val="000000"/>
          <w:w w:val="95"/>
          <w:sz w:val="30"/>
          <w:szCs w:val="30"/>
          <w:highlight w:val="none"/>
        </w:rPr>
        <w:t xml:space="preserve">              2025年</w:t>
      </w:r>
      <w:r>
        <w:rPr>
          <w:rFonts w:hint="eastAsia" w:ascii="仿宋_GB2312" w:hAnsi="宋体" w:eastAsia="仿宋_GB2312"/>
          <w:b/>
          <w:bCs/>
          <w:color w:val="000000"/>
          <w:w w:val="95"/>
          <w:sz w:val="30"/>
          <w:szCs w:val="30"/>
          <w:highlight w:val="none"/>
          <w:lang w:val="en-US" w:eastAsia="zh-CN"/>
        </w:rPr>
        <w:t>4</w:t>
      </w:r>
      <w:r>
        <w:rPr>
          <w:rFonts w:hint="eastAsia" w:ascii="仿宋_GB2312" w:hAnsi="宋体" w:eastAsia="仿宋_GB2312"/>
          <w:b/>
          <w:bCs/>
          <w:color w:val="000000"/>
          <w:w w:val="95"/>
          <w:sz w:val="30"/>
          <w:szCs w:val="30"/>
          <w:highlight w:val="none"/>
        </w:rPr>
        <w:t>月</w:t>
      </w:r>
      <w:r>
        <w:rPr>
          <w:rFonts w:hint="eastAsia" w:ascii="仿宋_GB2312" w:hAnsi="宋体" w:eastAsia="仿宋_GB2312"/>
          <w:b/>
          <w:bCs/>
          <w:color w:val="000000"/>
          <w:w w:val="95"/>
          <w:sz w:val="30"/>
          <w:szCs w:val="30"/>
          <w:highlight w:val="none"/>
          <w:lang w:val="en-US" w:eastAsia="zh-CN"/>
        </w:rPr>
        <w:t>22</w:t>
      </w:r>
      <w:r>
        <w:rPr>
          <w:rFonts w:hint="eastAsia" w:ascii="仿宋_GB2312" w:hAnsi="宋体" w:eastAsia="仿宋_GB2312"/>
          <w:b/>
          <w:bCs/>
          <w:color w:val="000000"/>
          <w:w w:val="95"/>
          <w:sz w:val="30"/>
          <w:szCs w:val="30"/>
          <w:highlight w:val="none"/>
        </w:rPr>
        <w:t>日</w:t>
      </w:r>
    </w:p>
    <w:p w14:paraId="487B8772">
      <w:pPr>
        <w:pStyle w:val="16"/>
        <w:ind w:firstLine="803"/>
        <w:jc w:val="center"/>
        <w:rPr>
          <w:rFonts w:hint="eastAsia" w:ascii="Arial" w:hAnsi="Arial" w:eastAsia="黑体"/>
          <w:bCs/>
          <w:color w:val="000000"/>
          <w:kern w:val="0"/>
          <w:sz w:val="32"/>
          <w:szCs w:val="32"/>
          <w:highlight w:val="none"/>
        </w:rPr>
      </w:pPr>
      <w:r>
        <w:rPr>
          <w:rFonts w:ascii="Arial" w:hAnsi="Arial" w:eastAsia="黑体"/>
          <w:bCs/>
          <w:color w:val="000000"/>
          <w:kern w:val="0"/>
          <w:sz w:val="32"/>
          <w:szCs w:val="32"/>
          <w:highlight w:val="none"/>
        </w:rPr>
        <w:br w:type="page"/>
      </w:r>
    </w:p>
    <w:p w14:paraId="4B9F400D">
      <w:pPr>
        <w:pStyle w:val="16"/>
        <w:ind w:firstLine="803"/>
        <w:jc w:val="center"/>
        <w:rPr>
          <w:b/>
          <w:color w:val="000000"/>
          <w:sz w:val="40"/>
          <w:highlight w:val="none"/>
        </w:rPr>
      </w:pPr>
    </w:p>
    <w:p w14:paraId="13121819">
      <w:pPr>
        <w:pStyle w:val="24"/>
        <w:spacing w:before="120" w:after="120" w:line="360" w:lineRule="auto"/>
        <w:jc w:val="center"/>
        <w:rPr>
          <w:rFonts w:hint="eastAsia" w:ascii="仿宋_GB2312" w:hAnsi="宋体" w:eastAsia="仿宋_GB2312"/>
          <w:color w:val="000000"/>
          <w:highlight w:val="none"/>
        </w:rPr>
      </w:pPr>
    </w:p>
    <w:p w14:paraId="31E9789C">
      <w:pPr>
        <w:spacing w:line="360" w:lineRule="auto"/>
        <w:jc w:val="center"/>
        <w:rPr>
          <w:rFonts w:hint="eastAsia" w:ascii="宋体" w:hAnsi="宋体"/>
          <w:b/>
          <w:color w:val="000000"/>
          <w:sz w:val="44"/>
          <w:szCs w:val="44"/>
          <w:highlight w:val="none"/>
        </w:rPr>
      </w:pPr>
      <w:r>
        <w:rPr>
          <w:rFonts w:hint="eastAsia" w:ascii="宋体" w:hAnsi="宋体"/>
          <w:b/>
          <w:color w:val="000000"/>
          <w:sz w:val="44"/>
          <w:szCs w:val="44"/>
          <w:highlight w:val="none"/>
        </w:rPr>
        <w:t>目  录</w:t>
      </w:r>
    </w:p>
    <w:p w14:paraId="0B8699D8">
      <w:pPr>
        <w:pStyle w:val="32"/>
        <w:rPr>
          <w:rFonts w:ascii="Calibri" w:hAnsi="Calibri"/>
          <w:b w:val="0"/>
          <w:bCs w:val="0"/>
          <w:caps w:val="0"/>
          <w:color w:val="000000"/>
          <w:sz w:val="21"/>
          <w:szCs w:val="22"/>
          <w:highlight w:val="none"/>
          <w:lang w:val="en-US" w:eastAsia="zh-CN"/>
        </w:rPr>
      </w:pPr>
      <w:r>
        <w:rPr>
          <w:rFonts w:ascii="仿宋_GB2312" w:eastAsia="仿宋_GB2312"/>
          <w:b w:val="0"/>
          <w:color w:val="000000"/>
          <w:highlight w:val="none"/>
        </w:rPr>
        <w:fldChar w:fldCharType="begin"/>
      </w:r>
      <w:r>
        <w:rPr>
          <w:rFonts w:ascii="仿宋_GB2312" w:eastAsia="仿宋_GB2312"/>
          <w:b w:val="0"/>
          <w:color w:val="000000"/>
          <w:highlight w:val="none"/>
        </w:rPr>
        <w:instrText xml:space="preserve"> </w:instrText>
      </w:r>
      <w:r>
        <w:rPr>
          <w:rFonts w:hint="eastAsia" w:ascii="仿宋_GB2312" w:eastAsia="仿宋_GB2312"/>
          <w:b w:val="0"/>
          <w:color w:val="000000"/>
          <w:highlight w:val="none"/>
        </w:rPr>
        <w:instrText xml:space="preserve">TOC \o "1-2" \h \z \u</w:instrText>
      </w:r>
      <w:r>
        <w:rPr>
          <w:rFonts w:ascii="仿宋_GB2312" w:eastAsia="仿宋_GB2312"/>
          <w:b w:val="0"/>
          <w:color w:val="000000"/>
          <w:highlight w:val="none"/>
        </w:rPr>
        <w:instrText xml:space="preserve"> </w:instrText>
      </w:r>
      <w:r>
        <w:rPr>
          <w:rFonts w:ascii="仿宋_GB2312" w:eastAsia="仿宋_GB2312"/>
          <w:b w:val="0"/>
          <w:color w:val="000000"/>
          <w:highlight w:val="none"/>
        </w:rPr>
        <w:fldChar w:fldCharType="separate"/>
      </w:r>
      <w:r>
        <w:rPr>
          <w:rStyle w:val="57"/>
          <w:color w:val="000000"/>
          <w:highlight w:val="none"/>
        </w:rPr>
        <w:fldChar w:fldCharType="begin"/>
      </w:r>
      <w:r>
        <w:rPr>
          <w:rStyle w:val="57"/>
          <w:color w:val="000000"/>
          <w:highlight w:val="none"/>
        </w:rPr>
        <w:instrText xml:space="preserve"> </w:instrText>
      </w:r>
      <w:r>
        <w:rPr>
          <w:color w:val="000000"/>
          <w:highlight w:val="none"/>
        </w:rPr>
        <w:instrText xml:space="preserve">HYPERLINK \l "_Toc74320800"</w:instrText>
      </w:r>
      <w:r>
        <w:rPr>
          <w:rStyle w:val="57"/>
          <w:color w:val="000000"/>
          <w:highlight w:val="none"/>
        </w:rPr>
        <w:instrText xml:space="preserve"> </w:instrText>
      </w:r>
      <w:r>
        <w:rPr>
          <w:rStyle w:val="57"/>
          <w:color w:val="000000"/>
          <w:highlight w:val="none"/>
        </w:rPr>
        <w:fldChar w:fldCharType="separate"/>
      </w:r>
      <w:r>
        <w:rPr>
          <w:rStyle w:val="57"/>
          <w:rFonts w:hint="eastAsia"/>
          <w:color w:val="000000"/>
          <w:highlight w:val="none"/>
        </w:rPr>
        <w:t>第一章</w:t>
      </w:r>
      <w:r>
        <w:rPr>
          <w:rStyle w:val="57"/>
          <w:color w:val="000000"/>
          <w:highlight w:val="none"/>
        </w:rPr>
        <w:t xml:space="preserve"> </w:t>
      </w:r>
      <w:r>
        <w:rPr>
          <w:rStyle w:val="57"/>
          <w:rFonts w:hint="eastAsia"/>
          <w:color w:val="000000"/>
          <w:highlight w:val="none"/>
          <w:lang w:val="en-US" w:eastAsia="zh-CN"/>
        </w:rPr>
        <w:t xml:space="preserve"> </w:t>
      </w:r>
      <w:r>
        <w:rPr>
          <w:rStyle w:val="57"/>
          <w:rFonts w:hint="eastAsia"/>
          <w:color w:val="000000"/>
          <w:highlight w:val="none"/>
        </w:rPr>
        <w:t>招标公告</w:t>
      </w:r>
      <w:r>
        <w:rPr>
          <w:color w:val="000000"/>
          <w:highlight w:val="none"/>
        </w:rPr>
        <w:tab/>
      </w:r>
      <w:r>
        <w:rPr>
          <w:color w:val="000000"/>
          <w:highlight w:val="none"/>
        </w:rPr>
        <w:fldChar w:fldCharType="begin"/>
      </w:r>
      <w:r>
        <w:rPr>
          <w:color w:val="000000"/>
          <w:highlight w:val="none"/>
        </w:rPr>
        <w:instrText xml:space="preserve"> PAGEREF _Toc74320800 \h </w:instrText>
      </w:r>
      <w:r>
        <w:rPr>
          <w:color w:val="000000"/>
          <w:highlight w:val="none"/>
        </w:rPr>
        <w:fldChar w:fldCharType="separate"/>
      </w:r>
      <w:r>
        <w:rPr>
          <w:color w:val="000000"/>
          <w:highlight w:val="none"/>
        </w:rPr>
        <w:t>3</w:t>
      </w:r>
      <w:r>
        <w:rPr>
          <w:color w:val="000000"/>
          <w:highlight w:val="none"/>
        </w:rPr>
        <w:fldChar w:fldCharType="end"/>
      </w:r>
      <w:r>
        <w:rPr>
          <w:rStyle w:val="57"/>
          <w:color w:val="000000"/>
          <w:highlight w:val="none"/>
        </w:rPr>
        <w:fldChar w:fldCharType="end"/>
      </w:r>
    </w:p>
    <w:p w14:paraId="30202167">
      <w:pPr>
        <w:pStyle w:val="32"/>
        <w:ind w:firstLine="241"/>
        <w:rPr>
          <w:rFonts w:ascii="Calibri" w:hAnsi="Calibri"/>
          <w:b w:val="0"/>
          <w:bCs w:val="0"/>
          <w:caps w:val="0"/>
          <w:color w:val="000000"/>
          <w:sz w:val="21"/>
          <w:szCs w:val="22"/>
          <w:highlight w:val="none"/>
          <w:lang w:val="en-US" w:eastAsia="zh-CN"/>
        </w:rPr>
      </w:pPr>
      <w:r>
        <w:rPr>
          <w:rStyle w:val="57"/>
          <w:color w:val="000000"/>
          <w:highlight w:val="none"/>
        </w:rPr>
        <w:fldChar w:fldCharType="begin"/>
      </w:r>
      <w:r>
        <w:rPr>
          <w:rStyle w:val="57"/>
          <w:color w:val="000000"/>
          <w:highlight w:val="none"/>
        </w:rPr>
        <w:instrText xml:space="preserve"> </w:instrText>
      </w:r>
      <w:r>
        <w:rPr>
          <w:color w:val="000000"/>
          <w:highlight w:val="none"/>
        </w:rPr>
        <w:instrText xml:space="preserve">HYPERLINK \l "_Toc74320801"</w:instrText>
      </w:r>
      <w:r>
        <w:rPr>
          <w:rStyle w:val="57"/>
          <w:color w:val="000000"/>
          <w:highlight w:val="none"/>
        </w:rPr>
        <w:instrText xml:space="preserve"> </w:instrText>
      </w:r>
      <w:r>
        <w:rPr>
          <w:rStyle w:val="57"/>
          <w:color w:val="000000"/>
          <w:highlight w:val="none"/>
        </w:rPr>
        <w:fldChar w:fldCharType="separate"/>
      </w:r>
      <w:r>
        <w:rPr>
          <w:rStyle w:val="57"/>
          <w:rFonts w:hint="eastAsia"/>
          <w:color w:val="000000"/>
          <w:highlight w:val="none"/>
        </w:rPr>
        <w:t>第二章</w:t>
      </w:r>
      <w:r>
        <w:rPr>
          <w:rStyle w:val="57"/>
          <w:color w:val="000000"/>
          <w:highlight w:val="none"/>
        </w:rPr>
        <w:t xml:space="preserve">  </w:t>
      </w:r>
      <w:r>
        <w:rPr>
          <w:rStyle w:val="57"/>
          <w:rFonts w:hint="eastAsia"/>
          <w:color w:val="000000"/>
          <w:highlight w:val="none"/>
        </w:rPr>
        <w:t>采购需求</w:t>
      </w:r>
      <w:r>
        <w:rPr>
          <w:color w:val="000000"/>
          <w:highlight w:val="none"/>
        </w:rPr>
        <w:tab/>
      </w:r>
      <w:r>
        <w:rPr>
          <w:color w:val="000000"/>
          <w:highlight w:val="none"/>
        </w:rPr>
        <w:fldChar w:fldCharType="begin"/>
      </w:r>
      <w:r>
        <w:rPr>
          <w:color w:val="000000"/>
          <w:highlight w:val="none"/>
        </w:rPr>
        <w:instrText xml:space="preserve"> PAGEREF _Toc74320801 \h </w:instrText>
      </w:r>
      <w:r>
        <w:rPr>
          <w:color w:val="000000"/>
          <w:highlight w:val="none"/>
        </w:rPr>
        <w:fldChar w:fldCharType="separate"/>
      </w:r>
      <w:r>
        <w:rPr>
          <w:color w:val="000000"/>
          <w:highlight w:val="none"/>
        </w:rPr>
        <w:t>7</w:t>
      </w:r>
      <w:r>
        <w:rPr>
          <w:color w:val="000000"/>
          <w:highlight w:val="none"/>
        </w:rPr>
        <w:fldChar w:fldCharType="end"/>
      </w:r>
      <w:r>
        <w:rPr>
          <w:rStyle w:val="57"/>
          <w:color w:val="000000"/>
          <w:highlight w:val="none"/>
        </w:rPr>
        <w:fldChar w:fldCharType="end"/>
      </w:r>
    </w:p>
    <w:p w14:paraId="1418F521">
      <w:pPr>
        <w:pStyle w:val="32"/>
        <w:ind w:firstLine="241"/>
        <w:rPr>
          <w:rFonts w:ascii="Calibri" w:hAnsi="Calibri"/>
          <w:b w:val="0"/>
          <w:bCs w:val="0"/>
          <w:caps w:val="0"/>
          <w:color w:val="000000"/>
          <w:sz w:val="21"/>
          <w:szCs w:val="22"/>
          <w:highlight w:val="none"/>
          <w:lang w:val="en-US" w:eastAsia="zh-CN"/>
        </w:rPr>
      </w:pPr>
      <w:r>
        <w:rPr>
          <w:rStyle w:val="57"/>
          <w:color w:val="000000"/>
          <w:highlight w:val="none"/>
        </w:rPr>
        <w:fldChar w:fldCharType="begin"/>
      </w:r>
      <w:r>
        <w:rPr>
          <w:rStyle w:val="57"/>
          <w:color w:val="000000"/>
          <w:highlight w:val="none"/>
        </w:rPr>
        <w:instrText xml:space="preserve"> </w:instrText>
      </w:r>
      <w:r>
        <w:rPr>
          <w:color w:val="000000"/>
          <w:highlight w:val="none"/>
        </w:rPr>
        <w:instrText xml:space="preserve">HYPERLINK \l "_Toc74320802"</w:instrText>
      </w:r>
      <w:r>
        <w:rPr>
          <w:rStyle w:val="57"/>
          <w:color w:val="000000"/>
          <w:highlight w:val="none"/>
        </w:rPr>
        <w:instrText xml:space="preserve"> </w:instrText>
      </w:r>
      <w:r>
        <w:rPr>
          <w:rStyle w:val="57"/>
          <w:color w:val="000000"/>
          <w:highlight w:val="none"/>
        </w:rPr>
        <w:fldChar w:fldCharType="separate"/>
      </w:r>
      <w:r>
        <w:rPr>
          <w:rStyle w:val="57"/>
          <w:rFonts w:hint="eastAsia"/>
          <w:color w:val="000000"/>
          <w:highlight w:val="none"/>
        </w:rPr>
        <w:t>第三章</w:t>
      </w:r>
      <w:r>
        <w:rPr>
          <w:rStyle w:val="57"/>
          <w:color w:val="000000"/>
          <w:highlight w:val="none"/>
        </w:rPr>
        <w:t xml:space="preserve">  </w:t>
      </w:r>
      <w:r>
        <w:rPr>
          <w:rStyle w:val="57"/>
          <w:rFonts w:hint="eastAsia"/>
          <w:color w:val="000000"/>
          <w:highlight w:val="none"/>
        </w:rPr>
        <w:t>投标人须</w:t>
      </w:r>
      <w:bookmarkStart w:id="0" w:name="_Hlt79572744"/>
      <w:bookmarkStart w:id="1" w:name="_Hlt79572745"/>
      <w:r>
        <w:rPr>
          <w:rStyle w:val="57"/>
          <w:rFonts w:hint="eastAsia"/>
          <w:color w:val="000000"/>
          <w:highlight w:val="none"/>
        </w:rPr>
        <w:t>知</w:t>
      </w:r>
      <w:bookmarkEnd w:id="0"/>
      <w:bookmarkEnd w:id="1"/>
      <w:r>
        <w:rPr>
          <w:color w:val="000000"/>
          <w:highlight w:val="none"/>
        </w:rPr>
        <w:tab/>
      </w:r>
      <w:r>
        <w:rPr>
          <w:color w:val="000000"/>
          <w:highlight w:val="none"/>
        </w:rPr>
        <w:fldChar w:fldCharType="begin"/>
      </w:r>
      <w:r>
        <w:rPr>
          <w:color w:val="000000"/>
          <w:highlight w:val="none"/>
        </w:rPr>
        <w:instrText xml:space="preserve"> PAGEREF _Toc74320802 \h </w:instrText>
      </w:r>
      <w:r>
        <w:rPr>
          <w:color w:val="000000"/>
          <w:highlight w:val="none"/>
        </w:rPr>
        <w:fldChar w:fldCharType="separate"/>
      </w:r>
      <w:r>
        <w:rPr>
          <w:color w:val="000000"/>
          <w:highlight w:val="none"/>
        </w:rPr>
        <w:t>49</w:t>
      </w:r>
      <w:r>
        <w:rPr>
          <w:color w:val="000000"/>
          <w:highlight w:val="none"/>
        </w:rPr>
        <w:fldChar w:fldCharType="end"/>
      </w:r>
      <w:r>
        <w:rPr>
          <w:rStyle w:val="57"/>
          <w:color w:val="000000"/>
          <w:highlight w:val="none"/>
        </w:rPr>
        <w:fldChar w:fldCharType="end"/>
      </w:r>
    </w:p>
    <w:p w14:paraId="3798567B">
      <w:pPr>
        <w:pStyle w:val="32"/>
        <w:ind w:firstLine="241"/>
        <w:rPr>
          <w:rFonts w:ascii="Calibri" w:hAnsi="Calibri"/>
          <w:b w:val="0"/>
          <w:bCs w:val="0"/>
          <w:caps w:val="0"/>
          <w:color w:val="000000"/>
          <w:sz w:val="21"/>
          <w:szCs w:val="22"/>
          <w:highlight w:val="none"/>
          <w:lang w:val="en-US" w:eastAsia="zh-CN"/>
        </w:rPr>
      </w:pPr>
      <w:r>
        <w:rPr>
          <w:rStyle w:val="57"/>
          <w:color w:val="000000"/>
          <w:highlight w:val="none"/>
        </w:rPr>
        <w:fldChar w:fldCharType="begin"/>
      </w:r>
      <w:r>
        <w:rPr>
          <w:rStyle w:val="57"/>
          <w:color w:val="000000"/>
          <w:highlight w:val="none"/>
        </w:rPr>
        <w:instrText xml:space="preserve"> </w:instrText>
      </w:r>
      <w:r>
        <w:rPr>
          <w:color w:val="000000"/>
          <w:highlight w:val="none"/>
        </w:rPr>
        <w:instrText xml:space="preserve">HYPERLINK \l "_Toc74320803"</w:instrText>
      </w:r>
      <w:r>
        <w:rPr>
          <w:rStyle w:val="57"/>
          <w:color w:val="000000"/>
          <w:highlight w:val="none"/>
        </w:rPr>
        <w:instrText xml:space="preserve"> </w:instrText>
      </w:r>
      <w:r>
        <w:rPr>
          <w:rStyle w:val="57"/>
          <w:color w:val="000000"/>
          <w:highlight w:val="none"/>
        </w:rPr>
        <w:fldChar w:fldCharType="separate"/>
      </w:r>
      <w:r>
        <w:rPr>
          <w:rStyle w:val="57"/>
          <w:rFonts w:hint="eastAsia"/>
          <w:color w:val="000000"/>
          <w:highlight w:val="none"/>
        </w:rPr>
        <w:t>第四章</w:t>
      </w:r>
      <w:r>
        <w:rPr>
          <w:rStyle w:val="57"/>
          <w:color w:val="000000"/>
          <w:highlight w:val="none"/>
        </w:rPr>
        <w:t xml:space="preserve">  </w:t>
      </w:r>
      <w:r>
        <w:rPr>
          <w:rStyle w:val="57"/>
          <w:rFonts w:hint="eastAsia"/>
          <w:color w:val="000000"/>
          <w:highlight w:val="none"/>
        </w:rPr>
        <w:t>评标方</w:t>
      </w:r>
      <w:bookmarkStart w:id="2" w:name="_Hlt82186274"/>
      <w:bookmarkStart w:id="3" w:name="_Hlt82186273"/>
      <w:r>
        <w:rPr>
          <w:rStyle w:val="57"/>
          <w:rFonts w:hint="eastAsia"/>
          <w:color w:val="000000"/>
          <w:highlight w:val="none"/>
        </w:rPr>
        <w:t>法</w:t>
      </w:r>
      <w:bookmarkEnd w:id="2"/>
      <w:bookmarkEnd w:id="3"/>
      <w:r>
        <w:rPr>
          <w:rStyle w:val="57"/>
          <w:rFonts w:hint="eastAsia"/>
          <w:color w:val="000000"/>
          <w:highlight w:val="none"/>
        </w:rPr>
        <w:t>及评标标准</w:t>
      </w:r>
      <w:r>
        <w:rPr>
          <w:color w:val="000000"/>
          <w:highlight w:val="none"/>
        </w:rPr>
        <w:tab/>
      </w:r>
      <w:r>
        <w:rPr>
          <w:color w:val="000000"/>
          <w:highlight w:val="none"/>
        </w:rPr>
        <w:fldChar w:fldCharType="begin"/>
      </w:r>
      <w:r>
        <w:rPr>
          <w:color w:val="000000"/>
          <w:highlight w:val="none"/>
        </w:rPr>
        <w:instrText xml:space="preserve"> PAGEREF _Toc74320803 \h </w:instrText>
      </w:r>
      <w:r>
        <w:rPr>
          <w:color w:val="000000"/>
          <w:highlight w:val="none"/>
        </w:rPr>
        <w:fldChar w:fldCharType="separate"/>
      </w:r>
      <w:r>
        <w:rPr>
          <w:color w:val="000000"/>
          <w:highlight w:val="none"/>
        </w:rPr>
        <w:t>72</w:t>
      </w:r>
      <w:r>
        <w:rPr>
          <w:color w:val="000000"/>
          <w:highlight w:val="none"/>
        </w:rPr>
        <w:fldChar w:fldCharType="end"/>
      </w:r>
      <w:r>
        <w:rPr>
          <w:rStyle w:val="57"/>
          <w:color w:val="000000"/>
          <w:highlight w:val="none"/>
        </w:rPr>
        <w:fldChar w:fldCharType="end"/>
      </w:r>
    </w:p>
    <w:p w14:paraId="41AF486C">
      <w:pPr>
        <w:pStyle w:val="32"/>
        <w:ind w:firstLine="241"/>
        <w:rPr>
          <w:rFonts w:ascii="Calibri" w:hAnsi="Calibri"/>
          <w:b w:val="0"/>
          <w:bCs w:val="0"/>
          <w:caps w:val="0"/>
          <w:color w:val="000000"/>
          <w:sz w:val="21"/>
          <w:szCs w:val="22"/>
          <w:highlight w:val="none"/>
          <w:lang w:val="en-US" w:eastAsia="zh-CN"/>
        </w:rPr>
      </w:pPr>
      <w:r>
        <w:rPr>
          <w:rStyle w:val="57"/>
          <w:color w:val="000000"/>
          <w:highlight w:val="none"/>
        </w:rPr>
        <w:fldChar w:fldCharType="begin"/>
      </w:r>
      <w:r>
        <w:rPr>
          <w:rStyle w:val="57"/>
          <w:color w:val="000000"/>
          <w:highlight w:val="none"/>
        </w:rPr>
        <w:instrText xml:space="preserve"> </w:instrText>
      </w:r>
      <w:r>
        <w:rPr>
          <w:color w:val="000000"/>
          <w:highlight w:val="none"/>
        </w:rPr>
        <w:instrText xml:space="preserve">HYPERLINK \l "_Toc74320804"</w:instrText>
      </w:r>
      <w:r>
        <w:rPr>
          <w:rStyle w:val="57"/>
          <w:color w:val="000000"/>
          <w:highlight w:val="none"/>
        </w:rPr>
        <w:instrText xml:space="preserve"> </w:instrText>
      </w:r>
      <w:r>
        <w:rPr>
          <w:rStyle w:val="57"/>
          <w:color w:val="000000"/>
          <w:highlight w:val="none"/>
        </w:rPr>
        <w:fldChar w:fldCharType="separate"/>
      </w:r>
      <w:r>
        <w:rPr>
          <w:rStyle w:val="57"/>
          <w:rFonts w:hint="eastAsia"/>
          <w:color w:val="000000"/>
          <w:highlight w:val="none"/>
        </w:rPr>
        <w:t>第五章</w:t>
      </w:r>
      <w:r>
        <w:rPr>
          <w:rStyle w:val="57"/>
          <w:color w:val="000000"/>
          <w:highlight w:val="none"/>
        </w:rPr>
        <w:t xml:space="preserve">  </w:t>
      </w:r>
      <w:r>
        <w:rPr>
          <w:rStyle w:val="57"/>
          <w:rFonts w:hint="eastAsia"/>
          <w:color w:val="000000"/>
          <w:highlight w:val="none"/>
        </w:rPr>
        <w:t>拟签订的合同文本</w:t>
      </w:r>
      <w:r>
        <w:rPr>
          <w:color w:val="000000"/>
          <w:highlight w:val="none"/>
        </w:rPr>
        <w:tab/>
      </w:r>
      <w:r>
        <w:rPr>
          <w:color w:val="000000"/>
          <w:highlight w:val="none"/>
        </w:rPr>
        <w:fldChar w:fldCharType="begin"/>
      </w:r>
      <w:r>
        <w:rPr>
          <w:color w:val="000000"/>
          <w:highlight w:val="none"/>
        </w:rPr>
        <w:instrText xml:space="preserve"> PAGEREF _Toc74320804 \h </w:instrText>
      </w:r>
      <w:r>
        <w:rPr>
          <w:color w:val="000000"/>
          <w:highlight w:val="none"/>
        </w:rPr>
        <w:fldChar w:fldCharType="separate"/>
      </w:r>
      <w:r>
        <w:rPr>
          <w:color w:val="000000"/>
          <w:highlight w:val="none"/>
        </w:rPr>
        <w:t>80</w:t>
      </w:r>
      <w:r>
        <w:rPr>
          <w:color w:val="000000"/>
          <w:highlight w:val="none"/>
        </w:rPr>
        <w:fldChar w:fldCharType="end"/>
      </w:r>
      <w:r>
        <w:rPr>
          <w:rStyle w:val="57"/>
          <w:color w:val="000000"/>
          <w:highlight w:val="none"/>
        </w:rPr>
        <w:fldChar w:fldCharType="end"/>
      </w:r>
    </w:p>
    <w:p w14:paraId="5B47FA89">
      <w:pPr>
        <w:pStyle w:val="32"/>
        <w:ind w:firstLine="241"/>
        <w:rPr>
          <w:rFonts w:ascii="Calibri" w:hAnsi="Calibri"/>
          <w:b w:val="0"/>
          <w:bCs w:val="0"/>
          <w:caps w:val="0"/>
          <w:color w:val="000000"/>
          <w:sz w:val="21"/>
          <w:szCs w:val="22"/>
          <w:highlight w:val="none"/>
          <w:lang w:val="en-US" w:eastAsia="zh-CN"/>
        </w:rPr>
      </w:pPr>
      <w:r>
        <w:rPr>
          <w:rStyle w:val="57"/>
          <w:color w:val="000000"/>
          <w:highlight w:val="none"/>
        </w:rPr>
        <w:fldChar w:fldCharType="begin"/>
      </w:r>
      <w:r>
        <w:rPr>
          <w:rStyle w:val="57"/>
          <w:color w:val="000000"/>
          <w:highlight w:val="none"/>
        </w:rPr>
        <w:instrText xml:space="preserve"> </w:instrText>
      </w:r>
      <w:r>
        <w:rPr>
          <w:color w:val="000000"/>
          <w:highlight w:val="none"/>
        </w:rPr>
        <w:instrText xml:space="preserve">HYPERLINK \l "_Toc74320805"</w:instrText>
      </w:r>
      <w:r>
        <w:rPr>
          <w:rStyle w:val="57"/>
          <w:color w:val="000000"/>
          <w:highlight w:val="none"/>
        </w:rPr>
        <w:instrText xml:space="preserve"> </w:instrText>
      </w:r>
      <w:r>
        <w:rPr>
          <w:rStyle w:val="57"/>
          <w:color w:val="000000"/>
          <w:highlight w:val="none"/>
        </w:rPr>
        <w:fldChar w:fldCharType="separate"/>
      </w:r>
      <w:r>
        <w:rPr>
          <w:rStyle w:val="57"/>
          <w:rFonts w:hint="eastAsia"/>
          <w:color w:val="000000"/>
          <w:highlight w:val="none"/>
        </w:rPr>
        <w:t>第六章　投标文件格式</w:t>
      </w:r>
      <w:r>
        <w:rPr>
          <w:color w:val="000000"/>
          <w:highlight w:val="none"/>
        </w:rPr>
        <w:tab/>
      </w:r>
      <w:r>
        <w:rPr>
          <w:color w:val="000000"/>
          <w:highlight w:val="none"/>
        </w:rPr>
        <w:fldChar w:fldCharType="begin"/>
      </w:r>
      <w:r>
        <w:rPr>
          <w:color w:val="000000"/>
          <w:highlight w:val="none"/>
        </w:rPr>
        <w:instrText xml:space="preserve"> PAGEREF _Toc74320805 \h </w:instrText>
      </w:r>
      <w:r>
        <w:rPr>
          <w:color w:val="000000"/>
          <w:highlight w:val="none"/>
        </w:rPr>
        <w:fldChar w:fldCharType="separate"/>
      </w:r>
      <w:r>
        <w:rPr>
          <w:color w:val="000000"/>
          <w:highlight w:val="none"/>
        </w:rPr>
        <w:t>89</w:t>
      </w:r>
      <w:r>
        <w:rPr>
          <w:color w:val="000000"/>
          <w:highlight w:val="none"/>
        </w:rPr>
        <w:fldChar w:fldCharType="end"/>
      </w:r>
      <w:r>
        <w:rPr>
          <w:rStyle w:val="57"/>
          <w:color w:val="000000"/>
          <w:highlight w:val="none"/>
        </w:rPr>
        <w:fldChar w:fldCharType="end"/>
      </w:r>
    </w:p>
    <w:p w14:paraId="7F9C92A8">
      <w:pPr>
        <w:spacing w:before="120" w:beforeLines="50" w:line="480" w:lineRule="exact"/>
        <w:rPr>
          <w:rFonts w:hint="eastAsia" w:ascii="仿宋_GB2312" w:hAnsi="宋体" w:eastAsia="仿宋_GB2312"/>
          <w:color w:val="000000"/>
          <w:sz w:val="24"/>
          <w:highlight w:val="none"/>
        </w:rPr>
      </w:pPr>
      <w:r>
        <w:rPr>
          <w:rFonts w:ascii="仿宋_GB2312" w:hAnsi="宋体" w:eastAsia="仿宋_GB2312"/>
          <w:b/>
          <w:color w:val="000000"/>
          <w:sz w:val="24"/>
          <w:highlight w:val="none"/>
        </w:rPr>
        <w:fldChar w:fldCharType="end"/>
      </w:r>
    </w:p>
    <w:p w14:paraId="35A1B94D">
      <w:pPr>
        <w:spacing w:before="120" w:beforeLines="50" w:line="480" w:lineRule="exact"/>
        <w:rPr>
          <w:rFonts w:hint="eastAsia" w:ascii="仿宋_GB2312" w:hAnsi="宋体" w:eastAsia="仿宋_GB2312"/>
          <w:color w:val="000000"/>
          <w:sz w:val="30"/>
          <w:highlight w:val="none"/>
        </w:rPr>
      </w:pPr>
    </w:p>
    <w:p w14:paraId="21A6D440">
      <w:pPr>
        <w:rPr>
          <w:rFonts w:hint="eastAsia"/>
          <w:color w:val="000000"/>
          <w:highlight w:val="none"/>
        </w:rPr>
      </w:pPr>
    </w:p>
    <w:p w14:paraId="6BADA8B9">
      <w:pPr>
        <w:spacing w:before="120" w:beforeLines="50" w:line="480" w:lineRule="exact"/>
        <w:rPr>
          <w:rFonts w:hint="eastAsia" w:ascii="仿宋_GB2312" w:hAnsi="宋体" w:eastAsia="仿宋_GB2312"/>
          <w:color w:val="000000"/>
          <w:sz w:val="30"/>
          <w:highlight w:val="none"/>
        </w:rPr>
      </w:pPr>
    </w:p>
    <w:p w14:paraId="319001AE">
      <w:pPr>
        <w:spacing w:before="120" w:beforeLines="50" w:line="480" w:lineRule="exact"/>
        <w:rPr>
          <w:rFonts w:hint="eastAsia" w:ascii="仿宋_GB2312" w:hAnsi="宋体" w:eastAsia="仿宋_GB2312"/>
          <w:color w:val="000000"/>
          <w:sz w:val="30"/>
          <w:highlight w:val="none"/>
        </w:rPr>
      </w:pPr>
    </w:p>
    <w:p w14:paraId="7636922F">
      <w:pPr>
        <w:pStyle w:val="16"/>
        <w:rPr>
          <w:rFonts w:hint="eastAsia" w:ascii="宋体" w:hAnsi="宋体" w:cs="宋体"/>
          <w:b/>
          <w:bCs/>
          <w:color w:val="000000"/>
          <w:highlight w:val="none"/>
        </w:rPr>
      </w:pPr>
      <w:bookmarkStart w:id="4" w:name="_Toc254970630"/>
      <w:bookmarkStart w:id="5" w:name="_Toc254970489"/>
    </w:p>
    <w:p w14:paraId="061FCC16">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color w:val="000000"/>
          <w:highlight w:val="none"/>
        </w:rPr>
      </w:pPr>
      <w:bookmarkStart w:id="160" w:name="_GoBack"/>
      <w:bookmarkEnd w:id="160"/>
      <w:r>
        <w:rPr>
          <w:rFonts w:ascii="宋体" w:hAnsi="宋体" w:cs="宋体"/>
          <w:b w:val="0"/>
          <w:bCs w:val="0"/>
          <w:color w:val="000000"/>
          <w:highlight w:val="none"/>
        </w:rPr>
        <w:br w:type="page"/>
      </w:r>
      <w:bookmarkStart w:id="6" w:name="_Toc74320800"/>
      <w:r>
        <w:rPr>
          <w:rFonts w:hint="eastAsia"/>
          <w:color w:val="000000"/>
          <w:highlight w:val="none"/>
        </w:rPr>
        <w:t>第一章</w:t>
      </w:r>
      <w:bookmarkEnd w:id="4"/>
      <w:bookmarkEnd w:id="5"/>
      <w:bookmarkStart w:id="7" w:name="_Toc35393789"/>
      <w:bookmarkStart w:id="8" w:name="_Toc28359001"/>
      <w:r>
        <w:rPr>
          <w:rFonts w:hint="eastAsia"/>
          <w:color w:val="000000"/>
          <w:highlight w:val="none"/>
        </w:rPr>
        <w:t xml:space="preserve"> 招标公告</w:t>
      </w:r>
      <w:bookmarkEnd w:id="6"/>
      <w:bookmarkEnd w:id="7"/>
      <w:bookmarkEnd w:id="8"/>
    </w:p>
    <w:p w14:paraId="0765AAFD">
      <w:pPr>
        <w:spacing w:line="360" w:lineRule="auto"/>
        <w:rPr>
          <w:rFonts w:ascii="宋体" w:hAnsi="宋体"/>
          <w:color w:val="000000"/>
          <w:szCs w:val="21"/>
          <w:highlight w:val="none"/>
        </w:rPr>
      </w:pPr>
    </w:p>
    <w:p w14:paraId="62BF7956">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8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项目概况</w:t>
      </w:r>
    </w:p>
    <w:p w14:paraId="715CF6B3">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80" w:lineRule="exact"/>
        <w:ind w:firstLine="420" w:firstLineChars="200"/>
        <w:textAlignment w:val="auto"/>
        <w:rPr>
          <w:rFonts w:ascii="宋体" w:hAnsi="宋体"/>
          <w:color w:val="000000"/>
          <w:szCs w:val="21"/>
          <w:highlight w:val="none"/>
          <w:u w:val="single"/>
        </w:rPr>
      </w:pPr>
      <w:r>
        <w:rPr>
          <w:rFonts w:hint="eastAsia" w:ascii="宋体" w:hAnsi="宋体"/>
          <w:color w:val="000000"/>
          <w:szCs w:val="21"/>
          <w:highlight w:val="none"/>
          <w:u w:val="single"/>
        </w:rPr>
        <w:t>钦州市第二人民医院气压喷液仪等医疗设备采购</w:t>
      </w:r>
      <w:r>
        <w:rPr>
          <w:rFonts w:hint="eastAsia" w:ascii="宋体" w:hAnsi="宋体"/>
          <w:color w:val="000000"/>
          <w:szCs w:val="21"/>
          <w:highlight w:val="none"/>
        </w:rPr>
        <w:t xml:space="preserve"> 招标项目的潜在投标人应在广西政府采购云平台（</w:t>
      </w:r>
      <w:r>
        <w:rPr>
          <w:rFonts w:hint="eastAsia" w:ascii="宋体" w:hAnsi="宋体"/>
          <w:bCs/>
          <w:color w:val="000000"/>
          <w:szCs w:val="21"/>
          <w:highlight w:val="none"/>
        </w:rPr>
        <w:t>https：//www.gcy.zfcg.gxzf.gov.cn/</w:t>
      </w:r>
      <w:r>
        <w:rPr>
          <w:rFonts w:hint="eastAsia" w:ascii="宋体" w:hAnsi="宋体"/>
          <w:color w:val="000000"/>
          <w:szCs w:val="21"/>
          <w:highlight w:val="none"/>
        </w:rPr>
        <w:t>）获取（下载）招标文件，并于</w:t>
      </w:r>
      <w:r>
        <w:rPr>
          <w:rFonts w:hint="eastAsia" w:ascii="宋体" w:hAnsi="宋体"/>
          <w:color w:val="000000"/>
          <w:szCs w:val="21"/>
          <w:highlight w:val="none"/>
          <w:u w:val="single"/>
        </w:rPr>
        <w:t>2025</w:t>
      </w:r>
      <w:r>
        <w:rPr>
          <w:rFonts w:hint="eastAsia" w:ascii="宋体" w:hAnsi="宋体"/>
          <w:bCs/>
          <w:color w:val="000000"/>
          <w:szCs w:val="21"/>
          <w:highlight w:val="none"/>
          <w:u w:val="single"/>
        </w:rPr>
        <w:t xml:space="preserve">年 </w:t>
      </w:r>
      <w:r>
        <w:rPr>
          <w:rFonts w:hint="eastAsia" w:ascii="宋体" w:hAnsi="宋体"/>
          <w:bCs/>
          <w:color w:val="000000"/>
          <w:szCs w:val="21"/>
          <w:highlight w:val="none"/>
          <w:u w:val="single"/>
          <w:lang w:val="en-US" w:eastAsia="zh-CN"/>
        </w:rPr>
        <w:t>5</w:t>
      </w:r>
      <w:r>
        <w:rPr>
          <w:rFonts w:hint="eastAsia" w:ascii="宋体" w:hAnsi="宋体"/>
          <w:bCs/>
          <w:color w:val="000000"/>
          <w:szCs w:val="21"/>
          <w:highlight w:val="none"/>
          <w:u w:val="single"/>
        </w:rPr>
        <w:t>月</w:t>
      </w:r>
      <w:r>
        <w:rPr>
          <w:rFonts w:hint="eastAsia" w:ascii="宋体" w:hAnsi="宋体"/>
          <w:bCs/>
          <w:color w:val="000000"/>
          <w:szCs w:val="21"/>
          <w:highlight w:val="none"/>
          <w:u w:val="single"/>
          <w:lang w:val="en-US" w:eastAsia="zh-CN"/>
        </w:rPr>
        <w:t>14</w:t>
      </w:r>
      <w:r>
        <w:rPr>
          <w:rFonts w:hint="eastAsia" w:ascii="宋体" w:hAnsi="宋体"/>
          <w:bCs/>
          <w:color w:val="000000"/>
          <w:szCs w:val="21"/>
          <w:highlight w:val="none"/>
          <w:u w:val="single"/>
        </w:rPr>
        <w:t>日</w:t>
      </w:r>
      <w:r>
        <w:rPr>
          <w:rFonts w:hint="eastAsia" w:ascii="宋体" w:hAnsi="宋体"/>
          <w:bCs/>
          <w:color w:val="000000"/>
          <w:szCs w:val="21"/>
          <w:highlight w:val="none"/>
          <w:u w:val="single"/>
          <w:lang w:val="en-US" w:eastAsia="zh-CN"/>
        </w:rPr>
        <w:t>9</w:t>
      </w:r>
      <w:r>
        <w:rPr>
          <w:rFonts w:hint="eastAsia" w:ascii="宋体" w:hAnsi="宋体"/>
          <w:bCs/>
          <w:color w:val="000000"/>
          <w:szCs w:val="21"/>
          <w:highlight w:val="none"/>
          <w:u w:val="single"/>
        </w:rPr>
        <w:t>时</w:t>
      </w:r>
      <w:r>
        <w:rPr>
          <w:rFonts w:hint="eastAsia" w:ascii="宋体" w:hAnsi="宋体"/>
          <w:bCs/>
          <w:color w:val="000000"/>
          <w:szCs w:val="21"/>
          <w:highlight w:val="none"/>
          <w:u w:val="single"/>
          <w:lang w:val="en-US" w:eastAsia="zh-CN"/>
        </w:rPr>
        <w:t>30</w:t>
      </w:r>
      <w:r>
        <w:rPr>
          <w:rFonts w:hint="eastAsia" w:ascii="宋体" w:hAnsi="宋体"/>
          <w:bCs/>
          <w:color w:val="000000"/>
          <w:szCs w:val="21"/>
          <w:highlight w:val="none"/>
          <w:u w:val="single"/>
        </w:rPr>
        <w:t>分（</w:t>
      </w:r>
      <w:r>
        <w:rPr>
          <w:rFonts w:hint="eastAsia" w:ascii="宋体" w:hAnsi="宋体"/>
          <w:bCs/>
          <w:color w:val="000000"/>
          <w:szCs w:val="21"/>
          <w:highlight w:val="none"/>
        </w:rPr>
        <w:t>北京时间）前按要求递交（上传）投标</w:t>
      </w:r>
      <w:r>
        <w:rPr>
          <w:rFonts w:ascii="宋体" w:hAnsi="宋体"/>
          <w:bCs/>
          <w:color w:val="000000"/>
          <w:szCs w:val="21"/>
          <w:highlight w:val="none"/>
        </w:rPr>
        <w:t>文件</w:t>
      </w:r>
      <w:r>
        <w:rPr>
          <w:rFonts w:hint="eastAsia" w:ascii="宋体" w:hAnsi="宋体"/>
          <w:color w:val="000000"/>
          <w:szCs w:val="21"/>
          <w:highlight w:val="none"/>
        </w:rPr>
        <w:t>。</w:t>
      </w:r>
    </w:p>
    <w:p w14:paraId="6556DDBC">
      <w:pPr>
        <w:keepNext w:val="0"/>
        <w:keepLines w:val="0"/>
        <w:pageBreakBefore w:val="0"/>
        <w:kinsoku/>
        <w:wordWrap/>
        <w:overflowPunct/>
        <w:topLinePunct w:val="0"/>
        <w:autoSpaceDE/>
        <w:autoSpaceDN/>
        <w:bidi w:val="0"/>
        <w:adjustRightInd/>
        <w:spacing w:line="480" w:lineRule="exact"/>
        <w:textAlignment w:val="auto"/>
        <w:rPr>
          <w:rFonts w:ascii="黑体" w:hAnsi="黑体" w:eastAsia="黑体"/>
          <w:b/>
          <w:bCs/>
          <w:color w:val="000000"/>
          <w:sz w:val="24"/>
          <w:highlight w:val="none"/>
        </w:rPr>
      </w:pPr>
      <w:bookmarkStart w:id="9" w:name="_Toc35393790"/>
      <w:bookmarkStart w:id="10" w:name="_Toc28359002"/>
      <w:bookmarkStart w:id="11" w:name="_Toc28359079"/>
      <w:bookmarkStart w:id="12" w:name="_Toc35393621"/>
      <w:bookmarkStart w:id="13" w:name="_Hlk24379207"/>
      <w:r>
        <w:rPr>
          <w:rFonts w:hint="eastAsia" w:ascii="黑体" w:hAnsi="黑体" w:eastAsia="黑体"/>
          <w:b/>
          <w:bCs/>
          <w:color w:val="000000"/>
          <w:sz w:val="24"/>
          <w:highlight w:val="none"/>
        </w:rPr>
        <w:t>一、项目基本情况</w:t>
      </w:r>
      <w:bookmarkEnd w:id="9"/>
      <w:bookmarkEnd w:id="10"/>
      <w:bookmarkEnd w:id="11"/>
      <w:bookmarkEnd w:id="12"/>
    </w:p>
    <w:p w14:paraId="65FC83AB">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项目编号：</w:t>
      </w:r>
      <w:r>
        <w:rPr>
          <w:rFonts w:ascii="宋体" w:hAnsi="宋体"/>
          <w:color w:val="000000"/>
          <w:szCs w:val="21"/>
          <w:highlight w:val="none"/>
        </w:rPr>
        <w:t>QZZC2025-G1-990046-YZLZ</w:t>
      </w:r>
    </w:p>
    <w:p w14:paraId="3D139095">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项目名称：</w:t>
      </w:r>
      <w:bookmarkStart w:id="14" w:name="OLE_LINK1"/>
      <w:bookmarkStart w:id="15" w:name="OLE_LINK2"/>
      <w:r>
        <w:rPr>
          <w:rFonts w:hint="eastAsia" w:ascii="宋体" w:hAnsi="宋体"/>
          <w:color w:val="000000"/>
          <w:szCs w:val="21"/>
          <w:highlight w:val="none"/>
        </w:rPr>
        <w:t>钦州市第二人民医院气压喷液仪等医疗设备采购</w:t>
      </w:r>
      <w:bookmarkEnd w:id="14"/>
      <w:bookmarkEnd w:id="15"/>
    </w:p>
    <w:bookmarkEnd w:id="13"/>
    <w:p w14:paraId="5AE2FCFF">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default" w:ascii="宋体" w:hAnsi="宋体" w:eastAsia="宋体"/>
          <w:color w:val="000000"/>
          <w:szCs w:val="21"/>
          <w:highlight w:val="none"/>
          <w:lang w:val="en-US" w:eastAsia="zh-CN"/>
        </w:rPr>
      </w:pPr>
      <w:r>
        <w:rPr>
          <w:rFonts w:hint="eastAsia"/>
          <w:color w:val="000000"/>
          <w:highlight w:val="none"/>
        </w:rPr>
        <w:t>预算总金额（元）</w:t>
      </w:r>
      <w:r>
        <w:rPr>
          <w:rFonts w:hint="eastAsia" w:ascii="宋体" w:hAnsi="宋体"/>
          <w:color w:val="000000"/>
          <w:szCs w:val="21"/>
          <w:highlight w:val="none"/>
        </w:rPr>
        <w:t>：</w:t>
      </w:r>
    </w:p>
    <w:p w14:paraId="39A72AF0">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A分标：人民币贰佰肆拾玖万伍仟元整（¥2495000.00）</w:t>
      </w:r>
    </w:p>
    <w:p w14:paraId="40279344">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B分标：人民币贰佰陆拾叁万捌仟元整（¥2638000.00）</w:t>
      </w:r>
    </w:p>
    <w:p w14:paraId="12E5B2F9">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最高限价（如有）：</w:t>
      </w:r>
    </w:p>
    <w:p w14:paraId="27B21963">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A分标：人民币</w:t>
      </w:r>
      <w:r>
        <w:rPr>
          <w:rFonts w:hint="eastAsia" w:ascii="宋体" w:hAnsi="宋体"/>
          <w:color w:val="000000"/>
          <w:szCs w:val="21"/>
          <w:highlight w:val="none"/>
          <w:lang w:val="en-US" w:eastAsia="zh-CN"/>
        </w:rPr>
        <w:t>贰佰贰拾叁万伍仟元整</w:t>
      </w:r>
      <w:r>
        <w:rPr>
          <w:rFonts w:hint="eastAsia" w:ascii="宋体" w:hAnsi="宋体"/>
          <w:color w:val="000000"/>
          <w:szCs w:val="21"/>
          <w:highlight w:val="none"/>
        </w:rPr>
        <w:t>（¥2</w:t>
      </w:r>
      <w:r>
        <w:rPr>
          <w:rFonts w:hint="eastAsia" w:ascii="宋体" w:hAnsi="宋体"/>
          <w:color w:val="000000"/>
          <w:szCs w:val="21"/>
          <w:highlight w:val="none"/>
          <w:lang w:val="en-US" w:eastAsia="zh-CN"/>
        </w:rPr>
        <w:t>23</w:t>
      </w:r>
      <w:r>
        <w:rPr>
          <w:rFonts w:hint="eastAsia" w:ascii="宋体" w:hAnsi="宋体"/>
          <w:color w:val="000000"/>
          <w:szCs w:val="21"/>
          <w:highlight w:val="none"/>
        </w:rPr>
        <w:t>5000.00）</w:t>
      </w:r>
    </w:p>
    <w:p w14:paraId="10B73D34">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B分标：人民币</w:t>
      </w:r>
      <w:r>
        <w:rPr>
          <w:rFonts w:hint="eastAsia" w:ascii="宋体" w:hAnsi="宋体"/>
          <w:color w:val="000000"/>
          <w:szCs w:val="21"/>
          <w:highlight w:val="none"/>
          <w:lang w:val="en-US" w:eastAsia="zh-CN"/>
        </w:rPr>
        <w:t>壹佰捌拾柒万贰仟元整</w:t>
      </w:r>
      <w:r>
        <w:rPr>
          <w:rFonts w:hint="eastAsia" w:ascii="宋体" w:hAnsi="宋体"/>
          <w:color w:val="000000"/>
          <w:szCs w:val="21"/>
          <w:highlight w:val="none"/>
        </w:rPr>
        <w:t>（¥</w:t>
      </w:r>
      <w:r>
        <w:rPr>
          <w:rFonts w:hint="eastAsia" w:ascii="宋体" w:hAnsi="宋体"/>
          <w:color w:val="000000"/>
          <w:szCs w:val="21"/>
          <w:highlight w:val="none"/>
          <w:lang w:val="en-US" w:eastAsia="zh-CN"/>
        </w:rPr>
        <w:t>1872000</w:t>
      </w:r>
      <w:r>
        <w:rPr>
          <w:rFonts w:hint="eastAsia" w:ascii="宋体" w:hAnsi="宋体"/>
          <w:color w:val="000000"/>
          <w:szCs w:val="21"/>
          <w:highlight w:val="none"/>
        </w:rPr>
        <w:t>.00）</w:t>
      </w:r>
    </w:p>
    <w:p w14:paraId="72818B50">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采购需求：</w:t>
      </w:r>
      <w:r>
        <w:rPr>
          <w:rFonts w:ascii="宋体" w:hAnsi="宋体"/>
          <w:color w:val="000000"/>
          <w:szCs w:val="21"/>
          <w:highlight w:val="none"/>
        </w:rPr>
        <w:t xml:space="preserve"> </w:t>
      </w:r>
    </w:p>
    <w:p w14:paraId="596CE115">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A分标：采购麻醉机1套、多功能监护仪2套、便携式监护仪1套、过氧化氢低温等离子灭菌器1套、环氧乙烷灭菌器1套、经颅磁刺激治疗仪1套、临时起搏器1套、遥测心电监护1套，具体内容详见附件：采购需求一览表。</w:t>
      </w:r>
    </w:p>
    <w:p w14:paraId="7FCF969D">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ascii="宋体" w:hAnsi="宋体" w:cs="宋体"/>
          <w:color w:val="000000"/>
          <w:kern w:val="0"/>
          <w:szCs w:val="21"/>
          <w:highlight w:val="none"/>
        </w:rPr>
      </w:pPr>
      <w:r>
        <w:rPr>
          <w:rFonts w:hint="eastAsia" w:ascii="宋体" w:hAnsi="宋体"/>
          <w:color w:val="000000"/>
          <w:szCs w:val="21"/>
          <w:highlight w:val="none"/>
        </w:rPr>
        <w:t>B分标：手术内窥镜（电切镜）1套、亚低温治疗仪1套、高频电刀2套、半导体激光脱毛机1套、气压喷液仪1套、前庭康复训练器1套、耳鸣治疗验配平台1套、血液低温冷藏箱1套、连续性血液净化设备1套，具体内容详见</w:t>
      </w:r>
      <w:r>
        <w:rPr>
          <w:rFonts w:hint="eastAsia" w:ascii="宋体" w:hAnsi="宋体" w:cs="宋体"/>
          <w:color w:val="000000"/>
          <w:kern w:val="0"/>
          <w:szCs w:val="21"/>
          <w:highlight w:val="none"/>
        </w:rPr>
        <w:t>附件：采购需求一览表</w:t>
      </w:r>
      <w:r>
        <w:rPr>
          <w:rFonts w:hint="eastAsia" w:ascii="宋体" w:hAnsi="宋体"/>
          <w:color w:val="000000"/>
          <w:szCs w:val="21"/>
          <w:highlight w:val="none"/>
        </w:rPr>
        <w:t>。</w:t>
      </w:r>
    </w:p>
    <w:p w14:paraId="7332BBAC">
      <w:pPr>
        <w:keepNext w:val="0"/>
        <w:keepLines w:val="0"/>
        <w:pageBreakBefore w:val="0"/>
        <w:kinsoku/>
        <w:wordWrap/>
        <w:overflowPunct/>
        <w:topLinePunct w:val="0"/>
        <w:autoSpaceDE/>
        <w:autoSpaceDN/>
        <w:bidi w:val="0"/>
        <w:adjustRightInd/>
        <w:spacing w:line="480" w:lineRule="exact"/>
        <w:ind w:firstLine="315" w:firstLineChars="150"/>
        <w:textAlignment w:val="auto"/>
        <w:rPr>
          <w:rFonts w:hint="eastAsia" w:ascii="宋体" w:hAnsi="宋体"/>
          <w:color w:val="000000"/>
          <w:szCs w:val="21"/>
          <w:highlight w:val="none"/>
        </w:rPr>
      </w:pPr>
      <w:r>
        <w:rPr>
          <w:rFonts w:hint="eastAsia"/>
          <w:color w:val="000000"/>
          <w:highlight w:val="none"/>
        </w:rPr>
        <w:t xml:space="preserve"> </w:t>
      </w:r>
      <w:r>
        <w:rPr>
          <w:rFonts w:hint="eastAsia" w:ascii="宋体" w:hAnsi="宋体"/>
          <w:color w:val="000000"/>
          <w:szCs w:val="21"/>
          <w:highlight w:val="none"/>
        </w:rPr>
        <w:t>合同履行期限：A分标及B分标：自签订合同之日起</w:t>
      </w:r>
      <w:r>
        <w:rPr>
          <w:rFonts w:ascii="宋体" w:hAnsi="宋体"/>
          <w:color w:val="000000"/>
          <w:szCs w:val="21"/>
          <w:highlight w:val="none"/>
        </w:rPr>
        <w:t>60</w:t>
      </w:r>
      <w:r>
        <w:rPr>
          <w:rFonts w:hint="eastAsia" w:ascii="宋体" w:hAnsi="宋体"/>
          <w:color w:val="000000"/>
          <w:szCs w:val="21"/>
          <w:highlight w:val="none"/>
        </w:rPr>
        <w:t>天内调试完毕验收合格并交付使用。</w:t>
      </w:r>
    </w:p>
    <w:p w14:paraId="62907CF8">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本项目（否）接受联合体投标。</w:t>
      </w:r>
    </w:p>
    <w:p w14:paraId="399C3A94">
      <w:pPr>
        <w:keepNext w:val="0"/>
        <w:keepLines w:val="0"/>
        <w:pageBreakBefore w:val="0"/>
        <w:kinsoku/>
        <w:wordWrap/>
        <w:overflowPunct/>
        <w:topLinePunct w:val="0"/>
        <w:autoSpaceDE/>
        <w:autoSpaceDN/>
        <w:bidi w:val="0"/>
        <w:adjustRightInd/>
        <w:spacing w:line="480" w:lineRule="exact"/>
        <w:textAlignment w:val="auto"/>
        <w:rPr>
          <w:rFonts w:ascii="黑体" w:hAnsi="黑体" w:eastAsia="黑体"/>
          <w:b/>
          <w:bCs/>
          <w:color w:val="000000"/>
          <w:sz w:val="24"/>
          <w:highlight w:val="none"/>
        </w:rPr>
      </w:pPr>
      <w:bookmarkStart w:id="16" w:name="_Toc28359080"/>
      <w:bookmarkStart w:id="17" w:name="_Toc35393622"/>
      <w:bookmarkStart w:id="18" w:name="_Toc28359003"/>
      <w:bookmarkStart w:id="19" w:name="_Toc35393791"/>
      <w:r>
        <w:rPr>
          <w:rFonts w:hint="eastAsia" w:ascii="黑体" w:hAnsi="黑体" w:eastAsia="黑体"/>
          <w:b/>
          <w:bCs/>
          <w:color w:val="000000"/>
          <w:sz w:val="24"/>
          <w:highlight w:val="none"/>
        </w:rPr>
        <w:t>二、申请人的资格要求：</w:t>
      </w:r>
      <w:bookmarkEnd w:id="16"/>
      <w:bookmarkEnd w:id="17"/>
      <w:bookmarkEnd w:id="18"/>
      <w:bookmarkEnd w:id="19"/>
    </w:p>
    <w:p w14:paraId="3273D550">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olor w:val="000000"/>
          <w:szCs w:val="21"/>
          <w:highlight w:val="none"/>
        </w:rPr>
      </w:pPr>
      <w:bookmarkStart w:id="20" w:name="_Hlk51746371"/>
      <w:bookmarkStart w:id="21" w:name="_Toc28359004"/>
      <w:bookmarkStart w:id="22" w:name="_Toc28359081"/>
      <w:bookmarkStart w:id="23" w:name="_Toc35393623"/>
      <w:bookmarkStart w:id="24" w:name="_Toc35393792"/>
      <w:r>
        <w:rPr>
          <w:rFonts w:hint="eastAsia" w:ascii="宋体" w:hAnsi="宋体"/>
          <w:color w:val="000000"/>
          <w:szCs w:val="21"/>
          <w:highlight w:val="none"/>
        </w:rPr>
        <w:t>1.满足《中华人民共和国政府采购法》第二十二条规定；</w:t>
      </w:r>
    </w:p>
    <w:p w14:paraId="44BDF5D5">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olor w:val="000000"/>
          <w:szCs w:val="21"/>
          <w:highlight w:val="none"/>
          <w:lang w:eastAsia="zh-CN"/>
        </w:rPr>
      </w:pPr>
      <w:r>
        <w:rPr>
          <w:rFonts w:ascii="宋体" w:hAnsi="宋体"/>
          <w:color w:val="000000"/>
          <w:szCs w:val="21"/>
          <w:highlight w:val="none"/>
        </w:rPr>
        <w:t>2</w:t>
      </w:r>
      <w:r>
        <w:rPr>
          <w:rFonts w:hint="eastAsia" w:ascii="宋体" w:hAnsi="宋体"/>
          <w:color w:val="000000"/>
          <w:szCs w:val="21"/>
          <w:highlight w:val="none"/>
        </w:rPr>
        <w:t>.落实政府采购政策需满足的资格要求：</w:t>
      </w:r>
      <w:r>
        <w:rPr>
          <w:rFonts w:hint="eastAsia" w:ascii="宋体" w:hAnsi="宋体"/>
          <w:color w:val="000000"/>
          <w:szCs w:val="21"/>
          <w:highlight w:val="none"/>
          <w:u w:val="single"/>
        </w:rPr>
        <w:t>本项目不专门面向中小</w:t>
      </w:r>
      <w:r>
        <w:rPr>
          <w:rFonts w:hint="eastAsia" w:ascii="宋体" w:hAnsi="宋体"/>
          <w:color w:val="000000"/>
          <w:szCs w:val="21"/>
          <w:highlight w:val="none"/>
          <w:u w:val="single"/>
          <w:lang w:val="en-US" w:eastAsia="zh-CN"/>
        </w:rPr>
        <w:t>微</w:t>
      </w:r>
      <w:r>
        <w:rPr>
          <w:rFonts w:hint="eastAsia" w:ascii="宋体" w:hAnsi="宋体"/>
          <w:color w:val="000000"/>
          <w:szCs w:val="21"/>
          <w:highlight w:val="none"/>
          <w:u w:val="single"/>
        </w:rPr>
        <w:t>企业</w:t>
      </w:r>
      <w:r>
        <w:rPr>
          <w:rFonts w:hint="eastAsia" w:ascii="宋体" w:hAnsi="宋体"/>
          <w:color w:val="000000"/>
          <w:szCs w:val="21"/>
          <w:highlight w:val="none"/>
          <w:u w:val="single"/>
          <w:lang w:eastAsia="zh-CN"/>
        </w:rPr>
        <w:t>。</w:t>
      </w:r>
    </w:p>
    <w:p w14:paraId="0463CF75">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olor w:val="000000"/>
          <w:szCs w:val="21"/>
          <w:highlight w:val="none"/>
          <w:u w:val="single"/>
        </w:rPr>
      </w:pPr>
      <w:r>
        <w:rPr>
          <w:rFonts w:hint="eastAsia" w:ascii="宋体" w:hAnsi="宋体"/>
          <w:color w:val="000000"/>
          <w:szCs w:val="21"/>
          <w:highlight w:val="none"/>
        </w:rPr>
        <w:t>3.本项目的特定资格要求：</w:t>
      </w:r>
      <w:bookmarkEnd w:id="20"/>
      <w:r>
        <w:rPr>
          <w:rFonts w:hint="eastAsia" w:ascii="宋体" w:hAnsi="宋体"/>
          <w:color w:val="000000"/>
          <w:szCs w:val="21"/>
          <w:highlight w:val="none"/>
        </w:rPr>
        <w:t>投标人</w:t>
      </w:r>
      <w:r>
        <w:rPr>
          <w:color w:val="000000"/>
          <w:highlight w:val="none"/>
        </w:rPr>
        <w:t>按《医疗器械监督管理条例》（国务院令第739号）医疗器械分类管理要求具备有效的医疗器械经营备案凭证或者经营许可证，且经营范围必须包含采购标的[符合《医疗器械监督管理条例》第四十一条第二款规定的除外]；或者</w:t>
      </w:r>
      <w:r>
        <w:rPr>
          <w:rFonts w:hint="eastAsia"/>
          <w:color w:val="000000"/>
          <w:highlight w:val="none"/>
        </w:rPr>
        <w:t>投标人</w:t>
      </w:r>
      <w:r>
        <w:rPr>
          <w:color w:val="000000"/>
          <w:highlight w:val="none"/>
        </w:rPr>
        <w:t>具有《医疗器械监督管理条例》第四十三条规定的注册人凭证。</w:t>
      </w:r>
    </w:p>
    <w:p w14:paraId="38C6BBBF">
      <w:pPr>
        <w:keepNext w:val="0"/>
        <w:keepLines w:val="0"/>
        <w:pageBreakBefore w:val="0"/>
        <w:kinsoku/>
        <w:wordWrap/>
        <w:overflowPunct/>
        <w:topLinePunct w:val="0"/>
        <w:autoSpaceDE/>
        <w:autoSpaceDN/>
        <w:bidi w:val="0"/>
        <w:adjustRightInd/>
        <w:spacing w:line="480" w:lineRule="exact"/>
        <w:textAlignment w:val="auto"/>
        <w:rPr>
          <w:rFonts w:ascii="黑体" w:hAnsi="黑体" w:eastAsia="黑体"/>
          <w:b/>
          <w:bCs/>
          <w:color w:val="000000"/>
          <w:sz w:val="24"/>
          <w:highlight w:val="none"/>
        </w:rPr>
      </w:pPr>
      <w:r>
        <w:rPr>
          <w:rFonts w:hint="eastAsia" w:ascii="黑体" w:hAnsi="黑体" w:eastAsia="黑体"/>
          <w:b/>
          <w:bCs/>
          <w:color w:val="000000"/>
          <w:sz w:val="24"/>
          <w:highlight w:val="none"/>
        </w:rPr>
        <w:t>三、获取招标文件</w:t>
      </w:r>
      <w:bookmarkEnd w:id="21"/>
      <w:bookmarkEnd w:id="22"/>
      <w:bookmarkEnd w:id="23"/>
      <w:bookmarkEnd w:id="24"/>
    </w:p>
    <w:p w14:paraId="541D36BB">
      <w:pPr>
        <w:keepNext w:val="0"/>
        <w:keepLines w:val="0"/>
        <w:pageBreakBefore w:val="0"/>
        <w:kinsoku/>
        <w:wordWrap/>
        <w:overflowPunct/>
        <w:topLinePunct w:val="0"/>
        <w:autoSpaceDE/>
        <w:autoSpaceDN/>
        <w:bidi w:val="0"/>
        <w:adjustRightInd/>
        <w:spacing w:line="480" w:lineRule="exact"/>
        <w:ind w:firstLine="540"/>
        <w:textAlignment w:val="auto"/>
        <w:rPr>
          <w:rFonts w:hint="eastAsia" w:ascii="宋体" w:hAnsi="宋体" w:cs="宋体"/>
          <w:bCs/>
          <w:color w:val="000000"/>
          <w:kern w:val="0"/>
          <w:szCs w:val="21"/>
          <w:highlight w:val="none"/>
        </w:rPr>
      </w:pPr>
      <w:r>
        <w:rPr>
          <w:rFonts w:hint="eastAsia" w:ascii="宋体" w:hAnsi="宋体" w:cs="宋体"/>
          <w:bCs/>
          <w:color w:val="000000"/>
          <w:kern w:val="0"/>
          <w:szCs w:val="21"/>
          <w:highlight w:val="none"/>
        </w:rPr>
        <w:t>时间：</w:t>
      </w:r>
      <w:r>
        <w:rPr>
          <w:rFonts w:ascii="宋体" w:hAnsi="宋体" w:cs="宋体"/>
          <w:bCs/>
          <w:color w:val="000000"/>
          <w:kern w:val="0"/>
          <w:szCs w:val="21"/>
          <w:highlight w:val="none"/>
        </w:rPr>
        <w:t xml:space="preserve"> </w:t>
      </w:r>
      <w:r>
        <w:rPr>
          <w:rFonts w:ascii="宋体" w:hAnsi="宋体" w:cs="宋体"/>
          <w:bCs/>
          <w:color w:val="000000"/>
          <w:kern w:val="0"/>
          <w:szCs w:val="21"/>
          <w:highlight w:val="none"/>
          <w:u w:val="single"/>
        </w:rPr>
        <w:t xml:space="preserve"> </w:t>
      </w:r>
      <w:r>
        <w:rPr>
          <w:rFonts w:hint="eastAsia" w:ascii="宋体" w:hAnsi="宋体" w:cs="宋体"/>
          <w:bCs/>
          <w:color w:val="000000"/>
          <w:kern w:val="0"/>
          <w:szCs w:val="21"/>
          <w:highlight w:val="none"/>
          <w:u w:val="single"/>
        </w:rPr>
        <w:t>2025年</w:t>
      </w:r>
      <w:r>
        <w:rPr>
          <w:rFonts w:hint="eastAsia" w:ascii="宋体" w:hAnsi="宋体" w:cs="宋体"/>
          <w:bCs/>
          <w:color w:val="000000"/>
          <w:kern w:val="0"/>
          <w:szCs w:val="21"/>
          <w:highlight w:val="none"/>
          <w:u w:val="single"/>
          <w:lang w:val="en-US" w:eastAsia="zh-CN"/>
        </w:rPr>
        <w:t>4</w:t>
      </w:r>
      <w:r>
        <w:rPr>
          <w:rFonts w:hint="eastAsia" w:ascii="宋体" w:hAnsi="宋体" w:cs="宋体"/>
          <w:bCs/>
          <w:color w:val="000000"/>
          <w:kern w:val="0"/>
          <w:szCs w:val="21"/>
          <w:highlight w:val="none"/>
          <w:u w:val="single"/>
        </w:rPr>
        <w:t>月</w:t>
      </w:r>
      <w:r>
        <w:rPr>
          <w:rFonts w:hint="eastAsia" w:ascii="宋体" w:hAnsi="宋体" w:cs="宋体"/>
          <w:bCs/>
          <w:color w:val="000000"/>
          <w:kern w:val="0"/>
          <w:szCs w:val="21"/>
          <w:highlight w:val="none"/>
          <w:u w:val="single"/>
          <w:lang w:val="en-US" w:eastAsia="zh-CN"/>
        </w:rPr>
        <w:t>22</w:t>
      </w:r>
      <w:r>
        <w:rPr>
          <w:rFonts w:hint="eastAsia" w:ascii="宋体" w:hAnsi="宋体" w:cs="宋体"/>
          <w:bCs/>
          <w:color w:val="000000"/>
          <w:kern w:val="0"/>
          <w:szCs w:val="21"/>
          <w:highlight w:val="none"/>
          <w:u w:val="single"/>
        </w:rPr>
        <w:t>日</w:t>
      </w:r>
      <w:r>
        <w:rPr>
          <w:rFonts w:hint="eastAsia" w:ascii="宋体" w:hAnsi="宋体" w:cs="宋体"/>
          <w:bCs/>
          <w:color w:val="000000"/>
          <w:kern w:val="0"/>
          <w:szCs w:val="21"/>
          <w:highlight w:val="none"/>
        </w:rPr>
        <w:t>至</w:t>
      </w:r>
      <w:r>
        <w:rPr>
          <w:rFonts w:hint="eastAsia" w:ascii="宋体" w:hAnsi="宋体" w:cs="宋体"/>
          <w:bCs/>
          <w:color w:val="000000"/>
          <w:kern w:val="0"/>
          <w:szCs w:val="21"/>
          <w:highlight w:val="none"/>
          <w:u w:val="single"/>
        </w:rPr>
        <w:t>2025年</w:t>
      </w:r>
      <w:r>
        <w:rPr>
          <w:rFonts w:hint="eastAsia" w:ascii="宋体" w:hAnsi="宋体" w:cs="宋体"/>
          <w:bCs/>
          <w:color w:val="000000"/>
          <w:kern w:val="0"/>
          <w:szCs w:val="21"/>
          <w:highlight w:val="none"/>
          <w:u w:val="single"/>
          <w:lang w:val="en-US" w:eastAsia="zh-CN"/>
        </w:rPr>
        <w:t>4</w:t>
      </w:r>
      <w:r>
        <w:rPr>
          <w:rFonts w:hint="eastAsia" w:ascii="宋体" w:hAnsi="宋体" w:cs="宋体"/>
          <w:bCs/>
          <w:color w:val="000000"/>
          <w:kern w:val="0"/>
          <w:szCs w:val="21"/>
          <w:highlight w:val="none"/>
          <w:u w:val="single"/>
        </w:rPr>
        <w:t>月</w:t>
      </w:r>
      <w:r>
        <w:rPr>
          <w:rFonts w:hint="eastAsia" w:ascii="宋体" w:hAnsi="宋体" w:cs="宋体"/>
          <w:bCs/>
          <w:color w:val="000000"/>
          <w:kern w:val="0"/>
          <w:szCs w:val="21"/>
          <w:highlight w:val="none"/>
          <w:u w:val="single"/>
          <w:lang w:val="en-US" w:eastAsia="zh-CN"/>
        </w:rPr>
        <w:t>28</w:t>
      </w:r>
      <w:r>
        <w:rPr>
          <w:rFonts w:hint="eastAsia" w:ascii="宋体" w:hAnsi="宋体" w:cs="宋体"/>
          <w:bCs/>
          <w:color w:val="000000"/>
          <w:kern w:val="0"/>
          <w:szCs w:val="21"/>
          <w:highlight w:val="none"/>
          <w:u w:val="single"/>
        </w:rPr>
        <w:t>日</w:t>
      </w:r>
      <w:r>
        <w:rPr>
          <w:rFonts w:hint="eastAsia" w:ascii="宋体" w:hAnsi="宋体" w:cs="宋体"/>
          <w:bCs/>
          <w:color w:val="000000"/>
          <w:kern w:val="0"/>
          <w:szCs w:val="21"/>
          <w:highlight w:val="none"/>
        </w:rPr>
        <w:t>，每天上午</w:t>
      </w:r>
      <w:r>
        <w:rPr>
          <w:rFonts w:hint="eastAsia" w:ascii="宋体" w:hAnsi="宋体" w:cs="宋体"/>
          <w:bCs/>
          <w:color w:val="000000"/>
          <w:kern w:val="0"/>
          <w:szCs w:val="21"/>
          <w:highlight w:val="none"/>
          <w:u w:val="single"/>
        </w:rPr>
        <w:t>8：00至12：00　</w:t>
      </w:r>
      <w:r>
        <w:rPr>
          <w:rFonts w:hint="eastAsia" w:ascii="宋体" w:hAnsi="宋体" w:cs="宋体"/>
          <w:bCs/>
          <w:color w:val="000000"/>
          <w:kern w:val="0"/>
          <w:szCs w:val="21"/>
          <w:highlight w:val="none"/>
        </w:rPr>
        <w:t>，</w:t>
      </w:r>
      <w:r>
        <w:rPr>
          <w:rFonts w:hint="eastAsia" w:ascii="宋体" w:hAnsi="宋体" w:cs="宋体"/>
          <w:bCs/>
          <w:color w:val="000000"/>
          <w:kern w:val="0"/>
          <w:szCs w:val="21"/>
          <w:highlight w:val="none"/>
          <w:u w:val="single"/>
        </w:rPr>
        <w:t>下午3：00至6：00</w:t>
      </w:r>
      <w:r>
        <w:rPr>
          <w:rFonts w:hint="eastAsia" w:ascii="宋体" w:hAnsi="宋体" w:cs="宋体"/>
          <w:bCs/>
          <w:color w:val="000000"/>
          <w:kern w:val="0"/>
          <w:szCs w:val="21"/>
          <w:highlight w:val="none"/>
        </w:rPr>
        <w:t>（北京时间，</w:t>
      </w:r>
      <w:r>
        <w:rPr>
          <w:rFonts w:ascii="宋体" w:hAnsi="宋体" w:cs="宋体"/>
          <w:bCs/>
          <w:color w:val="000000"/>
          <w:kern w:val="0"/>
          <w:szCs w:val="21"/>
          <w:highlight w:val="none"/>
        </w:rPr>
        <w:t>法定节假日</w:t>
      </w:r>
      <w:r>
        <w:rPr>
          <w:rFonts w:hint="eastAsia" w:ascii="宋体" w:hAnsi="宋体" w:cs="宋体"/>
          <w:bCs/>
          <w:color w:val="000000"/>
          <w:kern w:val="0"/>
          <w:szCs w:val="21"/>
          <w:highlight w:val="none"/>
        </w:rPr>
        <w:t>除外）</w:t>
      </w:r>
    </w:p>
    <w:p w14:paraId="1AE569F1">
      <w:pPr>
        <w:keepNext w:val="0"/>
        <w:keepLines w:val="0"/>
        <w:pageBreakBefore w:val="0"/>
        <w:kinsoku/>
        <w:wordWrap/>
        <w:overflowPunct/>
        <w:topLinePunct w:val="0"/>
        <w:autoSpaceDE/>
        <w:autoSpaceDN/>
        <w:bidi w:val="0"/>
        <w:adjustRightInd/>
        <w:spacing w:line="480" w:lineRule="exact"/>
        <w:ind w:firstLine="540"/>
        <w:textAlignment w:val="auto"/>
        <w:rPr>
          <w:rFonts w:hint="eastAsia" w:ascii="宋体" w:hAnsi="宋体" w:cs="宋体"/>
          <w:bCs/>
          <w:color w:val="000000"/>
          <w:kern w:val="0"/>
          <w:szCs w:val="21"/>
          <w:highlight w:val="none"/>
        </w:rPr>
      </w:pPr>
      <w:r>
        <w:rPr>
          <w:rFonts w:hint="eastAsia" w:ascii="宋体" w:hAnsi="宋体" w:cs="宋体"/>
          <w:bCs/>
          <w:color w:val="000000"/>
          <w:kern w:val="0"/>
          <w:szCs w:val="21"/>
          <w:highlight w:val="none"/>
        </w:rPr>
        <w:t>地点：</w:t>
      </w:r>
      <w:r>
        <w:rPr>
          <w:rFonts w:hint="eastAsia" w:ascii="宋体" w:hAnsi="宋体"/>
          <w:color w:val="000000"/>
          <w:szCs w:val="21"/>
          <w:highlight w:val="none"/>
        </w:rPr>
        <w:t>广西政府采购云平台（</w:t>
      </w:r>
      <w:r>
        <w:rPr>
          <w:rFonts w:hint="eastAsia" w:ascii="宋体" w:hAnsi="宋体"/>
          <w:bCs/>
          <w:color w:val="000000"/>
          <w:szCs w:val="21"/>
          <w:highlight w:val="none"/>
        </w:rPr>
        <w:t>https：//www.gcy.zfcg.gxzf.gov.cn/</w:t>
      </w:r>
      <w:r>
        <w:rPr>
          <w:rFonts w:hint="eastAsia" w:ascii="宋体" w:hAnsi="宋体"/>
          <w:color w:val="000000"/>
          <w:szCs w:val="21"/>
          <w:highlight w:val="none"/>
        </w:rPr>
        <w:t>）</w:t>
      </w:r>
    </w:p>
    <w:p w14:paraId="04C8B749">
      <w:pPr>
        <w:keepNext w:val="0"/>
        <w:keepLines w:val="0"/>
        <w:pageBreakBefore w:val="0"/>
        <w:kinsoku/>
        <w:wordWrap/>
        <w:overflowPunct/>
        <w:topLinePunct w:val="0"/>
        <w:autoSpaceDE/>
        <w:autoSpaceDN/>
        <w:bidi w:val="0"/>
        <w:adjustRightInd/>
        <w:spacing w:line="480" w:lineRule="exact"/>
        <w:ind w:firstLine="540"/>
        <w:textAlignment w:val="auto"/>
        <w:rPr>
          <w:rFonts w:ascii="宋体" w:hAnsi="宋体" w:cs="宋体"/>
          <w:bCs/>
          <w:color w:val="000000"/>
          <w:kern w:val="0"/>
          <w:szCs w:val="21"/>
          <w:highlight w:val="none"/>
        </w:rPr>
      </w:pPr>
      <w:r>
        <w:rPr>
          <w:rFonts w:hint="eastAsia" w:ascii="宋体" w:hAnsi="宋体" w:cs="宋体"/>
          <w:bCs/>
          <w:color w:val="000000"/>
          <w:kern w:val="0"/>
          <w:szCs w:val="21"/>
          <w:highlight w:val="none"/>
        </w:rPr>
        <w:t>方式：网上下载。本项目不提供纸质文件，潜在供应商需在</w:t>
      </w:r>
      <w:r>
        <w:rPr>
          <w:rFonts w:hint="eastAsia" w:ascii="宋体" w:hAnsi="宋体"/>
          <w:color w:val="000000"/>
          <w:szCs w:val="21"/>
          <w:highlight w:val="none"/>
        </w:rPr>
        <w:t>广西政府采购云平台（</w:t>
      </w:r>
      <w:r>
        <w:rPr>
          <w:rFonts w:hint="eastAsia" w:ascii="宋体" w:hAnsi="宋体"/>
          <w:bCs/>
          <w:color w:val="000000"/>
          <w:szCs w:val="21"/>
          <w:highlight w:val="none"/>
        </w:rPr>
        <w:t>https：//www.gcy.zfcg.gxzf.gov.cn/</w:t>
      </w:r>
      <w:r>
        <w:rPr>
          <w:rFonts w:hint="eastAsia" w:ascii="宋体" w:hAnsi="宋体"/>
          <w:color w:val="000000"/>
          <w:szCs w:val="21"/>
          <w:highlight w:val="none"/>
        </w:rPr>
        <w:t>）</w:t>
      </w:r>
      <w:r>
        <w:rPr>
          <w:rFonts w:hint="eastAsia" w:ascii="宋体" w:hAnsi="宋体" w:cs="宋体"/>
          <w:bCs/>
          <w:color w:val="000000"/>
          <w:kern w:val="0"/>
          <w:szCs w:val="21"/>
          <w:highlight w:val="none"/>
        </w:rPr>
        <w:t>-进入“项目采购”应用，在获取招标文件菜单中选择项目，获取招标文件。</w:t>
      </w:r>
      <w:r>
        <w:rPr>
          <w:rFonts w:hint="eastAsia" w:ascii="宋体" w:hAnsi="宋体"/>
          <w:color w:val="000000"/>
          <w:szCs w:val="21"/>
          <w:highlight w:val="none"/>
        </w:rPr>
        <w:t>电子投标文件制作需要基于广西政府采购云平台获取的招标文件编制，</w:t>
      </w:r>
      <w:r>
        <w:rPr>
          <w:rFonts w:hint="eastAsia" w:ascii="宋体" w:hAnsi="宋体" w:cs="宋体"/>
          <w:bCs/>
          <w:color w:val="000000"/>
          <w:kern w:val="0"/>
          <w:szCs w:val="21"/>
          <w:highlight w:val="none"/>
        </w:rPr>
        <w:t>通过其他方式获取招标文件的，将有可能导致供应商无法在</w:t>
      </w:r>
      <w:r>
        <w:rPr>
          <w:rFonts w:hint="eastAsia" w:ascii="宋体" w:hAnsi="宋体"/>
          <w:color w:val="000000"/>
          <w:szCs w:val="21"/>
          <w:highlight w:val="none"/>
        </w:rPr>
        <w:t>广西政府采购云平台</w:t>
      </w:r>
      <w:r>
        <w:rPr>
          <w:rFonts w:hint="eastAsia" w:ascii="宋体" w:hAnsi="宋体" w:cs="宋体"/>
          <w:bCs/>
          <w:color w:val="000000"/>
          <w:kern w:val="0"/>
          <w:szCs w:val="21"/>
          <w:highlight w:val="none"/>
        </w:rPr>
        <w:t>编制及上传投标文件。</w:t>
      </w:r>
    </w:p>
    <w:p w14:paraId="0F7EA7C3">
      <w:pPr>
        <w:keepNext w:val="0"/>
        <w:keepLines w:val="0"/>
        <w:pageBreakBefore w:val="0"/>
        <w:kinsoku/>
        <w:wordWrap/>
        <w:overflowPunct/>
        <w:topLinePunct w:val="0"/>
        <w:autoSpaceDE/>
        <w:autoSpaceDN/>
        <w:bidi w:val="0"/>
        <w:adjustRightInd/>
        <w:spacing w:line="480" w:lineRule="exact"/>
        <w:ind w:firstLine="540"/>
        <w:textAlignment w:val="auto"/>
        <w:rPr>
          <w:rFonts w:ascii="宋体" w:hAnsi="宋体" w:cs="宋体"/>
          <w:color w:val="000000"/>
          <w:szCs w:val="21"/>
          <w:highlight w:val="none"/>
        </w:rPr>
      </w:pPr>
      <w:r>
        <w:rPr>
          <w:rFonts w:hint="eastAsia" w:ascii="宋体" w:hAnsi="宋体" w:cs="宋体"/>
          <w:bCs/>
          <w:color w:val="000000"/>
          <w:kern w:val="0"/>
          <w:szCs w:val="21"/>
          <w:highlight w:val="none"/>
        </w:rPr>
        <w:t>售价：</w:t>
      </w:r>
      <w:r>
        <w:rPr>
          <w:rFonts w:hint="eastAsia" w:ascii="宋体" w:hAnsi="宋体" w:cs="宋体"/>
          <w:i/>
          <w:color w:val="000000"/>
          <w:szCs w:val="21"/>
          <w:highlight w:val="none"/>
          <w:u w:val="single"/>
        </w:rPr>
        <w:t>0</w:t>
      </w:r>
      <w:r>
        <w:rPr>
          <w:rFonts w:hint="eastAsia" w:ascii="宋体" w:hAnsi="宋体" w:cs="宋体"/>
          <w:color w:val="000000"/>
          <w:szCs w:val="21"/>
          <w:highlight w:val="none"/>
        </w:rPr>
        <w:t>元</w:t>
      </w:r>
    </w:p>
    <w:p w14:paraId="5A2F6284">
      <w:pPr>
        <w:keepNext w:val="0"/>
        <w:keepLines w:val="0"/>
        <w:pageBreakBefore w:val="0"/>
        <w:kinsoku/>
        <w:wordWrap/>
        <w:overflowPunct/>
        <w:topLinePunct w:val="0"/>
        <w:autoSpaceDE/>
        <w:autoSpaceDN/>
        <w:bidi w:val="0"/>
        <w:adjustRightInd/>
        <w:spacing w:line="480" w:lineRule="exact"/>
        <w:textAlignment w:val="auto"/>
        <w:rPr>
          <w:rFonts w:ascii="黑体" w:hAnsi="黑体" w:eastAsia="黑体"/>
          <w:b/>
          <w:bCs/>
          <w:color w:val="000000"/>
          <w:sz w:val="24"/>
          <w:highlight w:val="none"/>
        </w:rPr>
      </w:pPr>
      <w:bookmarkStart w:id="25" w:name="_Toc28359082"/>
      <w:bookmarkStart w:id="26" w:name="_Toc28359005"/>
      <w:bookmarkStart w:id="27" w:name="_Toc35393624"/>
      <w:bookmarkStart w:id="28" w:name="_Toc35393793"/>
      <w:r>
        <w:rPr>
          <w:rFonts w:hint="eastAsia" w:ascii="黑体" w:hAnsi="黑体" w:eastAsia="黑体"/>
          <w:b/>
          <w:bCs/>
          <w:color w:val="000000"/>
          <w:sz w:val="24"/>
          <w:highlight w:val="none"/>
        </w:rPr>
        <w:t>四、提交投标文件</w:t>
      </w:r>
      <w:bookmarkEnd w:id="25"/>
      <w:bookmarkEnd w:id="26"/>
      <w:r>
        <w:rPr>
          <w:rFonts w:hint="eastAsia" w:ascii="黑体" w:hAnsi="黑体" w:eastAsia="黑体"/>
          <w:b/>
          <w:bCs/>
          <w:color w:val="000000"/>
          <w:sz w:val="24"/>
          <w:highlight w:val="none"/>
        </w:rPr>
        <w:t>截止时间、开标时间和地点</w:t>
      </w:r>
      <w:bookmarkEnd w:id="27"/>
      <w:bookmarkEnd w:id="28"/>
    </w:p>
    <w:p w14:paraId="52CB6E38">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cs="宋体"/>
          <w:iCs/>
          <w:color w:val="000000"/>
          <w:szCs w:val="21"/>
          <w:highlight w:val="none"/>
          <w:u w:val="single"/>
        </w:rPr>
      </w:pPr>
      <w:bookmarkStart w:id="29" w:name="_Toc35393625"/>
      <w:bookmarkStart w:id="30" w:name="_Toc28359084"/>
      <w:bookmarkStart w:id="31" w:name="_Toc35393794"/>
      <w:bookmarkStart w:id="32" w:name="_Toc28359007"/>
      <w:r>
        <w:rPr>
          <w:rFonts w:hint="eastAsia" w:ascii="宋体" w:hAnsi="宋体"/>
          <w:color w:val="000000"/>
          <w:szCs w:val="21"/>
          <w:highlight w:val="none"/>
          <w:u w:val="single"/>
        </w:rPr>
        <w:t>2025</w:t>
      </w:r>
      <w:r>
        <w:rPr>
          <w:rFonts w:hint="eastAsia" w:ascii="宋体" w:hAnsi="宋体"/>
          <w:bCs/>
          <w:color w:val="000000"/>
          <w:szCs w:val="21"/>
          <w:highlight w:val="none"/>
          <w:u w:val="single"/>
        </w:rPr>
        <w:t xml:space="preserve">年 </w:t>
      </w:r>
      <w:r>
        <w:rPr>
          <w:rFonts w:hint="eastAsia" w:ascii="宋体" w:hAnsi="宋体"/>
          <w:bCs/>
          <w:color w:val="000000"/>
          <w:szCs w:val="21"/>
          <w:highlight w:val="none"/>
          <w:u w:val="single"/>
          <w:lang w:val="en-US" w:eastAsia="zh-CN"/>
        </w:rPr>
        <w:t>5</w:t>
      </w:r>
      <w:r>
        <w:rPr>
          <w:rFonts w:hint="eastAsia" w:ascii="宋体" w:hAnsi="宋体"/>
          <w:bCs/>
          <w:color w:val="000000"/>
          <w:szCs w:val="21"/>
          <w:highlight w:val="none"/>
          <w:u w:val="single"/>
        </w:rPr>
        <w:t>月</w:t>
      </w:r>
      <w:r>
        <w:rPr>
          <w:rFonts w:hint="eastAsia" w:ascii="宋体" w:hAnsi="宋体"/>
          <w:bCs/>
          <w:color w:val="000000"/>
          <w:szCs w:val="21"/>
          <w:highlight w:val="none"/>
          <w:u w:val="single"/>
          <w:lang w:val="en-US" w:eastAsia="zh-CN"/>
        </w:rPr>
        <w:t>14</w:t>
      </w:r>
      <w:r>
        <w:rPr>
          <w:rFonts w:hint="eastAsia" w:ascii="宋体" w:hAnsi="宋体"/>
          <w:bCs/>
          <w:color w:val="000000"/>
          <w:szCs w:val="21"/>
          <w:highlight w:val="none"/>
          <w:u w:val="single"/>
        </w:rPr>
        <w:t>日</w:t>
      </w:r>
      <w:r>
        <w:rPr>
          <w:rFonts w:hint="eastAsia" w:ascii="宋体" w:hAnsi="宋体"/>
          <w:bCs/>
          <w:color w:val="000000"/>
          <w:szCs w:val="21"/>
          <w:highlight w:val="none"/>
          <w:u w:val="single"/>
          <w:lang w:val="en-US" w:eastAsia="zh-CN"/>
        </w:rPr>
        <w:t>9</w:t>
      </w:r>
      <w:r>
        <w:rPr>
          <w:rFonts w:hint="eastAsia" w:ascii="宋体" w:hAnsi="宋体"/>
          <w:bCs/>
          <w:color w:val="000000"/>
          <w:szCs w:val="21"/>
          <w:highlight w:val="none"/>
          <w:u w:val="single"/>
        </w:rPr>
        <w:t>时</w:t>
      </w:r>
      <w:r>
        <w:rPr>
          <w:rFonts w:hint="eastAsia" w:ascii="宋体" w:hAnsi="宋体"/>
          <w:bCs/>
          <w:color w:val="000000"/>
          <w:szCs w:val="21"/>
          <w:highlight w:val="none"/>
          <w:u w:val="single"/>
          <w:lang w:val="en-US" w:eastAsia="zh-CN"/>
        </w:rPr>
        <w:t>30</w:t>
      </w:r>
      <w:r>
        <w:rPr>
          <w:rFonts w:hint="eastAsia" w:ascii="宋体" w:hAnsi="宋体"/>
          <w:bCs/>
          <w:color w:val="000000"/>
          <w:szCs w:val="21"/>
          <w:highlight w:val="none"/>
          <w:u w:val="single"/>
        </w:rPr>
        <w:t>分</w:t>
      </w:r>
      <w:r>
        <w:rPr>
          <w:rFonts w:hint="eastAsia" w:ascii="宋体" w:hAnsi="宋体"/>
          <w:bCs/>
          <w:color w:val="000000"/>
          <w:szCs w:val="21"/>
          <w:highlight w:val="none"/>
        </w:rPr>
        <w:t>（北京时间）</w:t>
      </w:r>
    </w:p>
    <w:p w14:paraId="4CFC1DD1">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地点：钦州市公共资源交易中心电子显示屏所安排的开标室（钦州市金海湾东大街8号，市政务服务中心三楼）</w:t>
      </w:r>
    </w:p>
    <w:p w14:paraId="60187078">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投标地点：广西政府采购云平台（</w:t>
      </w:r>
      <w:r>
        <w:rPr>
          <w:rFonts w:hint="eastAsia" w:ascii="宋体" w:hAnsi="宋体"/>
          <w:bCs/>
          <w:color w:val="000000"/>
          <w:szCs w:val="21"/>
          <w:highlight w:val="none"/>
        </w:rPr>
        <w:t>https：//www.gcy.zfcg.gxzf.gov.cn/</w:t>
      </w:r>
      <w:r>
        <w:rPr>
          <w:rFonts w:hint="eastAsia" w:ascii="宋体" w:hAnsi="宋体"/>
          <w:color w:val="000000"/>
          <w:szCs w:val="21"/>
          <w:highlight w:val="none"/>
        </w:rPr>
        <w:t>）</w:t>
      </w:r>
    </w:p>
    <w:p w14:paraId="6F38AA58">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开标地点：广西政府采购云平台电子开标大厅</w:t>
      </w:r>
    </w:p>
    <w:p w14:paraId="5C40F984">
      <w:pPr>
        <w:keepNext w:val="0"/>
        <w:keepLines w:val="0"/>
        <w:pageBreakBefore w:val="0"/>
        <w:kinsoku/>
        <w:wordWrap/>
        <w:overflowPunct/>
        <w:topLinePunct w:val="0"/>
        <w:autoSpaceDE/>
        <w:autoSpaceDN/>
        <w:bidi w:val="0"/>
        <w:adjustRightInd/>
        <w:spacing w:line="480" w:lineRule="exact"/>
        <w:textAlignment w:val="auto"/>
        <w:rPr>
          <w:rFonts w:ascii="黑体" w:hAnsi="黑体" w:eastAsia="黑体"/>
          <w:b/>
          <w:bCs/>
          <w:color w:val="000000"/>
          <w:sz w:val="24"/>
          <w:highlight w:val="none"/>
        </w:rPr>
      </w:pPr>
      <w:r>
        <w:rPr>
          <w:rFonts w:hint="eastAsia" w:ascii="黑体" w:hAnsi="黑体" w:eastAsia="黑体"/>
          <w:b/>
          <w:bCs/>
          <w:color w:val="000000"/>
          <w:sz w:val="24"/>
          <w:highlight w:val="none"/>
        </w:rPr>
        <w:t>五、公告期限</w:t>
      </w:r>
      <w:bookmarkEnd w:id="29"/>
      <w:bookmarkEnd w:id="30"/>
      <w:bookmarkEnd w:id="31"/>
      <w:bookmarkEnd w:id="32"/>
    </w:p>
    <w:p w14:paraId="6FB3EBD8">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自本公告发布之日起5个工作日。</w:t>
      </w:r>
    </w:p>
    <w:p w14:paraId="3662FC6A">
      <w:pPr>
        <w:keepNext w:val="0"/>
        <w:keepLines w:val="0"/>
        <w:pageBreakBefore w:val="0"/>
        <w:kinsoku/>
        <w:wordWrap/>
        <w:overflowPunct/>
        <w:topLinePunct w:val="0"/>
        <w:autoSpaceDE/>
        <w:autoSpaceDN/>
        <w:bidi w:val="0"/>
        <w:adjustRightInd/>
        <w:spacing w:line="480" w:lineRule="exact"/>
        <w:textAlignment w:val="auto"/>
        <w:rPr>
          <w:rFonts w:ascii="黑体" w:hAnsi="黑体" w:eastAsia="黑体"/>
          <w:b/>
          <w:bCs/>
          <w:color w:val="000000"/>
          <w:sz w:val="24"/>
          <w:highlight w:val="none"/>
        </w:rPr>
      </w:pPr>
      <w:bookmarkStart w:id="33" w:name="_Toc35393626"/>
      <w:bookmarkStart w:id="34" w:name="_Toc35393795"/>
      <w:r>
        <w:rPr>
          <w:rFonts w:hint="eastAsia" w:ascii="黑体" w:hAnsi="黑体" w:eastAsia="黑体"/>
          <w:b/>
          <w:bCs/>
          <w:color w:val="000000"/>
          <w:sz w:val="24"/>
          <w:highlight w:val="none"/>
        </w:rPr>
        <w:t>六、其他补充事宜</w:t>
      </w:r>
      <w:bookmarkEnd w:id="33"/>
      <w:bookmarkEnd w:id="34"/>
    </w:p>
    <w:p w14:paraId="4B8B78CA">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bookmarkStart w:id="35" w:name="_Hlk37429595"/>
      <w:bookmarkStart w:id="36" w:name="_Hlk37429585"/>
      <w:bookmarkStart w:id="37" w:name="_Hlk37429674"/>
      <w:r>
        <w:rPr>
          <w:rFonts w:hint="eastAsia" w:ascii="宋体" w:hAnsi="宋体" w:cs="宋体"/>
          <w:color w:val="000000"/>
          <w:kern w:val="0"/>
          <w:szCs w:val="21"/>
          <w:highlight w:val="none"/>
        </w:rPr>
        <w:t>1.网上查询地址</w:t>
      </w:r>
    </w:p>
    <w:bookmarkEnd w:id="35"/>
    <w:bookmarkEnd w:id="36"/>
    <w:p w14:paraId="6C586D0C">
      <w:pPr>
        <w:keepNext w:val="0"/>
        <w:keepLines w:val="0"/>
        <w:pageBreakBefore w:val="0"/>
        <w:kinsoku/>
        <w:wordWrap/>
        <w:overflowPunct/>
        <w:topLinePunct w:val="0"/>
        <w:autoSpaceDE/>
        <w:autoSpaceDN/>
        <w:bidi w:val="0"/>
        <w:adjustRightInd/>
        <w:spacing w:line="480" w:lineRule="exact"/>
        <w:ind w:firstLine="424" w:firstLineChars="202"/>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www.ccgp.gov.cn（中国政府采购网）、zfcg.gxzf.gov.cn（广西壮族自治区政府采购网）、ggzyjy.qinzhou.gov.cn（钦州市公共资源交易中心）</w:t>
      </w:r>
    </w:p>
    <w:p w14:paraId="57037261">
      <w:pPr>
        <w:keepNext w:val="0"/>
        <w:keepLines w:val="0"/>
        <w:pageBreakBefore w:val="0"/>
        <w:kinsoku/>
        <w:wordWrap/>
        <w:overflowPunct/>
        <w:topLinePunct w:val="0"/>
        <w:autoSpaceDE/>
        <w:autoSpaceDN/>
        <w:bidi w:val="0"/>
        <w:adjustRightInd/>
        <w:spacing w:line="480" w:lineRule="exact"/>
        <w:ind w:firstLine="424" w:firstLineChars="202"/>
        <w:textAlignment w:val="auto"/>
        <w:rPr>
          <w:rFonts w:ascii="宋体" w:hAnsi="宋体" w:cs="宋体"/>
          <w:color w:val="000000"/>
          <w:kern w:val="0"/>
          <w:szCs w:val="21"/>
          <w:highlight w:val="none"/>
        </w:rPr>
      </w:pPr>
      <w:r>
        <w:rPr>
          <w:rFonts w:hint="eastAsia" w:ascii="宋体" w:hAnsi="宋体"/>
          <w:color w:val="000000"/>
          <w:szCs w:val="21"/>
          <w:highlight w:val="none"/>
        </w:rPr>
        <w:t>2</w:t>
      </w:r>
      <w:r>
        <w:rPr>
          <w:rFonts w:ascii="宋体" w:hAnsi="宋体"/>
          <w:color w:val="000000"/>
          <w:szCs w:val="21"/>
          <w:highlight w:val="none"/>
        </w:rPr>
        <w:t>.</w:t>
      </w:r>
      <w:r>
        <w:rPr>
          <w:rFonts w:hint="eastAsia" w:ascii="宋体" w:hAnsi="宋体" w:cs="宋体"/>
          <w:color w:val="000000"/>
          <w:kern w:val="0"/>
          <w:szCs w:val="21"/>
          <w:highlight w:val="none"/>
        </w:rPr>
        <w:t>本项目需要落实的政府采购政策</w:t>
      </w:r>
    </w:p>
    <w:p w14:paraId="30F59BC1">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iCs/>
          <w:color w:val="000000"/>
          <w:kern w:val="0"/>
          <w:szCs w:val="21"/>
          <w:highlight w:val="none"/>
        </w:rPr>
      </w:pPr>
      <w:r>
        <w:rPr>
          <w:rFonts w:hint="eastAsia" w:ascii="宋体" w:hAnsi="宋体" w:cs="宋体"/>
          <w:iCs/>
          <w:color w:val="000000"/>
          <w:kern w:val="0"/>
          <w:szCs w:val="21"/>
          <w:highlight w:val="none"/>
        </w:rPr>
        <w:t>（1）政府采购促进中小企业发展。</w:t>
      </w:r>
    </w:p>
    <w:p w14:paraId="73FC3988">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iCs/>
          <w:color w:val="000000"/>
          <w:kern w:val="0"/>
          <w:szCs w:val="21"/>
          <w:highlight w:val="none"/>
        </w:rPr>
      </w:pPr>
      <w:r>
        <w:rPr>
          <w:rFonts w:hint="eastAsia" w:ascii="宋体" w:hAnsi="宋体" w:cs="宋体"/>
          <w:iCs/>
          <w:color w:val="000000"/>
          <w:kern w:val="0"/>
          <w:szCs w:val="21"/>
          <w:highlight w:val="none"/>
        </w:rPr>
        <w:t>（2）政府采购支持采用本国产品的政策。</w:t>
      </w:r>
    </w:p>
    <w:p w14:paraId="636658E9">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iCs/>
          <w:color w:val="000000"/>
          <w:kern w:val="0"/>
          <w:szCs w:val="21"/>
          <w:highlight w:val="none"/>
        </w:rPr>
      </w:pPr>
      <w:r>
        <w:rPr>
          <w:rFonts w:hint="eastAsia" w:ascii="宋体" w:hAnsi="宋体" w:cs="宋体"/>
          <w:iCs/>
          <w:color w:val="000000"/>
          <w:kern w:val="0"/>
          <w:szCs w:val="21"/>
          <w:highlight w:val="none"/>
        </w:rPr>
        <w:t>（3）强制采购节能产品；优先采购节能产品、环境标志产品。</w:t>
      </w:r>
    </w:p>
    <w:p w14:paraId="075BD9B6">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iCs/>
          <w:color w:val="000000"/>
          <w:kern w:val="0"/>
          <w:szCs w:val="21"/>
          <w:highlight w:val="none"/>
        </w:rPr>
      </w:pPr>
      <w:r>
        <w:rPr>
          <w:rFonts w:hint="eastAsia" w:ascii="宋体" w:hAnsi="宋体" w:cs="宋体"/>
          <w:iCs/>
          <w:color w:val="000000"/>
          <w:kern w:val="0"/>
          <w:szCs w:val="21"/>
          <w:highlight w:val="none"/>
        </w:rPr>
        <w:t>（4）政府采购促进残疾人就业政策。</w:t>
      </w:r>
    </w:p>
    <w:p w14:paraId="739052C1">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iCs/>
          <w:color w:val="000000"/>
          <w:kern w:val="0"/>
          <w:szCs w:val="21"/>
          <w:highlight w:val="none"/>
        </w:rPr>
      </w:pPr>
      <w:r>
        <w:rPr>
          <w:rFonts w:hint="eastAsia" w:ascii="宋体" w:hAnsi="宋体" w:cs="宋体"/>
          <w:iCs/>
          <w:color w:val="000000"/>
          <w:kern w:val="0"/>
          <w:szCs w:val="21"/>
          <w:highlight w:val="none"/>
        </w:rPr>
        <w:t>（5）政府采购支持监狱企业发展。</w:t>
      </w:r>
    </w:p>
    <w:p w14:paraId="167E50B4">
      <w:pPr>
        <w:keepNext w:val="0"/>
        <w:keepLines w:val="0"/>
        <w:pageBreakBefore w:val="0"/>
        <w:widowControl/>
        <w:kinsoku/>
        <w:wordWrap/>
        <w:overflowPunct/>
        <w:topLinePunct w:val="0"/>
        <w:autoSpaceDE/>
        <w:autoSpaceDN/>
        <w:bidi w:val="0"/>
        <w:adjustRightInd/>
        <w:spacing w:line="480" w:lineRule="exact"/>
        <w:ind w:firstLine="420" w:firstLineChars="200"/>
        <w:jc w:val="left"/>
        <w:textAlignment w:val="auto"/>
        <w:rPr>
          <w:rFonts w:hint="eastAsia" w:ascii="宋体" w:hAnsi="宋体"/>
          <w:color w:val="000000"/>
          <w:szCs w:val="21"/>
          <w:highlight w:val="none"/>
        </w:rPr>
      </w:pPr>
      <w:r>
        <w:rPr>
          <w:rFonts w:hint="eastAsia" w:ascii="宋体" w:hAnsi="宋体" w:cs="宋体"/>
          <w:color w:val="000000"/>
          <w:kern w:val="0"/>
          <w:szCs w:val="21"/>
          <w:highlight w:val="none"/>
        </w:rPr>
        <w:t>3.</w:t>
      </w:r>
      <w:bookmarkEnd w:id="37"/>
      <w:bookmarkStart w:id="38" w:name="_Toc35393627"/>
      <w:bookmarkStart w:id="39" w:name="_Toc28359085"/>
      <w:bookmarkStart w:id="40" w:name="_Toc35393796"/>
      <w:bookmarkStart w:id="41" w:name="_Toc28359008"/>
      <w:r>
        <w:rPr>
          <w:rFonts w:hint="eastAsia" w:ascii="宋体" w:hAnsi="宋体" w:cs="宋体"/>
          <w:color w:val="000000"/>
          <w:kern w:val="0"/>
          <w:szCs w:val="21"/>
          <w:highlight w:val="none"/>
        </w:rPr>
        <w:t>投标人</w:t>
      </w:r>
      <w:r>
        <w:rPr>
          <w:rFonts w:hint="eastAsia" w:ascii="宋体" w:hAnsi="宋体"/>
          <w:color w:val="000000"/>
          <w:szCs w:val="21"/>
          <w:highlight w:val="none"/>
        </w:rPr>
        <w:t>投标注意事项</w:t>
      </w:r>
    </w:p>
    <w:p w14:paraId="4286D18C">
      <w:pPr>
        <w:keepNext w:val="0"/>
        <w:keepLines w:val="0"/>
        <w:pageBreakBefore w:val="0"/>
        <w:widowControl/>
        <w:kinsoku/>
        <w:wordWrap/>
        <w:overflowPunct/>
        <w:topLinePunct w:val="0"/>
        <w:autoSpaceDE/>
        <w:autoSpaceDN/>
        <w:bidi w:val="0"/>
        <w:adjustRightInd/>
        <w:spacing w:line="480" w:lineRule="exact"/>
        <w:ind w:firstLine="420" w:firstLineChars="200"/>
        <w:jc w:val="left"/>
        <w:textAlignment w:val="auto"/>
        <w:rPr>
          <w:rFonts w:hint="eastAsia" w:ascii="宋体" w:hAnsi="宋体"/>
          <w:color w:val="000000"/>
          <w:szCs w:val="21"/>
          <w:highlight w:val="none"/>
        </w:rPr>
      </w:pPr>
      <w:r>
        <w:rPr>
          <w:rFonts w:hint="eastAsia" w:ascii="宋体" w:hAnsi="宋体"/>
          <w:color w:val="000000"/>
          <w:szCs w:val="21"/>
          <w:highlight w:val="none"/>
        </w:rPr>
        <w:t>（1）本项目为全流程电子化采购项目，通过广西政府采购云平台（</w:t>
      </w:r>
      <w:r>
        <w:rPr>
          <w:rFonts w:hint="eastAsia" w:ascii="宋体" w:hAnsi="宋体"/>
          <w:bCs/>
          <w:color w:val="000000"/>
          <w:szCs w:val="21"/>
          <w:highlight w:val="none"/>
        </w:rPr>
        <w:t>https：//www.gcy.zfcg.gxzf.gov.cn/</w:t>
      </w:r>
      <w:r>
        <w:rPr>
          <w:rFonts w:hint="eastAsia" w:ascii="宋体" w:hAnsi="宋体"/>
          <w:color w:val="000000"/>
          <w:szCs w:val="21"/>
          <w:highlight w:val="none"/>
        </w:rPr>
        <w:t>）实行在线电子投标，投标人应按照本项目招标文件和广西政府采购云平台的要求编制、加密后在投标截止时间前通过网络上传至广西政府采购云平台（加密的电子投标文件是指</w:t>
      </w:r>
      <w:r>
        <w:rPr>
          <w:rFonts w:hint="eastAsia"/>
          <w:color w:val="000000"/>
          <w:highlight w:val="none"/>
        </w:rPr>
        <w:t>后缀名为“</w:t>
      </w:r>
      <w:r>
        <w:rPr>
          <w:color w:val="000000"/>
          <w:highlight w:val="none"/>
        </w:rPr>
        <w:t>jmbs</w:t>
      </w:r>
      <w:r>
        <w:rPr>
          <w:rFonts w:hint="eastAsia"/>
          <w:color w:val="000000"/>
          <w:highlight w:val="none"/>
        </w:rPr>
        <w:t>”的文件</w:t>
      </w:r>
      <w:r>
        <w:rPr>
          <w:rFonts w:hint="eastAsia" w:ascii="宋体" w:hAnsi="宋体"/>
          <w:color w:val="000000"/>
          <w:szCs w:val="21"/>
          <w:highlight w:val="none"/>
        </w:rPr>
        <w:t>），</w:t>
      </w:r>
      <w:r>
        <w:rPr>
          <w:rFonts w:hint="eastAsia" w:ascii="宋体" w:hAnsi="宋体"/>
          <w:b/>
          <w:color w:val="000000"/>
          <w:szCs w:val="21"/>
          <w:highlight w:val="none"/>
        </w:rPr>
        <w:t>投标人在广西政府采购云平台提交电子投标文件时，请填写参加远程开标活动经办人联系方式。</w:t>
      </w:r>
      <w:r>
        <w:rPr>
          <w:rFonts w:hint="eastAsia" w:ascii="宋体" w:hAnsi="宋体"/>
          <w:color w:val="000000"/>
          <w:szCs w:val="21"/>
          <w:highlight w:val="none"/>
        </w:rPr>
        <w:t>投标人登录广西政府采购云平台，依次进入“服务中心-项目采购-操作流程-电子招投标-</w:t>
      </w:r>
      <w:r>
        <w:rPr>
          <w:rFonts w:hint="eastAsia"/>
          <w:color w:val="000000"/>
          <w:highlight w:val="none"/>
        </w:rPr>
        <w:t>政府采购项目电子交易管理操作指南</w:t>
      </w:r>
      <w:r>
        <w:rPr>
          <w:color w:val="000000"/>
          <w:highlight w:val="none"/>
        </w:rPr>
        <w:t>-</w:t>
      </w:r>
      <w:r>
        <w:rPr>
          <w:rFonts w:hint="eastAsia"/>
          <w:color w:val="000000"/>
          <w:highlight w:val="none"/>
        </w:rPr>
        <w:t>供应商</w:t>
      </w:r>
      <w:r>
        <w:rPr>
          <w:rFonts w:hint="eastAsia" w:ascii="宋体" w:hAnsi="宋体"/>
          <w:color w:val="000000"/>
          <w:szCs w:val="21"/>
          <w:highlight w:val="none"/>
        </w:rPr>
        <w:t>”查看电子投标具体操作流程。</w:t>
      </w:r>
    </w:p>
    <w:p w14:paraId="480A8B1A">
      <w:pPr>
        <w:keepNext w:val="0"/>
        <w:keepLines w:val="0"/>
        <w:pageBreakBefore w:val="0"/>
        <w:widowControl/>
        <w:kinsoku/>
        <w:wordWrap/>
        <w:overflowPunct/>
        <w:topLinePunct w:val="0"/>
        <w:autoSpaceDE/>
        <w:autoSpaceDN/>
        <w:bidi w:val="0"/>
        <w:adjustRightInd/>
        <w:spacing w:line="480" w:lineRule="exact"/>
        <w:ind w:firstLine="420" w:firstLineChars="200"/>
        <w:jc w:val="left"/>
        <w:textAlignment w:val="auto"/>
        <w:rPr>
          <w:rFonts w:hint="eastAsia" w:ascii="宋体" w:hAnsi="宋体"/>
          <w:color w:val="000000"/>
          <w:szCs w:val="21"/>
          <w:highlight w:val="none"/>
        </w:rPr>
      </w:pPr>
      <w:r>
        <w:rPr>
          <w:rFonts w:hint="eastAsia" w:ascii="宋体" w:hAnsi="宋体"/>
          <w:color w:val="000000"/>
          <w:szCs w:val="21"/>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hint="eastAsia" w:ascii="宋体" w:hAnsi="宋体" w:cs="宋体"/>
          <w:color w:val="000000"/>
          <w:kern w:val="0"/>
          <w:szCs w:val="21"/>
          <w:highlight w:val="none"/>
        </w:rPr>
        <w:t>，</w:t>
      </w:r>
      <w:r>
        <w:rPr>
          <w:rFonts w:hint="eastAsia" w:ascii="宋体" w:hAnsi="宋体"/>
          <w:color w:val="000000"/>
          <w:szCs w:val="21"/>
          <w:highlight w:val="none"/>
        </w:rPr>
        <w:t>依次进入“服务中心-入驻与配置”中查看CA数字证书办理操作流程。</w:t>
      </w:r>
      <w:r>
        <w:rPr>
          <w:rFonts w:hint="eastAsia" w:ascii="宋体" w:hAnsi="宋体" w:cs="宋体"/>
          <w:bCs/>
          <w:color w:val="000000"/>
          <w:kern w:val="0"/>
          <w:szCs w:val="21"/>
          <w:highlight w:val="none"/>
        </w:rPr>
        <w:t>如在操作过程中遇到问题或者需要技术支持，请致电客服热线：95763或者0771-3381253</w:t>
      </w:r>
      <w:r>
        <w:rPr>
          <w:rFonts w:hint="eastAsia" w:ascii="宋体" w:hAnsi="宋体"/>
          <w:color w:val="000000"/>
          <w:szCs w:val="21"/>
          <w:highlight w:val="none"/>
        </w:rPr>
        <w:t>）。</w:t>
      </w:r>
    </w:p>
    <w:p w14:paraId="3CB8B7A5">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cs="宋体"/>
          <w:color w:val="000000"/>
          <w:kern w:val="0"/>
          <w:szCs w:val="21"/>
          <w:highlight w:val="none"/>
        </w:rPr>
      </w:pPr>
      <w:r>
        <w:rPr>
          <w:rFonts w:hint="eastAsia" w:ascii="宋体" w:hAnsi="宋体" w:cs="宋体"/>
          <w:color w:val="000000"/>
          <w:kern w:val="0"/>
          <w:szCs w:val="21"/>
          <w:highlight w:val="none"/>
        </w:rPr>
        <w:t>（3）CA证书在线解密：投标人投标时，需凭制作投标文件时用来加密的有效数字证书（CA认证）登录</w:t>
      </w:r>
      <w:r>
        <w:rPr>
          <w:rFonts w:hint="eastAsia" w:ascii="宋体" w:hAnsi="宋体"/>
          <w:color w:val="000000"/>
          <w:szCs w:val="21"/>
          <w:highlight w:val="none"/>
        </w:rPr>
        <w:t>广西政府采购云平台</w:t>
      </w:r>
      <w:r>
        <w:rPr>
          <w:rFonts w:hint="eastAsia" w:ascii="宋体" w:hAnsi="宋体" w:cs="宋体"/>
          <w:color w:val="000000"/>
          <w:kern w:val="0"/>
          <w:szCs w:val="21"/>
          <w:highlight w:val="none"/>
        </w:rPr>
        <w:t>电子开标大厅现场按规定时间对加密的投标文件进行解密，否则后果自负。</w:t>
      </w:r>
    </w:p>
    <w:p w14:paraId="41FC2D13">
      <w:pPr>
        <w:keepNext w:val="0"/>
        <w:keepLines w:val="0"/>
        <w:pageBreakBefore w:val="0"/>
        <w:kinsoku/>
        <w:wordWrap/>
        <w:overflowPunct/>
        <w:topLinePunct w:val="0"/>
        <w:autoSpaceDE/>
        <w:autoSpaceDN/>
        <w:bidi w:val="0"/>
        <w:adjustRightInd/>
        <w:spacing w:line="480" w:lineRule="exact"/>
        <w:ind w:firstLine="424" w:firstLineChars="202"/>
        <w:textAlignment w:val="auto"/>
        <w:rPr>
          <w:rFonts w:hint="eastAsia" w:ascii="宋体" w:hAnsi="宋体"/>
          <w:bCs/>
          <w:color w:val="000000"/>
          <w:szCs w:val="21"/>
          <w:highlight w:val="none"/>
        </w:rPr>
      </w:pPr>
      <w:r>
        <w:rPr>
          <w:rFonts w:hint="eastAsia" w:ascii="宋体" w:hAnsi="宋体"/>
          <w:color w:val="000000"/>
          <w:szCs w:val="21"/>
          <w:highlight w:val="none"/>
        </w:rPr>
        <w:t>注：1）为确保网上操作合法、有效和安全，请投标人确保在电子投标过程中能够对相关数据电文进行加密和使用电子签章，妥善保管CA数字证书并使用有效的CA数字证书参与整个招标活动。2）</w:t>
      </w:r>
      <w:r>
        <w:rPr>
          <w:rFonts w:hint="eastAsia" w:ascii="宋体" w:hAnsi="宋体"/>
          <w:bCs/>
          <w:color w:val="000000"/>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olor w:val="000000"/>
          <w:szCs w:val="21"/>
          <w:highlight w:val="none"/>
        </w:rPr>
        <w:t>广西政府采购云平台</w:t>
      </w:r>
      <w:r>
        <w:rPr>
          <w:rFonts w:hint="eastAsia" w:ascii="宋体" w:hAnsi="宋体"/>
          <w:bCs/>
          <w:color w:val="000000"/>
          <w:szCs w:val="21"/>
          <w:highlight w:val="none"/>
        </w:rPr>
        <w:t>将予以拒收。</w:t>
      </w:r>
    </w:p>
    <w:p w14:paraId="79C727BF">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bCs/>
          <w:color w:val="000000"/>
          <w:szCs w:val="21"/>
          <w:highlight w:val="none"/>
        </w:rPr>
      </w:pPr>
      <w:r>
        <w:rPr>
          <w:rFonts w:hint="eastAsia" w:ascii="宋体" w:hAnsi="宋体"/>
          <w:bCs/>
          <w:color w:val="000000"/>
          <w:szCs w:val="21"/>
          <w:highlight w:val="none"/>
        </w:rPr>
        <w:t>4.交易服务单位：钦州市公共资源交易中心；联系电话：0777-2558900。</w:t>
      </w:r>
    </w:p>
    <w:p w14:paraId="41157BBE">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color w:val="000000"/>
          <w:highlight w:val="none"/>
        </w:rPr>
      </w:pPr>
      <w:r>
        <w:rPr>
          <w:rFonts w:hint="eastAsia" w:ascii="宋体" w:hAnsi="宋体"/>
          <w:bCs/>
          <w:color w:val="000000"/>
          <w:szCs w:val="21"/>
          <w:highlight w:val="none"/>
        </w:rPr>
        <w:t>5.监督部门：钦州市财政局政府采购监督管理科；联系电话：0777-2895258。</w:t>
      </w:r>
    </w:p>
    <w:bookmarkEnd w:id="38"/>
    <w:bookmarkEnd w:id="39"/>
    <w:bookmarkEnd w:id="40"/>
    <w:bookmarkEnd w:id="41"/>
    <w:p w14:paraId="7A9D5F37">
      <w:pPr>
        <w:keepNext w:val="0"/>
        <w:keepLines w:val="0"/>
        <w:pageBreakBefore w:val="0"/>
        <w:kinsoku/>
        <w:wordWrap/>
        <w:overflowPunct/>
        <w:topLinePunct w:val="0"/>
        <w:autoSpaceDE/>
        <w:autoSpaceDN/>
        <w:bidi w:val="0"/>
        <w:adjustRightInd/>
        <w:spacing w:line="480" w:lineRule="exact"/>
        <w:ind w:firstLine="482" w:firstLineChars="200"/>
        <w:textAlignment w:val="auto"/>
        <w:rPr>
          <w:rFonts w:ascii="黑体" w:hAnsi="黑体" w:eastAsia="黑体"/>
          <w:b/>
          <w:bCs/>
          <w:color w:val="000000"/>
          <w:sz w:val="24"/>
          <w:highlight w:val="none"/>
        </w:rPr>
      </w:pPr>
      <w:r>
        <w:rPr>
          <w:rFonts w:hint="eastAsia" w:ascii="黑体" w:hAnsi="黑体" w:eastAsia="黑体"/>
          <w:b/>
          <w:bCs/>
          <w:color w:val="000000"/>
          <w:sz w:val="24"/>
          <w:highlight w:val="none"/>
        </w:rPr>
        <w:t>七、对本次招标提出询问，请按</w:t>
      </w:r>
      <w:r>
        <w:rPr>
          <w:rFonts w:ascii="黑体" w:hAnsi="黑体" w:eastAsia="黑体"/>
          <w:b/>
          <w:bCs/>
          <w:color w:val="000000"/>
          <w:sz w:val="24"/>
          <w:highlight w:val="none"/>
        </w:rPr>
        <w:t>以下方式</w:t>
      </w:r>
      <w:r>
        <w:rPr>
          <w:rFonts w:hint="eastAsia" w:ascii="黑体" w:hAnsi="黑体" w:eastAsia="黑体"/>
          <w:b/>
          <w:bCs/>
          <w:color w:val="000000"/>
          <w:sz w:val="24"/>
          <w:highlight w:val="none"/>
        </w:rPr>
        <w:t>联系。</w:t>
      </w:r>
    </w:p>
    <w:p w14:paraId="283C601F">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1.采购人信息</w:t>
      </w:r>
    </w:p>
    <w:p w14:paraId="5CF36377">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名 称：钦州市第二人民医院　</w:t>
      </w:r>
    </w:p>
    <w:p w14:paraId="5E7A6C78">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地 址：钦州市钦南区文峰南路219号　</w:t>
      </w:r>
    </w:p>
    <w:p w14:paraId="27679CF4">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 xml:space="preserve">联系方式：刘树森　0777-2873316　 </w:t>
      </w:r>
      <w:bookmarkStart w:id="42" w:name="_Toc28359086"/>
      <w:bookmarkStart w:id="43" w:name="_Toc28359009"/>
    </w:p>
    <w:p w14:paraId="3F24D1AE">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2.采购代理机构信息</w:t>
      </w:r>
      <w:bookmarkEnd w:id="42"/>
      <w:bookmarkEnd w:id="43"/>
    </w:p>
    <w:p w14:paraId="0B42CFD9">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名 称：云之龙咨询集团有限公司　</w:t>
      </w:r>
    </w:p>
    <w:p w14:paraId="1EDA1492">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bookmarkStart w:id="44" w:name="_Toc28359010"/>
      <w:bookmarkStart w:id="45" w:name="_Toc28359087"/>
      <w:r>
        <w:rPr>
          <w:rFonts w:hint="eastAsia" w:ascii="宋体" w:hAnsi="宋体" w:cs="宋体"/>
          <w:color w:val="000000"/>
          <w:kern w:val="0"/>
          <w:szCs w:val="21"/>
          <w:highlight w:val="none"/>
        </w:rPr>
        <w:t>地址：广西钦州市子材东大街19号奥林名城8号楼8层</w:t>
      </w:r>
    </w:p>
    <w:p w14:paraId="5AD38754">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项目联系人姓名：秦绍袁、梁译</w:t>
      </w:r>
    </w:p>
    <w:p w14:paraId="3D49B8FC">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联系电话：0777-5619366</w:t>
      </w:r>
    </w:p>
    <w:p w14:paraId="1626CFB5">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3.项目联系方式</w:t>
      </w:r>
      <w:bookmarkEnd w:id="44"/>
      <w:bookmarkEnd w:id="45"/>
    </w:p>
    <w:p w14:paraId="510B8EF2">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cs="宋体"/>
          <w:color w:val="000000"/>
          <w:kern w:val="0"/>
          <w:szCs w:val="21"/>
          <w:highlight w:val="none"/>
        </w:rPr>
      </w:pPr>
      <w:r>
        <w:rPr>
          <w:rFonts w:hint="eastAsia" w:ascii="宋体" w:hAnsi="宋体" w:cs="宋体"/>
          <w:color w:val="000000"/>
          <w:kern w:val="0"/>
          <w:szCs w:val="21"/>
          <w:highlight w:val="none"/>
        </w:rPr>
        <w:t>项目联系人：秦绍袁、梁译</w:t>
      </w:r>
    </w:p>
    <w:p w14:paraId="3A31A5BA">
      <w:pPr>
        <w:keepNext w:val="0"/>
        <w:keepLines w:val="0"/>
        <w:pageBreakBefore w:val="0"/>
        <w:kinsoku/>
        <w:wordWrap/>
        <w:overflowPunct/>
        <w:topLinePunct w:val="0"/>
        <w:autoSpaceDE/>
        <w:autoSpaceDN/>
        <w:bidi w:val="0"/>
        <w:adjustRightInd/>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电　话：0777-5619366　　</w:t>
      </w:r>
    </w:p>
    <w:p w14:paraId="4E2FC729">
      <w:pPr>
        <w:keepNext w:val="0"/>
        <w:keepLines w:val="0"/>
        <w:pageBreakBefore w:val="0"/>
        <w:kinsoku/>
        <w:wordWrap/>
        <w:overflowPunct/>
        <w:topLinePunct w:val="0"/>
        <w:autoSpaceDE/>
        <w:autoSpaceDN/>
        <w:bidi w:val="0"/>
        <w:adjustRightInd/>
        <w:snapToGrid w:val="0"/>
        <w:spacing w:line="480" w:lineRule="exact"/>
        <w:textAlignment w:val="auto"/>
        <w:rPr>
          <w:rFonts w:ascii="仿宋_GB2312" w:hAnsi="宋体" w:eastAsia="仿宋_GB2312"/>
          <w:color w:val="000000"/>
          <w:sz w:val="24"/>
          <w:szCs w:val="20"/>
          <w:highlight w:val="none"/>
        </w:rPr>
      </w:pPr>
    </w:p>
    <w:p w14:paraId="3F1E5A60">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附件：采购需求一览表</w:t>
      </w:r>
    </w:p>
    <w:p w14:paraId="7E9127A5">
      <w:pPr>
        <w:keepNext w:val="0"/>
        <w:keepLines w:val="0"/>
        <w:pageBreakBefore w:val="0"/>
        <w:kinsoku/>
        <w:wordWrap/>
        <w:overflowPunct/>
        <w:topLinePunct w:val="0"/>
        <w:autoSpaceDE/>
        <w:autoSpaceDN/>
        <w:bidi w:val="0"/>
        <w:adjustRightInd/>
        <w:snapToGrid w:val="0"/>
        <w:spacing w:line="480" w:lineRule="exact"/>
        <w:textAlignment w:val="auto"/>
        <w:rPr>
          <w:rFonts w:hint="eastAsia" w:ascii="仿宋_GB2312" w:hAnsi="宋体" w:eastAsia="仿宋_GB2312"/>
          <w:color w:val="000000"/>
          <w:sz w:val="24"/>
          <w:szCs w:val="20"/>
          <w:highlight w:val="none"/>
        </w:rPr>
      </w:pPr>
    </w:p>
    <w:p w14:paraId="04C5DFC7">
      <w:pPr>
        <w:pStyle w:val="2"/>
        <w:jc w:val="center"/>
        <w:rPr>
          <w:rFonts w:hint="eastAsia"/>
          <w:color w:val="000000"/>
          <w:highlight w:val="none"/>
        </w:rPr>
      </w:pPr>
      <w:bookmarkStart w:id="46" w:name="_Toc74320801"/>
      <w:r>
        <w:rPr>
          <w:color w:val="000000"/>
          <w:highlight w:val="none"/>
        </w:rPr>
        <w:br w:type="page"/>
      </w:r>
      <w:r>
        <w:rPr>
          <w:rFonts w:hint="eastAsia"/>
          <w:color w:val="000000"/>
          <w:highlight w:val="none"/>
        </w:rPr>
        <w:t>第二章  采购需求</w:t>
      </w:r>
      <w:bookmarkEnd w:id="46"/>
    </w:p>
    <w:p w14:paraId="41CC31BA">
      <w:pPr>
        <w:spacing w:line="360" w:lineRule="auto"/>
        <w:jc w:val="left"/>
        <w:rPr>
          <w:rFonts w:ascii="宋体" w:hAnsi="宋体" w:cs="宋体"/>
          <w:color w:val="000000"/>
          <w:szCs w:val="21"/>
          <w:highlight w:val="none"/>
        </w:rPr>
      </w:pPr>
      <w:bookmarkStart w:id="47" w:name="_Toc254970631"/>
      <w:bookmarkStart w:id="48" w:name="_Toc254970490"/>
      <w:r>
        <w:rPr>
          <w:rFonts w:hint="eastAsia" w:ascii="宋体" w:hAnsi="宋体" w:cs="宋体"/>
          <w:color w:val="000000"/>
          <w:szCs w:val="21"/>
          <w:highlight w:val="none"/>
        </w:rPr>
        <w:t>说明：</w:t>
      </w:r>
    </w:p>
    <w:p w14:paraId="007AE294">
      <w:pPr>
        <w:spacing w:line="360" w:lineRule="auto"/>
        <w:ind w:firstLine="420" w:firstLineChars="200"/>
        <w:jc w:val="left"/>
        <w:rPr>
          <w:rFonts w:hint="eastAsia" w:ascii="宋体" w:hAnsi="宋体" w:cs="宋体"/>
          <w:color w:val="000000"/>
          <w:szCs w:val="21"/>
          <w:highlight w:val="none"/>
        </w:rPr>
      </w:pPr>
      <w:r>
        <w:rPr>
          <w:rFonts w:hint="eastAsia"/>
          <w:color w:val="000000"/>
          <w:highlight w:val="none"/>
        </w:rPr>
        <w:t>1. 为落实政府采购政策需满足的要求</w:t>
      </w:r>
    </w:p>
    <w:p w14:paraId="7AD3A2C5">
      <w:pPr>
        <w:spacing w:line="360" w:lineRule="auto"/>
        <w:ind w:firstLine="420" w:firstLineChars="200"/>
        <w:jc w:val="left"/>
        <w:rPr>
          <w:rFonts w:hint="eastAsia" w:ascii="宋体" w:hAnsi="宋体" w:cs="宋体"/>
          <w:color w:val="000000"/>
          <w:szCs w:val="21"/>
          <w:highlight w:val="none"/>
        </w:rPr>
      </w:pPr>
      <w:r>
        <w:rPr>
          <w:rFonts w:hint="eastAsia" w:ascii="宋体" w:hAnsi="宋体" w:cs="宋体"/>
          <w:color w:val="000000"/>
          <w:szCs w:val="21"/>
          <w:highlight w:val="none"/>
        </w:rPr>
        <w:t>（1）本招标文件所称中小企业必须符合《政府采购促进中小企业发展管理办法》（财库〔2020〕46号）的规定。</w:t>
      </w:r>
    </w:p>
    <w:p w14:paraId="4AAC4133">
      <w:pPr>
        <w:spacing w:line="360" w:lineRule="auto"/>
        <w:ind w:firstLine="424" w:firstLineChars="202"/>
        <w:jc w:val="left"/>
        <w:rPr>
          <w:rFonts w:ascii="宋体" w:hAnsi="宋体" w:cs="宋体"/>
          <w:color w:val="000000"/>
          <w:szCs w:val="21"/>
          <w:highlight w:val="none"/>
        </w:rPr>
      </w:pPr>
      <w:r>
        <w:rPr>
          <w:rFonts w:hint="eastAsia" w:ascii="宋体" w:hAnsi="宋体" w:cs="宋体"/>
          <w:color w:val="000000"/>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商务及技术文件）中提供所投标产品的节能产品认证证书复印件（加盖投标人电子签章），</w:t>
      </w:r>
      <w:r>
        <w:rPr>
          <w:rFonts w:hint="eastAsia" w:ascii="宋体" w:hAnsi="宋体" w:cs="宋体"/>
          <w:b/>
          <w:bCs/>
          <w:color w:val="000000"/>
          <w:szCs w:val="21"/>
          <w:highlight w:val="none"/>
        </w:rPr>
        <w:t>否则按无效投标处理</w:t>
      </w:r>
      <w:r>
        <w:rPr>
          <w:rFonts w:hint="eastAsia" w:ascii="宋体" w:hAnsi="宋体" w:cs="宋体"/>
          <w:color w:val="000000"/>
          <w:szCs w:val="21"/>
          <w:highlight w:val="none"/>
        </w:rPr>
        <w:t>。如本项目包含的货物属于品目清单内非标注“★”的产品时，应优先采购，具体详见“第四章 评标方法及评标标准”。</w:t>
      </w:r>
    </w:p>
    <w:p w14:paraId="67C882F0">
      <w:pPr>
        <w:spacing w:line="360" w:lineRule="auto"/>
        <w:ind w:firstLine="424" w:firstLineChars="202"/>
        <w:jc w:val="left"/>
        <w:rPr>
          <w:rFonts w:hint="eastAsia" w:ascii="宋体" w:hAnsi="宋体" w:cs="宋体"/>
          <w:color w:val="000000"/>
          <w:szCs w:val="21"/>
          <w:highlight w:val="none"/>
        </w:rPr>
      </w:pPr>
      <w:r>
        <w:rPr>
          <w:rFonts w:hint="eastAsia" w:ascii="宋体" w:hAnsi="宋体" w:cs="宋体"/>
          <w:color w:val="000000"/>
          <w:szCs w:val="21"/>
          <w:highlight w:val="none"/>
        </w:rPr>
        <w:t>（3）</w:t>
      </w:r>
      <w:r>
        <w:rPr>
          <w:color w:val="000000"/>
          <w:highlight w:val="none"/>
        </w:rPr>
        <w:t>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w:t>
      </w:r>
      <w:r>
        <w:rPr>
          <w:b/>
          <w:color w:val="000000"/>
          <w:highlight w:val="none"/>
        </w:rPr>
        <w:t>不在《网络关键设备和网络安全专用产品安全认证和安全检测结果》中或不在有效期内或未提供有效的《计算机信息系统安全专用产品销售许可证》的，</w:t>
      </w:r>
      <w:r>
        <w:rPr>
          <w:rFonts w:hint="eastAsia"/>
          <w:b/>
          <w:color w:val="000000"/>
          <w:highlight w:val="none"/>
        </w:rPr>
        <w:t>按无效投标处理</w:t>
      </w:r>
      <w:r>
        <w:rPr>
          <w:color w:val="000000"/>
          <w:highlight w:val="none"/>
        </w:rPr>
        <w:t>。如属于《网络关键设备和网络安全专用产品目录》中“二、网络安全专用产品”内“产品类别”中的所描述的产品，但不属于所列“产品描述”情形的，应提供相应的说明及证明材料。</w:t>
      </w:r>
    </w:p>
    <w:p w14:paraId="509F6244">
      <w:pPr>
        <w:spacing w:line="360" w:lineRule="auto"/>
        <w:ind w:firstLine="424" w:firstLineChars="202"/>
        <w:jc w:val="left"/>
        <w:rPr>
          <w:rFonts w:hint="eastAsia" w:ascii="宋体" w:hAnsi="宋体" w:cs="宋体"/>
          <w:color w:val="000000"/>
          <w:szCs w:val="21"/>
          <w:highlight w:val="none"/>
        </w:rPr>
      </w:pPr>
      <w:r>
        <w:rPr>
          <w:rFonts w:hint="eastAsia" w:ascii="宋体" w:hAnsi="宋体" w:cs="宋体"/>
          <w:color w:val="000000"/>
          <w:szCs w:val="21"/>
          <w:highlight w:val="none"/>
        </w:rPr>
        <w:t>2.“实质性要求”是指招标文件中已经指明不满足则投标无效的条款，或者不能负偏离的条款，或者采购需求中带“▲”的条款。</w:t>
      </w:r>
    </w:p>
    <w:p w14:paraId="285E6B8A">
      <w:pPr>
        <w:spacing w:line="360" w:lineRule="auto"/>
        <w:ind w:firstLine="424" w:firstLineChars="202"/>
        <w:jc w:val="left"/>
        <w:rPr>
          <w:rFonts w:hint="eastAsia" w:ascii="宋体" w:hAnsi="宋体" w:cs="宋体"/>
          <w:color w:val="000000"/>
          <w:szCs w:val="21"/>
          <w:highlight w:val="none"/>
        </w:rPr>
      </w:pPr>
      <w:r>
        <w:rPr>
          <w:rFonts w:hint="eastAsia" w:ascii="宋体" w:hAnsi="宋体" w:cs="宋体"/>
          <w:color w:val="000000"/>
          <w:szCs w:val="21"/>
          <w:highlight w:val="none"/>
        </w:rPr>
        <w:t>3.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20962FB1">
      <w:pPr>
        <w:spacing w:line="360" w:lineRule="auto"/>
        <w:ind w:firstLine="424" w:firstLineChars="202"/>
        <w:jc w:val="left"/>
        <w:rPr>
          <w:rFonts w:hint="eastAsia"/>
          <w:color w:val="000000"/>
          <w:highlight w:val="none"/>
        </w:rPr>
      </w:pPr>
      <w:r>
        <w:rPr>
          <w:rFonts w:hint="eastAsia" w:ascii="宋体" w:hAnsi="宋体" w:cs="宋体"/>
          <w:color w:val="000000"/>
          <w:szCs w:val="21"/>
          <w:highlight w:val="none"/>
        </w:rPr>
        <w:t>4.</w:t>
      </w:r>
      <w:bookmarkStart w:id="49" w:name="_Hlk65055179"/>
      <w:r>
        <w:rPr>
          <w:rFonts w:hint="eastAsia" w:ascii="宋体" w:hAnsi="宋体" w:cs="宋体"/>
          <w:color w:val="000000"/>
          <w:szCs w:val="21"/>
          <w:highlight w:val="none"/>
        </w:rPr>
        <w:t xml:space="preserve"> 投标人应根据自身实际情况如实响应招标文件</w:t>
      </w:r>
      <w:r>
        <w:rPr>
          <w:rFonts w:hint="eastAsia" w:ascii="宋体" w:hAnsi="宋体"/>
          <w:color w:val="000000"/>
          <w:szCs w:val="21"/>
          <w:highlight w:val="none"/>
        </w:rPr>
        <w:t>，</w:t>
      </w:r>
      <w:r>
        <w:rPr>
          <w:rFonts w:hint="eastAsia" w:ascii="宋体" w:hAnsi="宋体"/>
          <w:color w:val="000000"/>
          <w:sz w:val="22"/>
          <w:szCs w:val="22"/>
          <w:highlight w:val="none"/>
        </w:rPr>
        <w:t>对招标文件提出的要求和条件作出明确响应</w:t>
      </w:r>
      <w:r>
        <w:rPr>
          <w:rFonts w:hint="eastAsia" w:ascii="宋体" w:hAnsi="宋体"/>
          <w:color w:val="000000"/>
          <w:szCs w:val="21"/>
          <w:highlight w:val="none"/>
        </w:rPr>
        <w:t>，</w:t>
      </w:r>
      <w:r>
        <w:rPr>
          <w:rFonts w:hint="eastAsia" w:ascii="宋体" w:hAnsi="宋体"/>
          <w:b/>
          <w:bCs/>
          <w:color w:val="000000"/>
          <w:szCs w:val="21"/>
          <w:highlight w:val="none"/>
        </w:rPr>
        <w:t>否则将作无效响应处理</w:t>
      </w:r>
      <w:r>
        <w:rPr>
          <w:rFonts w:hint="eastAsia" w:ascii="宋体" w:hAnsi="宋体"/>
          <w:color w:val="000000"/>
          <w:szCs w:val="21"/>
          <w:highlight w:val="none"/>
        </w:rPr>
        <w:t>。</w:t>
      </w:r>
      <w:r>
        <w:rPr>
          <w:rFonts w:hint="eastAsia"/>
          <w:color w:val="000000"/>
          <w:highlight w:val="none"/>
        </w:rPr>
        <w:t>对于重要技术条款或技术参数应当在投标文件中提供技术支持资料，技术支持资料以招标文件中规定的形式为准，</w:t>
      </w:r>
      <w:r>
        <w:rPr>
          <w:rFonts w:hint="eastAsia"/>
          <w:b/>
          <w:bCs/>
          <w:color w:val="000000"/>
          <w:highlight w:val="none"/>
        </w:rPr>
        <w:t>否则将视为无效技术支持资料</w:t>
      </w:r>
      <w:r>
        <w:rPr>
          <w:rFonts w:hint="eastAsia"/>
          <w:color w:val="000000"/>
          <w:highlight w:val="none"/>
        </w:rPr>
        <w:t>。</w:t>
      </w:r>
    </w:p>
    <w:p w14:paraId="640D1DDF">
      <w:pPr>
        <w:spacing w:line="360" w:lineRule="auto"/>
        <w:ind w:firstLine="424" w:firstLineChars="202"/>
        <w:jc w:val="left"/>
        <w:rPr>
          <w:rFonts w:hint="eastAsia"/>
          <w:color w:val="000000"/>
          <w:highlight w:val="none"/>
        </w:rPr>
      </w:pPr>
      <w:r>
        <w:rPr>
          <w:rFonts w:hint="eastAsia" w:ascii="宋体" w:hAnsi="宋体" w:cs="宋体"/>
          <w:color w:val="000000"/>
          <w:szCs w:val="21"/>
          <w:highlight w:val="none"/>
        </w:rPr>
        <w:t>5.</w:t>
      </w:r>
      <w:r>
        <w:rPr>
          <w:rFonts w:hint="eastAsia"/>
          <w:color w:val="000000"/>
          <w:highlight w:val="none"/>
        </w:rPr>
        <w:t>投标人必须自行为其投标产品侵犯他人的知识产权或者专利成果的行为承担相应法律责任。</w:t>
      </w:r>
    </w:p>
    <w:bookmarkEnd w:id="47"/>
    <w:bookmarkEnd w:id="48"/>
    <w:bookmarkEnd w:id="49"/>
    <w:p w14:paraId="73BCC4B1">
      <w:pPr>
        <w:spacing w:line="380" w:lineRule="exact"/>
        <w:rPr>
          <w:rFonts w:ascii="宋体" w:hAnsi="宋体"/>
          <w:color w:val="000000"/>
          <w:szCs w:val="21"/>
          <w:highlight w:val="none"/>
        </w:rPr>
      </w:pPr>
      <w:r>
        <w:rPr>
          <w:rFonts w:hint="eastAsia" w:ascii="宋体" w:hAnsi="宋体"/>
          <w:b/>
          <w:color w:val="000000"/>
          <w:kern w:val="0"/>
          <w:sz w:val="24"/>
          <w:highlight w:val="none"/>
          <w:u w:val="single"/>
        </w:rPr>
        <w:t>A分标</w:t>
      </w:r>
    </w:p>
    <w:p w14:paraId="5926D7F8">
      <w:pPr>
        <w:spacing w:line="380" w:lineRule="exact"/>
        <w:rPr>
          <w:rFonts w:ascii="宋体" w:hAnsi="宋体"/>
          <w:b/>
          <w:color w:val="000000"/>
          <w:kern w:val="0"/>
          <w:sz w:val="24"/>
          <w:highlight w:val="none"/>
          <w:u w:val="single"/>
        </w:rPr>
      </w:pPr>
      <w:r>
        <w:rPr>
          <w:rFonts w:hint="eastAsia" w:ascii="宋体" w:hAnsi="宋体"/>
          <w:b/>
          <w:color w:val="000000"/>
          <w:kern w:val="0"/>
          <w:sz w:val="24"/>
          <w:highlight w:val="none"/>
          <w:u w:val="single"/>
        </w:rPr>
        <w:t>各个标的的所属行业：工业</w:t>
      </w:r>
    </w:p>
    <w:p w14:paraId="1BD85EC3">
      <w:pPr>
        <w:spacing w:line="380" w:lineRule="exact"/>
        <w:rPr>
          <w:rFonts w:ascii="宋体" w:hAnsi="宋体"/>
          <w:b/>
          <w:color w:val="000000"/>
          <w:kern w:val="0"/>
          <w:sz w:val="24"/>
          <w:highlight w:val="none"/>
          <w:u w:val="single"/>
        </w:rPr>
      </w:pPr>
    </w:p>
    <w:tbl>
      <w:tblPr>
        <w:tblStyle w:val="45"/>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34"/>
        <w:gridCol w:w="708"/>
        <w:gridCol w:w="851"/>
        <w:gridCol w:w="5670"/>
        <w:gridCol w:w="1134"/>
      </w:tblGrid>
      <w:tr w14:paraId="4E32C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vAlign w:val="top"/>
          </w:tcPr>
          <w:p w14:paraId="1F8443CC">
            <w:pPr>
              <w:tabs>
                <w:tab w:val="left" w:pos="180"/>
                <w:tab w:val="left" w:pos="1620"/>
              </w:tabs>
              <w:spacing w:line="360" w:lineRule="auto"/>
              <w:jc w:val="center"/>
              <w:rPr>
                <w:rFonts w:ascii="宋体" w:hAnsi="宋体"/>
                <w:b/>
                <w:color w:val="000000"/>
                <w:szCs w:val="21"/>
                <w:highlight w:val="none"/>
              </w:rPr>
            </w:pPr>
            <w:r>
              <w:rPr>
                <w:rFonts w:ascii="宋体" w:hAnsi="宋体"/>
                <w:b/>
                <w:color w:val="000000"/>
                <w:szCs w:val="21"/>
                <w:highlight w:val="none"/>
              </w:rPr>
              <w:t>序号</w:t>
            </w:r>
          </w:p>
        </w:tc>
        <w:tc>
          <w:tcPr>
            <w:tcW w:w="708" w:type="dxa"/>
            <w:noWrap w:val="0"/>
            <w:vAlign w:val="top"/>
          </w:tcPr>
          <w:p w14:paraId="1949332D">
            <w:pPr>
              <w:tabs>
                <w:tab w:val="left" w:pos="180"/>
                <w:tab w:val="left" w:pos="1620"/>
              </w:tabs>
              <w:spacing w:line="360" w:lineRule="auto"/>
              <w:jc w:val="center"/>
              <w:rPr>
                <w:rFonts w:ascii="宋体" w:hAnsi="宋体"/>
                <w:b/>
                <w:color w:val="000000"/>
                <w:szCs w:val="21"/>
                <w:highlight w:val="none"/>
              </w:rPr>
            </w:pPr>
            <w:r>
              <w:rPr>
                <w:rFonts w:hint="eastAsia" w:ascii="宋体" w:hAnsi="宋体"/>
                <w:b/>
                <w:color w:val="000000"/>
                <w:szCs w:val="21"/>
                <w:highlight w:val="none"/>
              </w:rPr>
              <w:t>标的</w:t>
            </w:r>
            <w:r>
              <w:rPr>
                <w:rFonts w:ascii="宋体" w:hAnsi="宋体"/>
                <w:b/>
                <w:color w:val="000000"/>
                <w:szCs w:val="21"/>
                <w:highlight w:val="none"/>
              </w:rPr>
              <w:t>名称</w:t>
            </w:r>
          </w:p>
        </w:tc>
        <w:tc>
          <w:tcPr>
            <w:tcW w:w="851" w:type="dxa"/>
            <w:noWrap w:val="0"/>
            <w:vAlign w:val="top"/>
          </w:tcPr>
          <w:p w14:paraId="12DDD281">
            <w:pPr>
              <w:tabs>
                <w:tab w:val="left" w:pos="180"/>
                <w:tab w:val="left" w:pos="1620"/>
              </w:tabs>
              <w:spacing w:line="360" w:lineRule="auto"/>
              <w:jc w:val="center"/>
              <w:rPr>
                <w:rFonts w:ascii="宋体" w:hAnsi="宋体"/>
                <w:b/>
                <w:color w:val="000000"/>
                <w:szCs w:val="21"/>
                <w:highlight w:val="none"/>
              </w:rPr>
            </w:pPr>
            <w:r>
              <w:rPr>
                <w:rFonts w:ascii="宋体" w:hAnsi="宋体"/>
                <w:b/>
                <w:color w:val="000000"/>
                <w:szCs w:val="21"/>
                <w:highlight w:val="none"/>
              </w:rPr>
              <w:t>数量</w:t>
            </w:r>
            <w:r>
              <w:rPr>
                <w:rFonts w:hint="eastAsia" w:ascii="宋体" w:hAnsi="宋体"/>
                <w:b/>
                <w:color w:val="000000"/>
                <w:szCs w:val="21"/>
                <w:highlight w:val="none"/>
              </w:rPr>
              <w:t>/单位</w:t>
            </w:r>
          </w:p>
        </w:tc>
        <w:tc>
          <w:tcPr>
            <w:tcW w:w="5670" w:type="dxa"/>
            <w:noWrap w:val="0"/>
            <w:vAlign w:val="top"/>
          </w:tcPr>
          <w:p w14:paraId="0B580A84">
            <w:pPr>
              <w:tabs>
                <w:tab w:val="left" w:pos="180"/>
                <w:tab w:val="left" w:pos="1620"/>
              </w:tabs>
              <w:spacing w:line="360" w:lineRule="auto"/>
              <w:jc w:val="center"/>
              <w:rPr>
                <w:rFonts w:ascii="宋体" w:hAnsi="宋体"/>
                <w:b/>
                <w:color w:val="000000"/>
                <w:szCs w:val="21"/>
                <w:highlight w:val="none"/>
              </w:rPr>
            </w:pPr>
            <w:r>
              <w:rPr>
                <w:rFonts w:ascii="宋体" w:hAnsi="宋体"/>
                <w:b/>
                <w:color w:val="000000"/>
                <w:szCs w:val="21"/>
                <w:highlight w:val="none"/>
              </w:rPr>
              <w:t>技术参数</w:t>
            </w:r>
          </w:p>
        </w:tc>
        <w:tc>
          <w:tcPr>
            <w:tcW w:w="1134" w:type="dxa"/>
            <w:noWrap w:val="0"/>
            <w:vAlign w:val="center"/>
          </w:tcPr>
          <w:p w14:paraId="74FEBE92">
            <w:pPr>
              <w:tabs>
                <w:tab w:val="left" w:pos="180"/>
                <w:tab w:val="left" w:pos="1620"/>
              </w:tabs>
              <w:spacing w:line="360" w:lineRule="auto"/>
              <w:jc w:val="center"/>
              <w:rPr>
                <w:rFonts w:ascii="宋体" w:hAnsi="宋体"/>
                <w:b/>
                <w:color w:val="000000"/>
                <w:szCs w:val="21"/>
                <w:highlight w:val="none"/>
              </w:rPr>
            </w:pPr>
            <w:r>
              <w:rPr>
                <w:rFonts w:hint="eastAsia" w:ascii="宋体" w:hAnsi="宋体"/>
                <w:b/>
                <w:color w:val="000000"/>
                <w:szCs w:val="21"/>
                <w:highlight w:val="none"/>
              </w:rPr>
              <w:t>最高限价</w:t>
            </w:r>
          </w:p>
          <w:p w14:paraId="0CD0DE00">
            <w:pPr>
              <w:tabs>
                <w:tab w:val="left" w:pos="180"/>
                <w:tab w:val="left" w:pos="1620"/>
              </w:tabs>
              <w:spacing w:line="360" w:lineRule="auto"/>
              <w:jc w:val="center"/>
              <w:rPr>
                <w:rFonts w:ascii="宋体" w:hAnsi="宋体"/>
                <w:b/>
                <w:color w:val="000000"/>
                <w:szCs w:val="21"/>
                <w:highlight w:val="none"/>
              </w:rPr>
            </w:pPr>
            <w:r>
              <w:rPr>
                <w:rFonts w:hint="eastAsia" w:ascii="宋体" w:hAnsi="宋体"/>
                <w:b/>
                <w:color w:val="000000"/>
                <w:szCs w:val="21"/>
                <w:highlight w:val="none"/>
              </w:rPr>
              <w:t>（万元）</w:t>
            </w:r>
          </w:p>
        </w:tc>
      </w:tr>
      <w:tr w14:paraId="16CB8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vAlign w:val="center"/>
          </w:tcPr>
          <w:p w14:paraId="07F8911C">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1</w:t>
            </w:r>
          </w:p>
        </w:tc>
        <w:tc>
          <w:tcPr>
            <w:tcW w:w="708" w:type="dxa"/>
            <w:noWrap w:val="0"/>
            <w:vAlign w:val="center"/>
          </w:tcPr>
          <w:p w14:paraId="0C186298">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麻醉机</w:t>
            </w:r>
          </w:p>
        </w:tc>
        <w:tc>
          <w:tcPr>
            <w:tcW w:w="851" w:type="dxa"/>
            <w:noWrap w:val="0"/>
            <w:vAlign w:val="center"/>
          </w:tcPr>
          <w:p w14:paraId="16D129FC">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1套</w:t>
            </w:r>
          </w:p>
        </w:tc>
        <w:tc>
          <w:tcPr>
            <w:tcW w:w="5670" w:type="dxa"/>
            <w:noWrap w:val="0"/>
            <w:vAlign w:val="top"/>
          </w:tcPr>
          <w:p w14:paraId="49201FC4">
            <w:pPr>
              <w:spacing w:line="360" w:lineRule="auto"/>
              <w:rPr>
                <w:rFonts w:ascii="宋体" w:hAnsi="宋体" w:cs="宋体"/>
                <w:color w:val="000000"/>
                <w:highlight w:val="none"/>
              </w:rPr>
            </w:pPr>
            <w:r>
              <w:rPr>
                <w:rFonts w:ascii="宋体" w:hAnsi="宋体" w:cs="宋体"/>
                <w:color w:val="000000"/>
                <w:highlight w:val="none"/>
              </w:rPr>
              <w:t>1</w:t>
            </w:r>
            <w:r>
              <w:rPr>
                <w:rFonts w:hint="eastAsia" w:ascii="宋体" w:hAnsi="宋体" w:cs="宋体"/>
                <w:color w:val="000000"/>
                <w:highlight w:val="none"/>
              </w:rPr>
              <w:t>、</w:t>
            </w:r>
            <w:r>
              <w:rPr>
                <w:rFonts w:ascii="宋体" w:hAnsi="宋体" w:cs="宋体"/>
                <w:color w:val="000000"/>
                <w:highlight w:val="none"/>
              </w:rPr>
              <w:t>工作条件及基本配件</w:t>
            </w:r>
          </w:p>
          <w:p w14:paraId="0C198129">
            <w:pPr>
              <w:spacing w:line="360" w:lineRule="auto"/>
              <w:rPr>
                <w:rFonts w:ascii="宋体" w:hAnsi="宋体" w:cs="宋体"/>
                <w:color w:val="000000"/>
                <w:highlight w:val="none"/>
              </w:rPr>
            </w:pPr>
            <w:r>
              <w:rPr>
                <w:rFonts w:ascii="宋体" w:hAnsi="宋体" w:cs="宋体"/>
                <w:color w:val="000000"/>
                <w:highlight w:val="none"/>
              </w:rPr>
              <w:t>1.1工作环境，温度：10℃ -40℃，湿度：15%-95%。</w:t>
            </w:r>
          </w:p>
          <w:p w14:paraId="62D8AB57">
            <w:pPr>
              <w:spacing w:line="360" w:lineRule="auto"/>
              <w:rPr>
                <w:rFonts w:ascii="宋体" w:hAnsi="宋体" w:cs="宋体"/>
                <w:color w:val="000000"/>
                <w:highlight w:val="none"/>
              </w:rPr>
            </w:pPr>
            <w:r>
              <w:rPr>
                <w:rFonts w:ascii="宋体" w:hAnsi="宋体" w:cs="宋体"/>
                <w:color w:val="000000"/>
                <w:highlight w:val="none"/>
              </w:rPr>
              <w:t>1.2电源：220V-240V，50/60Hz。</w:t>
            </w:r>
          </w:p>
          <w:p w14:paraId="78416BA6">
            <w:pPr>
              <w:spacing w:line="360" w:lineRule="auto"/>
              <w:rPr>
                <w:rFonts w:ascii="宋体" w:hAnsi="宋体" w:cs="宋体"/>
                <w:color w:val="000000"/>
                <w:highlight w:val="none"/>
              </w:rPr>
            </w:pPr>
            <w:r>
              <w:rPr>
                <w:rFonts w:ascii="宋体" w:hAnsi="宋体" w:cs="宋体"/>
                <w:color w:val="000000"/>
                <w:highlight w:val="none"/>
              </w:rPr>
              <w:t>1.3具有锂电子(非铅酸)后备电池，后备电池使用时间≥100分钟。</w:t>
            </w:r>
          </w:p>
          <w:p w14:paraId="4A61FF38">
            <w:pPr>
              <w:spacing w:line="360" w:lineRule="auto"/>
              <w:rPr>
                <w:rFonts w:ascii="宋体" w:hAnsi="宋体" w:cs="宋体"/>
                <w:color w:val="000000"/>
                <w:highlight w:val="none"/>
              </w:rPr>
            </w:pPr>
            <w:r>
              <w:rPr>
                <w:rFonts w:ascii="宋体" w:hAnsi="宋体" w:cs="宋体"/>
                <w:color w:val="000000"/>
                <w:highlight w:val="none"/>
              </w:rPr>
              <w:t>1.4 接口：</w:t>
            </w:r>
            <w:r>
              <w:rPr>
                <w:rFonts w:hint="eastAsia" w:ascii="宋体" w:hAnsi="宋体" w:cs="宋体"/>
                <w:color w:val="000000"/>
                <w:highlight w:val="none"/>
              </w:rPr>
              <w:t>至少</w:t>
            </w:r>
            <w:r>
              <w:rPr>
                <w:rFonts w:ascii="宋体" w:hAnsi="宋体" w:cs="宋体"/>
                <w:color w:val="000000"/>
                <w:highlight w:val="none"/>
              </w:rPr>
              <w:t xml:space="preserve">1个多功能复用接口、支持网络和软件在线升级功能, </w:t>
            </w:r>
            <w:r>
              <w:rPr>
                <w:rFonts w:hint="eastAsia" w:ascii="宋体" w:hAnsi="宋体" w:cs="宋体"/>
                <w:color w:val="000000"/>
                <w:highlight w:val="none"/>
              </w:rPr>
              <w:t>至少</w:t>
            </w:r>
            <w:r>
              <w:rPr>
                <w:rFonts w:ascii="宋体" w:hAnsi="宋体" w:cs="宋体"/>
                <w:color w:val="000000"/>
                <w:highlight w:val="none"/>
              </w:rPr>
              <w:t>1个 RS-232C 串行通讯接口，</w:t>
            </w:r>
            <w:r>
              <w:rPr>
                <w:rFonts w:hint="eastAsia" w:ascii="宋体" w:hAnsi="宋体" w:cs="宋体"/>
                <w:color w:val="000000"/>
                <w:highlight w:val="none"/>
              </w:rPr>
              <w:t>至少</w:t>
            </w:r>
            <w:r>
              <w:rPr>
                <w:rFonts w:ascii="宋体" w:hAnsi="宋体" w:cs="宋体"/>
                <w:color w:val="000000"/>
                <w:highlight w:val="none"/>
              </w:rPr>
              <w:t>1 个 VGA 接口，</w:t>
            </w:r>
            <w:r>
              <w:rPr>
                <w:rFonts w:hint="eastAsia" w:ascii="宋体" w:hAnsi="宋体" w:cs="宋体"/>
                <w:color w:val="000000"/>
                <w:highlight w:val="none"/>
              </w:rPr>
              <w:t>至少</w:t>
            </w:r>
            <w:r>
              <w:rPr>
                <w:rFonts w:ascii="宋体" w:hAnsi="宋体" w:cs="宋体"/>
                <w:color w:val="000000"/>
                <w:highlight w:val="none"/>
              </w:rPr>
              <w:t>3个辅助电源接口等。</w:t>
            </w:r>
          </w:p>
          <w:p w14:paraId="3C6D0AFC">
            <w:pPr>
              <w:spacing w:line="360" w:lineRule="auto"/>
              <w:rPr>
                <w:rFonts w:ascii="宋体" w:hAnsi="宋体" w:cs="宋体"/>
                <w:color w:val="000000"/>
                <w:highlight w:val="none"/>
              </w:rPr>
            </w:pPr>
            <w:r>
              <w:rPr>
                <w:rFonts w:ascii="宋体" w:hAnsi="宋体" w:cs="宋体"/>
                <w:color w:val="000000"/>
                <w:highlight w:val="none"/>
              </w:rPr>
              <w:t>1.5机架：带大工作台侧栏杆推车，</w:t>
            </w:r>
            <w:r>
              <w:rPr>
                <w:rFonts w:hint="eastAsia" w:ascii="宋体" w:hAnsi="宋体" w:cs="宋体"/>
                <w:color w:val="000000"/>
                <w:highlight w:val="none"/>
              </w:rPr>
              <w:t>≥</w:t>
            </w:r>
            <w:r>
              <w:rPr>
                <w:rFonts w:ascii="宋体" w:hAnsi="宋体" w:cs="宋体"/>
                <w:color w:val="000000"/>
                <w:highlight w:val="none"/>
              </w:rPr>
              <w:t>三个抽屉，具有中央刹车。</w:t>
            </w:r>
          </w:p>
          <w:p w14:paraId="3C07064B">
            <w:pPr>
              <w:spacing w:line="360" w:lineRule="auto"/>
              <w:rPr>
                <w:rFonts w:ascii="宋体" w:hAnsi="宋体" w:cs="宋体"/>
                <w:color w:val="000000"/>
                <w:highlight w:val="none"/>
              </w:rPr>
            </w:pPr>
            <w:r>
              <w:rPr>
                <w:rFonts w:ascii="宋体" w:hAnsi="宋体" w:cs="宋体"/>
                <w:color w:val="000000"/>
                <w:highlight w:val="none"/>
              </w:rPr>
              <w:t>1.6适合内窥镜手术模式：具备三级照明顶光灯，能够在黑暗环境中提供麻醉机工作台面照明。</w:t>
            </w:r>
          </w:p>
          <w:p w14:paraId="1ED6B479">
            <w:pPr>
              <w:spacing w:line="360" w:lineRule="auto"/>
              <w:rPr>
                <w:rFonts w:ascii="宋体" w:hAnsi="宋体" w:cs="宋体"/>
                <w:color w:val="000000"/>
                <w:highlight w:val="none"/>
              </w:rPr>
            </w:pPr>
            <w:r>
              <w:rPr>
                <w:rFonts w:ascii="宋体" w:hAnsi="宋体" w:cs="宋体"/>
                <w:color w:val="000000"/>
                <w:highlight w:val="none"/>
              </w:rPr>
              <w:t>1.7非待机状态转动关机旋钮，主机具备10</w:t>
            </w:r>
            <w:r>
              <w:rPr>
                <w:rFonts w:hint="eastAsia" w:ascii="宋体" w:hAnsi="宋体" w:cs="宋体"/>
                <w:color w:val="000000"/>
                <w:highlight w:val="none"/>
              </w:rPr>
              <w:t>-</w:t>
            </w:r>
            <w:r>
              <w:rPr>
                <w:rFonts w:hint="eastAsia" w:ascii="宋体" w:hAnsi="宋体" w:cs="宋体"/>
                <w:color w:val="000000"/>
                <w:highlight w:val="none"/>
                <w:lang w:val="en-US" w:eastAsia="zh-CN"/>
              </w:rPr>
              <w:t>20</w:t>
            </w:r>
            <w:r>
              <w:rPr>
                <w:rFonts w:ascii="宋体" w:hAnsi="宋体" w:cs="宋体"/>
                <w:color w:val="000000"/>
                <w:highlight w:val="none"/>
              </w:rPr>
              <w:t>秒延迟关机功能，以避免误操作保证病人安全。</w:t>
            </w:r>
          </w:p>
          <w:p w14:paraId="408A9954">
            <w:pPr>
              <w:spacing w:line="360" w:lineRule="auto"/>
              <w:rPr>
                <w:rFonts w:ascii="宋体" w:hAnsi="宋体" w:cs="宋体"/>
                <w:b/>
                <w:color w:val="000000"/>
                <w:highlight w:val="none"/>
              </w:rPr>
            </w:pPr>
            <w:r>
              <w:rPr>
                <w:rFonts w:ascii="宋体" w:hAnsi="宋体" w:cs="宋体"/>
                <w:b/>
                <w:color w:val="000000"/>
                <w:highlight w:val="none"/>
              </w:rPr>
              <w:t>▲1.8 用于对成人、小儿和新生儿的吸入麻醉及呼吸管理，具有</w:t>
            </w:r>
            <w:r>
              <w:rPr>
                <w:rFonts w:hint="eastAsia" w:ascii="宋体" w:hAnsi="宋体" w:cs="宋体"/>
                <w:b/>
                <w:color w:val="000000"/>
                <w:highlight w:val="none"/>
              </w:rPr>
              <w:t>中国食品药品监督管理局</w:t>
            </w:r>
            <w:r>
              <w:rPr>
                <w:rFonts w:ascii="宋体" w:hAnsi="宋体" w:cs="宋体"/>
                <w:b/>
                <w:color w:val="000000"/>
                <w:highlight w:val="none"/>
              </w:rPr>
              <w:t>CFDA新生儿认证。</w:t>
            </w:r>
          </w:p>
          <w:p w14:paraId="712C0591">
            <w:pPr>
              <w:spacing w:line="360" w:lineRule="auto"/>
              <w:rPr>
                <w:rFonts w:ascii="宋体" w:hAnsi="宋体" w:cs="宋体"/>
                <w:color w:val="000000"/>
                <w:highlight w:val="none"/>
              </w:rPr>
            </w:pPr>
            <w:r>
              <w:rPr>
                <w:rFonts w:ascii="宋体" w:hAnsi="宋体" w:cs="宋体"/>
                <w:color w:val="000000"/>
                <w:highlight w:val="none"/>
              </w:rPr>
              <w:t>2</w:t>
            </w:r>
            <w:r>
              <w:rPr>
                <w:rFonts w:hint="eastAsia" w:ascii="宋体" w:hAnsi="宋体" w:cs="宋体"/>
                <w:color w:val="000000"/>
                <w:highlight w:val="none"/>
              </w:rPr>
              <w:t>、</w:t>
            </w:r>
            <w:r>
              <w:rPr>
                <w:rFonts w:ascii="宋体" w:hAnsi="宋体" w:cs="宋体"/>
                <w:color w:val="000000"/>
                <w:highlight w:val="none"/>
              </w:rPr>
              <w:t>气源</w:t>
            </w:r>
          </w:p>
          <w:p w14:paraId="33871D64">
            <w:pPr>
              <w:spacing w:line="360" w:lineRule="auto"/>
              <w:rPr>
                <w:rFonts w:ascii="宋体" w:hAnsi="宋体" w:cs="宋体"/>
                <w:color w:val="000000"/>
                <w:highlight w:val="none"/>
              </w:rPr>
            </w:pPr>
            <w:r>
              <w:rPr>
                <w:rFonts w:ascii="宋体" w:hAnsi="宋体" w:cs="宋体"/>
                <w:color w:val="000000"/>
                <w:highlight w:val="none"/>
              </w:rPr>
              <w:t>2.1具有氧气、空气两气源。</w:t>
            </w:r>
          </w:p>
          <w:p w14:paraId="0C0554D0">
            <w:pPr>
              <w:spacing w:line="360" w:lineRule="auto"/>
              <w:rPr>
                <w:rFonts w:ascii="宋体" w:hAnsi="宋体" w:cs="宋体"/>
                <w:color w:val="000000"/>
                <w:highlight w:val="none"/>
              </w:rPr>
            </w:pPr>
            <w:r>
              <w:rPr>
                <w:rFonts w:ascii="宋体" w:hAnsi="宋体" w:cs="宋体"/>
                <w:color w:val="000000"/>
                <w:highlight w:val="none"/>
              </w:rPr>
              <w:t>2.2具备氧笑联动系统，保证接入氧气和笑气时氧浓度不低于25%。</w:t>
            </w:r>
          </w:p>
          <w:p w14:paraId="7CBA6CC0">
            <w:pPr>
              <w:spacing w:line="360" w:lineRule="auto"/>
              <w:rPr>
                <w:rFonts w:ascii="宋体" w:hAnsi="宋体" w:cs="宋体"/>
                <w:color w:val="000000"/>
                <w:highlight w:val="none"/>
              </w:rPr>
            </w:pPr>
            <w:r>
              <w:rPr>
                <w:rFonts w:ascii="宋体" w:hAnsi="宋体" w:cs="宋体"/>
                <w:color w:val="000000"/>
                <w:highlight w:val="none"/>
              </w:rPr>
              <w:t>2.</w:t>
            </w:r>
            <w:r>
              <w:rPr>
                <w:rFonts w:hint="eastAsia" w:ascii="宋体" w:hAnsi="宋体" w:cs="宋体"/>
                <w:color w:val="000000"/>
                <w:highlight w:val="none"/>
              </w:rPr>
              <w:t>3</w:t>
            </w:r>
            <w:r>
              <w:rPr>
                <w:rFonts w:ascii="宋体" w:hAnsi="宋体" w:cs="宋体"/>
                <w:color w:val="000000"/>
                <w:highlight w:val="none"/>
              </w:rPr>
              <w:t xml:space="preserve">快速充氧范围25 - 75 </w:t>
            </w:r>
            <w:r>
              <w:rPr>
                <w:rFonts w:hint="eastAsia" w:ascii="宋体" w:hAnsi="宋体" w:cs="宋体"/>
                <w:color w:val="000000"/>
                <w:highlight w:val="none"/>
              </w:rPr>
              <w:t>L</w:t>
            </w:r>
            <w:r>
              <w:rPr>
                <w:rFonts w:ascii="宋体" w:hAnsi="宋体" w:cs="宋体"/>
                <w:color w:val="000000"/>
                <w:highlight w:val="none"/>
              </w:rPr>
              <w:t>/min。</w:t>
            </w:r>
          </w:p>
          <w:p w14:paraId="63BEFE9E">
            <w:pPr>
              <w:spacing w:line="360" w:lineRule="auto"/>
              <w:rPr>
                <w:rFonts w:ascii="宋体" w:hAnsi="宋体" w:cs="宋体"/>
                <w:color w:val="000000"/>
                <w:highlight w:val="none"/>
              </w:rPr>
            </w:pPr>
            <w:r>
              <w:rPr>
                <w:rFonts w:ascii="宋体" w:hAnsi="宋体" w:cs="宋体"/>
                <w:color w:val="000000"/>
                <w:highlight w:val="none"/>
              </w:rPr>
              <w:t>3</w:t>
            </w:r>
            <w:r>
              <w:rPr>
                <w:rFonts w:hint="eastAsia" w:ascii="宋体" w:hAnsi="宋体" w:cs="宋体"/>
                <w:color w:val="000000"/>
                <w:highlight w:val="none"/>
              </w:rPr>
              <w:t>、</w:t>
            </w:r>
            <w:r>
              <w:rPr>
                <w:rFonts w:ascii="宋体" w:hAnsi="宋体" w:cs="宋体"/>
                <w:color w:val="000000"/>
                <w:highlight w:val="none"/>
              </w:rPr>
              <w:t>流量计</w:t>
            </w:r>
          </w:p>
          <w:p w14:paraId="4141E67D">
            <w:pPr>
              <w:spacing w:line="360" w:lineRule="auto"/>
              <w:rPr>
                <w:rFonts w:ascii="宋体" w:hAnsi="宋体" w:cs="宋体"/>
                <w:color w:val="000000"/>
                <w:highlight w:val="none"/>
              </w:rPr>
            </w:pPr>
            <w:r>
              <w:rPr>
                <w:rFonts w:ascii="宋体" w:hAnsi="宋体" w:cs="宋体"/>
                <w:color w:val="000000"/>
                <w:highlight w:val="none"/>
              </w:rPr>
              <w:t>▲3.1全电子流量计 (可直接设置氧浓度和总流量) （总流量控制模式下总流量范围：0.2 L/min - 18 L/min。O</w:t>
            </w:r>
            <w:r>
              <w:rPr>
                <w:rFonts w:ascii="宋体" w:hAnsi="宋体" w:cs="宋体"/>
                <w:color w:val="000000"/>
                <w:highlight w:val="none"/>
                <w:vertAlign w:val="superscript"/>
              </w:rPr>
              <w:t>2</w:t>
            </w:r>
            <w:r>
              <w:rPr>
                <w:rFonts w:ascii="宋体" w:hAnsi="宋体" w:cs="宋体"/>
                <w:color w:val="000000"/>
                <w:highlight w:val="none"/>
              </w:rPr>
              <w:t xml:space="preserve"> 浓度范围： 21% - 100% (空气为平衡气)，26% - 100% (笑气为平衡气)）。</w:t>
            </w:r>
          </w:p>
          <w:p w14:paraId="0F9AA246">
            <w:pPr>
              <w:spacing w:line="360" w:lineRule="auto"/>
              <w:rPr>
                <w:rFonts w:ascii="宋体" w:hAnsi="宋体" w:cs="宋体"/>
                <w:color w:val="000000"/>
                <w:highlight w:val="none"/>
              </w:rPr>
            </w:pPr>
            <w:r>
              <w:rPr>
                <w:rFonts w:ascii="宋体" w:hAnsi="宋体" w:cs="宋体"/>
                <w:color w:val="000000"/>
                <w:highlight w:val="none"/>
              </w:rPr>
              <w:t>3.2具备备用流量计。</w:t>
            </w:r>
          </w:p>
          <w:p w14:paraId="280DFFD3">
            <w:pPr>
              <w:spacing w:line="360" w:lineRule="auto"/>
              <w:rPr>
                <w:rFonts w:ascii="宋体" w:hAnsi="宋体" w:cs="宋体"/>
                <w:color w:val="000000"/>
                <w:highlight w:val="none"/>
              </w:rPr>
            </w:pPr>
            <w:r>
              <w:rPr>
                <w:rFonts w:ascii="宋体" w:hAnsi="宋体" w:cs="宋体"/>
                <w:color w:val="000000"/>
                <w:highlight w:val="none"/>
              </w:rPr>
              <w:t>3.3具备直观的适宜低流量麻醉的新鲜气体流量指示工具。</w:t>
            </w:r>
          </w:p>
          <w:p w14:paraId="28A0AF78">
            <w:pPr>
              <w:spacing w:line="360" w:lineRule="auto"/>
              <w:rPr>
                <w:rFonts w:ascii="宋体" w:hAnsi="宋体" w:cs="宋体"/>
                <w:color w:val="000000"/>
                <w:highlight w:val="none"/>
              </w:rPr>
            </w:pPr>
            <w:r>
              <w:rPr>
                <w:rFonts w:ascii="宋体" w:hAnsi="宋体" w:cs="宋体"/>
                <w:color w:val="000000"/>
                <w:highlight w:val="none"/>
              </w:rPr>
              <w:t>▲3.</w:t>
            </w:r>
            <w:r>
              <w:rPr>
                <w:rFonts w:hint="eastAsia" w:ascii="宋体" w:hAnsi="宋体" w:cs="宋体"/>
                <w:color w:val="000000"/>
                <w:highlight w:val="none"/>
                <w:lang w:val="en-US" w:eastAsia="zh-CN"/>
              </w:rPr>
              <w:t>4</w:t>
            </w:r>
            <w:r>
              <w:rPr>
                <w:rFonts w:ascii="宋体" w:hAnsi="宋体" w:cs="宋体"/>
                <w:color w:val="000000"/>
                <w:highlight w:val="none"/>
              </w:rPr>
              <w:t xml:space="preserve"> 配</w:t>
            </w:r>
            <w:r>
              <w:rPr>
                <w:rFonts w:hint="eastAsia" w:ascii="宋体" w:hAnsi="宋体" w:cs="宋体"/>
                <w:color w:val="000000"/>
                <w:highlight w:val="none"/>
              </w:rPr>
              <w:t>置</w:t>
            </w:r>
            <w:r>
              <w:rPr>
                <w:rFonts w:ascii="宋体" w:hAnsi="宋体" w:cs="宋体"/>
                <w:color w:val="000000"/>
                <w:highlight w:val="none"/>
              </w:rPr>
              <w:t>经鼻高流量给氧功能</w:t>
            </w:r>
            <w:r>
              <w:rPr>
                <w:rFonts w:hint="eastAsia" w:ascii="宋体" w:hAnsi="宋体" w:cs="宋体"/>
                <w:color w:val="000000"/>
                <w:highlight w:val="none"/>
              </w:rPr>
              <w:t>或单机</w:t>
            </w:r>
            <w:r>
              <w:rPr>
                <w:rFonts w:ascii="宋体" w:hAnsi="宋体" w:cs="宋体"/>
                <w:color w:val="000000"/>
                <w:highlight w:val="none"/>
              </w:rPr>
              <w:t>，输出流速范围0-60L/min。</w:t>
            </w:r>
          </w:p>
          <w:p w14:paraId="6EECD714">
            <w:pPr>
              <w:spacing w:line="360" w:lineRule="auto"/>
              <w:rPr>
                <w:rFonts w:ascii="宋体" w:hAnsi="宋体" w:cs="宋体"/>
                <w:color w:val="000000"/>
                <w:highlight w:val="none"/>
              </w:rPr>
            </w:pPr>
            <w:r>
              <w:rPr>
                <w:rFonts w:ascii="宋体" w:hAnsi="宋体" w:cs="宋体"/>
                <w:color w:val="000000"/>
                <w:highlight w:val="none"/>
              </w:rPr>
              <w:t>4</w:t>
            </w:r>
            <w:r>
              <w:rPr>
                <w:rFonts w:hint="eastAsia" w:ascii="宋体" w:hAnsi="宋体" w:cs="宋体"/>
                <w:color w:val="000000"/>
                <w:highlight w:val="none"/>
              </w:rPr>
              <w:t>、</w:t>
            </w:r>
            <w:r>
              <w:rPr>
                <w:rFonts w:ascii="宋体" w:hAnsi="宋体" w:cs="宋体"/>
                <w:color w:val="000000"/>
                <w:highlight w:val="none"/>
              </w:rPr>
              <w:t>挥发罐</w:t>
            </w:r>
          </w:p>
          <w:p w14:paraId="68A142A9">
            <w:pPr>
              <w:spacing w:line="360" w:lineRule="auto"/>
              <w:rPr>
                <w:rFonts w:ascii="宋体" w:hAnsi="宋体" w:cs="宋体"/>
                <w:color w:val="000000"/>
                <w:highlight w:val="none"/>
              </w:rPr>
            </w:pPr>
            <w:r>
              <w:rPr>
                <w:rFonts w:ascii="宋体" w:hAnsi="宋体" w:cs="宋体"/>
                <w:color w:val="000000"/>
                <w:highlight w:val="none"/>
              </w:rPr>
              <w:t>4.1具有双麻醉罐位。</w:t>
            </w:r>
          </w:p>
          <w:p w14:paraId="6FF08CF4">
            <w:pPr>
              <w:spacing w:line="360" w:lineRule="auto"/>
              <w:rPr>
                <w:rFonts w:ascii="宋体" w:hAnsi="宋体" w:cs="宋体"/>
                <w:color w:val="000000"/>
                <w:highlight w:val="none"/>
              </w:rPr>
            </w:pPr>
            <w:r>
              <w:rPr>
                <w:rFonts w:ascii="宋体" w:hAnsi="宋体" w:cs="宋体"/>
                <w:color w:val="000000"/>
                <w:highlight w:val="none"/>
              </w:rPr>
              <w:t>4.2具有一个挥发罐，挥发罐和主机同品牌</w:t>
            </w:r>
            <w:r>
              <w:rPr>
                <w:rFonts w:hint="eastAsia" w:ascii="宋体" w:hAnsi="宋体" w:cs="宋体"/>
                <w:color w:val="000000"/>
                <w:highlight w:val="none"/>
              </w:rPr>
              <w:t>（</w:t>
            </w:r>
            <w:r>
              <w:rPr>
                <w:rFonts w:ascii="宋体" w:hAnsi="宋体" w:cs="宋体"/>
                <w:color w:val="000000"/>
                <w:highlight w:val="none"/>
              </w:rPr>
              <w:t>同品牌非其他品牌代工贴牌产品</w:t>
            </w:r>
            <w:r>
              <w:rPr>
                <w:rFonts w:hint="eastAsia" w:ascii="宋体" w:hAnsi="宋体" w:cs="宋体"/>
                <w:color w:val="000000"/>
                <w:highlight w:val="none"/>
              </w:rPr>
              <w:t>）</w:t>
            </w:r>
            <w:r>
              <w:rPr>
                <w:rFonts w:ascii="宋体" w:hAnsi="宋体" w:cs="宋体"/>
                <w:color w:val="000000"/>
                <w:highlight w:val="none"/>
              </w:rPr>
              <w:t>，具备压力、流速和温度补偿。</w:t>
            </w:r>
          </w:p>
          <w:p w14:paraId="6EC661CE">
            <w:pPr>
              <w:spacing w:line="360" w:lineRule="auto"/>
              <w:rPr>
                <w:rFonts w:ascii="宋体" w:hAnsi="宋体" w:cs="宋体"/>
                <w:color w:val="000000"/>
                <w:highlight w:val="none"/>
              </w:rPr>
            </w:pPr>
            <w:r>
              <w:rPr>
                <w:rFonts w:ascii="宋体" w:hAnsi="宋体" w:cs="宋体"/>
                <w:color w:val="000000"/>
                <w:highlight w:val="none"/>
              </w:rPr>
              <w:t>5</w:t>
            </w:r>
            <w:r>
              <w:rPr>
                <w:rFonts w:hint="eastAsia" w:ascii="宋体" w:hAnsi="宋体" w:cs="宋体"/>
                <w:color w:val="000000"/>
                <w:highlight w:val="none"/>
              </w:rPr>
              <w:t>、</w:t>
            </w:r>
            <w:r>
              <w:rPr>
                <w:rFonts w:ascii="宋体" w:hAnsi="宋体" w:cs="宋体"/>
                <w:color w:val="000000"/>
                <w:highlight w:val="none"/>
              </w:rPr>
              <w:t>呼吸回路</w:t>
            </w:r>
          </w:p>
          <w:p w14:paraId="5D74DE51">
            <w:pPr>
              <w:spacing w:line="360" w:lineRule="auto"/>
              <w:rPr>
                <w:rFonts w:ascii="宋体" w:hAnsi="宋体" w:cs="宋体"/>
                <w:color w:val="000000"/>
                <w:highlight w:val="none"/>
              </w:rPr>
            </w:pPr>
            <w:r>
              <w:rPr>
                <w:rFonts w:ascii="宋体" w:hAnsi="宋体" w:cs="宋体"/>
                <w:color w:val="000000"/>
                <w:highlight w:val="none"/>
              </w:rPr>
              <w:t>5.1回路整体可徒手拆卸，一体化回路，回路整体可旋转不小于20°以满足不同手术无需移动麻醉机的要求。</w:t>
            </w:r>
          </w:p>
          <w:p w14:paraId="24D206AB">
            <w:pPr>
              <w:spacing w:line="360" w:lineRule="auto"/>
              <w:rPr>
                <w:rFonts w:ascii="宋体" w:hAnsi="宋体" w:cs="宋体"/>
                <w:color w:val="000000"/>
                <w:highlight w:val="none"/>
              </w:rPr>
            </w:pPr>
            <w:r>
              <w:rPr>
                <w:rFonts w:ascii="宋体" w:hAnsi="宋体" w:cs="宋体"/>
                <w:color w:val="000000"/>
                <w:highlight w:val="none"/>
              </w:rPr>
              <w:t>5.2回路部件可以耐受134℃高温高压消毒以避免院内交叉感染。</w:t>
            </w:r>
          </w:p>
          <w:p w14:paraId="7A0C4B80">
            <w:pPr>
              <w:spacing w:line="360" w:lineRule="auto"/>
              <w:rPr>
                <w:rFonts w:ascii="宋体" w:hAnsi="宋体" w:cs="宋体"/>
                <w:color w:val="000000"/>
                <w:highlight w:val="none"/>
              </w:rPr>
            </w:pPr>
            <w:r>
              <w:rPr>
                <w:rFonts w:ascii="宋体" w:hAnsi="宋体" w:cs="宋体"/>
                <w:color w:val="000000"/>
                <w:highlight w:val="none"/>
              </w:rPr>
              <w:t>5.3二氧化碳吸收罐，容积≥1400ml</w:t>
            </w:r>
          </w:p>
          <w:p w14:paraId="6B72CBC2">
            <w:pPr>
              <w:spacing w:line="360" w:lineRule="auto"/>
              <w:rPr>
                <w:rFonts w:ascii="宋体" w:hAnsi="宋体" w:cs="宋体"/>
                <w:color w:val="000000"/>
                <w:highlight w:val="none"/>
              </w:rPr>
            </w:pPr>
            <w:r>
              <w:rPr>
                <w:rFonts w:ascii="宋体" w:hAnsi="宋体" w:cs="宋体"/>
                <w:color w:val="000000"/>
                <w:highlight w:val="none"/>
              </w:rPr>
              <w:t>5.4内置双流量传感器，分别在吸入端，呼出端。</w:t>
            </w:r>
          </w:p>
          <w:p w14:paraId="375AFEF7">
            <w:pPr>
              <w:spacing w:line="360" w:lineRule="auto"/>
              <w:rPr>
                <w:rFonts w:ascii="宋体" w:hAnsi="宋体" w:cs="宋体"/>
                <w:color w:val="000000"/>
                <w:highlight w:val="none"/>
              </w:rPr>
            </w:pPr>
            <w:r>
              <w:rPr>
                <w:rFonts w:ascii="宋体" w:hAnsi="宋体" w:cs="宋体"/>
                <w:color w:val="000000"/>
                <w:highlight w:val="none"/>
              </w:rPr>
              <w:t>5.5低回路系统容积，</w:t>
            </w:r>
            <w:r>
              <w:rPr>
                <w:rFonts w:hint="eastAsia" w:ascii="宋体" w:hAnsi="宋体" w:cs="宋体"/>
                <w:color w:val="000000"/>
                <w:highlight w:val="none"/>
              </w:rPr>
              <w:t>能</w:t>
            </w:r>
            <w:r>
              <w:rPr>
                <w:rFonts w:ascii="宋体" w:hAnsi="宋体" w:cs="宋体"/>
                <w:color w:val="000000"/>
                <w:highlight w:val="none"/>
              </w:rPr>
              <w:t>快速调节新鲜气体流量以及输出麻药浓度。</w:t>
            </w:r>
          </w:p>
          <w:p w14:paraId="35477064">
            <w:pPr>
              <w:spacing w:line="360" w:lineRule="auto"/>
              <w:rPr>
                <w:rFonts w:ascii="宋体" w:hAnsi="宋体" w:cs="宋体"/>
                <w:color w:val="000000"/>
                <w:highlight w:val="none"/>
              </w:rPr>
            </w:pPr>
            <w:r>
              <w:rPr>
                <w:rFonts w:ascii="宋体" w:hAnsi="宋体" w:cs="宋体"/>
                <w:color w:val="000000"/>
                <w:highlight w:val="none"/>
              </w:rPr>
              <w:t>▲5.</w:t>
            </w:r>
            <w:r>
              <w:rPr>
                <w:rFonts w:hint="eastAsia" w:ascii="宋体" w:hAnsi="宋体" w:cs="宋体"/>
                <w:color w:val="000000"/>
                <w:highlight w:val="none"/>
                <w:lang w:val="en-US" w:eastAsia="zh-CN"/>
              </w:rPr>
              <w:t>6</w:t>
            </w:r>
            <w:r>
              <w:rPr>
                <w:rFonts w:ascii="宋体" w:hAnsi="宋体" w:cs="宋体"/>
                <w:color w:val="000000"/>
                <w:highlight w:val="none"/>
              </w:rPr>
              <w:t>具有回路整体加温功能，能保证回路不受积水影响，保证流量传感器精准及向病人提供温暖气体，避免对呼吸道的刺激。</w:t>
            </w:r>
          </w:p>
          <w:p w14:paraId="620F43A1">
            <w:pPr>
              <w:spacing w:line="360" w:lineRule="auto"/>
              <w:rPr>
                <w:rFonts w:ascii="宋体" w:hAnsi="宋体" w:cs="宋体"/>
                <w:color w:val="000000"/>
                <w:highlight w:val="none"/>
              </w:rPr>
            </w:pPr>
            <w:r>
              <w:rPr>
                <w:rFonts w:ascii="宋体" w:hAnsi="宋体" w:cs="宋体"/>
                <w:color w:val="000000"/>
                <w:highlight w:val="none"/>
              </w:rPr>
              <w:t>5.</w:t>
            </w:r>
            <w:r>
              <w:rPr>
                <w:rFonts w:hint="eastAsia" w:ascii="宋体" w:hAnsi="宋体" w:cs="宋体"/>
                <w:color w:val="000000"/>
                <w:highlight w:val="none"/>
                <w:lang w:val="en-US" w:eastAsia="zh-CN"/>
              </w:rPr>
              <w:t>7</w:t>
            </w:r>
            <w:r>
              <w:rPr>
                <w:rFonts w:ascii="宋体" w:hAnsi="宋体" w:cs="宋体"/>
                <w:color w:val="000000"/>
                <w:highlight w:val="none"/>
              </w:rPr>
              <w:t>具有CO</w:t>
            </w:r>
            <w:r>
              <w:rPr>
                <w:rFonts w:ascii="宋体" w:hAnsi="宋体" w:cs="宋体"/>
                <w:color w:val="000000"/>
                <w:highlight w:val="none"/>
                <w:vertAlign w:val="superscript"/>
              </w:rPr>
              <w:t>2</w:t>
            </w:r>
            <w:r>
              <w:rPr>
                <w:rFonts w:ascii="宋体" w:hAnsi="宋体" w:cs="宋体"/>
                <w:color w:val="000000"/>
                <w:highlight w:val="none"/>
              </w:rPr>
              <w:t>旁路功能，在机械通气过程中，更换钠石灰罐无需选择确认，无需关停机械通气，</w:t>
            </w:r>
            <w:r>
              <w:rPr>
                <w:rFonts w:hint="eastAsia" w:ascii="宋体" w:hAnsi="宋体" w:cs="宋体"/>
                <w:color w:val="000000"/>
                <w:highlight w:val="none"/>
              </w:rPr>
              <w:t>能</w:t>
            </w:r>
            <w:r>
              <w:rPr>
                <w:rFonts w:ascii="宋体" w:hAnsi="宋体" w:cs="宋体"/>
                <w:color w:val="000000"/>
                <w:highlight w:val="none"/>
              </w:rPr>
              <w:t>直接更换。</w:t>
            </w:r>
          </w:p>
          <w:p w14:paraId="1DE2D9BD">
            <w:pPr>
              <w:spacing w:line="360" w:lineRule="auto"/>
              <w:rPr>
                <w:rFonts w:ascii="宋体" w:hAnsi="宋体" w:cs="宋体"/>
                <w:color w:val="000000"/>
                <w:highlight w:val="none"/>
              </w:rPr>
            </w:pPr>
            <w:r>
              <w:rPr>
                <w:rFonts w:ascii="宋体" w:hAnsi="宋体" w:cs="宋体"/>
                <w:color w:val="000000"/>
                <w:highlight w:val="none"/>
              </w:rPr>
              <w:t>5.</w:t>
            </w:r>
            <w:r>
              <w:rPr>
                <w:rFonts w:hint="eastAsia" w:ascii="宋体" w:hAnsi="宋体" w:cs="宋体"/>
                <w:color w:val="000000"/>
                <w:highlight w:val="none"/>
                <w:lang w:val="en-US" w:eastAsia="zh-CN"/>
              </w:rPr>
              <w:t>8</w:t>
            </w:r>
            <w:r>
              <w:rPr>
                <w:rFonts w:ascii="宋体" w:hAnsi="宋体" w:cs="宋体"/>
                <w:color w:val="000000"/>
                <w:highlight w:val="none"/>
              </w:rPr>
              <w:t>具备智能回路识别报警系统，当钠石灰罐未安装到位时，机器能智能识别，并报警提示。</w:t>
            </w:r>
          </w:p>
          <w:p w14:paraId="58357D45">
            <w:pPr>
              <w:spacing w:line="360" w:lineRule="auto"/>
              <w:rPr>
                <w:rFonts w:ascii="宋体" w:hAnsi="宋体" w:cs="宋体"/>
                <w:color w:val="000000"/>
                <w:highlight w:val="none"/>
              </w:rPr>
            </w:pPr>
            <w:r>
              <w:rPr>
                <w:rFonts w:ascii="宋体" w:hAnsi="宋体" w:cs="宋体"/>
                <w:color w:val="000000"/>
                <w:highlight w:val="none"/>
              </w:rPr>
              <w:t>5.</w:t>
            </w:r>
            <w:r>
              <w:rPr>
                <w:rFonts w:hint="eastAsia" w:ascii="宋体" w:hAnsi="宋体" w:cs="宋体"/>
                <w:color w:val="000000"/>
                <w:highlight w:val="none"/>
                <w:lang w:val="en-US" w:eastAsia="zh-CN"/>
              </w:rPr>
              <w:t>9</w:t>
            </w:r>
            <w:r>
              <w:rPr>
                <w:rFonts w:ascii="宋体" w:hAnsi="宋体" w:cs="宋体"/>
                <w:color w:val="000000"/>
                <w:highlight w:val="none"/>
              </w:rPr>
              <w:t>呼吸系统泄漏量≤60mL/min（在3.0kPa压力条件下）</w:t>
            </w:r>
          </w:p>
          <w:p w14:paraId="6E537F32">
            <w:pPr>
              <w:spacing w:line="360" w:lineRule="auto"/>
              <w:rPr>
                <w:rFonts w:ascii="宋体" w:hAnsi="宋体" w:cs="宋体"/>
                <w:color w:val="000000"/>
                <w:highlight w:val="none"/>
              </w:rPr>
            </w:pPr>
            <w:r>
              <w:rPr>
                <w:rFonts w:ascii="宋体" w:hAnsi="宋体" w:cs="宋体"/>
                <w:color w:val="000000"/>
                <w:highlight w:val="none"/>
              </w:rPr>
              <w:t>6</w:t>
            </w:r>
            <w:r>
              <w:rPr>
                <w:rFonts w:hint="eastAsia" w:ascii="宋体" w:hAnsi="宋体" w:cs="宋体"/>
                <w:color w:val="000000"/>
                <w:highlight w:val="none"/>
              </w:rPr>
              <w:t>、</w:t>
            </w:r>
            <w:r>
              <w:rPr>
                <w:rFonts w:ascii="宋体" w:hAnsi="宋体" w:cs="宋体"/>
                <w:color w:val="000000"/>
                <w:highlight w:val="none"/>
              </w:rPr>
              <w:t xml:space="preserve">呼吸机 </w:t>
            </w:r>
          </w:p>
          <w:p w14:paraId="3DDE6BA8">
            <w:pPr>
              <w:spacing w:line="360" w:lineRule="auto"/>
              <w:rPr>
                <w:rFonts w:ascii="宋体" w:hAnsi="宋体" w:cs="宋体"/>
                <w:color w:val="000000"/>
                <w:highlight w:val="none"/>
              </w:rPr>
            </w:pPr>
            <w:r>
              <w:rPr>
                <w:rFonts w:ascii="宋体" w:hAnsi="宋体" w:cs="宋体"/>
                <w:color w:val="000000"/>
                <w:highlight w:val="none"/>
              </w:rPr>
              <w:t>6.1气动电控呼吸机，全中文操作和显示。</w:t>
            </w:r>
          </w:p>
          <w:p w14:paraId="78C48B8C">
            <w:pPr>
              <w:spacing w:line="360" w:lineRule="auto"/>
              <w:rPr>
                <w:rFonts w:ascii="宋体" w:hAnsi="宋体" w:cs="宋体"/>
                <w:color w:val="000000"/>
                <w:highlight w:val="none"/>
              </w:rPr>
            </w:pPr>
            <w:r>
              <w:rPr>
                <w:rFonts w:ascii="宋体" w:hAnsi="宋体" w:cs="宋体"/>
                <w:color w:val="000000"/>
                <w:highlight w:val="none"/>
              </w:rPr>
              <w:t>6.2提供辅助/控制通气功能，具有通气模式：VCV、PCV、压力控制容量保证通气（PCV-VG）和SIMV（SIMV-VC、SIMV-PC）模式。</w:t>
            </w:r>
          </w:p>
          <w:p w14:paraId="2765DAEE">
            <w:pPr>
              <w:spacing w:line="360" w:lineRule="auto"/>
              <w:rPr>
                <w:rFonts w:ascii="宋体" w:hAnsi="宋体" w:cs="宋体"/>
                <w:color w:val="000000"/>
                <w:highlight w:val="none"/>
              </w:rPr>
            </w:pPr>
            <w:r>
              <w:rPr>
                <w:rFonts w:ascii="宋体" w:hAnsi="宋体" w:cs="宋体"/>
                <w:color w:val="000000"/>
                <w:highlight w:val="none"/>
              </w:rPr>
              <w:t>▲6.3潮气量设置范围：容控模式10ml-1500ml，压控模式5ml-1500ml。</w:t>
            </w:r>
          </w:p>
          <w:p w14:paraId="6D01AEFF">
            <w:pPr>
              <w:spacing w:line="360" w:lineRule="auto"/>
              <w:rPr>
                <w:rFonts w:ascii="宋体" w:hAnsi="宋体" w:cs="宋体"/>
                <w:color w:val="000000"/>
                <w:highlight w:val="none"/>
              </w:rPr>
            </w:pPr>
            <w:r>
              <w:rPr>
                <w:rFonts w:ascii="宋体" w:hAnsi="宋体" w:cs="宋体"/>
                <w:color w:val="000000"/>
                <w:highlight w:val="none"/>
              </w:rPr>
              <w:t>6.4吸气压力设置范围：5-80 cm</w:t>
            </w:r>
            <w:r>
              <w:rPr>
                <w:rFonts w:hint="eastAsia"/>
                <w:color w:val="000000"/>
                <w:highlight w:val="none"/>
              </w:rPr>
              <w:t>H</w:t>
            </w:r>
            <w:r>
              <w:rPr>
                <w:rFonts w:hint="eastAsia"/>
                <w:color w:val="000000"/>
                <w:highlight w:val="none"/>
                <w:vertAlign w:val="subscript"/>
              </w:rPr>
              <w:t>2</w:t>
            </w:r>
            <w:r>
              <w:rPr>
                <w:rFonts w:hint="eastAsia"/>
                <w:color w:val="000000"/>
                <w:highlight w:val="none"/>
              </w:rPr>
              <w:t>0</w:t>
            </w:r>
            <w:r>
              <w:rPr>
                <w:rFonts w:ascii="宋体" w:hAnsi="宋体" w:cs="宋体"/>
                <w:color w:val="000000"/>
                <w:highlight w:val="none"/>
              </w:rPr>
              <w:t>。</w:t>
            </w:r>
          </w:p>
          <w:p w14:paraId="3EE247D2">
            <w:pPr>
              <w:spacing w:line="360" w:lineRule="auto"/>
              <w:rPr>
                <w:rFonts w:ascii="宋体" w:hAnsi="宋体" w:cs="宋体"/>
                <w:color w:val="000000"/>
                <w:highlight w:val="none"/>
              </w:rPr>
            </w:pPr>
            <w:r>
              <w:rPr>
                <w:rFonts w:ascii="宋体" w:hAnsi="宋体" w:cs="宋体"/>
                <w:color w:val="000000"/>
                <w:highlight w:val="none"/>
              </w:rPr>
              <w:t>6.5支持压力：0，3cm</w:t>
            </w:r>
            <w:r>
              <w:rPr>
                <w:rFonts w:hint="eastAsia"/>
                <w:color w:val="000000"/>
                <w:highlight w:val="none"/>
              </w:rPr>
              <w:t>H</w:t>
            </w:r>
            <w:r>
              <w:rPr>
                <w:rFonts w:hint="eastAsia"/>
                <w:color w:val="000000"/>
                <w:highlight w:val="none"/>
                <w:vertAlign w:val="subscript"/>
              </w:rPr>
              <w:t>2</w:t>
            </w:r>
            <w:r>
              <w:rPr>
                <w:rFonts w:hint="eastAsia"/>
                <w:color w:val="000000"/>
                <w:highlight w:val="none"/>
              </w:rPr>
              <w:t>0</w:t>
            </w:r>
            <w:r>
              <w:rPr>
                <w:rFonts w:ascii="宋体" w:hAnsi="宋体" w:cs="宋体"/>
                <w:color w:val="000000"/>
                <w:highlight w:val="none"/>
              </w:rPr>
              <w:t>～60cm</w:t>
            </w:r>
            <w:r>
              <w:rPr>
                <w:rFonts w:hint="eastAsia"/>
                <w:color w:val="000000"/>
                <w:highlight w:val="none"/>
              </w:rPr>
              <w:t>H</w:t>
            </w:r>
            <w:r>
              <w:rPr>
                <w:rFonts w:hint="eastAsia"/>
                <w:color w:val="000000"/>
                <w:highlight w:val="none"/>
                <w:vertAlign w:val="subscript"/>
              </w:rPr>
              <w:t>2</w:t>
            </w:r>
            <w:r>
              <w:rPr>
                <w:rFonts w:hint="eastAsia"/>
                <w:color w:val="000000"/>
                <w:highlight w:val="none"/>
              </w:rPr>
              <w:t>0</w:t>
            </w:r>
            <w:r>
              <w:rPr>
                <w:rFonts w:ascii="宋体" w:hAnsi="宋体" w:cs="宋体"/>
                <w:color w:val="000000"/>
                <w:highlight w:val="none"/>
              </w:rPr>
              <w:t>。</w:t>
            </w:r>
          </w:p>
          <w:p w14:paraId="7FF91070">
            <w:pPr>
              <w:spacing w:line="360" w:lineRule="auto"/>
              <w:rPr>
                <w:rFonts w:ascii="宋体" w:hAnsi="宋体" w:cs="宋体"/>
                <w:color w:val="000000"/>
                <w:highlight w:val="none"/>
              </w:rPr>
            </w:pPr>
            <w:r>
              <w:rPr>
                <w:rFonts w:ascii="宋体" w:hAnsi="宋体" w:cs="宋体"/>
                <w:color w:val="000000"/>
                <w:highlight w:val="none"/>
              </w:rPr>
              <w:t>6.6呼吸频率：3-100次/分钟。</w:t>
            </w:r>
          </w:p>
          <w:p w14:paraId="71DA7052">
            <w:pPr>
              <w:spacing w:line="360" w:lineRule="auto"/>
              <w:rPr>
                <w:rFonts w:ascii="宋体" w:hAnsi="宋体" w:cs="宋体"/>
                <w:color w:val="000000"/>
                <w:highlight w:val="none"/>
              </w:rPr>
            </w:pPr>
            <w:r>
              <w:rPr>
                <w:rFonts w:ascii="宋体" w:hAnsi="宋体" w:cs="宋体"/>
                <w:color w:val="000000"/>
                <w:highlight w:val="none"/>
              </w:rPr>
              <w:t>6.7吸呼比：4：1到1：8。</w:t>
            </w:r>
          </w:p>
          <w:p w14:paraId="125976E3">
            <w:pPr>
              <w:spacing w:line="360" w:lineRule="auto"/>
              <w:rPr>
                <w:rFonts w:ascii="宋体" w:hAnsi="宋体" w:cs="宋体"/>
                <w:color w:val="000000"/>
                <w:highlight w:val="none"/>
              </w:rPr>
            </w:pPr>
            <w:r>
              <w:rPr>
                <w:rFonts w:ascii="宋体" w:hAnsi="宋体" w:cs="宋体"/>
                <w:color w:val="000000"/>
                <w:highlight w:val="none"/>
              </w:rPr>
              <w:t>6.8压力限制范围：10-100 cm</w:t>
            </w:r>
            <w:r>
              <w:rPr>
                <w:rFonts w:hint="eastAsia"/>
                <w:color w:val="000000"/>
                <w:highlight w:val="none"/>
              </w:rPr>
              <w:t>H</w:t>
            </w:r>
            <w:r>
              <w:rPr>
                <w:rFonts w:hint="eastAsia"/>
                <w:color w:val="000000"/>
                <w:highlight w:val="none"/>
                <w:vertAlign w:val="subscript"/>
              </w:rPr>
              <w:t>2</w:t>
            </w:r>
            <w:r>
              <w:rPr>
                <w:rFonts w:hint="eastAsia"/>
                <w:color w:val="000000"/>
                <w:highlight w:val="none"/>
              </w:rPr>
              <w:t>0</w:t>
            </w:r>
            <w:r>
              <w:rPr>
                <w:rFonts w:ascii="宋体" w:hAnsi="宋体" w:cs="宋体"/>
                <w:color w:val="000000"/>
                <w:highlight w:val="none"/>
              </w:rPr>
              <w:t>。</w:t>
            </w:r>
          </w:p>
          <w:p w14:paraId="55FA4B66">
            <w:pPr>
              <w:spacing w:line="360" w:lineRule="auto"/>
              <w:rPr>
                <w:rFonts w:ascii="宋体" w:hAnsi="宋体" w:cs="宋体"/>
                <w:color w:val="000000"/>
                <w:highlight w:val="none"/>
              </w:rPr>
            </w:pPr>
            <w:r>
              <w:rPr>
                <w:rFonts w:ascii="宋体" w:hAnsi="宋体" w:cs="宋体"/>
                <w:color w:val="000000"/>
                <w:highlight w:val="none"/>
              </w:rPr>
              <w:t>6.9电子PEEP，显示屏设置，范围：OFF，3-30 cm</w:t>
            </w:r>
            <w:r>
              <w:rPr>
                <w:rFonts w:hint="eastAsia"/>
                <w:color w:val="000000"/>
                <w:highlight w:val="none"/>
              </w:rPr>
              <w:t>H</w:t>
            </w:r>
            <w:r>
              <w:rPr>
                <w:rFonts w:hint="eastAsia"/>
                <w:color w:val="000000"/>
                <w:highlight w:val="none"/>
                <w:vertAlign w:val="subscript"/>
              </w:rPr>
              <w:t>2</w:t>
            </w:r>
            <w:r>
              <w:rPr>
                <w:rFonts w:hint="eastAsia"/>
                <w:color w:val="000000"/>
                <w:highlight w:val="none"/>
              </w:rPr>
              <w:t>0</w:t>
            </w:r>
            <w:r>
              <w:rPr>
                <w:rFonts w:ascii="宋体" w:hAnsi="宋体" w:cs="宋体"/>
                <w:color w:val="000000"/>
                <w:highlight w:val="none"/>
              </w:rPr>
              <w:t>。</w:t>
            </w:r>
          </w:p>
          <w:p w14:paraId="193DB3F1">
            <w:pPr>
              <w:spacing w:line="360" w:lineRule="auto"/>
              <w:rPr>
                <w:rFonts w:ascii="宋体" w:hAnsi="宋体" w:cs="宋体"/>
                <w:color w:val="000000"/>
                <w:highlight w:val="none"/>
              </w:rPr>
            </w:pPr>
            <w:r>
              <w:rPr>
                <w:rFonts w:ascii="宋体" w:hAnsi="宋体" w:cs="宋体"/>
                <w:color w:val="000000"/>
                <w:highlight w:val="none"/>
              </w:rPr>
              <w:t>6.10吸气暂停：OFF，5%-60% 。</w:t>
            </w:r>
          </w:p>
          <w:p w14:paraId="498CA82C">
            <w:pPr>
              <w:spacing w:line="360" w:lineRule="auto"/>
              <w:rPr>
                <w:rFonts w:ascii="宋体" w:hAnsi="宋体" w:cs="宋体"/>
                <w:color w:val="000000"/>
                <w:highlight w:val="none"/>
              </w:rPr>
            </w:pPr>
            <w:r>
              <w:rPr>
                <w:rFonts w:ascii="宋体" w:hAnsi="宋体" w:cs="宋体"/>
                <w:color w:val="000000"/>
                <w:highlight w:val="none"/>
              </w:rPr>
              <w:t>6.11 呼吸机吸气阀峰值流速：</w:t>
            </w:r>
            <w:r>
              <w:rPr>
                <w:rFonts w:hint="eastAsia" w:ascii="宋体" w:hAnsi="宋体" w:cs="宋体"/>
                <w:color w:val="000000"/>
                <w:highlight w:val="none"/>
                <w:lang w:eastAsia="zh-CN"/>
              </w:rPr>
              <w:t>最大</w:t>
            </w:r>
            <w:r>
              <w:rPr>
                <w:rFonts w:ascii="宋体" w:hAnsi="宋体" w:cs="宋体"/>
                <w:color w:val="000000"/>
                <w:highlight w:val="none"/>
              </w:rPr>
              <w:t>180 L/min。</w:t>
            </w:r>
          </w:p>
          <w:p w14:paraId="5CC8B5C1">
            <w:pPr>
              <w:spacing w:line="360" w:lineRule="auto"/>
              <w:rPr>
                <w:rFonts w:ascii="宋体" w:hAnsi="宋体" w:cs="宋体"/>
                <w:color w:val="000000"/>
                <w:highlight w:val="none"/>
              </w:rPr>
            </w:pPr>
            <w:r>
              <w:rPr>
                <w:rFonts w:ascii="宋体" w:hAnsi="宋体" w:cs="宋体"/>
                <w:color w:val="000000"/>
                <w:highlight w:val="none"/>
              </w:rPr>
              <w:t>6.12上升式风箱，</w:t>
            </w:r>
            <w:r>
              <w:rPr>
                <w:rFonts w:hint="eastAsia" w:ascii="宋体" w:hAnsi="宋体" w:cs="宋体"/>
                <w:color w:val="000000"/>
                <w:highlight w:val="none"/>
              </w:rPr>
              <w:t>能</w:t>
            </w:r>
            <w:r>
              <w:rPr>
                <w:rFonts w:ascii="宋体" w:hAnsi="宋体" w:cs="宋体"/>
                <w:color w:val="000000"/>
                <w:highlight w:val="none"/>
              </w:rPr>
              <w:t>直接观察病人实际呼吸状态。</w:t>
            </w:r>
          </w:p>
          <w:p w14:paraId="3F7A6485">
            <w:pPr>
              <w:spacing w:line="360" w:lineRule="auto"/>
              <w:rPr>
                <w:rFonts w:ascii="宋体" w:hAnsi="宋体" w:cs="宋体"/>
                <w:color w:val="000000"/>
                <w:highlight w:val="none"/>
              </w:rPr>
            </w:pPr>
            <w:r>
              <w:rPr>
                <w:rFonts w:ascii="宋体" w:hAnsi="宋体" w:cs="宋体"/>
                <w:color w:val="000000"/>
                <w:highlight w:val="none"/>
              </w:rPr>
              <w:t>6.13具备吸入端，呼出端双流量传感器，实现动态潮气量实时自动补偿功能，补偿新鲜气体变化、气体压缩、回路顺应性变化以及小的回路泄漏造成的吸入潮气量和设置潮气量的误差。具备内置第三基准流量传感器，</w:t>
            </w:r>
            <w:r>
              <w:rPr>
                <w:rFonts w:hint="eastAsia" w:ascii="宋体" w:hAnsi="宋体" w:cs="宋体"/>
                <w:color w:val="000000"/>
                <w:highlight w:val="none"/>
              </w:rPr>
              <w:t>采购人</w:t>
            </w:r>
            <w:r>
              <w:rPr>
                <w:rFonts w:ascii="宋体" w:hAnsi="宋体" w:cs="宋体"/>
                <w:color w:val="000000"/>
                <w:highlight w:val="none"/>
              </w:rPr>
              <w:t>可自行校准吸入和呼出端流量传感器。</w:t>
            </w:r>
          </w:p>
          <w:p w14:paraId="38B4E405">
            <w:pPr>
              <w:spacing w:line="360" w:lineRule="auto"/>
              <w:rPr>
                <w:rFonts w:ascii="宋体" w:hAnsi="宋体" w:cs="宋体"/>
                <w:color w:val="000000"/>
                <w:highlight w:val="none"/>
              </w:rPr>
            </w:pPr>
            <w:r>
              <w:rPr>
                <w:rFonts w:ascii="宋体" w:hAnsi="宋体" w:cs="宋体"/>
                <w:color w:val="000000"/>
                <w:highlight w:val="none"/>
              </w:rPr>
              <w:t>6.1</w:t>
            </w:r>
            <w:r>
              <w:rPr>
                <w:rFonts w:hint="eastAsia" w:ascii="宋体" w:hAnsi="宋体" w:cs="宋体"/>
                <w:color w:val="000000"/>
                <w:highlight w:val="none"/>
                <w:lang w:val="en-US" w:eastAsia="zh-CN"/>
              </w:rPr>
              <w:t>4</w:t>
            </w:r>
            <w:r>
              <w:rPr>
                <w:rFonts w:ascii="宋体" w:hAnsi="宋体" w:cs="宋体"/>
                <w:color w:val="000000"/>
                <w:highlight w:val="none"/>
              </w:rPr>
              <w:t xml:space="preserve"> 具备心肺旁流模式CPB, 且心肺旁流模式可在机控通气下启动。</w:t>
            </w:r>
          </w:p>
          <w:p w14:paraId="39A63CC9">
            <w:pPr>
              <w:spacing w:line="360" w:lineRule="auto"/>
              <w:rPr>
                <w:rFonts w:ascii="宋体" w:hAnsi="宋体" w:cs="宋体"/>
                <w:color w:val="000000"/>
                <w:highlight w:val="none"/>
              </w:rPr>
            </w:pPr>
            <w:r>
              <w:rPr>
                <w:rFonts w:ascii="宋体" w:hAnsi="宋体" w:cs="宋体"/>
                <w:color w:val="000000"/>
                <w:highlight w:val="none"/>
              </w:rPr>
              <w:t>7</w:t>
            </w:r>
            <w:r>
              <w:rPr>
                <w:rFonts w:hint="eastAsia" w:ascii="宋体" w:hAnsi="宋体" w:cs="宋体"/>
                <w:color w:val="000000"/>
                <w:highlight w:val="none"/>
              </w:rPr>
              <w:t>、</w:t>
            </w:r>
            <w:r>
              <w:rPr>
                <w:rFonts w:ascii="宋体" w:hAnsi="宋体" w:cs="宋体"/>
                <w:color w:val="000000"/>
                <w:highlight w:val="none"/>
              </w:rPr>
              <w:t>数字和波形监测</w:t>
            </w:r>
          </w:p>
          <w:p w14:paraId="7E6CAC43">
            <w:pPr>
              <w:spacing w:line="360" w:lineRule="auto"/>
              <w:rPr>
                <w:rFonts w:ascii="宋体" w:hAnsi="宋体" w:cs="宋体"/>
                <w:color w:val="000000"/>
                <w:highlight w:val="none"/>
              </w:rPr>
            </w:pPr>
            <w:r>
              <w:rPr>
                <w:rFonts w:ascii="宋体" w:hAnsi="宋体" w:cs="宋体"/>
                <w:color w:val="000000"/>
                <w:highlight w:val="none"/>
              </w:rPr>
              <w:t>7.1具备三级声光报警功能，有独立红黄报警灯显示。</w:t>
            </w:r>
          </w:p>
          <w:p w14:paraId="4624BCC4">
            <w:pPr>
              <w:spacing w:line="360" w:lineRule="auto"/>
              <w:rPr>
                <w:rFonts w:ascii="宋体" w:hAnsi="宋体" w:cs="宋体"/>
                <w:color w:val="000000"/>
                <w:highlight w:val="none"/>
              </w:rPr>
            </w:pPr>
            <w:r>
              <w:rPr>
                <w:rFonts w:ascii="宋体" w:hAnsi="宋体" w:cs="宋体"/>
                <w:color w:val="000000"/>
                <w:highlight w:val="none"/>
              </w:rPr>
              <w:t>▲7.2彩色触摸屏≥15英寸，显示屏幕和机身一体化内嵌式设计。</w:t>
            </w:r>
          </w:p>
          <w:p w14:paraId="25C2E4C7">
            <w:pPr>
              <w:spacing w:line="360" w:lineRule="auto"/>
              <w:rPr>
                <w:rFonts w:ascii="宋体" w:hAnsi="宋体" w:cs="宋体"/>
                <w:color w:val="000000"/>
                <w:highlight w:val="none"/>
              </w:rPr>
            </w:pPr>
            <w:r>
              <w:rPr>
                <w:rFonts w:ascii="宋体" w:hAnsi="宋体" w:cs="宋体"/>
                <w:color w:val="000000"/>
                <w:highlight w:val="none"/>
              </w:rPr>
              <w:t>7.3 电容触摸屏，支持手势操作。</w:t>
            </w:r>
          </w:p>
          <w:p w14:paraId="239A9A68">
            <w:pPr>
              <w:spacing w:line="360" w:lineRule="auto"/>
              <w:rPr>
                <w:rFonts w:ascii="宋体" w:hAnsi="宋体" w:cs="宋体"/>
                <w:color w:val="000000"/>
                <w:highlight w:val="none"/>
              </w:rPr>
            </w:pPr>
            <w:r>
              <w:rPr>
                <w:rFonts w:ascii="宋体" w:hAnsi="宋体" w:cs="宋体"/>
                <w:color w:val="000000"/>
                <w:highlight w:val="none"/>
              </w:rPr>
              <w:t>7.</w:t>
            </w:r>
            <w:r>
              <w:rPr>
                <w:rFonts w:hint="eastAsia" w:ascii="宋体" w:hAnsi="宋体" w:cs="宋体"/>
                <w:color w:val="000000"/>
                <w:highlight w:val="none"/>
              </w:rPr>
              <w:t>4</w:t>
            </w:r>
            <w:r>
              <w:rPr>
                <w:rFonts w:ascii="宋体" w:hAnsi="宋体" w:cs="宋体"/>
                <w:color w:val="000000"/>
                <w:highlight w:val="none"/>
              </w:rPr>
              <w:t>内置≥3槽位插件槽，可直接热插拔插件。</w:t>
            </w:r>
          </w:p>
          <w:p w14:paraId="45E8CB00">
            <w:pPr>
              <w:spacing w:line="360" w:lineRule="auto"/>
              <w:rPr>
                <w:rFonts w:ascii="宋体" w:hAnsi="宋体" w:cs="宋体"/>
                <w:color w:val="000000"/>
                <w:highlight w:val="none"/>
              </w:rPr>
            </w:pPr>
            <w:r>
              <w:rPr>
                <w:rFonts w:ascii="宋体" w:hAnsi="宋体" w:cs="宋体"/>
                <w:color w:val="000000"/>
                <w:highlight w:val="none"/>
              </w:rPr>
              <w:t>7.</w:t>
            </w:r>
            <w:r>
              <w:rPr>
                <w:rFonts w:hint="eastAsia" w:ascii="宋体" w:hAnsi="宋体" w:cs="宋体"/>
                <w:color w:val="000000"/>
                <w:highlight w:val="none"/>
              </w:rPr>
              <w:t>5</w:t>
            </w:r>
            <w:r>
              <w:rPr>
                <w:rFonts w:ascii="宋体" w:hAnsi="宋体" w:cs="宋体"/>
                <w:color w:val="000000"/>
                <w:highlight w:val="none"/>
              </w:rPr>
              <w:t>插件可在同品牌监护仪和麻醉机之间通用。</w:t>
            </w:r>
          </w:p>
          <w:p w14:paraId="13314844">
            <w:pPr>
              <w:spacing w:line="360" w:lineRule="auto"/>
              <w:rPr>
                <w:rFonts w:ascii="宋体" w:hAnsi="宋体" w:cs="宋体"/>
                <w:color w:val="000000"/>
                <w:highlight w:val="none"/>
              </w:rPr>
            </w:pPr>
            <w:r>
              <w:rPr>
                <w:rFonts w:ascii="宋体" w:hAnsi="宋体" w:cs="宋体"/>
                <w:color w:val="000000"/>
                <w:highlight w:val="none"/>
              </w:rPr>
              <w:t>7.</w:t>
            </w:r>
            <w:r>
              <w:rPr>
                <w:rFonts w:hint="eastAsia" w:ascii="宋体" w:hAnsi="宋体" w:cs="宋体"/>
                <w:color w:val="000000"/>
                <w:highlight w:val="none"/>
              </w:rPr>
              <w:t>6</w:t>
            </w:r>
            <w:r>
              <w:rPr>
                <w:rFonts w:hint="eastAsia" w:ascii="宋体" w:hAnsi="宋体" w:eastAsia="宋体" w:cs="宋体"/>
                <w:color w:val="000000"/>
                <w:spacing w:val="0"/>
                <w:position w:val="0"/>
                <w:sz w:val="21"/>
                <w:highlight w:val="none"/>
                <w:shd w:val="clear" w:color="auto" w:fill="auto"/>
                <w:lang w:val="en-US" w:eastAsia="zh-CN"/>
              </w:rPr>
              <w:t>配置</w:t>
            </w:r>
            <w:r>
              <w:rPr>
                <w:rFonts w:ascii="宋体" w:hAnsi="宋体" w:eastAsia="宋体" w:cs="宋体"/>
                <w:color w:val="000000"/>
                <w:spacing w:val="0"/>
                <w:position w:val="0"/>
                <w:sz w:val="21"/>
                <w:highlight w:val="none"/>
                <w:shd w:val="clear" w:color="auto" w:fill="auto"/>
              </w:rPr>
              <w:t>AG麻醉气体模块</w:t>
            </w:r>
            <w:r>
              <w:rPr>
                <w:rFonts w:hint="eastAsia" w:ascii="宋体" w:hAnsi="宋体" w:eastAsia="宋体" w:cs="宋体"/>
                <w:color w:val="000000"/>
                <w:spacing w:val="0"/>
                <w:position w:val="0"/>
                <w:sz w:val="21"/>
                <w:highlight w:val="none"/>
                <w:shd w:val="clear" w:color="auto" w:fill="auto"/>
                <w:lang w:eastAsia="zh-CN"/>
              </w:rPr>
              <w:t>，监测与识别CO</w:t>
            </w:r>
            <w:r>
              <w:rPr>
                <w:rFonts w:hint="eastAsia" w:ascii="宋体" w:hAnsi="宋体" w:eastAsia="宋体" w:cs="宋体"/>
                <w:color w:val="000000"/>
                <w:spacing w:val="0"/>
                <w:position w:val="0"/>
                <w:sz w:val="21"/>
                <w:highlight w:val="none"/>
                <w:shd w:val="clear" w:color="auto" w:fill="auto"/>
                <w:vertAlign w:val="superscript"/>
                <w:lang w:eastAsia="zh-CN"/>
              </w:rPr>
              <w:t>2</w:t>
            </w:r>
            <w:r>
              <w:rPr>
                <w:rFonts w:hint="eastAsia" w:ascii="宋体" w:hAnsi="宋体" w:eastAsia="宋体" w:cs="宋体"/>
                <w:color w:val="000000"/>
                <w:spacing w:val="0"/>
                <w:position w:val="0"/>
                <w:sz w:val="21"/>
                <w:highlight w:val="none"/>
                <w:shd w:val="clear" w:color="auto" w:fill="auto"/>
                <w:lang w:eastAsia="zh-CN"/>
              </w:rPr>
              <w:t>，N</w:t>
            </w:r>
            <w:r>
              <w:rPr>
                <w:rFonts w:hint="eastAsia" w:ascii="宋体" w:hAnsi="宋体" w:eastAsia="宋体" w:cs="宋体"/>
                <w:color w:val="000000"/>
                <w:spacing w:val="0"/>
                <w:position w:val="0"/>
                <w:sz w:val="21"/>
                <w:highlight w:val="none"/>
                <w:shd w:val="clear" w:color="auto" w:fill="auto"/>
                <w:vertAlign w:val="subscript"/>
                <w:lang w:eastAsia="zh-CN"/>
              </w:rPr>
              <w:t>2</w:t>
            </w:r>
            <w:r>
              <w:rPr>
                <w:rFonts w:hint="eastAsia" w:ascii="宋体" w:hAnsi="宋体" w:eastAsia="宋体" w:cs="宋体"/>
                <w:color w:val="000000"/>
                <w:spacing w:val="0"/>
                <w:position w:val="0"/>
                <w:sz w:val="21"/>
                <w:highlight w:val="none"/>
                <w:shd w:val="clear" w:color="auto" w:fill="auto"/>
                <w:lang w:eastAsia="zh-CN"/>
              </w:rPr>
              <w:t>O和五种麻醉气体</w:t>
            </w:r>
            <w:r>
              <w:rPr>
                <w:rFonts w:ascii="宋体" w:hAnsi="宋体" w:cs="宋体"/>
                <w:color w:val="000000"/>
                <w:highlight w:val="none"/>
              </w:rPr>
              <w:t>。</w:t>
            </w:r>
          </w:p>
          <w:p w14:paraId="04977659">
            <w:pPr>
              <w:spacing w:line="360" w:lineRule="auto"/>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7</w:t>
            </w:r>
            <w:r>
              <w:rPr>
                <w:rFonts w:hint="default" w:ascii="宋体" w:hAnsi="宋体" w:eastAsia="宋体" w:cs="宋体"/>
                <w:color w:val="000000"/>
                <w:highlight w:val="none"/>
                <w:lang w:val="en-US" w:eastAsia="zh-CN"/>
              </w:rPr>
              <w:t>.7</w:t>
            </w:r>
            <w:r>
              <w:rPr>
                <w:rFonts w:hint="default" w:ascii="宋体" w:hAnsi="宋体" w:eastAsia="宋体" w:cs="宋体"/>
                <w:color w:val="000000"/>
                <w:spacing w:val="0"/>
                <w:position w:val="0"/>
                <w:sz w:val="21"/>
                <w:highlight w:val="none"/>
                <w:shd w:val="clear" w:color="auto" w:fill="auto"/>
                <w:lang w:val="en-US" w:eastAsia="zh-CN"/>
              </w:rPr>
              <w:t>配置NMT监测模块，满足病人肌松药物监测，</w:t>
            </w:r>
            <w:r>
              <w:rPr>
                <w:rFonts w:hint="eastAsia" w:ascii="宋体" w:hAnsi="宋体" w:eastAsia="宋体" w:cs="宋体"/>
                <w:color w:val="000000"/>
                <w:spacing w:val="0"/>
                <w:position w:val="0"/>
                <w:sz w:val="21"/>
                <w:highlight w:val="none"/>
                <w:shd w:val="clear" w:color="auto" w:fill="auto"/>
                <w:lang w:val="en-US" w:eastAsia="zh-CN"/>
              </w:rPr>
              <w:t>至少</w:t>
            </w:r>
            <w:r>
              <w:rPr>
                <w:rFonts w:hint="default" w:ascii="宋体" w:hAnsi="宋体" w:eastAsia="宋体" w:cs="宋体"/>
                <w:color w:val="000000"/>
                <w:spacing w:val="0"/>
                <w:position w:val="0"/>
                <w:sz w:val="21"/>
                <w:highlight w:val="none"/>
                <w:shd w:val="clear" w:color="auto" w:fill="auto"/>
                <w:lang w:val="en-US" w:eastAsia="zh-CN"/>
              </w:rPr>
              <w:t>提供四种刺激模式：TOF模式，ST模式，PTC模式，DBS模式，</w:t>
            </w:r>
            <w:r>
              <w:rPr>
                <w:rFonts w:hint="eastAsia" w:ascii="宋体" w:hAnsi="宋体" w:eastAsia="宋体" w:cs="宋体"/>
                <w:color w:val="000000"/>
                <w:spacing w:val="0"/>
                <w:position w:val="0"/>
                <w:sz w:val="21"/>
                <w:highlight w:val="none"/>
                <w:shd w:val="clear" w:color="auto" w:fill="auto"/>
                <w:lang w:val="en-US" w:eastAsia="zh-CN"/>
              </w:rPr>
              <w:t>该功能需在</w:t>
            </w:r>
            <w:r>
              <w:rPr>
                <w:rFonts w:hint="default" w:ascii="宋体" w:hAnsi="宋体" w:eastAsia="宋体" w:cs="宋体"/>
                <w:color w:val="000000"/>
                <w:spacing w:val="0"/>
                <w:position w:val="0"/>
                <w:sz w:val="21"/>
                <w:highlight w:val="none"/>
                <w:shd w:val="clear" w:color="auto" w:fill="auto"/>
                <w:lang w:val="en-US" w:eastAsia="zh-CN"/>
              </w:rPr>
              <w:t>同品牌监护仪</w:t>
            </w:r>
            <w:r>
              <w:rPr>
                <w:rFonts w:hint="eastAsia" w:ascii="宋体" w:hAnsi="宋体" w:eastAsia="宋体" w:cs="宋体"/>
                <w:color w:val="000000"/>
                <w:spacing w:val="0"/>
                <w:position w:val="0"/>
                <w:sz w:val="21"/>
                <w:highlight w:val="none"/>
                <w:shd w:val="clear" w:color="auto" w:fill="auto"/>
                <w:lang w:val="en-US" w:eastAsia="zh-CN"/>
              </w:rPr>
              <w:t>配套下</w:t>
            </w:r>
            <w:r>
              <w:rPr>
                <w:rFonts w:hint="default" w:ascii="宋体" w:hAnsi="宋体" w:eastAsia="宋体" w:cs="宋体"/>
                <w:color w:val="000000"/>
                <w:spacing w:val="0"/>
                <w:position w:val="0"/>
                <w:sz w:val="21"/>
                <w:highlight w:val="none"/>
                <w:shd w:val="clear" w:color="auto" w:fill="auto"/>
                <w:lang w:val="en-US" w:eastAsia="zh-CN"/>
              </w:rPr>
              <w:t>实现</w:t>
            </w:r>
            <w:r>
              <w:rPr>
                <w:rFonts w:hint="eastAsia" w:ascii="宋体" w:hAnsi="宋体" w:eastAsia="宋体" w:cs="宋体"/>
                <w:color w:val="000000"/>
                <w:spacing w:val="0"/>
                <w:position w:val="0"/>
                <w:sz w:val="21"/>
                <w:highlight w:val="none"/>
                <w:shd w:val="clear" w:color="auto" w:fill="auto"/>
                <w:lang w:val="en-US" w:eastAsia="zh-CN"/>
              </w:rPr>
              <w:t>。</w:t>
            </w:r>
          </w:p>
          <w:p w14:paraId="4FBD35BC">
            <w:pPr>
              <w:spacing w:line="360" w:lineRule="auto"/>
              <w:rPr>
                <w:rFonts w:ascii="宋体" w:hAnsi="宋体" w:cs="宋体"/>
                <w:color w:val="000000"/>
                <w:highlight w:val="none"/>
              </w:rPr>
            </w:pPr>
            <w:r>
              <w:rPr>
                <w:rFonts w:ascii="宋体" w:hAnsi="宋体" w:cs="宋体"/>
                <w:color w:val="000000"/>
                <w:highlight w:val="none"/>
              </w:rPr>
              <w:t>7.</w:t>
            </w:r>
            <w:r>
              <w:rPr>
                <w:rFonts w:hint="eastAsia" w:ascii="宋体" w:hAnsi="宋体" w:cs="宋体"/>
                <w:color w:val="000000"/>
                <w:highlight w:val="none"/>
                <w:lang w:val="en-US" w:eastAsia="zh-CN"/>
              </w:rPr>
              <w:t>8</w:t>
            </w:r>
            <w:r>
              <w:rPr>
                <w:rFonts w:ascii="宋体" w:hAnsi="宋体" w:cs="宋体"/>
                <w:color w:val="000000"/>
                <w:highlight w:val="none"/>
              </w:rPr>
              <w:t>可选监测参数：呼吸频率、潮气量、分钟通气量、吸呼比、气道压（峰压、平台压、平均压、PEEP）、气道阻力、顺应性。</w:t>
            </w:r>
          </w:p>
          <w:p w14:paraId="2F679726">
            <w:pPr>
              <w:spacing w:line="360" w:lineRule="auto"/>
              <w:rPr>
                <w:rFonts w:ascii="宋体" w:hAnsi="宋体" w:cs="宋体"/>
                <w:color w:val="000000"/>
                <w:highlight w:val="none"/>
              </w:rPr>
            </w:pPr>
            <w:r>
              <w:rPr>
                <w:rFonts w:ascii="宋体" w:hAnsi="宋体" w:cs="宋体"/>
                <w:color w:val="000000"/>
                <w:highlight w:val="none"/>
              </w:rPr>
              <w:t>7.</w:t>
            </w:r>
            <w:r>
              <w:rPr>
                <w:rFonts w:hint="eastAsia" w:ascii="宋体" w:hAnsi="宋体" w:cs="宋体"/>
                <w:color w:val="000000"/>
                <w:highlight w:val="none"/>
                <w:lang w:val="en-US" w:eastAsia="zh-CN"/>
              </w:rPr>
              <w:t>9</w:t>
            </w:r>
            <w:r>
              <w:rPr>
                <w:rFonts w:ascii="宋体" w:hAnsi="宋体" w:cs="宋体"/>
                <w:color w:val="000000"/>
                <w:highlight w:val="none"/>
              </w:rPr>
              <w:t>潮气量监测范围：0-3000ml。</w:t>
            </w:r>
          </w:p>
          <w:p w14:paraId="6ABDF828">
            <w:pPr>
              <w:spacing w:line="360" w:lineRule="auto"/>
              <w:rPr>
                <w:rFonts w:ascii="宋体" w:hAnsi="宋体" w:cs="宋体"/>
                <w:color w:val="000000"/>
                <w:highlight w:val="none"/>
              </w:rPr>
            </w:pPr>
            <w:r>
              <w:rPr>
                <w:rFonts w:ascii="宋体" w:hAnsi="宋体" w:cs="宋体"/>
                <w:color w:val="000000"/>
                <w:highlight w:val="none"/>
              </w:rPr>
              <w:t>7.</w:t>
            </w:r>
            <w:r>
              <w:rPr>
                <w:rFonts w:hint="eastAsia" w:ascii="宋体" w:hAnsi="宋体" w:cs="宋体"/>
                <w:color w:val="000000"/>
                <w:highlight w:val="none"/>
                <w:lang w:val="en-US" w:eastAsia="zh-CN"/>
              </w:rPr>
              <w:t>10</w:t>
            </w:r>
            <w:r>
              <w:rPr>
                <w:rFonts w:ascii="宋体" w:hAnsi="宋体" w:cs="宋体"/>
                <w:color w:val="000000"/>
                <w:highlight w:val="none"/>
              </w:rPr>
              <w:t>分钟通气量监测范围：0-100L/min。</w:t>
            </w:r>
          </w:p>
        </w:tc>
        <w:tc>
          <w:tcPr>
            <w:tcW w:w="1134" w:type="dxa"/>
            <w:noWrap w:val="0"/>
            <w:vAlign w:val="center"/>
          </w:tcPr>
          <w:p w14:paraId="1EFB6E2D">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55</w:t>
            </w:r>
          </w:p>
        </w:tc>
      </w:tr>
      <w:tr w14:paraId="64CB2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2" w:hRule="atLeast"/>
        </w:trPr>
        <w:tc>
          <w:tcPr>
            <w:tcW w:w="534" w:type="dxa"/>
            <w:noWrap w:val="0"/>
            <w:vAlign w:val="center"/>
          </w:tcPr>
          <w:p w14:paraId="5707D715">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2</w:t>
            </w:r>
          </w:p>
        </w:tc>
        <w:tc>
          <w:tcPr>
            <w:tcW w:w="708" w:type="dxa"/>
            <w:noWrap w:val="0"/>
            <w:vAlign w:val="center"/>
          </w:tcPr>
          <w:p w14:paraId="1A22DD29">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多功能监护仪</w:t>
            </w:r>
          </w:p>
        </w:tc>
        <w:tc>
          <w:tcPr>
            <w:tcW w:w="851" w:type="dxa"/>
            <w:noWrap w:val="0"/>
            <w:vAlign w:val="center"/>
          </w:tcPr>
          <w:p w14:paraId="0ED455DA">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2套</w:t>
            </w:r>
          </w:p>
        </w:tc>
        <w:tc>
          <w:tcPr>
            <w:tcW w:w="5670" w:type="dxa"/>
            <w:noWrap w:val="0"/>
            <w:vAlign w:val="top"/>
          </w:tcPr>
          <w:p w14:paraId="108BD904">
            <w:pPr>
              <w:wordWrap w:val="0"/>
              <w:spacing w:line="360" w:lineRule="exact"/>
              <w:rPr>
                <w:rFonts w:ascii="宋体" w:hAnsi="宋体"/>
                <w:color w:val="000000"/>
                <w:szCs w:val="21"/>
                <w:highlight w:val="none"/>
              </w:rPr>
            </w:pPr>
            <w:r>
              <w:rPr>
                <w:rFonts w:hint="eastAsia" w:ascii="宋体" w:hAnsi="宋体"/>
                <w:color w:val="000000"/>
                <w:szCs w:val="21"/>
                <w:highlight w:val="none"/>
              </w:rPr>
              <w:t>1.模块化插件式床边监护仪，主机、显示屏和插件槽一体化设计，主机插槽数≥4个，并可外接≥3槽位辅助插件槽方便升级。</w:t>
            </w:r>
          </w:p>
          <w:p w14:paraId="48B82F18">
            <w:pPr>
              <w:wordWrap w:val="0"/>
              <w:spacing w:line="360" w:lineRule="exact"/>
              <w:rPr>
                <w:rFonts w:ascii="宋体" w:hAnsi="宋体"/>
                <w:color w:val="000000"/>
                <w:szCs w:val="21"/>
                <w:highlight w:val="none"/>
              </w:rPr>
            </w:pPr>
            <w:r>
              <w:rPr>
                <w:rFonts w:hint="eastAsia" w:ascii="宋体" w:hAnsi="宋体"/>
                <w:color w:val="000000"/>
                <w:szCs w:val="21"/>
                <w:highlight w:val="none"/>
              </w:rPr>
              <w:t>2.≥12.1寸彩色电容触摸屏，支持多点触摸操作，高分辨率≥1280 x 800像素，≥7通道显示，显示屏亮度自动调节。</w:t>
            </w:r>
          </w:p>
          <w:p w14:paraId="512D9162">
            <w:pPr>
              <w:wordWrap w:val="0"/>
              <w:spacing w:line="360" w:lineRule="exact"/>
              <w:rPr>
                <w:rFonts w:ascii="宋体" w:hAnsi="宋体"/>
                <w:color w:val="000000"/>
                <w:szCs w:val="21"/>
                <w:highlight w:val="none"/>
              </w:rPr>
            </w:pPr>
            <w:r>
              <w:rPr>
                <w:rFonts w:hint="eastAsia" w:ascii="宋体" w:hAnsi="宋体"/>
                <w:color w:val="000000"/>
                <w:szCs w:val="21"/>
                <w:highlight w:val="none"/>
              </w:rPr>
              <w:t>3.工作温度0 ~40 ℃，采用无风扇设计，配置≥4个USB接口，支持连接存储介质、鼠标、键盘、条码扫描枪等USB设备，支持扩展独立显示屏。</w:t>
            </w:r>
          </w:p>
          <w:p w14:paraId="20FE2DB8">
            <w:pPr>
              <w:wordWrap w:val="0"/>
              <w:spacing w:line="360" w:lineRule="exact"/>
              <w:rPr>
                <w:rFonts w:ascii="宋体" w:hAnsi="宋体"/>
                <w:color w:val="000000"/>
                <w:szCs w:val="21"/>
                <w:highlight w:val="none"/>
              </w:rPr>
            </w:pPr>
            <w:r>
              <w:rPr>
                <w:rFonts w:hint="eastAsia" w:ascii="宋体" w:hAnsi="宋体"/>
                <w:color w:val="000000"/>
                <w:szCs w:val="21"/>
                <w:highlight w:val="none"/>
              </w:rPr>
              <w:t>4.基本功能模块支持心电、呼吸、心率、无创血压、血氧饱和度、脉搏、体温和双通道有创血压的同时监测。</w:t>
            </w:r>
          </w:p>
          <w:p w14:paraId="3D34D81E">
            <w:pPr>
              <w:wordWrap w:val="0"/>
              <w:spacing w:line="360" w:lineRule="exact"/>
              <w:rPr>
                <w:rFonts w:ascii="宋体" w:hAnsi="宋体"/>
                <w:color w:val="000000"/>
                <w:szCs w:val="21"/>
                <w:highlight w:val="none"/>
              </w:rPr>
            </w:pPr>
            <w:r>
              <w:rPr>
                <w:rFonts w:hint="eastAsia" w:ascii="宋体" w:hAnsi="宋体"/>
                <w:color w:val="000000"/>
                <w:szCs w:val="21"/>
                <w:highlight w:val="none"/>
              </w:rPr>
              <w:t>5.支持3/5/6导心电监测，支持房颤心律失常分析功能，支持不少于20种实时心律失常分析。</w:t>
            </w:r>
          </w:p>
          <w:p w14:paraId="25136123">
            <w:pPr>
              <w:wordWrap w:val="0"/>
              <w:spacing w:line="360" w:lineRule="exact"/>
              <w:rPr>
                <w:rFonts w:ascii="宋体" w:hAnsi="宋体"/>
                <w:color w:val="000000"/>
                <w:szCs w:val="21"/>
                <w:highlight w:val="none"/>
              </w:rPr>
            </w:pPr>
            <w:r>
              <w:rPr>
                <w:rFonts w:hint="eastAsia" w:ascii="宋体" w:hAnsi="宋体"/>
                <w:color w:val="000000"/>
                <w:szCs w:val="21"/>
                <w:highlight w:val="none"/>
              </w:rPr>
              <w:t>6.提供ST段分析功能，支持在专门的窗口中分组显示心脏前壁，下壁和侧壁的ST实时片段和参考片段，监测ST段抬高或者压低，提供ST报警。提供单个或多个ST值报警，并支持相对的报警限设置。提供导联类型自动识别功能，具备智能导联脱落监测功能，导联脱落的情况下仍能保持监护</w:t>
            </w:r>
          </w:p>
          <w:p w14:paraId="7051BD58">
            <w:pPr>
              <w:wordWrap w:val="0"/>
              <w:spacing w:line="360" w:lineRule="exact"/>
              <w:rPr>
                <w:rFonts w:ascii="宋体" w:hAnsi="宋体"/>
                <w:color w:val="000000"/>
                <w:szCs w:val="21"/>
                <w:highlight w:val="none"/>
              </w:rPr>
            </w:pPr>
            <w:r>
              <w:rPr>
                <w:rFonts w:hint="eastAsia" w:ascii="宋体" w:hAnsi="宋体"/>
                <w:color w:val="000000"/>
                <w:szCs w:val="21"/>
                <w:highlight w:val="none"/>
              </w:rPr>
              <w:t>7.具有QT/QTc测量功能，提供QT，QTc和ΔQTc参数值。提供QT和QTc模板显示。</w:t>
            </w:r>
          </w:p>
          <w:p w14:paraId="48C6FA4F">
            <w:pPr>
              <w:wordWrap w:val="0"/>
              <w:spacing w:line="360" w:lineRule="exact"/>
              <w:rPr>
                <w:rFonts w:hint="eastAsia" w:ascii="宋体" w:hAnsi="宋体" w:eastAsia="宋体"/>
                <w:color w:val="000000"/>
                <w:szCs w:val="21"/>
                <w:highlight w:val="none"/>
                <w:lang w:val="en-US" w:eastAsia="zh-CN"/>
              </w:rPr>
            </w:pPr>
            <w:r>
              <w:rPr>
                <w:rFonts w:hint="eastAsia" w:ascii="宋体" w:hAnsi="宋体"/>
                <w:color w:val="000000"/>
                <w:szCs w:val="21"/>
                <w:highlight w:val="none"/>
              </w:rPr>
              <w:t>8.无创血压至少提供手动、自动间隔、连续、序列四种测量模式</w:t>
            </w:r>
            <w:r>
              <w:rPr>
                <w:rFonts w:hint="eastAsia" w:ascii="宋体" w:hAnsi="宋体"/>
                <w:color w:val="000000"/>
                <w:szCs w:val="21"/>
                <w:highlight w:val="none"/>
                <w:lang w:val="en-US" w:eastAsia="zh-CN"/>
              </w:rPr>
              <w:t xml:space="preserve"> </w:t>
            </w:r>
          </w:p>
          <w:p w14:paraId="388DBCA3">
            <w:pPr>
              <w:wordWrap w:val="0"/>
              <w:spacing w:line="360" w:lineRule="exact"/>
              <w:rPr>
                <w:rFonts w:ascii="宋体" w:hAnsi="宋体"/>
                <w:color w:val="000000"/>
                <w:szCs w:val="21"/>
                <w:highlight w:val="none"/>
              </w:rPr>
            </w:pPr>
            <w:r>
              <w:rPr>
                <w:rFonts w:hint="eastAsia" w:ascii="宋体" w:hAnsi="宋体"/>
                <w:color w:val="000000"/>
                <w:szCs w:val="21"/>
                <w:highlight w:val="none"/>
              </w:rPr>
              <w:t>9.无创血压成人测量范围：25-290mmHg（收缩压），10-250mmHg（舒张压），15-260mmHg（平均压）。</w:t>
            </w:r>
          </w:p>
          <w:p w14:paraId="3A86F49B">
            <w:pPr>
              <w:wordWrap w:val="0"/>
              <w:spacing w:line="360" w:lineRule="exact"/>
              <w:rPr>
                <w:rFonts w:ascii="宋体" w:hAnsi="宋体"/>
                <w:color w:val="000000"/>
                <w:szCs w:val="21"/>
                <w:highlight w:val="none"/>
              </w:rPr>
            </w:pPr>
            <w:r>
              <w:rPr>
                <w:rFonts w:hint="eastAsia" w:ascii="宋体" w:hAnsi="宋体"/>
                <w:color w:val="000000"/>
                <w:szCs w:val="21"/>
                <w:highlight w:val="none"/>
              </w:rPr>
              <w:t>10.无创血压小儿测量范围：25-240mmHg（收缩压），10-200mmHg（舒张压），15-215mmHg（平均压）。</w:t>
            </w:r>
          </w:p>
          <w:p w14:paraId="213DDF2A">
            <w:pPr>
              <w:wordWrap w:val="0"/>
              <w:spacing w:line="360" w:lineRule="exact"/>
              <w:rPr>
                <w:rFonts w:ascii="宋体" w:hAnsi="宋体"/>
                <w:color w:val="000000"/>
                <w:szCs w:val="21"/>
                <w:highlight w:val="none"/>
              </w:rPr>
            </w:pPr>
            <w:r>
              <w:rPr>
                <w:rFonts w:hint="eastAsia" w:ascii="宋体" w:hAnsi="宋体"/>
                <w:color w:val="000000"/>
                <w:szCs w:val="21"/>
                <w:highlight w:val="none"/>
              </w:rPr>
              <w:t>11.无创血压新生儿测量范围：25-140mmHg（收缩压），10-115mmHg（舒张压），15-125mmHg（平均压）。</w:t>
            </w:r>
          </w:p>
          <w:p w14:paraId="45B5C0E6">
            <w:pPr>
              <w:wordWrap w:val="0"/>
              <w:spacing w:line="360" w:lineRule="exact"/>
              <w:rPr>
                <w:rFonts w:ascii="宋体" w:hAnsi="宋体"/>
                <w:color w:val="000000"/>
                <w:szCs w:val="21"/>
                <w:highlight w:val="none"/>
              </w:rPr>
            </w:pPr>
            <w:r>
              <w:rPr>
                <w:rFonts w:hint="eastAsia" w:ascii="宋体" w:hAnsi="宋体"/>
                <w:color w:val="000000"/>
                <w:szCs w:val="21"/>
                <w:highlight w:val="none"/>
              </w:rPr>
              <w:t>12.支持双通道有创压IBP监测，支持升级≥7通道有创压监测，提供肺动脉锲压（PAWP）的监测和PPV参数监测，支持≥3道IBP波形叠加显示，满足临床对比查看和节约显示空间的需求。</w:t>
            </w:r>
          </w:p>
          <w:p w14:paraId="4C585938">
            <w:pPr>
              <w:wordWrap w:val="0"/>
              <w:spacing w:line="360" w:lineRule="exact"/>
              <w:rPr>
                <w:rFonts w:ascii="宋体" w:hAnsi="宋体"/>
                <w:color w:val="000000"/>
                <w:szCs w:val="21"/>
                <w:highlight w:val="none"/>
              </w:rPr>
            </w:pPr>
            <w:r>
              <w:rPr>
                <w:rFonts w:hint="eastAsia" w:ascii="宋体" w:hAnsi="宋体"/>
                <w:color w:val="000000"/>
                <w:szCs w:val="21"/>
                <w:highlight w:val="none"/>
              </w:rPr>
              <w:t>▲13.配置EtCO</w:t>
            </w:r>
            <w:r>
              <w:rPr>
                <w:rFonts w:hint="eastAsia" w:ascii="宋体" w:hAnsi="宋体"/>
                <w:color w:val="000000"/>
                <w:szCs w:val="21"/>
                <w:highlight w:val="none"/>
                <w:vertAlign w:val="superscript"/>
              </w:rPr>
              <w:t>2</w:t>
            </w:r>
            <w:r>
              <w:rPr>
                <w:rFonts w:hint="eastAsia" w:ascii="宋体" w:hAnsi="宋体"/>
                <w:color w:val="000000"/>
                <w:szCs w:val="21"/>
                <w:highlight w:val="none"/>
              </w:rPr>
              <w:t>监测模块，采用旁流技术，水槽要求能快速更换，CO</w:t>
            </w:r>
            <w:r>
              <w:rPr>
                <w:rFonts w:hint="eastAsia" w:ascii="宋体" w:hAnsi="宋体"/>
                <w:color w:val="000000"/>
                <w:szCs w:val="21"/>
                <w:highlight w:val="none"/>
                <w:vertAlign w:val="superscript"/>
              </w:rPr>
              <w:t>2</w:t>
            </w:r>
            <w:r>
              <w:rPr>
                <w:rFonts w:hint="eastAsia" w:ascii="宋体" w:hAnsi="宋体"/>
                <w:color w:val="000000"/>
                <w:szCs w:val="21"/>
                <w:highlight w:val="none"/>
              </w:rPr>
              <w:t>波形提供填充和线条两种方式显示，满足不同临床使用习惯，CO</w:t>
            </w:r>
            <w:r>
              <w:rPr>
                <w:rFonts w:hint="eastAsia" w:ascii="宋体" w:hAnsi="宋体"/>
                <w:color w:val="000000"/>
                <w:szCs w:val="21"/>
                <w:highlight w:val="none"/>
                <w:vertAlign w:val="superscript"/>
              </w:rPr>
              <w:t>2</w:t>
            </w:r>
            <w:r>
              <w:rPr>
                <w:rFonts w:hint="eastAsia" w:ascii="宋体" w:hAnsi="宋体"/>
                <w:color w:val="000000"/>
                <w:szCs w:val="21"/>
                <w:highlight w:val="none"/>
              </w:rPr>
              <w:t>波形最小走速为3mm/s,满足同屏查看更多呼吸周期。</w:t>
            </w:r>
          </w:p>
          <w:p w14:paraId="2267B130">
            <w:pPr>
              <w:wordWrap w:val="0"/>
              <w:spacing w:line="360" w:lineRule="exact"/>
              <w:rPr>
                <w:rFonts w:ascii="宋体" w:hAnsi="宋体"/>
                <w:color w:val="000000"/>
                <w:szCs w:val="21"/>
                <w:highlight w:val="none"/>
              </w:rPr>
            </w:pPr>
            <w:r>
              <w:rPr>
                <w:rFonts w:hint="eastAsia" w:ascii="宋体" w:hAnsi="宋体"/>
                <w:color w:val="000000"/>
                <w:szCs w:val="21"/>
                <w:highlight w:val="none"/>
              </w:rPr>
              <w:t>14.具备AG麻醉气体监测模块，监测与识别CO</w:t>
            </w:r>
            <w:r>
              <w:rPr>
                <w:rFonts w:hint="eastAsia" w:ascii="宋体" w:hAnsi="宋体"/>
                <w:color w:val="000000"/>
                <w:szCs w:val="21"/>
                <w:highlight w:val="none"/>
                <w:vertAlign w:val="superscript"/>
              </w:rPr>
              <w:t>2</w:t>
            </w:r>
            <w:r>
              <w:rPr>
                <w:rFonts w:hint="eastAsia" w:ascii="宋体" w:hAnsi="宋体"/>
                <w:color w:val="000000"/>
                <w:szCs w:val="21"/>
                <w:highlight w:val="none"/>
              </w:rPr>
              <w:t>，N</w:t>
            </w:r>
            <w:r>
              <w:rPr>
                <w:rFonts w:hint="eastAsia" w:ascii="宋体" w:hAnsi="宋体"/>
                <w:color w:val="000000"/>
                <w:szCs w:val="21"/>
                <w:highlight w:val="none"/>
                <w:vertAlign w:val="superscript"/>
              </w:rPr>
              <w:t>2</w:t>
            </w:r>
            <w:r>
              <w:rPr>
                <w:rFonts w:hint="eastAsia" w:ascii="宋体" w:hAnsi="宋体"/>
                <w:color w:val="000000"/>
                <w:szCs w:val="21"/>
                <w:highlight w:val="none"/>
              </w:rPr>
              <w:t>O和五种麻醉气体。</w:t>
            </w:r>
          </w:p>
          <w:p w14:paraId="2D7367C8">
            <w:pPr>
              <w:wordWrap w:val="0"/>
              <w:spacing w:line="360" w:lineRule="exact"/>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5</w:t>
            </w:r>
            <w:r>
              <w:rPr>
                <w:rFonts w:hint="eastAsia" w:ascii="宋体" w:hAnsi="宋体"/>
                <w:color w:val="000000"/>
                <w:szCs w:val="21"/>
                <w:highlight w:val="none"/>
              </w:rPr>
              <w:t>.支持与主流呼吸机品牌的呼吸机相连，实现呼吸机设备的信息在监护仪上显示、存储、记录、打印或者用于参与计算。</w:t>
            </w:r>
          </w:p>
          <w:p w14:paraId="342F08EE">
            <w:pPr>
              <w:wordWrap w:val="0"/>
              <w:spacing w:line="360" w:lineRule="exact"/>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6</w:t>
            </w:r>
            <w:r>
              <w:rPr>
                <w:rFonts w:hint="eastAsia" w:ascii="宋体" w:hAnsi="宋体"/>
                <w:color w:val="000000"/>
                <w:szCs w:val="21"/>
                <w:highlight w:val="none"/>
              </w:rPr>
              <w:t>.大字体界面支持</w:t>
            </w:r>
            <w:r>
              <w:rPr>
                <w:rFonts w:hint="eastAsia" w:ascii="宋体" w:hAnsi="宋体" w:cs="宋体"/>
                <w:color w:val="000000"/>
                <w:szCs w:val="21"/>
                <w:highlight w:val="none"/>
              </w:rPr>
              <w:t>≥</w:t>
            </w:r>
            <w:r>
              <w:rPr>
                <w:rFonts w:hint="eastAsia" w:ascii="宋体" w:hAnsi="宋体"/>
                <w:color w:val="000000"/>
                <w:szCs w:val="21"/>
                <w:highlight w:val="none"/>
              </w:rPr>
              <w:t>6个参数的设置和显示，具有图形化报警指示功能，看报警信息更容易，所有参数报警限自动设置，能够设置护理组，一个护理组能够设置6-12个病人。病人之间能够互相进行它床观察。</w:t>
            </w:r>
          </w:p>
          <w:p w14:paraId="72F169A7">
            <w:pPr>
              <w:wordWrap w:val="0"/>
              <w:spacing w:line="360" w:lineRule="exact"/>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7</w:t>
            </w:r>
            <w:r>
              <w:rPr>
                <w:rFonts w:hint="eastAsia" w:ascii="宋体" w:hAnsi="宋体"/>
                <w:color w:val="000000"/>
                <w:szCs w:val="21"/>
                <w:highlight w:val="none"/>
              </w:rPr>
              <w:t>.▲具有具备血液动力学计算，药物计算，氧合计算，通气计算和肾功能计算功能。</w:t>
            </w:r>
          </w:p>
          <w:p w14:paraId="1907C6FA">
            <w:pPr>
              <w:wordWrap w:val="0"/>
              <w:spacing w:line="360" w:lineRule="exact"/>
              <w:rPr>
                <w:rFonts w:ascii="宋体" w:hAnsi="宋体"/>
                <w:color w:val="000000"/>
                <w:szCs w:val="21"/>
                <w:highlight w:val="none"/>
              </w:rPr>
            </w:pPr>
            <w:r>
              <w:rPr>
                <w:rFonts w:hint="eastAsia" w:ascii="宋体" w:hAnsi="宋体"/>
                <w:color w:val="000000"/>
                <w:szCs w:val="21"/>
                <w:highlight w:val="none"/>
                <w:lang w:val="en-US" w:eastAsia="zh-CN"/>
              </w:rPr>
              <w:t>18</w:t>
            </w:r>
            <w:r>
              <w:rPr>
                <w:rFonts w:hint="eastAsia" w:ascii="宋体" w:hAnsi="宋体"/>
                <w:color w:val="000000"/>
                <w:szCs w:val="21"/>
                <w:highlight w:val="none"/>
              </w:rPr>
              <w:t>.40个及以上参数的120小时（分辨率1分钟）趋势表、趋势图回顾，4小时（分辨率5秒）趋势表、趋势图回顾。</w:t>
            </w:r>
            <w:r>
              <w:rPr>
                <w:rFonts w:hint="eastAsia" w:ascii="宋体" w:hAnsi="宋体" w:cs="宋体"/>
                <w:color w:val="000000"/>
                <w:szCs w:val="21"/>
                <w:highlight w:val="none"/>
              </w:rPr>
              <w:t>≥</w:t>
            </w:r>
            <w:r>
              <w:rPr>
                <w:rFonts w:hint="eastAsia" w:ascii="宋体" w:hAnsi="宋体"/>
                <w:color w:val="000000"/>
                <w:szCs w:val="21"/>
                <w:highlight w:val="none"/>
              </w:rPr>
              <w:t>1000条事件回顾。每条报警事件至少能够存储32秒三道相关波形，以及报警触发时所有测量参数值。事件回顾时能够提供报警事件列表。能够根据时间、报警优先级、报警类型和参数组对事件进行筛选。</w:t>
            </w:r>
          </w:p>
          <w:p w14:paraId="2D8EE649">
            <w:pPr>
              <w:wordWrap w:val="0"/>
              <w:spacing w:line="360" w:lineRule="exact"/>
              <w:rPr>
                <w:rFonts w:ascii="宋体" w:hAnsi="宋体"/>
                <w:color w:val="000000"/>
                <w:szCs w:val="21"/>
                <w:highlight w:val="none"/>
              </w:rPr>
            </w:pPr>
            <w:r>
              <w:rPr>
                <w:rFonts w:hint="eastAsia" w:ascii="宋体" w:hAnsi="宋体"/>
                <w:color w:val="000000"/>
                <w:szCs w:val="21"/>
                <w:highlight w:val="none"/>
                <w:lang w:val="en-US" w:eastAsia="zh-CN"/>
              </w:rPr>
              <w:t>19</w:t>
            </w:r>
            <w:r>
              <w:rPr>
                <w:rFonts w:hint="eastAsia" w:ascii="宋体" w:hAnsi="宋体"/>
                <w:color w:val="000000"/>
                <w:szCs w:val="21"/>
                <w:highlight w:val="none"/>
              </w:rPr>
              <w:t>.具备</w:t>
            </w:r>
            <w:r>
              <w:rPr>
                <w:rFonts w:hint="eastAsia" w:ascii="宋体" w:hAnsi="宋体" w:cs="宋体"/>
                <w:color w:val="000000"/>
                <w:szCs w:val="21"/>
                <w:highlight w:val="none"/>
              </w:rPr>
              <w:t>≥</w:t>
            </w:r>
            <w:r>
              <w:rPr>
                <w:rFonts w:hint="eastAsia" w:ascii="宋体" w:hAnsi="宋体"/>
                <w:color w:val="000000"/>
                <w:szCs w:val="21"/>
                <w:highlight w:val="none"/>
              </w:rPr>
              <w:t>48小时全息波形的存储与回顾功能，120小时（分辨率5分钟）ST模板回顾。</w:t>
            </w:r>
          </w:p>
          <w:p w14:paraId="1ACD4947">
            <w:pPr>
              <w:wordWrap w:val="0"/>
              <w:spacing w:line="360" w:lineRule="exact"/>
              <w:rPr>
                <w:rFonts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lang w:val="en-US" w:eastAsia="zh-CN"/>
              </w:rPr>
              <w:t>0</w:t>
            </w:r>
            <w:r>
              <w:rPr>
                <w:rFonts w:hint="eastAsia" w:ascii="宋体" w:hAnsi="宋体"/>
                <w:color w:val="000000"/>
                <w:szCs w:val="21"/>
                <w:highlight w:val="none"/>
              </w:rPr>
              <w:t>.具有在线帮助功能，能够指导采购人掌握如何设置参数。具有高级参数指导功能，能够指导采购人掌握高级参数的使用方法。</w:t>
            </w:r>
          </w:p>
          <w:p w14:paraId="33C57C45">
            <w:pPr>
              <w:wordWrap w:val="0"/>
              <w:spacing w:line="360" w:lineRule="exact"/>
              <w:rPr>
                <w:rFonts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lang w:val="en-US" w:eastAsia="zh-CN"/>
              </w:rPr>
              <w:t>1</w:t>
            </w:r>
            <w:r>
              <w:rPr>
                <w:rFonts w:hint="eastAsia" w:ascii="宋体" w:hAnsi="宋体"/>
                <w:color w:val="000000"/>
                <w:szCs w:val="21"/>
                <w:highlight w:val="none"/>
              </w:rPr>
              <w:t>.工作模式提供：监护模式、待机模式、体外循环模式模式、插管模式，夜间模式、隐私模式、演示模式等。</w:t>
            </w:r>
          </w:p>
          <w:p w14:paraId="7656EF61">
            <w:pPr>
              <w:wordWrap w:val="0"/>
              <w:spacing w:line="360" w:lineRule="exact"/>
              <w:rPr>
                <w:rFonts w:ascii="宋体" w:hAnsi="宋体"/>
                <w:color w:val="000000"/>
                <w:szCs w:val="21"/>
                <w:highlight w:val="none"/>
              </w:rPr>
            </w:pPr>
            <w:r>
              <w:rPr>
                <w:rFonts w:hint="eastAsia" w:ascii="宋体" w:hAnsi="宋体" w:cs="宋体"/>
                <w:color w:val="000000"/>
                <w:szCs w:val="21"/>
                <w:highlight w:val="none"/>
              </w:rPr>
              <w:t>▲</w:t>
            </w:r>
            <w:r>
              <w:rPr>
                <w:rFonts w:hint="eastAsia" w:ascii="宋体" w:hAnsi="宋体"/>
                <w:color w:val="000000"/>
                <w:szCs w:val="21"/>
                <w:highlight w:val="none"/>
              </w:rPr>
              <w:t>2</w:t>
            </w:r>
            <w:r>
              <w:rPr>
                <w:rFonts w:hint="eastAsia" w:ascii="宋体" w:hAnsi="宋体"/>
                <w:color w:val="000000"/>
                <w:szCs w:val="21"/>
                <w:highlight w:val="none"/>
                <w:lang w:val="en-US" w:eastAsia="zh-CN"/>
              </w:rPr>
              <w:t>2</w:t>
            </w:r>
            <w:r>
              <w:rPr>
                <w:rFonts w:hint="eastAsia" w:ascii="宋体" w:hAnsi="宋体"/>
                <w:color w:val="000000"/>
                <w:szCs w:val="21"/>
                <w:highlight w:val="none"/>
              </w:rPr>
              <w:t>.配备麻醉专用系统软件。麻醉平衡专用界面，显示患者疼痛，意识和肌松三个维度的体征情况。</w:t>
            </w:r>
          </w:p>
          <w:p w14:paraId="5A7698BA">
            <w:pPr>
              <w:wordWrap w:val="0"/>
              <w:spacing w:line="360" w:lineRule="exact"/>
              <w:rPr>
                <w:rFonts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lang w:val="en-US" w:eastAsia="zh-CN"/>
              </w:rPr>
              <w:t>3</w:t>
            </w:r>
            <w:r>
              <w:rPr>
                <w:rFonts w:hint="eastAsia" w:ascii="宋体" w:hAnsi="宋体"/>
                <w:color w:val="000000"/>
                <w:szCs w:val="21"/>
                <w:highlight w:val="none"/>
              </w:rPr>
              <w:t>.具备趋势共存界面、呼吸氧合图界面，大字体显示界面，及标准显示界面等多种显示界面。</w:t>
            </w:r>
          </w:p>
        </w:tc>
        <w:tc>
          <w:tcPr>
            <w:tcW w:w="1134" w:type="dxa"/>
            <w:noWrap w:val="0"/>
            <w:vAlign w:val="center"/>
          </w:tcPr>
          <w:p w14:paraId="3FAE6CA4">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29</w:t>
            </w:r>
          </w:p>
        </w:tc>
      </w:tr>
      <w:tr w14:paraId="7FA88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vAlign w:val="center"/>
          </w:tcPr>
          <w:p w14:paraId="6AC052F8">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3</w:t>
            </w:r>
          </w:p>
        </w:tc>
        <w:tc>
          <w:tcPr>
            <w:tcW w:w="708" w:type="dxa"/>
            <w:noWrap w:val="0"/>
            <w:vAlign w:val="center"/>
          </w:tcPr>
          <w:p w14:paraId="18A7FA6C">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便携式监护仪</w:t>
            </w:r>
          </w:p>
        </w:tc>
        <w:tc>
          <w:tcPr>
            <w:tcW w:w="851" w:type="dxa"/>
            <w:noWrap w:val="0"/>
            <w:vAlign w:val="center"/>
          </w:tcPr>
          <w:p w14:paraId="1B63FA19">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670" w:type="dxa"/>
            <w:noWrap w:val="0"/>
            <w:vAlign w:val="top"/>
          </w:tcPr>
          <w:p w14:paraId="1BD044CD">
            <w:pPr>
              <w:numPr>
                <w:ilvl w:val="0"/>
                <w:numId w:val="3"/>
              </w:numPr>
              <w:rPr>
                <w:color w:val="000000"/>
                <w:highlight w:val="none"/>
              </w:rPr>
            </w:pPr>
            <w:r>
              <w:rPr>
                <w:color w:val="000000"/>
                <w:highlight w:val="none"/>
              </w:rPr>
              <w:t>适用于成人、小儿、新生儿的监测</w:t>
            </w:r>
            <w:r>
              <w:rPr>
                <w:rFonts w:hint="eastAsia"/>
                <w:color w:val="000000"/>
                <w:kern w:val="0"/>
                <w:highlight w:val="none"/>
              </w:rPr>
              <w:t>。</w:t>
            </w:r>
          </w:p>
          <w:p w14:paraId="2379996B">
            <w:pPr>
              <w:numPr>
                <w:ilvl w:val="0"/>
                <w:numId w:val="3"/>
              </w:numPr>
              <w:rPr>
                <w:color w:val="000000"/>
                <w:highlight w:val="none"/>
              </w:rPr>
            </w:pPr>
            <w:r>
              <w:rPr>
                <w:rFonts w:hint="eastAsia"/>
                <w:color w:val="000000"/>
                <w:highlight w:val="none"/>
              </w:rPr>
              <w:t>工作大气压力57.0 ~107.4 kPa。</w:t>
            </w:r>
          </w:p>
          <w:p w14:paraId="0C0416B4">
            <w:pPr>
              <w:rPr>
                <w:color w:val="000000"/>
                <w:highlight w:val="none"/>
              </w:rPr>
            </w:pPr>
            <w:r>
              <w:rPr>
                <w:rFonts w:hint="eastAsia" w:ascii="宋体" w:hAnsi="宋体" w:cs="宋体"/>
                <w:color w:val="000000"/>
                <w:szCs w:val="21"/>
                <w:highlight w:val="none"/>
              </w:rPr>
              <w:t>▲</w:t>
            </w:r>
            <w:r>
              <w:rPr>
                <w:rFonts w:hint="eastAsia"/>
                <w:color w:val="000000"/>
                <w:highlight w:val="none"/>
              </w:rPr>
              <w:t>3.转运</w:t>
            </w:r>
            <w:r>
              <w:rPr>
                <w:color w:val="000000"/>
                <w:highlight w:val="none"/>
              </w:rPr>
              <w:t>监护仪，</w:t>
            </w:r>
            <w:r>
              <w:rPr>
                <w:rFonts w:hint="eastAsia"/>
                <w:color w:val="000000"/>
                <w:highlight w:val="none"/>
              </w:rPr>
              <w:t>满足</w:t>
            </w:r>
            <w:r>
              <w:rPr>
                <w:color w:val="000000"/>
                <w:highlight w:val="none"/>
              </w:rPr>
              <w:t>救护车，</w:t>
            </w:r>
            <w:r>
              <w:rPr>
                <w:rFonts w:hint="eastAsia"/>
                <w:color w:val="000000"/>
                <w:highlight w:val="none"/>
              </w:rPr>
              <w:t>直升飞机</w:t>
            </w:r>
            <w:r>
              <w:rPr>
                <w:color w:val="000000"/>
                <w:highlight w:val="none"/>
              </w:rPr>
              <w:t>和固定翼飞机</w:t>
            </w:r>
            <w:r>
              <w:rPr>
                <w:rFonts w:hint="eastAsia"/>
                <w:color w:val="000000"/>
                <w:highlight w:val="none"/>
              </w:rPr>
              <w:t>等使用。</w:t>
            </w:r>
          </w:p>
          <w:p w14:paraId="60974B03">
            <w:pPr>
              <w:rPr>
                <w:color w:val="000000"/>
                <w:highlight w:val="none"/>
              </w:rPr>
            </w:pPr>
            <w:r>
              <w:rPr>
                <w:rFonts w:hint="eastAsia" w:ascii="宋体" w:hAnsi="宋体" w:cs="宋体"/>
                <w:color w:val="000000"/>
                <w:szCs w:val="21"/>
                <w:highlight w:val="none"/>
              </w:rPr>
              <w:t>▲</w:t>
            </w:r>
            <w:r>
              <w:rPr>
                <w:rFonts w:hint="eastAsia"/>
                <w:color w:val="000000"/>
                <w:highlight w:val="none"/>
              </w:rPr>
              <w:t>4.≥5英寸彩色触摸</w:t>
            </w:r>
            <w:r>
              <w:rPr>
                <w:color w:val="000000"/>
                <w:highlight w:val="none"/>
              </w:rPr>
              <w:t>显示屏</w:t>
            </w:r>
            <w:r>
              <w:rPr>
                <w:rFonts w:hint="eastAsia"/>
                <w:color w:val="000000"/>
                <w:kern w:val="0"/>
                <w:highlight w:val="none"/>
              </w:rPr>
              <w:t>。</w:t>
            </w:r>
          </w:p>
          <w:p w14:paraId="7FAE619B">
            <w:pPr>
              <w:rPr>
                <w:color w:val="000000"/>
                <w:highlight w:val="none"/>
              </w:rPr>
            </w:pPr>
            <w:r>
              <w:rPr>
                <w:rFonts w:hint="eastAsia" w:ascii="宋体" w:hAnsi="宋体" w:cs="宋体"/>
                <w:color w:val="000000"/>
                <w:szCs w:val="21"/>
                <w:highlight w:val="none"/>
              </w:rPr>
              <w:t>▲</w:t>
            </w:r>
            <w:r>
              <w:rPr>
                <w:rFonts w:hint="eastAsia"/>
                <w:color w:val="000000"/>
                <w:highlight w:val="none"/>
              </w:rPr>
              <w:t>5.</w:t>
            </w:r>
            <w:r>
              <w:rPr>
                <w:rFonts w:hint="eastAsia" w:ascii="宋体" w:hAnsi="宋体"/>
                <w:color w:val="000000"/>
                <w:szCs w:val="21"/>
                <w:highlight w:val="none"/>
              </w:rPr>
              <w:t>≥</w:t>
            </w:r>
            <w:r>
              <w:rPr>
                <w:rFonts w:hint="eastAsia"/>
                <w:color w:val="000000"/>
                <w:highlight w:val="none"/>
              </w:rPr>
              <w:t>IP44</w:t>
            </w:r>
            <w:r>
              <w:rPr>
                <w:color w:val="000000"/>
                <w:highlight w:val="none"/>
              </w:rPr>
              <w:t>防尘防水，</w:t>
            </w:r>
            <w:r>
              <w:rPr>
                <w:rFonts w:hint="eastAsia"/>
                <w:color w:val="000000"/>
                <w:highlight w:val="none"/>
              </w:rPr>
              <w:t>要求</w:t>
            </w:r>
            <w:r>
              <w:rPr>
                <w:color w:val="000000"/>
                <w:highlight w:val="none"/>
              </w:rPr>
              <w:t>清洁</w:t>
            </w:r>
            <w:r>
              <w:rPr>
                <w:rFonts w:hint="eastAsia"/>
                <w:color w:val="000000"/>
                <w:highlight w:val="none"/>
              </w:rPr>
              <w:t>和适用医院内外不同临床救治环境</w:t>
            </w:r>
            <w:r>
              <w:rPr>
                <w:rFonts w:hint="eastAsia"/>
                <w:color w:val="000000"/>
                <w:kern w:val="0"/>
                <w:highlight w:val="none"/>
              </w:rPr>
              <w:t>。</w:t>
            </w:r>
          </w:p>
          <w:p w14:paraId="2E72CA92">
            <w:pPr>
              <w:rPr>
                <w:color w:val="000000"/>
                <w:highlight w:val="none"/>
              </w:rPr>
            </w:pPr>
            <w:r>
              <w:rPr>
                <w:rFonts w:hint="eastAsia"/>
                <w:color w:val="000000"/>
                <w:highlight w:val="none"/>
              </w:rPr>
              <w:t>6.要求</w:t>
            </w:r>
            <w:r>
              <w:rPr>
                <w:color w:val="000000"/>
                <w:highlight w:val="none"/>
              </w:rPr>
              <w:t>坚固耐用，能</w:t>
            </w:r>
            <w:r>
              <w:rPr>
                <w:rFonts w:hint="eastAsia"/>
                <w:color w:val="000000"/>
                <w:highlight w:val="none"/>
              </w:rPr>
              <w:t>抵抗</w:t>
            </w:r>
            <w:r>
              <w:rPr>
                <w:color w:val="000000"/>
                <w:highlight w:val="none"/>
              </w:rPr>
              <w:t>至少</w:t>
            </w:r>
            <w:r>
              <w:rPr>
                <w:rFonts w:hint="eastAsia"/>
                <w:color w:val="000000"/>
                <w:highlight w:val="none"/>
              </w:rPr>
              <w:t>1.2米6面</w:t>
            </w:r>
            <w:r>
              <w:rPr>
                <w:color w:val="000000"/>
                <w:highlight w:val="none"/>
              </w:rPr>
              <w:t>跌落，</w:t>
            </w:r>
            <w:r>
              <w:rPr>
                <w:rFonts w:hint="eastAsia"/>
                <w:color w:val="000000"/>
                <w:highlight w:val="none"/>
              </w:rPr>
              <w:t>满足转运过程中的复杂临床救治环境</w:t>
            </w:r>
            <w:r>
              <w:rPr>
                <w:rFonts w:hint="eastAsia"/>
                <w:color w:val="000000"/>
                <w:kern w:val="0"/>
                <w:highlight w:val="none"/>
              </w:rPr>
              <w:t>。</w:t>
            </w:r>
          </w:p>
          <w:p w14:paraId="336F9291">
            <w:pPr>
              <w:rPr>
                <w:color w:val="000000"/>
                <w:highlight w:val="none"/>
              </w:rPr>
            </w:pPr>
            <w:r>
              <w:rPr>
                <w:rFonts w:hint="eastAsia"/>
                <w:color w:val="000000"/>
                <w:highlight w:val="none"/>
              </w:rPr>
              <w:t>7.整机无风扇设计</w:t>
            </w:r>
            <w:r>
              <w:rPr>
                <w:rFonts w:hint="eastAsia"/>
                <w:color w:val="000000"/>
                <w:kern w:val="0"/>
                <w:highlight w:val="none"/>
              </w:rPr>
              <w:t>。</w:t>
            </w:r>
          </w:p>
          <w:p w14:paraId="6939C1F8">
            <w:pPr>
              <w:rPr>
                <w:color w:val="000000"/>
                <w:highlight w:val="none"/>
              </w:rPr>
            </w:pPr>
            <w:r>
              <w:rPr>
                <w:rFonts w:hint="eastAsia"/>
                <w:color w:val="000000"/>
                <w:highlight w:val="none"/>
              </w:rPr>
              <w:t>8.</w:t>
            </w:r>
            <w:r>
              <w:rPr>
                <w:color w:val="000000"/>
                <w:highlight w:val="none"/>
              </w:rPr>
              <w:t>▲</w:t>
            </w:r>
            <w:r>
              <w:rPr>
                <w:rFonts w:hint="eastAsia"/>
                <w:color w:val="000000"/>
                <w:highlight w:val="none"/>
              </w:rPr>
              <w:t>内置锂电池供电，支持≥5小时的持续监测</w:t>
            </w:r>
            <w:r>
              <w:rPr>
                <w:rFonts w:hint="eastAsia"/>
                <w:color w:val="000000"/>
                <w:kern w:val="0"/>
                <w:highlight w:val="none"/>
              </w:rPr>
              <w:t>。</w:t>
            </w:r>
          </w:p>
          <w:p w14:paraId="3A1B5933">
            <w:pPr>
              <w:rPr>
                <w:color w:val="000000"/>
                <w:highlight w:val="none"/>
              </w:rPr>
            </w:pPr>
            <w:r>
              <w:rPr>
                <w:rFonts w:hint="eastAsia"/>
                <w:color w:val="000000"/>
                <w:highlight w:val="none"/>
              </w:rPr>
              <w:t>9.内置DC电源接口，可以进行车载充电</w:t>
            </w:r>
            <w:r>
              <w:rPr>
                <w:rFonts w:hint="eastAsia"/>
                <w:color w:val="000000"/>
                <w:kern w:val="0"/>
                <w:highlight w:val="none"/>
              </w:rPr>
              <w:t>。</w:t>
            </w:r>
          </w:p>
          <w:p w14:paraId="47DF9769">
            <w:pPr>
              <w:rPr>
                <w:color w:val="000000"/>
                <w:highlight w:val="none"/>
              </w:rPr>
            </w:pPr>
            <w:r>
              <w:rPr>
                <w:rFonts w:hint="eastAsia"/>
                <w:color w:val="000000"/>
                <w:highlight w:val="none"/>
              </w:rPr>
              <w:t>10.支持3/5导心电，阻抗呼吸，血氧、无创血压、有创血压和2通道体温</w:t>
            </w:r>
            <w:r>
              <w:rPr>
                <w:rFonts w:hint="eastAsia"/>
                <w:color w:val="000000"/>
                <w:kern w:val="0"/>
                <w:highlight w:val="none"/>
              </w:rPr>
              <w:t>。</w:t>
            </w:r>
          </w:p>
          <w:p w14:paraId="78087D8B">
            <w:pPr>
              <w:rPr>
                <w:color w:val="000000"/>
                <w:highlight w:val="none"/>
              </w:rPr>
            </w:pPr>
            <w:r>
              <w:rPr>
                <w:rFonts w:hint="eastAsia"/>
                <w:color w:val="000000"/>
                <w:highlight w:val="none"/>
              </w:rPr>
              <w:t>11.转运监护仪支持插入床旁监护仪插槽作为参数模块使用，即插即用</w:t>
            </w:r>
            <w:r>
              <w:rPr>
                <w:rFonts w:hint="eastAsia"/>
                <w:color w:val="000000"/>
                <w:kern w:val="0"/>
                <w:highlight w:val="none"/>
              </w:rPr>
              <w:t>。</w:t>
            </w:r>
          </w:p>
          <w:p w14:paraId="29DC3F38">
            <w:pPr>
              <w:rPr>
                <w:color w:val="000000"/>
                <w:highlight w:val="none"/>
              </w:rPr>
            </w:pPr>
            <w:r>
              <w:rPr>
                <w:rFonts w:hint="eastAsia"/>
                <w:color w:val="000000"/>
                <w:highlight w:val="none"/>
              </w:rPr>
              <w:t>12.具有多导心电监护算法 ，同步分析至少2通道心电波形，能够抗干扰。</w:t>
            </w:r>
          </w:p>
          <w:p w14:paraId="59729213">
            <w:pPr>
              <w:rPr>
                <w:color w:val="000000"/>
                <w:highlight w:val="none"/>
              </w:rPr>
            </w:pPr>
            <w:r>
              <w:rPr>
                <w:rFonts w:hint="eastAsia"/>
                <w:color w:val="000000"/>
                <w:highlight w:val="none"/>
              </w:rPr>
              <w:t>13.心率测量范围：成人15–300 bpm，小儿/新生儿15 - 350 bpm。</w:t>
            </w:r>
          </w:p>
          <w:p w14:paraId="30DADEAF">
            <w:pPr>
              <w:rPr>
                <w:color w:val="000000"/>
                <w:highlight w:val="none"/>
              </w:rPr>
            </w:pPr>
            <w:r>
              <w:rPr>
                <w:rFonts w:hint="eastAsia"/>
                <w:color w:val="000000"/>
                <w:highlight w:val="none"/>
              </w:rPr>
              <w:t>14.波速提供50mm/s，25 mm/s、12.5 mm/s、6.25 mm/s可选。</w:t>
            </w:r>
          </w:p>
          <w:p w14:paraId="00B44A61">
            <w:pPr>
              <w:rPr>
                <w:color w:val="000000"/>
                <w:highlight w:val="none"/>
              </w:rPr>
            </w:pPr>
            <w:r>
              <w:rPr>
                <w:rFonts w:hint="eastAsia"/>
                <w:color w:val="000000"/>
                <w:highlight w:val="none"/>
              </w:rPr>
              <w:t>15.滤波模式提供诊断模式（0.05 -150Hz），监护模式（0.5 -40Hz），ST模式（0.05 - 40Hz），手术模式（1-20Hz）等。</w:t>
            </w:r>
          </w:p>
          <w:p w14:paraId="472B0D66">
            <w:pPr>
              <w:rPr>
                <w:color w:val="000000"/>
                <w:highlight w:val="none"/>
              </w:rPr>
            </w:pPr>
            <w:r>
              <w:rPr>
                <w:rFonts w:hint="eastAsia"/>
                <w:color w:val="000000"/>
                <w:highlight w:val="none"/>
              </w:rPr>
              <w:t>16.提供</w:t>
            </w:r>
            <w:r>
              <w:rPr>
                <w:rFonts w:hint="eastAsia" w:ascii="宋体" w:hAnsi="宋体" w:cs="宋体"/>
                <w:color w:val="000000"/>
                <w:highlight w:val="none"/>
              </w:rPr>
              <w:t>≥</w:t>
            </w:r>
            <w:r>
              <w:rPr>
                <w:rFonts w:hint="eastAsia"/>
                <w:color w:val="000000"/>
                <w:highlight w:val="none"/>
              </w:rPr>
              <w:t>24种心律失常事件的</w:t>
            </w:r>
            <w:r>
              <w:rPr>
                <w:color w:val="000000"/>
                <w:highlight w:val="none"/>
              </w:rPr>
              <w:t>分析</w:t>
            </w:r>
            <w:r>
              <w:rPr>
                <w:rFonts w:hint="eastAsia"/>
                <w:color w:val="000000"/>
                <w:kern w:val="0"/>
                <w:highlight w:val="none"/>
              </w:rPr>
              <w:t>。</w:t>
            </w:r>
          </w:p>
          <w:p w14:paraId="605B1104">
            <w:pPr>
              <w:rPr>
                <w:color w:val="000000"/>
                <w:highlight w:val="none"/>
              </w:rPr>
            </w:pPr>
            <w:r>
              <w:rPr>
                <w:rFonts w:hint="eastAsia"/>
                <w:color w:val="000000"/>
                <w:highlight w:val="none"/>
              </w:rPr>
              <w:t>17.提供ST段分析，提供显示和存储ST值和每个ST的模板</w:t>
            </w:r>
            <w:r>
              <w:rPr>
                <w:rFonts w:hint="eastAsia"/>
                <w:color w:val="000000"/>
                <w:kern w:val="0"/>
                <w:highlight w:val="none"/>
              </w:rPr>
              <w:t>。</w:t>
            </w:r>
          </w:p>
          <w:p w14:paraId="32868E12">
            <w:pPr>
              <w:rPr>
                <w:color w:val="000000"/>
                <w:highlight w:val="none"/>
              </w:rPr>
            </w:pPr>
            <w:r>
              <w:rPr>
                <w:rFonts w:hint="eastAsia"/>
                <w:color w:val="000000"/>
                <w:highlight w:val="none"/>
              </w:rPr>
              <w:t>18.具有QT/QTc测量功能，提供QT，QTc和ΔQTc参数值。</w:t>
            </w:r>
          </w:p>
          <w:p w14:paraId="67F3192A">
            <w:pPr>
              <w:rPr>
                <w:color w:val="000000"/>
                <w:highlight w:val="none"/>
              </w:rPr>
            </w:pPr>
            <w:r>
              <w:rPr>
                <w:rFonts w:hint="eastAsia"/>
                <w:color w:val="000000"/>
                <w:highlight w:val="none"/>
              </w:rPr>
              <w:t>19.可显示弱灌注指数（PI）。</w:t>
            </w:r>
          </w:p>
          <w:p w14:paraId="4C99A7CE">
            <w:pPr>
              <w:rPr>
                <w:color w:val="000000"/>
                <w:highlight w:val="none"/>
              </w:rPr>
            </w:pPr>
            <w:r>
              <w:rPr>
                <w:rFonts w:hint="eastAsia"/>
                <w:color w:val="000000"/>
                <w:highlight w:val="none"/>
              </w:rPr>
              <w:t>20.提供双通道体温测量，提供两通道体温测量差值显示。</w:t>
            </w:r>
          </w:p>
          <w:p w14:paraId="3A018D5C">
            <w:pPr>
              <w:rPr>
                <w:color w:val="000000"/>
                <w:highlight w:val="none"/>
              </w:rPr>
            </w:pPr>
            <w:r>
              <w:rPr>
                <w:color w:val="000000"/>
                <w:highlight w:val="none"/>
              </w:rPr>
              <w:t>▲</w:t>
            </w:r>
            <w:r>
              <w:rPr>
                <w:rFonts w:hint="eastAsia"/>
                <w:color w:val="000000"/>
                <w:highlight w:val="none"/>
              </w:rPr>
              <w:t>21.至少提供手动、自动间隔、连续、序列四种无创血压测量模式。</w:t>
            </w:r>
          </w:p>
          <w:p w14:paraId="2B29BB2B">
            <w:pPr>
              <w:rPr>
                <w:color w:val="000000"/>
                <w:highlight w:val="none"/>
              </w:rPr>
            </w:pPr>
            <w:r>
              <w:rPr>
                <w:rFonts w:hint="eastAsia"/>
                <w:color w:val="000000"/>
                <w:highlight w:val="none"/>
              </w:rPr>
              <w:t>22.120小时 （分辨率1分钟）趋势表、趋势图回顾</w:t>
            </w:r>
            <w:r>
              <w:rPr>
                <w:rFonts w:hint="eastAsia"/>
                <w:color w:val="000000"/>
                <w:kern w:val="0"/>
                <w:highlight w:val="none"/>
              </w:rPr>
              <w:t>。</w:t>
            </w:r>
          </w:p>
          <w:p w14:paraId="58B15456">
            <w:pPr>
              <w:rPr>
                <w:color w:val="000000"/>
                <w:highlight w:val="none"/>
              </w:rPr>
            </w:pPr>
            <w:r>
              <w:rPr>
                <w:rFonts w:hint="eastAsia"/>
                <w:color w:val="000000"/>
                <w:highlight w:val="none"/>
              </w:rPr>
              <w:t>23.</w:t>
            </w:r>
            <w:r>
              <w:rPr>
                <w:rFonts w:hint="eastAsia" w:ascii="宋体" w:hAnsi="宋体" w:cs="宋体"/>
                <w:color w:val="000000"/>
                <w:highlight w:val="none"/>
              </w:rPr>
              <w:t>≥</w:t>
            </w:r>
            <w:r>
              <w:rPr>
                <w:rFonts w:hint="eastAsia"/>
                <w:color w:val="000000"/>
                <w:highlight w:val="none"/>
              </w:rPr>
              <w:t>1000条事件回顾。每条报警事件至少能够存储32秒三道相关波形，以及报警触发时所有测量参数值。</w:t>
            </w:r>
          </w:p>
          <w:p w14:paraId="6E1C2F5D">
            <w:pPr>
              <w:rPr>
                <w:color w:val="000000"/>
                <w:highlight w:val="none"/>
              </w:rPr>
            </w:pPr>
            <w:r>
              <w:rPr>
                <w:rFonts w:hint="eastAsia"/>
                <w:color w:val="000000"/>
                <w:highlight w:val="none"/>
              </w:rPr>
              <w:t>24.</w:t>
            </w:r>
            <w:r>
              <w:rPr>
                <w:rFonts w:hint="eastAsia" w:ascii="宋体" w:hAnsi="宋体" w:cs="宋体"/>
                <w:color w:val="000000"/>
                <w:highlight w:val="none"/>
              </w:rPr>
              <w:t>≥</w:t>
            </w:r>
            <w:r>
              <w:rPr>
                <w:rFonts w:hint="eastAsia"/>
                <w:color w:val="000000"/>
                <w:highlight w:val="none"/>
              </w:rPr>
              <w:t>800条NIBP测量结果回顾。</w:t>
            </w:r>
          </w:p>
          <w:p w14:paraId="20187C8F">
            <w:pPr>
              <w:rPr>
                <w:color w:val="000000"/>
                <w:highlight w:val="none"/>
              </w:rPr>
            </w:pPr>
            <w:r>
              <w:rPr>
                <w:rFonts w:hint="eastAsia"/>
                <w:color w:val="000000"/>
                <w:highlight w:val="none"/>
              </w:rPr>
              <w:t>25.</w:t>
            </w:r>
            <w:r>
              <w:rPr>
                <w:rFonts w:hint="eastAsia" w:ascii="宋体" w:hAnsi="宋体" w:cs="宋体"/>
                <w:color w:val="000000"/>
                <w:highlight w:val="none"/>
              </w:rPr>
              <w:t>≥</w:t>
            </w:r>
            <w:r>
              <w:rPr>
                <w:rFonts w:hint="eastAsia"/>
                <w:color w:val="000000"/>
                <w:highlight w:val="none"/>
              </w:rPr>
              <w:t>24小时全息波形回顾。全息波形至少能存储所有测量值，以及至少3道波形。</w:t>
            </w:r>
          </w:p>
          <w:p w14:paraId="3AB8AAC7">
            <w:pPr>
              <w:rPr>
                <w:color w:val="000000"/>
                <w:highlight w:val="none"/>
              </w:rPr>
            </w:pPr>
            <w:r>
              <w:rPr>
                <w:rFonts w:hint="eastAsia"/>
                <w:color w:val="000000"/>
                <w:highlight w:val="none"/>
              </w:rPr>
              <w:t>26.具有全内置式的旁流呼末二氧化碳监测</w:t>
            </w:r>
          </w:p>
        </w:tc>
        <w:tc>
          <w:tcPr>
            <w:tcW w:w="1134" w:type="dxa"/>
            <w:noWrap w:val="0"/>
            <w:vAlign w:val="center"/>
          </w:tcPr>
          <w:p w14:paraId="5B180A02">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3.5</w:t>
            </w:r>
          </w:p>
        </w:tc>
      </w:tr>
      <w:tr w14:paraId="4ECC4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vAlign w:val="center"/>
          </w:tcPr>
          <w:p w14:paraId="425C29B7">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4</w:t>
            </w:r>
          </w:p>
        </w:tc>
        <w:tc>
          <w:tcPr>
            <w:tcW w:w="708" w:type="dxa"/>
            <w:noWrap w:val="0"/>
            <w:vAlign w:val="center"/>
          </w:tcPr>
          <w:p w14:paraId="4A6B9687">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过氧化氢低温等离子灭菌器</w:t>
            </w:r>
          </w:p>
        </w:tc>
        <w:tc>
          <w:tcPr>
            <w:tcW w:w="851" w:type="dxa"/>
            <w:noWrap w:val="0"/>
            <w:vAlign w:val="center"/>
          </w:tcPr>
          <w:p w14:paraId="5941BAB0">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670" w:type="dxa"/>
            <w:noWrap w:val="0"/>
            <w:vAlign w:val="top"/>
          </w:tcPr>
          <w:p w14:paraId="1304955E">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1.过氧化氢低温等离子体灭菌器（1套）</w:t>
            </w:r>
          </w:p>
          <w:p w14:paraId="06C60856">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2.注液方式：过氧化氢密封瓶插拔自动刺破方式。</w:t>
            </w:r>
          </w:p>
          <w:p w14:paraId="5A7EE764">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▲3.灭菌剂：封装方式为瓶装，任意角度放置不漏液，瓶内压力与大气压力保持一致适合远途运输。</w:t>
            </w:r>
          </w:p>
          <w:p w14:paraId="07D4491F">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4.灭菌周期：非动态，每种模式灭菌一锅时间均为固定。</w:t>
            </w:r>
          </w:p>
          <w:p w14:paraId="6279D23F">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5.灭菌模式：≥三种可选择操作模式（快速、标准、加强）。</w:t>
            </w:r>
          </w:p>
          <w:p w14:paraId="13B21288">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6.每种选择模式均为双循环模式。</w:t>
            </w:r>
          </w:p>
          <w:p w14:paraId="6134CA6F">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7.灭菌技术：双循环加强模式灭菌技术。</w:t>
            </w:r>
          </w:p>
          <w:p w14:paraId="3797A19F">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8.灭菌循环温度：45℃±10℃。</w:t>
            </w:r>
          </w:p>
          <w:p w14:paraId="032607C7">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9.▲灭菌腔：总容积≥200L。腔内宽度≥600mm，提供腔内尺寸。</w:t>
            </w:r>
          </w:p>
          <w:p w14:paraId="0FE22DA3">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10.灭菌腔为竹节式分段结构组装而成，单节可拆卸和更换。腔体有损，可以单节更换。</w:t>
            </w:r>
          </w:p>
          <w:p w14:paraId="4B44AF21">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11.显示灭菌时间：倒计时。</w:t>
            </w:r>
          </w:p>
          <w:p w14:paraId="33BE1527">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12.操作界面：触摸屏和按键双套操作模式。</w:t>
            </w:r>
          </w:p>
          <w:p w14:paraId="4FE3B694">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13.控制系统：PLC控制系统。</w:t>
            </w:r>
          </w:p>
          <w:p w14:paraId="101DA620">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14.灭菌记录：电脑打印运行时间、注液量、压力数值、运行模式和灭菌过程、日期及故障信息等。</w:t>
            </w:r>
          </w:p>
          <w:p w14:paraId="25A16C25">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15.存储灭菌数据功能：可以存储至少60000锅灭菌数据，随调、随查、随时打印，使灭菌工作具有可追溯性，可满足≥8年的数据存储需要。</w:t>
            </w:r>
          </w:p>
          <w:p w14:paraId="5336C7B2">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16.监测系统：具备灭菌各阶段压力及时间、日期和故障显示；监测灭菌剂剩余量、监测外围电路是否适合本灭菌机工作需要、监测注液系统是否正常工作、监测射频电源系统是否正常工作、监测真空系统是否正常工作；监视并提示本灭菌机是否需要做保养和维护；监测过氧化氢在真空室内的汽化是否良好。</w:t>
            </w:r>
          </w:p>
          <w:p w14:paraId="660590D8">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17.报警系统：具备过程监控报警装置，可以针对影响灭菌的最关键因素—真空度、器械表面潮湿程度和灭菌舱内H</w:t>
            </w:r>
            <w:r>
              <w:rPr>
                <w:rFonts w:hint="eastAsia" w:ascii="宋体" w:hAnsi="宋体" w:cs="宋体"/>
                <w:color w:val="000000"/>
                <w:szCs w:val="21"/>
                <w:highlight w:val="none"/>
                <w:vertAlign w:val="subscript"/>
              </w:rPr>
              <w:t>2</w:t>
            </w:r>
            <w:r>
              <w:rPr>
                <w:rFonts w:hint="eastAsia" w:ascii="宋体" w:hAnsi="宋体" w:cs="宋体"/>
                <w:color w:val="000000"/>
                <w:szCs w:val="21"/>
                <w:highlight w:val="none"/>
              </w:rPr>
              <w:t>O</w:t>
            </w:r>
            <w:r>
              <w:rPr>
                <w:rFonts w:hint="eastAsia" w:ascii="宋体" w:hAnsi="宋体" w:cs="宋体"/>
                <w:color w:val="000000"/>
                <w:szCs w:val="21"/>
                <w:highlight w:val="none"/>
                <w:vertAlign w:val="subscript"/>
              </w:rPr>
              <w:t>2</w:t>
            </w:r>
            <w:r>
              <w:rPr>
                <w:rFonts w:hint="eastAsia" w:ascii="宋体" w:hAnsi="宋体" w:cs="宋体"/>
                <w:color w:val="000000"/>
                <w:szCs w:val="21"/>
                <w:highlight w:val="none"/>
              </w:rPr>
              <w:t>含量，进行检测报警，还可针对真空系统、注液系统、射频电源系统的故障进行报警。</w:t>
            </w:r>
          </w:p>
          <w:p w14:paraId="62199719">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18.灭菌舱门：非触碰式自动感应前后双开门。门未接触探出腔体外的器械，自动门就可以做出保护动作。</w:t>
            </w:r>
          </w:p>
          <w:p w14:paraId="06A86AED">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19.应急开关门系统：在注液系统、真空系统或其他系统故障失效无法打开真空室自动门时，可利用本系统手动开关真空室自动门，方便取出器械。</w:t>
            </w:r>
          </w:p>
          <w:p w14:paraId="4A0687DD">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20.显示器自动提示操作规范：显示器可以根据当前的状态，自动提示下一步的规范操作方法。</w:t>
            </w:r>
          </w:p>
          <w:p w14:paraId="7CF34274">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▲21.灭菌效果：必须对内径</w:t>
            </w:r>
            <w:r>
              <w:rPr>
                <w:rFonts w:hint="eastAsia" w:ascii="宋体" w:hAnsi="宋体" w:eastAsia="宋体" w:cs="宋体"/>
                <w:color w:val="000000"/>
                <w:szCs w:val="21"/>
                <w:highlight w:val="none"/>
              </w:rPr>
              <w:t>≦</w:t>
            </w:r>
            <w:r>
              <w:rPr>
                <w:rFonts w:hint="eastAsia" w:ascii="宋体" w:hAnsi="宋体" w:cs="宋体"/>
                <w:color w:val="000000"/>
                <w:szCs w:val="21"/>
                <w:highlight w:val="none"/>
              </w:rPr>
              <w:t>1mm，长度</w:t>
            </w:r>
            <w:r>
              <w:rPr>
                <w:rFonts w:hint="eastAsia" w:ascii="宋体" w:hAnsi="宋体" w:eastAsia="宋体" w:cs="宋体"/>
                <w:color w:val="000000"/>
                <w:szCs w:val="21"/>
                <w:highlight w:val="none"/>
              </w:rPr>
              <w:t>≦</w:t>
            </w:r>
            <w:r>
              <w:rPr>
                <w:rFonts w:hint="eastAsia" w:ascii="宋体" w:hAnsi="宋体" w:cs="宋体"/>
                <w:color w:val="000000"/>
                <w:szCs w:val="21"/>
                <w:highlight w:val="none"/>
              </w:rPr>
              <w:t>4000mm的聚四氟乙烯软管和对不锈钢内径</w:t>
            </w:r>
            <w:r>
              <w:rPr>
                <w:rFonts w:hint="eastAsia" w:ascii="宋体" w:hAnsi="宋体" w:eastAsia="宋体" w:cs="宋体"/>
                <w:color w:val="000000"/>
                <w:szCs w:val="21"/>
                <w:highlight w:val="none"/>
              </w:rPr>
              <w:t>≦</w:t>
            </w:r>
            <w:r>
              <w:rPr>
                <w:rFonts w:hint="eastAsia" w:ascii="宋体" w:hAnsi="宋体" w:cs="宋体"/>
                <w:color w:val="000000"/>
                <w:szCs w:val="21"/>
                <w:highlight w:val="none"/>
              </w:rPr>
              <w:t>0.7mm，长度</w:t>
            </w:r>
            <w:r>
              <w:rPr>
                <w:rFonts w:hint="eastAsia" w:ascii="宋体" w:hAnsi="宋体" w:eastAsia="宋体" w:cs="宋体"/>
                <w:color w:val="000000"/>
                <w:szCs w:val="21"/>
                <w:highlight w:val="none"/>
              </w:rPr>
              <w:t>≦</w:t>
            </w:r>
            <w:r>
              <w:rPr>
                <w:rFonts w:hint="eastAsia" w:ascii="宋体" w:hAnsi="宋体" w:cs="宋体"/>
                <w:color w:val="000000"/>
                <w:szCs w:val="21"/>
                <w:highlight w:val="none"/>
              </w:rPr>
              <w:t>600mm管腔经半周期达到完全灭菌。</w:t>
            </w:r>
          </w:p>
          <w:p w14:paraId="56C0E18F">
            <w:pPr>
              <w:wordWrap w:val="0"/>
              <w:spacing w:line="360" w:lineRule="exact"/>
              <w:rPr>
                <w:rFonts w:ascii="宋体" w:hAnsi="宋体" w:cs="宋体"/>
                <w:color w:val="000000"/>
                <w:szCs w:val="21"/>
                <w:highlight w:val="none"/>
              </w:rPr>
            </w:pPr>
            <w:r>
              <w:rPr>
                <w:rFonts w:hint="eastAsia" w:ascii="宋体" w:hAnsi="宋体" w:cs="宋体"/>
                <w:color w:val="000000"/>
                <w:szCs w:val="21"/>
                <w:highlight w:val="none"/>
              </w:rPr>
              <w:t>▲22.灭菌器采用真实标称浓度的过氧化氢注入灭菌腔。确保注入灭菌腔内的过氧化氢浓度与过氧化氢灭菌剂外包装上标称的浓度一致，在灭菌器内不另设提纯过氧化氢的零部件或系统，能防止将提纯后的高浓度过氧化氢被灭菌器械接触，造成器械过度腐蚀，降低器械的使用寿命。</w:t>
            </w:r>
          </w:p>
          <w:p w14:paraId="2C04FB13">
            <w:pPr>
              <w:ind w:firstLine="105" w:firstLineChars="50"/>
              <w:rPr>
                <w:rFonts w:hint="eastAsia" w:ascii="宋体" w:hAnsi="宋体"/>
                <w:bCs/>
                <w:color w:val="000000"/>
                <w:szCs w:val="21"/>
                <w:highlight w:val="none"/>
              </w:rPr>
            </w:pPr>
            <w:r>
              <w:rPr>
                <w:rFonts w:hint="eastAsia" w:ascii="宋体" w:hAnsi="宋体"/>
                <w:bCs/>
                <w:color w:val="000000"/>
                <w:szCs w:val="21"/>
                <w:highlight w:val="none"/>
              </w:rPr>
              <w:t>23.投标人根据所投设备在投标文件中提供配置清单：至少包含以下表格中包含的配置项，且至少包含配置项名称、规格、数量、单位等；</w:t>
            </w:r>
          </w:p>
          <w:p w14:paraId="2785A4AD">
            <w:pPr>
              <w:wordWrap w:val="0"/>
              <w:spacing w:line="360" w:lineRule="exact"/>
              <w:rPr>
                <w:rFonts w:ascii="宋体" w:hAnsi="宋体" w:cs="宋体"/>
                <w:color w:val="000000"/>
                <w:szCs w:val="21"/>
                <w:highlight w:val="none"/>
              </w:rPr>
            </w:pP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143"/>
            </w:tblGrid>
            <w:tr w14:paraId="688A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226B2436">
                  <w:pPr>
                    <w:spacing w:line="480" w:lineRule="auto"/>
                    <w:jc w:val="center"/>
                    <w:rPr>
                      <w:rFonts w:ascii="宋体" w:hAnsi="宋体"/>
                      <w:bCs/>
                      <w:color w:val="000000"/>
                      <w:szCs w:val="21"/>
                      <w:highlight w:val="none"/>
                    </w:rPr>
                  </w:pPr>
                  <w:r>
                    <w:rPr>
                      <w:rFonts w:hint="eastAsia" w:ascii="宋体" w:hAnsi="宋体"/>
                      <w:bCs/>
                      <w:color w:val="000000"/>
                      <w:szCs w:val="21"/>
                      <w:highlight w:val="none"/>
                    </w:rPr>
                    <w:t>序号</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6939B6C2">
                  <w:pPr>
                    <w:spacing w:line="480" w:lineRule="auto"/>
                    <w:ind w:firstLine="105" w:firstLineChars="50"/>
                    <w:jc w:val="center"/>
                    <w:rPr>
                      <w:rFonts w:ascii="宋体" w:hAnsi="宋体"/>
                      <w:bCs/>
                      <w:color w:val="000000"/>
                      <w:szCs w:val="21"/>
                      <w:highlight w:val="none"/>
                    </w:rPr>
                  </w:pPr>
                  <w:r>
                    <w:rPr>
                      <w:rFonts w:hint="eastAsia" w:ascii="宋体" w:hAnsi="宋体"/>
                      <w:bCs/>
                      <w:color w:val="000000"/>
                      <w:szCs w:val="21"/>
                      <w:highlight w:val="none"/>
                    </w:rPr>
                    <w:t>配 置 项</w:t>
                  </w:r>
                </w:p>
              </w:tc>
            </w:tr>
            <w:tr w14:paraId="034D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11109761">
                  <w:pPr>
                    <w:spacing w:line="480" w:lineRule="auto"/>
                    <w:jc w:val="center"/>
                    <w:rPr>
                      <w:rFonts w:ascii="宋体" w:hAnsi="宋体"/>
                      <w:bCs/>
                      <w:color w:val="000000"/>
                      <w:szCs w:val="21"/>
                      <w:highlight w:val="none"/>
                    </w:rPr>
                  </w:pPr>
                  <w:r>
                    <w:rPr>
                      <w:rFonts w:hint="eastAsia" w:ascii="宋体" w:hAnsi="宋体"/>
                      <w:bCs/>
                      <w:color w:val="000000"/>
                      <w:szCs w:val="21"/>
                      <w:highlight w:val="none"/>
                    </w:rPr>
                    <w:t>1</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3735BE77">
                  <w:pPr>
                    <w:spacing w:line="480" w:lineRule="auto"/>
                    <w:rPr>
                      <w:rFonts w:ascii="宋体" w:hAnsi="宋体"/>
                      <w:bCs/>
                      <w:color w:val="000000"/>
                      <w:szCs w:val="21"/>
                      <w:highlight w:val="none"/>
                    </w:rPr>
                  </w:pPr>
                  <w:r>
                    <w:rPr>
                      <w:rFonts w:hint="eastAsia" w:ascii="宋体" w:hAnsi="宋体"/>
                      <w:bCs/>
                      <w:color w:val="000000"/>
                      <w:szCs w:val="21"/>
                      <w:highlight w:val="none"/>
                    </w:rPr>
                    <w:t>灭菌机</w:t>
                  </w:r>
                </w:p>
              </w:tc>
            </w:tr>
            <w:tr w14:paraId="2530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24E8EF8E">
                  <w:pPr>
                    <w:spacing w:line="480" w:lineRule="auto"/>
                    <w:jc w:val="center"/>
                    <w:rPr>
                      <w:rFonts w:ascii="宋体" w:hAnsi="宋体"/>
                      <w:bCs/>
                      <w:color w:val="000000"/>
                      <w:szCs w:val="21"/>
                      <w:highlight w:val="none"/>
                    </w:rPr>
                  </w:pPr>
                  <w:r>
                    <w:rPr>
                      <w:rFonts w:hint="eastAsia" w:ascii="宋体" w:hAnsi="宋体"/>
                      <w:bCs/>
                      <w:color w:val="000000"/>
                      <w:szCs w:val="21"/>
                      <w:highlight w:val="none"/>
                    </w:rPr>
                    <w:t>2</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4F1B3B67">
                  <w:pPr>
                    <w:spacing w:line="480" w:lineRule="auto"/>
                    <w:rPr>
                      <w:rFonts w:ascii="宋体" w:hAnsi="宋体"/>
                      <w:bCs/>
                      <w:color w:val="000000"/>
                      <w:szCs w:val="21"/>
                      <w:highlight w:val="none"/>
                    </w:rPr>
                  </w:pPr>
                  <w:r>
                    <w:rPr>
                      <w:rFonts w:hint="eastAsia" w:ascii="宋体" w:hAnsi="宋体"/>
                      <w:bCs/>
                      <w:color w:val="000000"/>
                      <w:szCs w:val="21"/>
                      <w:highlight w:val="none"/>
                    </w:rPr>
                    <w:t>器械盒</w:t>
                  </w:r>
                </w:p>
              </w:tc>
            </w:tr>
            <w:tr w14:paraId="1251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52BDA4E4">
                  <w:pPr>
                    <w:spacing w:line="480" w:lineRule="auto"/>
                    <w:jc w:val="center"/>
                    <w:rPr>
                      <w:rFonts w:ascii="宋体" w:hAnsi="宋体"/>
                      <w:bCs/>
                      <w:color w:val="000000"/>
                      <w:szCs w:val="21"/>
                      <w:highlight w:val="none"/>
                    </w:rPr>
                  </w:pPr>
                  <w:r>
                    <w:rPr>
                      <w:rFonts w:hint="eastAsia" w:ascii="宋体" w:hAnsi="宋体"/>
                      <w:bCs/>
                      <w:color w:val="000000"/>
                      <w:szCs w:val="21"/>
                      <w:highlight w:val="none"/>
                    </w:rPr>
                    <w:t>3</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189D93EF">
                  <w:pPr>
                    <w:spacing w:line="480" w:lineRule="auto"/>
                    <w:rPr>
                      <w:rFonts w:ascii="宋体" w:hAnsi="宋体"/>
                      <w:bCs/>
                      <w:color w:val="000000"/>
                      <w:szCs w:val="21"/>
                      <w:highlight w:val="none"/>
                    </w:rPr>
                  </w:pPr>
                  <w:r>
                    <w:rPr>
                      <w:rFonts w:hint="eastAsia" w:ascii="宋体" w:hAnsi="宋体"/>
                      <w:bCs/>
                      <w:color w:val="000000"/>
                      <w:szCs w:val="21"/>
                      <w:highlight w:val="none"/>
                    </w:rPr>
                    <w:t>灭菌剂</w:t>
                  </w:r>
                </w:p>
              </w:tc>
            </w:tr>
            <w:tr w14:paraId="04C4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4497156E">
                  <w:pPr>
                    <w:spacing w:line="480" w:lineRule="auto"/>
                    <w:jc w:val="center"/>
                    <w:rPr>
                      <w:rFonts w:ascii="宋体" w:hAnsi="宋体"/>
                      <w:bCs/>
                      <w:color w:val="000000"/>
                      <w:szCs w:val="21"/>
                      <w:highlight w:val="none"/>
                    </w:rPr>
                  </w:pPr>
                  <w:r>
                    <w:rPr>
                      <w:rFonts w:hint="eastAsia" w:ascii="宋体" w:hAnsi="宋体"/>
                      <w:bCs/>
                      <w:color w:val="000000"/>
                      <w:szCs w:val="21"/>
                      <w:highlight w:val="none"/>
                    </w:rPr>
                    <w:t>4</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7964FC7E">
                  <w:pPr>
                    <w:spacing w:line="480" w:lineRule="auto"/>
                    <w:rPr>
                      <w:rFonts w:ascii="宋体" w:hAnsi="宋体"/>
                      <w:bCs/>
                      <w:color w:val="000000"/>
                      <w:szCs w:val="21"/>
                      <w:highlight w:val="none"/>
                    </w:rPr>
                  </w:pPr>
                  <w:r>
                    <w:rPr>
                      <w:rFonts w:hint="eastAsia" w:ascii="宋体" w:hAnsi="宋体"/>
                      <w:bCs/>
                      <w:color w:val="000000"/>
                      <w:szCs w:val="21"/>
                      <w:highlight w:val="none"/>
                    </w:rPr>
                    <w:t>化学指示卡</w:t>
                  </w:r>
                </w:p>
              </w:tc>
            </w:tr>
            <w:tr w14:paraId="5540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5CD8DB53">
                  <w:pPr>
                    <w:spacing w:line="480" w:lineRule="auto"/>
                    <w:jc w:val="center"/>
                    <w:rPr>
                      <w:rFonts w:ascii="宋体" w:hAnsi="宋体"/>
                      <w:bCs/>
                      <w:color w:val="000000"/>
                      <w:szCs w:val="21"/>
                      <w:highlight w:val="none"/>
                    </w:rPr>
                  </w:pPr>
                  <w:r>
                    <w:rPr>
                      <w:rFonts w:hint="eastAsia" w:ascii="宋体" w:hAnsi="宋体"/>
                      <w:bCs/>
                      <w:color w:val="000000"/>
                      <w:szCs w:val="21"/>
                      <w:highlight w:val="none"/>
                    </w:rPr>
                    <w:t>5</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107D6449">
                  <w:pPr>
                    <w:spacing w:line="480" w:lineRule="auto"/>
                    <w:rPr>
                      <w:rFonts w:ascii="宋体" w:hAnsi="宋体"/>
                      <w:bCs/>
                      <w:color w:val="000000"/>
                      <w:szCs w:val="21"/>
                      <w:highlight w:val="none"/>
                    </w:rPr>
                  </w:pPr>
                  <w:r>
                    <w:rPr>
                      <w:rFonts w:hint="eastAsia" w:ascii="宋体" w:hAnsi="宋体"/>
                      <w:bCs/>
                      <w:color w:val="000000"/>
                      <w:szCs w:val="21"/>
                      <w:highlight w:val="none"/>
                    </w:rPr>
                    <w:t>化学指示胶贴</w:t>
                  </w:r>
                </w:p>
              </w:tc>
            </w:tr>
            <w:tr w14:paraId="6B7E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1F3B0272">
                  <w:pPr>
                    <w:spacing w:line="480" w:lineRule="auto"/>
                    <w:jc w:val="center"/>
                    <w:rPr>
                      <w:rFonts w:ascii="宋体" w:hAnsi="宋体"/>
                      <w:bCs/>
                      <w:color w:val="000000"/>
                      <w:szCs w:val="21"/>
                      <w:highlight w:val="none"/>
                    </w:rPr>
                  </w:pPr>
                  <w:r>
                    <w:rPr>
                      <w:rFonts w:hint="eastAsia" w:ascii="宋体" w:hAnsi="宋体"/>
                      <w:bCs/>
                      <w:color w:val="000000"/>
                      <w:szCs w:val="21"/>
                      <w:highlight w:val="none"/>
                    </w:rPr>
                    <w:t>6</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2573D9E7">
                  <w:pPr>
                    <w:spacing w:line="480" w:lineRule="auto"/>
                    <w:rPr>
                      <w:rFonts w:ascii="宋体" w:hAnsi="宋体"/>
                      <w:bCs/>
                      <w:color w:val="000000"/>
                      <w:szCs w:val="21"/>
                      <w:highlight w:val="none"/>
                    </w:rPr>
                  </w:pPr>
                  <w:r>
                    <w:rPr>
                      <w:rFonts w:hint="eastAsia" w:ascii="宋体" w:hAnsi="宋体"/>
                      <w:bCs/>
                      <w:color w:val="000000"/>
                      <w:szCs w:val="21"/>
                      <w:highlight w:val="none"/>
                    </w:rPr>
                    <w:t>自含化学指示灭菌袋</w:t>
                  </w:r>
                </w:p>
              </w:tc>
            </w:tr>
            <w:tr w14:paraId="3E37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1187E189">
                  <w:pPr>
                    <w:spacing w:line="480" w:lineRule="auto"/>
                    <w:jc w:val="center"/>
                    <w:rPr>
                      <w:rFonts w:ascii="宋体" w:hAnsi="宋体"/>
                      <w:bCs/>
                      <w:color w:val="000000"/>
                      <w:szCs w:val="21"/>
                      <w:highlight w:val="none"/>
                    </w:rPr>
                  </w:pPr>
                  <w:r>
                    <w:rPr>
                      <w:rFonts w:hint="eastAsia" w:ascii="宋体" w:hAnsi="宋体"/>
                      <w:bCs/>
                      <w:color w:val="000000"/>
                      <w:szCs w:val="21"/>
                      <w:highlight w:val="none"/>
                    </w:rPr>
                    <w:t>7</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3F1D0CCE">
                  <w:pPr>
                    <w:spacing w:line="480" w:lineRule="auto"/>
                    <w:rPr>
                      <w:rFonts w:ascii="宋体" w:hAnsi="宋体"/>
                      <w:bCs/>
                      <w:color w:val="000000"/>
                      <w:szCs w:val="21"/>
                      <w:highlight w:val="none"/>
                    </w:rPr>
                  </w:pPr>
                  <w:r>
                    <w:rPr>
                      <w:rFonts w:hint="eastAsia" w:ascii="宋体" w:hAnsi="宋体"/>
                      <w:bCs/>
                      <w:color w:val="000000"/>
                      <w:szCs w:val="21"/>
                      <w:highlight w:val="none"/>
                    </w:rPr>
                    <w:t>生物指示剂</w:t>
                  </w:r>
                </w:p>
              </w:tc>
            </w:tr>
            <w:tr w14:paraId="1570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02DC2B66">
                  <w:pPr>
                    <w:spacing w:line="480" w:lineRule="auto"/>
                    <w:jc w:val="center"/>
                    <w:rPr>
                      <w:rFonts w:ascii="宋体" w:hAnsi="宋体"/>
                      <w:bCs/>
                      <w:color w:val="000000"/>
                      <w:szCs w:val="21"/>
                      <w:highlight w:val="none"/>
                    </w:rPr>
                  </w:pPr>
                  <w:r>
                    <w:rPr>
                      <w:rFonts w:hint="eastAsia" w:ascii="宋体" w:hAnsi="宋体"/>
                      <w:bCs/>
                      <w:color w:val="000000"/>
                      <w:szCs w:val="21"/>
                      <w:highlight w:val="none"/>
                    </w:rPr>
                    <w:t>8</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006D2D5F">
                  <w:pPr>
                    <w:spacing w:line="480" w:lineRule="auto"/>
                    <w:rPr>
                      <w:rFonts w:ascii="宋体" w:hAnsi="宋体"/>
                      <w:bCs/>
                      <w:color w:val="000000"/>
                      <w:szCs w:val="21"/>
                      <w:highlight w:val="none"/>
                    </w:rPr>
                  </w:pPr>
                  <w:r>
                    <w:rPr>
                      <w:rFonts w:hint="eastAsia" w:ascii="宋体" w:hAnsi="宋体"/>
                      <w:bCs/>
                      <w:color w:val="000000"/>
                      <w:szCs w:val="21"/>
                      <w:highlight w:val="none"/>
                    </w:rPr>
                    <w:t>无纺布</w:t>
                  </w:r>
                </w:p>
              </w:tc>
            </w:tr>
            <w:tr w14:paraId="6A3A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53A7FEDC">
                  <w:pPr>
                    <w:spacing w:line="480" w:lineRule="auto"/>
                    <w:jc w:val="center"/>
                    <w:rPr>
                      <w:rFonts w:ascii="宋体" w:hAnsi="宋体"/>
                      <w:bCs/>
                      <w:color w:val="000000"/>
                      <w:szCs w:val="21"/>
                      <w:highlight w:val="none"/>
                    </w:rPr>
                  </w:pPr>
                  <w:r>
                    <w:rPr>
                      <w:rFonts w:hint="eastAsia" w:ascii="宋体" w:hAnsi="宋体"/>
                      <w:bCs/>
                      <w:color w:val="000000"/>
                      <w:szCs w:val="21"/>
                      <w:highlight w:val="none"/>
                    </w:rPr>
                    <w:t>9</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69DA38B6">
                  <w:pPr>
                    <w:spacing w:line="480" w:lineRule="auto"/>
                    <w:rPr>
                      <w:rFonts w:ascii="宋体" w:hAnsi="宋体"/>
                      <w:bCs/>
                      <w:color w:val="000000"/>
                      <w:szCs w:val="21"/>
                      <w:highlight w:val="none"/>
                    </w:rPr>
                  </w:pPr>
                  <w:r>
                    <w:rPr>
                      <w:rFonts w:hint="eastAsia" w:ascii="宋体" w:hAnsi="宋体"/>
                      <w:bCs/>
                      <w:color w:val="000000"/>
                      <w:szCs w:val="21"/>
                      <w:highlight w:val="none"/>
                    </w:rPr>
                    <w:t>热敏打印纸</w:t>
                  </w:r>
                </w:p>
              </w:tc>
            </w:tr>
            <w:tr w14:paraId="32FC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tcBorders>
                    <w:top w:val="single" w:color="auto" w:sz="4" w:space="0"/>
                    <w:left w:val="single" w:color="auto" w:sz="4" w:space="0"/>
                    <w:bottom w:val="single" w:color="auto" w:sz="4" w:space="0"/>
                    <w:right w:val="single" w:color="auto" w:sz="4" w:space="0"/>
                  </w:tcBorders>
                  <w:noWrap w:val="0"/>
                  <w:vAlign w:val="center"/>
                </w:tcPr>
                <w:p w14:paraId="6D124935">
                  <w:pPr>
                    <w:spacing w:line="480" w:lineRule="auto"/>
                    <w:jc w:val="center"/>
                    <w:rPr>
                      <w:rFonts w:ascii="宋体" w:hAnsi="宋体"/>
                      <w:bCs/>
                      <w:color w:val="000000"/>
                      <w:szCs w:val="21"/>
                      <w:highlight w:val="none"/>
                    </w:rPr>
                  </w:pPr>
                  <w:r>
                    <w:rPr>
                      <w:rFonts w:hint="eastAsia" w:ascii="宋体" w:hAnsi="宋体"/>
                      <w:bCs/>
                      <w:color w:val="000000"/>
                      <w:szCs w:val="21"/>
                      <w:highlight w:val="none"/>
                    </w:rPr>
                    <w:t>10</w:t>
                  </w:r>
                </w:p>
              </w:tc>
              <w:tc>
                <w:tcPr>
                  <w:tcW w:w="3143" w:type="dxa"/>
                  <w:tcBorders>
                    <w:top w:val="single" w:color="auto" w:sz="4" w:space="0"/>
                    <w:left w:val="single" w:color="auto" w:sz="4" w:space="0"/>
                    <w:bottom w:val="single" w:color="auto" w:sz="4" w:space="0"/>
                    <w:right w:val="single" w:color="auto" w:sz="4" w:space="0"/>
                  </w:tcBorders>
                  <w:noWrap w:val="0"/>
                  <w:vAlign w:val="center"/>
                </w:tcPr>
                <w:p w14:paraId="33E72E59">
                  <w:pPr>
                    <w:rPr>
                      <w:rFonts w:ascii="宋体" w:hAnsi="宋体"/>
                      <w:bCs/>
                      <w:color w:val="000000"/>
                      <w:szCs w:val="21"/>
                      <w:highlight w:val="none"/>
                    </w:rPr>
                  </w:pPr>
                  <w:r>
                    <w:rPr>
                      <w:rFonts w:hint="eastAsia" w:ascii="宋体" w:hAnsi="宋体"/>
                      <w:bCs/>
                      <w:color w:val="000000"/>
                      <w:szCs w:val="21"/>
                      <w:highlight w:val="none"/>
                    </w:rPr>
                    <w:t>生物指示剂培养箱</w:t>
                  </w:r>
                </w:p>
              </w:tc>
            </w:tr>
          </w:tbl>
          <w:p w14:paraId="66F1244B">
            <w:pPr>
              <w:wordWrap w:val="0"/>
              <w:spacing w:line="360" w:lineRule="exact"/>
              <w:rPr>
                <w:rFonts w:ascii="宋体" w:hAnsi="宋体" w:cs="宋体"/>
                <w:color w:val="000000"/>
                <w:szCs w:val="21"/>
                <w:highlight w:val="none"/>
              </w:rPr>
            </w:pPr>
          </w:p>
        </w:tc>
        <w:tc>
          <w:tcPr>
            <w:tcW w:w="1134" w:type="dxa"/>
            <w:noWrap w:val="0"/>
            <w:vAlign w:val="center"/>
          </w:tcPr>
          <w:p w14:paraId="2630A562">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36</w:t>
            </w:r>
          </w:p>
        </w:tc>
      </w:tr>
      <w:tr w14:paraId="373D1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vAlign w:val="center"/>
          </w:tcPr>
          <w:p w14:paraId="3784DD44">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5</w:t>
            </w:r>
          </w:p>
        </w:tc>
        <w:tc>
          <w:tcPr>
            <w:tcW w:w="708" w:type="dxa"/>
            <w:noWrap w:val="0"/>
            <w:vAlign w:val="center"/>
          </w:tcPr>
          <w:p w14:paraId="3A8CB295">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环氧乙烷灭菌器</w:t>
            </w:r>
          </w:p>
        </w:tc>
        <w:tc>
          <w:tcPr>
            <w:tcW w:w="851" w:type="dxa"/>
            <w:noWrap w:val="0"/>
            <w:vAlign w:val="center"/>
          </w:tcPr>
          <w:p w14:paraId="51E86668">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670" w:type="dxa"/>
            <w:noWrap w:val="0"/>
            <w:vAlign w:val="top"/>
          </w:tcPr>
          <w:p w14:paraId="1138D1D6">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1.用途：不耐温、热、湿物品进行灭菌处理。</w:t>
            </w:r>
          </w:p>
          <w:p w14:paraId="6615F85A">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2.灭菌方法：100%环氧乙烷气体灭菌。</w:t>
            </w:r>
          </w:p>
          <w:p w14:paraId="315B3DE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3.灭菌剂：铝合金罐装100%环氧乙烷气体。</w:t>
            </w:r>
          </w:p>
          <w:p w14:paraId="7B9C1C50">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4.至少提供两种灭菌温度：37℃和55℃</w:t>
            </w:r>
          </w:p>
          <w:p w14:paraId="40B577FF">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5.容积：≥200升。</w:t>
            </w:r>
          </w:p>
          <w:p w14:paraId="1822131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6.门的要求：自动升降开关门，防夹手设计。</w:t>
            </w:r>
          </w:p>
          <w:p w14:paraId="7B1A4F6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7.性能描述：负压工作系统，双重压力控制系统，断电记忆功能，负压刺破气罐，精确控制加湿用水量，内置湿度传感器，有强制通风、除残装置。</w:t>
            </w:r>
          </w:p>
          <w:p w14:paraId="3B0658A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8.安全措施：安全自动监测功能,双重温度保护功能,门安全连锁装置。</w:t>
            </w:r>
          </w:p>
          <w:p w14:paraId="09865D2D">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9.动作阀门：气动阀。</w:t>
            </w:r>
          </w:p>
          <w:p w14:paraId="129F7163">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10.压缩气来源：内置空气压缩机。</w:t>
            </w:r>
          </w:p>
          <w:p w14:paraId="0DE9EC7E">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11.加热方式：电加热膜均匀加热。</w:t>
            </w:r>
          </w:p>
          <w:p w14:paraId="2BDBFC5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12.记录方式：灭菌过程适时多参数打印并记忆，供存档备查。</w:t>
            </w:r>
          </w:p>
          <w:p w14:paraId="17A9BEEF">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13.控制方式：PLC自动控制，液晶显示工作状态和操作,通风时间可设范围2.5-99小时,具有故障自动检测、报警及故障记录。</w:t>
            </w:r>
          </w:p>
          <w:p w14:paraId="5314A75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14.故障诊断：具有自动故障检测，故障代码内容显示报警，故障声音报警和故障打印记录功能。</w:t>
            </w:r>
          </w:p>
          <w:p w14:paraId="0D8EDF5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15.内腔材质：采用铝合金材料。</w:t>
            </w:r>
          </w:p>
          <w:p w14:paraId="1B8A35B3">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16.配置清单至少包含：主机一台，装载篮筐2个。</w:t>
            </w:r>
          </w:p>
        </w:tc>
        <w:tc>
          <w:tcPr>
            <w:tcW w:w="1134" w:type="dxa"/>
            <w:noWrap w:val="0"/>
            <w:vAlign w:val="center"/>
          </w:tcPr>
          <w:p w14:paraId="683FA4C3">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36</w:t>
            </w:r>
          </w:p>
        </w:tc>
      </w:tr>
      <w:tr w14:paraId="4A1DD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vAlign w:val="center"/>
          </w:tcPr>
          <w:p w14:paraId="4E068CD6">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6</w:t>
            </w:r>
          </w:p>
        </w:tc>
        <w:tc>
          <w:tcPr>
            <w:tcW w:w="708" w:type="dxa"/>
            <w:noWrap w:val="0"/>
            <w:vAlign w:val="center"/>
          </w:tcPr>
          <w:p w14:paraId="1CEF630A">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经颅磁刺激治疗仪</w:t>
            </w:r>
          </w:p>
        </w:tc>
        <w:tc>
          <w:tcPr>
            <w:tcW w:w="851" w:type="dxa"/>
            <w:noWrap w:val="0"/>
            <w:vAlign w:val="center"/>
          </w:tcPr>
          <w:p w14:paraId="48CA5776">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670" w:type="dxa"/>
            <w:noWrap w:val="0"/>
            <w:vAlign w:val="top"/>
          </w:tcPr>
          <w:p w14:paraId="77F4477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1、适用范围：用于中枢神经和外周神经功能的检测、评定，及相关脑神经及神经损伤性疾病的辅助治疗；</w:t>
            </w:r>
          </w:p>
          <w:p w14:paraId="3336EFC6">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2、运动诱发电位mep检测</w:t>
            </w:r>
          </w:p>
          <w:p w14:paraId="29F38A6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2.1通道数：两通道。</w:t>
            </w:r>
          </w:p>
          <w:p w14:paraId="154D59CB">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2.2采样率：100KHz（投标文件中需提供注册证或国家认可具有资质的第三方机构出具的检验报告）。</w:t>
            </w:r>
          </w:p>
          <w:p w14:paraId="5555028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2.3检测运动诱发电位、运动传导时间、静息期等。</w:t>
            </w:r>
          </w:p>
          <w:p w14:paraId="2548DCF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2.4 MEP检测，以及MEP图形、数字显示与输出。</w:t>
            </w:r>
          </w:p>
          <w:p w14:paraId="6C273212">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▲2.5最小分辨率：≤0.1μV；（投标文件中提供国家认可具有资质的第三方机构出具的检验报告）。</w:t>
            </w:r>
          </w:p>
          <w:p w14:paraId="5931C31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2.6频率测量范围：1Hz~25KHz；（投标文件中提供国家认可具有资质的第三方机构出具的检验报告）。</w:t>
            </w:r>
          </w:p>
          <w:p w14:paraId="677DF26B">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3、刺激线圈</w:t>
            </w:r>
          </w:p>
          <w:p w14:paraId="1959D9D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3.1 冷却：惰性液态冷却系统，非风冷或智能液冷。</w:t>
            </w:r>
          </w:p>
          <w:p w14:paraId="608C771F">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3.2外观：表面无孔无缝、防尘、防水。</w:t>
            </w:r>
          </w:p>
          <w:p w14:paraId="3FA5DDE6">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3.3 类型：液态冷却方式的成人款圆形、八字形刺激线圈，液态冷却方式的儿童款圆形、八字形刺激线圈和柱形刺激线圈（投标文件中提供液冷方式的各刺激线圈注册证明）。</w:t>
            </w:r>
          </w:p>
          <w:p w14:paraId="54ABFB82">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▲3.4具有温度显示与控制保护功能，刺激线圈表面安全温度≤40℃；当线圈表面温度达到40°时系统将会自动停机并过热报警；（投标文件中需提供注册证或国家认可具有资质的第三方机构出具的检验报告）。</w:t>
            </w:r>
          </w:p>
          <w:p w14:paraId="4879124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3.5刺激线圈不分正反面，能实现双面双向刺激。</w:t>
            </w:r>
          </w:p>
          <w:p w14:paraId="58F2F34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3.6刺激线圈全封闭一体式，无孔设计，无开裂风险。（投标文件提供国家认可具有资质的第三方机构出具的检测报告产品图片页证明）。</w:t>
            </w:r>
          </w:p>
          <w:p w14:paraId="6F9074E9">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3.7电介质强度：主机内部高压储能电容安全可靠，电介质强度达到4000VAC。</w:t>
            </w:r>
          </w:p>
          <w:p w14:paraId="5E40A38A">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4、磁刺激主机</w:t>
            </w:r>
          </w:p>
          <w:p w14:paraId="56644175">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4.1最大刺激强度达到6Tesla，如果最大刺激强度表述为双相波单边磁刺激强度，则应≥3.5Tesla）。</w:t>
            </w:r>
          </w:p>
          <w:p w14:paraId="123A9003">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▲4.2输出脉冲宽度达到340μs，误差范围≤±10μs（若脉冲宽度表述为双向波单边输出脉冲宽度，则应≥260μs）。（投标文件中需提供注册证或国家认可具有资质的第三方机构出具的检验报告）</w:t>
            </w:r>
          </w:p>
          <w:p w14:paraId="3EDB4883">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▲4.3脉冲上升时间达到60μs，误差范围≤±10μs（投标文件需提供注册证或国家认可具有资质的第三方机构出具的检验报告）</w:t>
            </w:r>
          </w:p>
          <w:p w14:paraId="7F4EB4E5">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▲4.4磁感应强度最大变化率允差：±5%</w:t>
            </w:r>
          </w:p>
          <w:p w14:paraId="5560DE45">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4.5刺激模式：满足单脉冲刺激、重复脉冲刺激等各刺激模式的自由设置。</w:t>
            </w:r>
          </w:p>
          <w:p w14:paraId="46EE956D">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▲4.6 100%设备强度下进行复合脉冲(TBS)刺激治疗。</w:t>
            </w:r>
          </w:p>
          <w:p w14:paraId="3792FB86">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▲4.7 脉冲频率允差值：±2%。</w:t>
            </w:r>
          </w:p>
          <w:p w14:paraId="057DAFED">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5、磁刺激控制器</w:t>
            </w:r>
          </w:p>
          <w:p w14:paraId="05965F6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5.1硬盘储存、USB储存；</w:t>
            </w:r>
          </w:p>
          <w:p w14:paraId="5E2B721D">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5.2专家方案、病历管理、以及病历打印输出；</w:t>
            </w:r>
          </w:p>
          <w:p w14:paraId="0C54F102">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5.3刺激模式图形（数字）仿真、温度显示与控制保护。</w:t>
            </w:r>
          </w:p>
          <w:p w14:paraId="2AEC8B0D">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5.4开机自检、故障报警与自锁等功能。</w:t>
            </w:r>
          </w:p>
          <w:p w14:paraId="2CF18C5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5.5工作站采用便携式智能终端工控机。</w:t>
            </w:r>
          </w:p>
          <w:p w14:paraId="4FAA062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6、磁刺激架构</w:t>
            </w:r>
          </w:p>
          <w:p w14:paraId="72ABE76F">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6.1磁刺激主机和冷却系统为电液一体式结构（非分体结构，堆叠组成）（投标文件提供产品彩页或官网截图）。</w:t>
            </w:r>
          </w:p>
          <w:p w14:paraId="5019353F">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6.2静音脚轮设计；</w:t>
            </w:r>
            <w:r>
              <w:rPr>
                <w:rFonts w:hint="eastAsia" w:ascii="宋体" w:hAnsi="宋体"/>
                <w:color w:val="000000"/>
                <w:szCs w:val="21"/>
                <w:highlight w:val="none"/>
              </w:rPr>
              <w:tab/>
            </w:r>
          </w:p>
          <w:p w14:paraId="2842213E">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 xml:space="preserve">  6.3可固定线圈支架；</w:t>
            </w:r>
          </w:p>
          <w:p w14:paraId="4FEAE625">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7、系统兼容拓展能力：</w:t>
            </w:r>
          </w:p>
          <w:p w14:paraId="772BC3D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7.1支持近红外脑功能成像系统下的经颅磁刺激，TMS刺激线圈和光纤探头帽（线圈与光纤帽二合一），实现精准重复刺激，刺激与监测评估的实时同步，评估TMS疗效，进行脑功能方面的研究；</w:t>
            </w:r>
          </w:p>
          <w:p w14:paraId="2B99FB16">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7.2支持与国内外的主流肌电诱发电位仪、脑电图等设备兼容；</w:t>
            </w:r>
          </w:p>
          <w:p w14:paraId="1581ABB2">
            <w:pPr>
              <w:tabs>
                <w:tab w:val="left" w:pos="540"/>
              </w:tabs>
              <w:wordWrap w:val="0"/>
              <w:spacing w:line="360" w:lineRule="exact"/>
              <w:rPr>
                <w:rFonts w:hint="eastAsia" w:ascii="宋体" w:hAnsi="宋体"/>
                <w:color w:val="000000"/>
                <w:szCs w:val="21"/>
                <w:highlight w:val="none"/>
              </w:rPr>
            </w:pPr>
            <w:r>
              <w:rPr>
                <w:rFonts w:hint="eastAsia" w:ascii="宋体" w:hAnsi="宋体"/>
                <w:color w:val="000000"/>
                <w:szCs w:val="21"/>
                <w:highlight w:val="none"/>
              </w:rPr>
              <w:t>二、</w:t>
            </w:r>
            <w:r>
              <w:rPr>
                <w:rFonts w:hint="eastAsia" w:ascii="宋体" w:hAnsi="宋体"/>
                <w:bCs/>
                <w:color w:val="000000"/>
                <w:szCs w:val="21"/>
                <w:highlight w:val="none"/>
              </w:rPr>
              <w:t>投标人根据所投设备在投标文件中提供配置清单：至少包含以下配置项，且至少包含配置项名称、规格、数量、单位等；</w:t>
            </w:r>
          </w:p>
          <w:p w14:paraId="528C586F">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2.1、磁刺激主机系统。</w:t>
            </w:r>
          </w:p>
          <w:p w14:paraId="0A81DEC9">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2.2、液态冷却方式的刺激线圈（圆形和八字形）：共2个。</w:t>
            </w:r>
          </w:p>
          <w:p w14:paraId="5F28272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2.3、人机交互系统1套。</w:t>
            </w:r>
          </w:p>
          <w:p w14:paraId="0318110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2.4、线圈支架1套。</w:t>
            </w:r>
          </w:p>
          <w:p w14:paraId="184BD746">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2.5、刺激定位帽：10个。</w:t>
            </w:r>
          </w:p>
          <w:p w14:paraId="60FC5029">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2.6、mep模块1套</w:t>
            </w:r>
          </w:p>
          <w:p w14:paraId="0189C4F5">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三、设备提供系统永久升级。</w:t>
            </w:r>
          </w:p>
        </w:tc>
        <w:tc>
          <w:tcPr>
            <w:tcW w:w="1134" w:type="dxa"/>
            <w:noWrap w:val="0"/>
            <w:vAlign w:val="center"/>
          </w:tcPr>
          <w:p w14:paraId="5F7575F9">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30</w:t>
            </w:r>
          </w:p>
        </w:tc>
      </w:tr>
      <w:tr w14:paraId="583C6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vAlign w:val="center"/>
          </w:tcPr>
          <w:p w14:paraId="71E1EE09">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7</w:t>
            </w:r>
          </w:p>
        </w:tc>
        <w:tc>
          <w:tcPr>
            <w:tcW w:w="708" w:type="dxa"/>
            <w:noWrap w:val="0"/>
            <w:vAlign w:val="center"/>
          </w:tcPr>
          <w:p w14:paraId="72239DB3">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临时起搏器</w:t>
            </w:r>
          </w:p>
        </w:tc>
        <w:tc>
          <w:tcPr>
            <w:tcW w:w="851" w:type="dxa"/>
            <w:noWrap w:val="0"/>
            <w:vAlign w:val="center"/>
          </w:tcPr>
          <w:p w14:paraId="2E4FCA86">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670" w:type="dxa"/>
            <w:noWrap w:val="0"/>
            <w:vAlign w:val="top"/>
          </w:tcPr>
          <w:p w14:paraId="5E015996">
            <w:pPr>
              <w:tabs>
                <w:tab w:val="left" w:pos="219"/>
              </w:tabs>
              <w:wordWrap w:val="0"/>
              <w:spacing w:line="360" w:lineRule="exact"/>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rPr>
              <w:tab/>
            </w:r>
            <w:r>
              <w:rPr>
                <w:rFonts w:hint="eastAsia" w:ascii="宋体" w:hAnsi="宋体"/>
                <w:color w:val="000000"/>
                <w:szCs w:val="21"/>
                <w:highlight w:val="none"/>
              </w:rPr>
              <w:t>标准及认证： 获得</w:t>
            </w:r>
            <w:bookmarkStart w:id="50" w:name="OLE_LINK49"/>
            <w:bookmarkStart w:id="51" w:name="OLE_LINK50"/>
            <w:r>
              <w:rPr>
                <w:rFonts w:ascii="宋体" w:hAnsi="宋体"/>
                <w:color w:val="000000"/>
                <w:szCs w:val="21"/>
                <w:highlight w:val="none"/>
              </w:rPr>
              <w:t>中国国家药品监督管理局</w:t>
            </w:r>
            <w:r>
              <w:rPr>
                <w:rFonts w:hint="eastAsia" w:ascii="宋体" w:hAnsi="宋体"/>
                <w:color w:val="000000"/>
                <w:szCs w:val="21"/>
                <w:highlight w:val="none"/>
              </w:rPr>
              <w:t>NMPA</w:t>
            </w:r>
            <w:bookmarkEnd w:id="50"/>
            <w:bookmarkEnd w:id="51"/>
            <w:r>
              <w:rPr>
                <w:rFonts w:hint="eastAsia" w:ascii="宋体" w:hAnsi="宋体"/>
                <w:color w:val="000000"/>
                <w:szCs w:val="21"/>
                <w:highlight w:val="none"/>
              </w:rPr>
              <w:t>认证。</w:t>
            </w:r>
          </w:p>
          <w:p w14:paraId="244ADBB2">
            <w:pPr>
              <w:tabs>
                <w:tab w:val="left" w:pos="219"/>
              </w:tabs>
              <w:wordWrap w:val="0"/>
              <w:spacing w:line="360" w:lineRule="exact"/>
              <w:rPr>
                <w:rFonts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rPr>
              <w:tab/>
            </w:r>
            <w:r>
              <w:rPr>
                <w:rFonts w:hint="eastAsia" w:ascii="宋体" w:hAnsi="宋体"/>
                <w:color w:val="000000"/>
                <w:szCs w:val="21"/>
                <w:highlight w:val="none"/>
              </w:rPr>
              <w:t>起搏模式SSI（AAI，VVI），SOO（AOO，VOO）。</w:t>
            </w:r>
          </w:p>
          <w:p w14:paraId="4FFC8FB5">
            <w:pPr>
              <w:tabs>
                <w:tab w:val="left" w:pos="219"/>
              </w:tabs>
              <w:wordWrap w:val="0"/>
              <w:spacing w:line="360" w:lineRule="exact"/>
              <w:rPr>
                <w:rFonts w:ascii="宋体" w:hAnsi="宋体"/>
                <w:color w:val="000000"/>
                <w:szCs w:val="21"/>
                <w:highlight w:val="none"/>
              </w:rPr>
            </w:pPr>
            <w:r>
              <w:rPr>
                <w:rFonts w:hint="eastAsia" w:ascii="宋体" w:hAnsi="宋体"/>
                <w:color w:val="000000"/>
                <w:szCs w:val="21"/>
                <w:highlight w:val="none"/>
              </w:rPr>
              <w:t>3.</w:t>
            </w:r>
            <w:r>
              <w:rPr>
                <w:rFonts w:hint="eastAsia" w:ascii="宋体" w:hAnsi="宋体"/>
                <w:color w:val="000000"/>
                <w:szCs w:val="21"/>
                <w:highlight w:val="none"/>
              </w:rPr>
              <w:tab/>
            </w:r>
            <w:r>
              <w:rPr>
                <w:rFonts w:hint="eastAsia" w:ascii="宋体" w:hAnsi="宋体"/>
                <w:color w:val="000000"/>
                <w:szCs w:val="21"/>
                <w:highlight w:val="none"/>
              </w:rPr>
              <w:t>起搏频率40-180ppm</w:t>
            </w:r>
            <w:r>
              <w:rPr>
                <w:rFonts w:ascii="宋体" w:hAnsi="宋体"/>
                <w:color w:val="000000"/>
                <w:szCs w:val="21"/>
                <w:highlight w:val="none"/>
              </w:rPr>
              <w:t xml:space="preserve"> </w:t>
            </w:r>
          </w:p>
          <w:p w14:paraId="7F14CCC9">
            <w:pPr>
              <w:tabs>
                <w:tab w:val="left" w:pos="219"/>
              </w:tabs>
              <w:wordWrap w:val="0"/>
              <w:spacing w:line="360" w:lineRule="exact"/>
              <w:rPr>
                <w:rFonts w:ascii="宋体" w:hAnsi="宋体"/>
                <w:color w:val="000000"/>
                <w:szCs w:val="21"/>
                <w:highlight w:val="none"/>
              </w:rPr>
            </w:pPr>
            <w:r>
              <w:rPr>
                <w:rFonts w:hint="eastAsia" w:ascii="宋体" w:hAnsi="宋体"/>
                <w:color w:val="000000"/>
                <w:szCs w:val="21"/>
                <w:highlight w:val="none"/>
              </w:rPr>
              <w:t>4.</w:t>
            </w:r>
            <w:r>
              <w:rPr>
                <w:rFonts w:hint="eastAsia" w:ascii="宋体" w:hAnsi="宋体"/>
                <w:color w:val="000000"/>
                <w:szCs w:val="21"/>
                <w:highlight w:val="none"/>
              </w:rPr>
              <w:tab/>
            </w:r>
            <w:r>
              <w:rPr>
                <w:rFonts w:hint="eastAsia" w:ascii="宋体" w:hAnsi="宋体"/>
                <w:color w:val="000000"/>
                <w:szCs w:val="21"/>
                <w:highlight w:val="none"/>
              </w:rPr>
              <w:t>脉冲波形恒定电压。</w:t>
            </w:r>
          </w:p>
          <w:p w14:paraId="48B2DAD3">
            <w:pPr>
              <w:tabs>
                <w:tab w:val="left" w:pos="219"/>
              </w:tabs>
              <w:wordWrap w:val="0"/>
              <w:spacing w:line="360" w:lineRule="exact"/>
              <w:rPr>
                <w:rFonts w:ascii="宋体" w:hAnsi="宋体"/>
                <w:color w:val="000000"/>
                <w:szCs w:val="21"/>
                <w:highlight w:val="none"/>
              </w:rPr>
            </w:pPr>
            <w:r>
              <w:rPr>
                <w:rFonts w:hint="eastAsia" w:ascii="宋体" w:hAnsi="宋体"/>
                <w:color w:val="000000"/>
                <w:szCs w:val="21"/>
                <w:highlight w:val="none"/>
              </w:rPr>
              <w:t>5.</w:t>
            </w:r>
            <w:r>
              <w:rPr>
                <w:rFonts w:hint="eastAsia" w:ascii="宋体" w:hAnsi="宋体"/>
                <w:color w:val="000000"/>
                <w:szCs w:val="21"/>
                <w:highlight w:val="none"/>
              </w:rPr>
              <w:tab/>
            </w:r>
            <w:r>
              <w:rPr>
                <w:rFonts w:hint="eastAsia" w:ascii="宋体" w:hAnsi="宋体"/>
                <w:color w:val="000000"/>
                <w:szCs w:val="21"/>
                <w:highlight w:val="none"/>
              </w:rPr>
              <w:t>脉冲幅度1-9V。</w:t>
            </w:r>
          </w:p>
          <w:p w14:paraId="1C86E7D1">
            <w:pPr>
              <w:tabs>
                <w:tab w:val="left" w:pos="219"/>
              </w:tabs>
              <w:wordWrap w:val="0"/>
              <w:spacing w:line="360" w:lineRule="exact"/>
              <w:rPr>
                <w:rFonts w:ascii="宋体" w:hAnsi="宋体"/>
                <w:color w:val="000000"/>
                <w:szCs w:val="21"/>
                <w:highlight w:val="none"/>
              </w:rPr>
            </w:pPr>
            <w:r>
              <w:rPr>
                <w:rFonts w:hint="eastAsia" w:ascii="宋体" w:hAnsi="宋体"/>
                <w:color w:val="000000"/>
                <w:szCs w:val="21"/>
                <w:highlight w:val="none"/>
              </w:rPr>
              <w:t>6.</w:t>
            </w:r>
            <w:r>
              <w:rPr>
                <w:rFonts w:hint="eastAsia" w:ascii="宋体" w:hAnsi="宋体"/>
                <w:color w:val="000000"/>
                <w:szCs w:val="21"/>
                <w:highlight w:val="none"/>
              </w:rPr>
              <w:tab/>
            </w:r>
            <w:r>
              <w:rPr>
                <w:rFonts w:hint="eastAsia" w:ascii="宋体" w:hAnsi="宋体"/>
                <w:color w:val="000000"/>
                <w:szCs w:val="21"/>
                <w:highlight w:val="none"/>
              </w:rPr>
              <w:t>脉冲宽度0.1-1.8ms。</w:t>
            </w:r>
          </w:p>
          <w:p w14:paraId="4980CFDC">
            <w:pPr>
              <w:tabs>
                <w:tab w:val="left" w:pos="219"/>
              </w:tabs>
              <w:wordWrap w:val="0"/>
              <w:spacing w:line="360" w:lineRule="exact"/>
              <w:rPr>
                <w:rFonts w:ascii="宋体" w:hAnsi="宋体"/>
                <w:color w:val="000000"/>
                <w:szCs w:val="21"/>
                <w:highlight w:val="none"/>
              </w:rPr>
            </w:pPr>
            <w:r>
              <w:rPr>
                <w:rFonts w:hint="eastAsia" w:ascii="宋体" w:hAnsi="宋体"/>
                <w:color w:val="000000"/>
                <w:szCs w:val="21"/>
                <w:highlight w:val="none"/>
              </w:rPr>
              <w:t>7.</w:t>
            </w:r>
            <w:r>
              <w:rPr>
                <w:rFonts w:hint="eastAsia" w:ascii="宋体" w:hAnsi="宋体"/>
                <w:color w:val="000000"/>
                <w:szCs w:val="21"/>
                <w:highlight w:val="none"/>
              </w:rPr>
              <w:tab/>
            </w:r>
            <w:r>
              <w:rPr>
                <w:rFonts w:hint="eastAsia" w:ascii="宋体" w:hAnsi="宋体"/>
                <w:color w:val="000000"/>
                <w:szCs w:val="21"/>
                <w:highlight w:val="none"/>
              </w:rPr>
              <w:t>感知灵敏度1-20mV。</w:t>
            </w:r>
          </w:p>
          <w:p w14:paraId="20A54E80">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8.</w:t>
            </w:r>
            <w:r>
              <w:rPr>
                <w:rFonts w:hint="eastAsia" w:ascii="宋体" w:hAnsi="宋体"/>
                <w:color w:val="000000"/>
                <w:szCs w:val="21"/>
                <w:highlight w:val="none"/>
              </w:rPr>
              <w:tab/>
            </w:r>
            <w:r>
              <w:rPr>
                <w:rFonts w:hint="eastAsia" w:ascii="宋体" w:hAnsi="宋体"/>
                <w:color w:val="000000"/>
                <w:szCs w:val="21"/>
                <w:highlight w:val="none"/>
              </w:rPr>
              <w:t>输入阻抗＞150KΩ。</w:t>
            </w:r>
          </w:p>
          <w:p w14:paraId="1CA3FB7D">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9.</w:t>
            </w:r>
            <w:r>
              <w:rPr>
                <w:rFonts w:hint="eastAsia" w:ascii="宋体" w:hAnsi="宋体"/>
                <w:color w:val="000000"/>
                <w:szCs w:val="21"/>
                <w:highlight w:val="none"/>
              </w:rPr>
              <w:tab/>
            </w:r>
            <w:r>
              <w:rPr>
                <w:rFonts w:hint="eastAsia" w:ascii="宋体" w:hAnsi="宋体"/>
                <w:color w:val="000000"/>
                <w:szCs w:val="21"/>
                <w:highlight w:val="none"/>
              </w:rPr>
              <w:t>不应期：250ms。</w:t>
            </w:r>
          </w:p>
          <w:p w14:paraId="33E8DEDF">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10.</w:t>
            </w:r>
            <w:r>
              <w:rPr>
                <w:rFonts w:hint="eastAsia" w:ascii="宋体" w:hAnsi="宋体"/>
                <w:color w:val="000000"/>
                <w:szCs w:val="21"/>
                <w:highlight w:val="none"/>
              </w:rPr>
              <w:tab/>
            </w:r>
            <w:r>
              <w:rPr>
                <w:rFonts w:hint="eastAsia" w:ascii="宋体" w:hAnsi="宋体"/>
                <w:color w:val="000000"/>
                <w:szCs w:val="21"/>
                <w:highlight w:val="none"/>
              </w:rPr>
              <w:t>频率上限200ppm。</w:t>
            </w:r>
          </w:p>
          <w:p w14:paraId="03DC5777">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11.</w:t>
            </w:r>
            <w:r>
              <w:rPr>
                <w:rFonts w:hint="eastAsia" w:ascii="宋体" w:hAnsi="宋体"/>
                <w:color w:val="000000"/>
                <w:szCs w:val="21"/>
                <w:highlight w:val="none"/>
              </w:rPr>
              <w:tab/>
            </w:r>
            <w:r>
              <w:rPr>
                <w:rFonts w:hint="eastAsia" w:ascii="宋体" w:hAnsi="宋体"/>
                <w:color w:val="000000"/>
                <w:szCs w:val="21"/>
                <w:highlight w:val="none"/>
              </w:rPr>
              <w:t>紧急起搏： 有。</w:t>
            </w:r>
          </w:p>
          <w:p w14:paraId="7A1C612F">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12.</w:t>
            </w:r>
            <w:r>
              <w:rPr>
                <w:rFonts w:hint="eastAsia" w:ascii="宋体" w:hAnsi="宋体"/>
                <w:color w:val="000000"/>
                <w:szCs w:val="21"/>
                <w:highlight w:val="none"/>
              </w:rPr>
              <w:tab/>
            </w:r>
            <w:r>
              <w:rPr>
                <w:rFonts w:hint="eastAsia" w:ascii="宋体" w:hAnsi="宋体"/>
                <w:color w:val="000000"/>
                <w:szCs w:val="21"/>
                <w:highlight w:val="none"/>
              </w:rPr>
              <w:t>指示灯起搏、感知，低电量指示灯：有。</w:t>
            </w:r>
          </w:p>
          <w:p w14:paraId="65ECDCEF">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13.</w:t>
            </w:r>
            <w:r>
              <w:rPr>
                <w:rFonts w:hint="eastAsia" w:ascii="宋体" w:hAnsi="宋体"/>
                <w:color w:val="000000"/>
                <w:szCs w:val="21"/>
                <w:highlight w:val="none"/>
              </w:rPr>
              <w:tab/>
            </w:r>
            <w:r>
              <w:rPr>
                <w:rFonts w:hint="eastAsia" w:ascii="宋体" w:hAnsi="宋体"/>
                <w:color w:val="000000"/>
                <w:szCs w:val="21"/>
                <w:highlight w:val="none"/>
              </w:rPr>
              <w:t>腔心内图（EGM）：有，实时显示。</w:t>
            </w:r>
          </w:p>
          <w:p w14:paraId="4C657FE1">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14.</w:t>
            </w:r>
            <w:r>
              <w:rPr>
                <w:rFonts w:hint="eastAsia" w:ascii="宋体" w:hAnsi="宋体"/>
                <w:color w:val="000000"/>
                <w:szCs w:val="21"/>
                <w:highlight w:val="none"/>
              </w:rPr>
              <w:tab/>
            </w:r>
            <w:r>
              <w:rPr>
                <w:rFonts w:hint="eastAsia" w:ascii="宋体" w:hAnsi="宋体"/>
                <w:color w:val="000000"/>
                <w:szCs w:val="21"/>
                <w:highlight w:val="none"/>
              </w:rPr>
              <w:t>P/R波峰值测量： 1mV-18.0mV。</w:t>
            </w:r>
          </w:p>
          <w:p w14:paraId="70C2569C">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15.</w:t>
            </w:r>
            <w:r>
              <w:rPr>
                <w:rFonts w:hint="eastAsia" w:ascii="宋体" w:hAnsi="宋体"/>
                <w:color w:val="000000"/>
                <w:szCs w:val="21"/>
                <w:highlight w:val="none"/>
              </w:rPr>
              <w:tab/>
            </w:r>
            <w:r>
              <w:rPr>
                <w:rFonts w:hint="eastAsia" w:ascii="宋体" w:hAnsi="宋体"/>
                <w:color w:val="000000"/>
                <w:szCs w:val="21"/>
                <w:highlight w:val="none"/>
              </w:rPr>
              <w:t>阻抗测量： 300-3800Ω。</w:t>
            </w:r>
          </w:p>
          <w:p w14:paraId="06147F2D">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16.</w:t>
            </w:r>
            <w:r>
              <w:rPr>
                <w:rFonts w:hint="eastAsia" w:ascii="宋体" w:hAnsi="宋体"/>
                <w:color w:val="000000"/>
                <w:szCs w:val="21"/>
                <w:highlight w:val="none"/>
              </w:rPr>
              <w:tab/>
            </w:r>
            <w:r>
              <w:rPr>
                <w:rFonts w:hint="eastAsia" w:ascii="宋体" w:hAnsi="宋体"/>
                <w:color w:val="000000"/>
                <w:szCs w:val="21"/>
                <w:highlight w:val="none"/>
              </w:rPr>
              <w:t>起搏百分比记录过往至少5天起搏百分比</w:t>
            </w:r>
          </w:p>
          <w:p w14:paraId="4D574DA5">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17.</w:t>
            </w:r>
            <w:r>
              <w:rPr>
                <w:rFonts w:hint="eastAsia" w:ascii="宋体" w:hAnsi="宋体"/>
                <w:color w:val="000000"/>
                <w:szCs w:val="21"/>
                <w:highlight w:val="none"/>
              </w:rPr>
              <w:tab/>
            </w:r>
            <w:r>
              <w:rPr>
                <w:rFonts w:hint="eastAsia" w:ascii="宋体" w:hAnsi="宋体"/>
                <w:color w:val="000000"/>
                <w:szCs w:val="21"/>
                <w:highlight w:val="none"/>
              </w:rPr>
              <w:t>自检功能开机自检，设备运行过程中不间断实时监控。</w:t>
            </w:r>
          </w:p>
          <w:p w14:paraId="34ECBE69">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18.</w:t>
            </w:r>
            <w:r>
              <w:rPr>
                <w:rFonts w:hint="eastAsia" w:ascii="宋体" w:hAnsi="宋体"/>
                <w:color w:val="000000"/>
                <w:szCs w:val="21"/>
                <w:highlight w:val="none"/>
              </w:rPr>
              <w:tab/>
            </w:r>
            <w:r>
              <w:rPr>
                <w:rFonts w:hint="eastAsia" w:ascii="宋体" w:hAnsi="宋体"/>
                <w:color w:val="000000"/>
                <w:szCs w:val="21"/>
                <w:highlight w:val="none"/>
              </w:rPr>
              <w:t>安全性能电除颤保护、静电保护，噪声反转，奔放保护。</w:t>
            </w:r>
          </w:p>
          <w:p w14:paraId="70BA2602">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19.</w:t>
            </w:r>
            <w:r>
              <w:rPr>
                <w:rFonts w:hint="eastAsia" w:ascii="宋体" w:hAnsi="宋体"/>
                <w:color w:val="000000"/>
                <w:szCs w:val="21"/>
                <w:highlight w:val="none"/>
              </w:rPr>
              <w:tab/>
            </w:r>
            <w:r>
              <w:rPr>
                <w:rFonts w:hint="eastAsia" w:ascii="宋体" w:hAnsi="宋体"/>
                <w:color w:val="000000"/>
                <w:szCs w:val="21"/>
                <w:highlight w:val="none"/>
              </w:rPr>
              <w:t>电池类型两节1.5V碱性电池。</w:t>
            </w:r>
          </w:p>
          <w:p w14:paraId="40ADF72C">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20.</w:t>
            </w:r>
            <w:r>
              <w:rPr>
                <w:rFonts w:hint="eastAsia" w:ascii="宋体" w:hAnsi="宋体"/>
                <w:color w:val="000000"/>
                <w:szCs w:val="21"/>
                <w:highlight w:val="none"/>
              </w:rPr>
              <w:tab/>
            </w:r>
            <w:r>
              <w:rPr>
                <w:rFonts w:hint="eastAsia" w:ascii="宋体" w:hAnsi="宋体"/>
                <w:color w:val="000000"/>
                <w:szCs w:val="21"/>
                <w:highlight w:val="none"/>
              </w:rPr>
              <w:t>电池使用寿命</w:t>
            </w:r>
            <w:r>
              <w:rPr>
                <w:rFonts w:hint="eastAsia" w:ascii="宋体" w:hAnsi="宋体" w:cs="宋体"/>
                <w:color w:val="000000"/>
                <w:szCs w:val="21"/>
                <w:highlight w:val="none"/>
              </w:rPr>
              <w:t>≥</w:t>
            </w:r>
            <w:r>
              <w:rPr>
                <w:rFonts w:hint="eastAsia" w:ascii="宋体" w:hAnsi="宋体"/>
                <w:color w:val="000000"/>
                <w:szCs w:val="21"/>
                <w:highlight w:val="none"/>
              </w:rPr>
              <w:t>14天。</w:t>
            </w:r>
          </w:p>
          <w:p w14:paraId="3732C376">
            <w:pPr>
              <w:tabs>
                <w:tab w:val="left" w:pos="327"/>
              </w:tabs>
              <w:wordWrap w:val="0"/>
              <w:spacing w:line="360" w:lineRule="exact"/>
              <w:rPr>
                <w:rFonts w:ascii="宋体" w:hAnsi="宋体"/>
                <w:color w:val="000000"/>
                <w:szCs w:val="21"/>
                <w:highlight w:val="none"/>
              </w:rPr>
            </w:pPr>
            <w:r>
              <w:rPr>
                <w:rFonts w:hint="eastAsia" w:ascii="宋体" w:hAnsi="宋体"/>
                <w:color w:val="000000"/>
                <w:szCs w:val="21"/>
                <w:highlight w:val="none"/>
              </w:rPr>
              <w:t>21.</w:t>
            </w:r>
            <w:r>
              <w:rPr>
                <w:rFonts w:hint="eastAsia" w:ascii="宋体" w:hAnsi="宋体"/>
                <w:color w:val="000000"/>
                <w:szCs w:val="21"/>
                <w:highlight w:val="none"/>
              </w:rPr>
              <w:tab/>
            </w:r>
            <w:r>
              <w:rPr>
                <w:rFonts w:hint="eastAsia" w:ascii="宋体" w:hAnsi="宋体"/>
                <w:color w:val="000000"/>
                <w:szCs w:val="21"/>
                <w:highlight w:val="none"/>
              </w:rPr>
              <w:t>取出电池后的运行</w:t>
            </w:r>
            <w:r>
              <w:rPr>
                <w:rFonts w:hint="eastAsia" w:ascii="宋体" w:hAnsi="宋体" w:cs="宋体"/>
                <w:color w:val="000000"/>
                <w:szCs w:val="21"/>
                <w:highlight w:val="none"/>
              </w:rPr>
              <w:t>≥</w:t>
            </w:r>
            <w:r>
              <w:rPr>
                <w:rFonts w:hint="eastAsia" w:ascii="宋体" w:hAnsi="宋体"/>
                <w:color w:val="000000"/>
                <w:szCs w:val="21"/>
                <w:highlight w:val="none"/>
              </w:rPr>
              <w:t>60秒。</w:t>
            </w:r>
          </w:p>
        </w:tc>
        <w:tc>
          <w:tcPr>
            <w:tcW w:w="1134" w:type="dxa"/>
            <w:noWrap w:val="0"/>
            <w:vAlign w:val="center"/>
          </w:tcPr>
          <w:p w14:paraId="7D789B0B">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5</w:t>
            </w:r>
          </w:p>
        </w:tc>
      </w:tr>
      <w:tr w14:paraId="66B7E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vAlign w:val="center"/>
          </w:tcPr>
          <w:p w14:paraId="26AAC025">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8</w:t>
            </w:r>
          </w:p>
        </w:tc>
        <w:tc>
          <w:tcPr>
            <w:tcW w:w="708" w:type="dxa"/>
            <w:noWrap w:val="0"/>
            <w:vAlign w:val="center"/>
          </w:tcPr>
          <w:p w14:paraId="5E694829">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遥测心电监护</w:t>
            </w:r>
          </w:p>
        </w:tc>
        <w:tc>
          <w:tcPr>
            <w:tcW w:w="851" w:type="dxa"/>
            <w:noWrap w:val="0"/>
            <w:vAlign w:val="center"/>
          </w:tcPr>
          <w:p w14:paraId="1002316D">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670" w:type="dxa"/>
            <w:noWrap w:val="0"/>
            <w:vAlign w:val="top"/>
          </w:tcPr>
          <w:p w14:paraId="2AB2F5F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1.中心监护系统支持中央站, 工作站, 浏览站, 远程查询系统等多种产品形态互连。</w:t>
            </w:r>
          </w:p>
          <w:p w14:paraId="5FA9767C">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2.中央站提供其他产品形态访问中央站的权限设置，且提供单个床位是否允许外部进行访问的设置。</w:t>
            </w:r>
          </w:p>
          <w:p w14:paraId="009C73CF">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3.工作站支持远程集中监护中央站上接收的病人，并提供不同控制权限的设置，满足不同临床场景下的部署要求。</w:t>
            </w:r>
          </w:p>
          <w:p w14:paraId="0640E1E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4.浏览站提供远程集中监护中央站上接收的病人。</w:t>
            </w:r>
          </w:p>
          <w:p w14:paraId="49AABEC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5.远程查询支持远程浏览中央站上接收的病人。</w:t>
            </w:r>
          </w:p>
          <w:p w14:paraId="1E9F19F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6.中心监护系统支持有线、无线、遥测多元化的组网方式，中心监护网络中支持≥1200台床旁设备互连。</w:t>
            </w:r>
          </w:p>
          <w:p w14:paraId="02785A9A">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7.中心监护系统可支持参数监测ECG、 ST、 QT/QTc、 RESP、SPO</w:t>
            </w:r>
            <w:r>
              <w:rPr>
                <w:rFonts w:hint="eastAsia" w:ascii="宋体" w:hAnsi="宋体"/>
                <w:color w:val="000000"/>
                <w:szCs w:val="21"/>
                <w:highlight w:val="none"/>
                <w:vertAlign w:val="subscript"/>
              </w:rPr>
              <w:t>2</w:t>
            </w:r>
            <w:r>
              <w:rPr>
                <w:rFonts w:hint="eastAsia" w:ascii="宋体" w:hAnsi="宋体"/>
                <w:color w:val="000000"/>
                <w:szCs w:val="21"/>
                <w:highlight w:val="none"/>
              </w:rPr>
              <w:t>、 PR、 TEMP、 NIBP、 IBP、 C.O.、CCO、ScvO</w:t>
            </w:r>
            <w:r>
              <w:rPr>
                <w:rFonts w:hint="eastAsia" w:ascii="宋体" w:hAnsi="宋体"/>
                <w:color w:val="000000"/>
                <w:szCs w:val="21"/>
                <w:highlight w:val="none"/>
                <w:vertAlign w:val="subscript"/>
              </w:rPr>
              <w:t>2</w:t>
            </w:r>
            <w:r>
              <w:rPr>
                <w:rFonts w:hint="eastAsia" w:ascii="宋体" w:hAnsi="宋体"/>
                <w:color w:val="000000"/>
                <w:szCs w:val="21"/>
                <w:highlight w:val="none"/>
              </w:rPr>
              <w:t>、ICG、BIS、RM、CO</w:t>
            </w:r>
            <w:r>
              <w:rPr>
                <w:rFonts w:hint="eastAsia" w:ascii="宋体" w:hAnsi="宋体"/>
                <w:color w:val="000000"/>
                <w:szCs w:val="21"/>
                <w:highlight w:val="none"/>
                <w:vertAlign w:val="subscript"/>
              </w:rPr>
              <w:t>2</w:t>
            </w:r>
            <w:r>
              <w:rPr>
                <w:rFonts w:hint="eastAsia" w:ascii="宋体" w:hAnsi="宋体"/>
                <w:color w:val="000000"/>
                <w:szCs w:val="21"/>
                <w:highlight w:val="none"/>
              </w:rPr>
              <w:t>、AG、EEG、NMT、rSO2、TcGas等。</w:t>
            </w:r>
          </w:p>
          <w:p w14:paraId="63F07088">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8.支持设备集成参数的监测。</w:t>
            </w:r>
          </w:p>
          <w:p w14:paraId="12F7642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9.中心监护系统支持参照或相当于Window 7中、英文操作系统。</w:t>
            </w:r>
          </w:p>
          <w:p w14:paraId="227B24DA">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10.中心监护系统支持19寸及以上液晶屏幕显示，≥1280×1024高分辨率彩色液晶显示。可同时集中监护至少64个病人， 单个屏幕可支持至少16个病人的同时集中监护。支持至少3个显示屏显示。</w:t>
            </w:r>
          </w:p>
          <w:p w14:paraId="3C9ECF0D">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11.多床观察时每床支持至少5个参数、4道波形的观察，支持大字体显示。多床支持床标识显示，可用来区分护理组、病人组等。</w:t>
            </w:r>
          </w:p>
          <w:p w14:paraId="46F2975F">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12.支持重点观察某床病人，双屏和多屏时可支持固定一个辅助屏显示重点单床观察。</w:t>
            </w:r>
          </w:p>
          <w:p w14:paraId="323C1F36">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13.重点观察床支持至少10道波形显示。</w:t>
            </w:r>
          </w:p>
          <w:p w14:paraId="1ADDC026">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14.重点观察床支持多导心电、呼吸氧合图、动态短趋势、NIBP LIST等多种视图显示。</w:t>
            </w:r>
          </w:p>
          <w:p w14:paraId="726C8DC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15.具有声、光、文字多重报警提醒功能，具有高、中、低三级报警。具有报警自动记录或打印功能。保存报警时刻前后32秒的波形。</w:t>
            </w:r>
          </w:p>
          <w:p w14:paraId="041EA04A">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16.支持系统报警声音关闭功能</w:t>
            </w:r>
          </w:p>
          <w:p w14:paraId="3FE2DEE5">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17.具有全床位最近至少24h的报警事件浏览功能</w:t>
            </w:r>
          </w:p>
          <w:p w14:paraId="184B7EF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18.支持至少240小时长趋势回顾和至少4小时短趋势回顾，至少240小时全息波形回顾，至少720条报警事件回顾，至少720条12导分析报告回顾，至少240小时的ST片段回顾，至少720条C.O. 测量结果回顾，至少100条呼吸氧合事件回顾。</w:t>
            </w:r>
          </w:p>
          <w:p w14:paraId="61134AC9">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19.支持至少24小时动态血压分析与回顾功能。</w:t>
            </w:r>
          </w:p>
          <w:p w14:paraId="14C229FA">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20.支持至少1万个历史病人数据存储与回顾。</w:t>
            </w:r>
          </w:p>
          <w:p w14:paraId="1BDAC10C">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21.支持至少75条药物计算结果回顾，至少100条血液动力学计算结果回顾，至少100条氧合计算结果回顾，至少100条通气计算结果回顾，至少100条肾功能计算结果回顾。</w:t>
            </w:r>
          </w:p>
          <w:p w14:paraId="0DDF3CF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22.支持热敏记录仪及激光打印机输出病人报告、支持报警报告、波形报告、趋势报告、ARR统计报告、至少24h动态血压报告等双向控制。</w:t>
            </w:r>
          </w:p>
          <w:p w14:paraId="15981D7B">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23.可远程控制对床旁监护仪进行病人信息设置</w:t>
            </w:r>
            <w:r>
              <w:rPr>
                <w:rFonts w:hint="eastAsia" w:ascii="宋体" w:hAnsi="宋体"/>
                <w:color w:val="000000"/>
                <w:szCs w:val="21"/>
                <w:highlight w:val="none"/>
                <w:lang w:eastAsia="zh-CN"/>
              </w:rPr>
              <w:t>、</w:t>
            </w:r>
            <w:r>
              <w:rPr>
                <w:rFonts w:hint="eastAsia" w:ascii="宋体" w:hAnsi="宋体"/>
                <w:color w:val="000000"/>
                <w:szCs w:val="21"/>
                <w:highlight w:val="none"/>
              </w:rPr>
              <w:t>解除病人</w:t>
            </w:r>
            <w:r>
              <w:rPr>
                <w:rFonts w:hint="eastAsia" w:ascii="宋体" w:hAnsi="宋体"/>
                <w:color w:val="000000"/>
                <w:szCs w:val="21"/>
                <w:highlight w:val="none"/>
                <w:lang w:eastAsia="zh-CN"/>
              </w:rPr>
              <w:t>、</w:t>
            </w:r>
            <w:r>
              <w:rPr>
                <w:rFonts w:hint="eastAsia" w:ascii="宋体" w:hAnsi="宋体"/>
                <w:color w:val="000000"/>
                <w:szCs w:val="21"/>
                <w:highlight w:val="none"/>
              </w:rPr>
              <w:t>进行待命。</w:t>
            </w:r>
          </w:p>
          <w:p w14:paraId="4AD4C175">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24.支持远程控制床旁监护仪报警暂停、报警复位，设置报警开关、报警级别、报警上下限等。</w:t>
            </w:r>
          </w:p>
          <w:p w14:paraId="42709EA0">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25.支持远程控制床旁监护仪启动NIBP测量，设置NIBP测量模式和时间间隔；</w:t>
            </w:r>
          </w:p>
          <w:p w14:paraId="6D2CEF49">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26.支持远程控制床旁监护仪进入隐私、夜间模式</w:t>
            </w:r>
          </w:p>
          <w:p w14:paraId="7313BECC">
            <w:pPr>
              <w:tabs>
                <w:tab w:val="left" w:pos="540"/>
              </w:tabs>
              <w:wordWrap w:val="0"/>
              <w:spacing w:line="360" w:lineRule="exact"/>
              <w:rPr>
                <w:rFonts w:ascii="宋体" w:hAnsi="宋体"/>
                <w:b/>
                <w:color w:val="000000"/>
                <w:szCs w:val="21"/>
                <w:highlight w:val="none"/>
              </w:rPr>
            </w:pPr>
            <w:r>
              <w:rPr>
                <w:rFonts w:hint="eastAsia" w:ascii="宋体" w:hAnsi="宋体"/>
                <w:b/>
                <w:color w:val="000000"/>
                <w:szCs w:val="21"/>
                <w:highlight w:val="none"/>
              </w:rPr>
              <w:t>遥测监护仪（8台）</w:t>
            </w:r>
          </w:p>
          <w:p w14:paraId="0F0D30FE">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rPr>
              <w:tab/>
            </w:r>
            <w:r>
              <w:rPr>
                <w:rFonts w:hint="eastAsia" w:ascii="宋体" w:hAnsi="宋体"/>
                <w:color w:val="000000"/>
                <w:szCs w:val="21"/>
                <w:highlight w:val="none"/>
              </w:rPr>
              <w:t>整机要求</w:t>
            </w:r>
          </w:p>
          <w:p w14:paraId="03E7B4F0">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1.1</w:t>
            </w:r>
            <w:r>
              <w:rPr>
                <w:rFonts w:hint="eastAsia" w:ascii="宋体" w:hAnsi="宋体"/>
                <w:color w:val="000000"/>
                <w:szCs w:val="21"/>
                <w:highlight w:val="none"/>
              </w:rPr>
              <w:tab/>
            </w:r>
            <w:r>
              <w:rPr>
                <w:rFonts w:hint="eastAsia" w:ascii="宋体" w:hAnsi="宋体"/>
                <w:color w:val="000000"/>
                <w:szCs w:val="21"/>
                <w:highlight w:val="none"/>
              </w:rPr>
              <w:t>遥测发射盒重量不超过170克（含电池）。</w:t>
            </w:r>
          </w:p>
          <w:p w14:paraId="58783E4C">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1.2</w:t>
            </w:r>
            <w:r>
              <w:rPr>
                <w:rFonts w:hint="eastAsia" w:ascii="宋体" w:hAnsi="宋体"/>
                <w:color w:val="000000"/>
                <w:szCs w:val="21"/>
                <w:highlight w:val="none"/>
              </w:rPr>
              <w:tab/>
            </w:r>
            <w:r>
              <w:rPr>
                <w:rFonts w:hint="eastAsia" w:ascii="宋体" w:hAnsi="宋体"/>
                <w:color w:val="000000"/>
                <w:szCs w:val="21"/>
                <w:highlight w:val="none"/>
              </w:rPr>
              <w:t>遥测发射盒尺寸99 x 60 x 24  mm （</w:t>
            </w:r>
            <w:r>
              <w:rPr>
                <w:rFonts w:hint="eastAsia" w:ascii="宋体" w:hAnsi="宋体" w:cs="宋体"/>
                <w:color w:val="000000"/>
                <w:szCs w:val="21"/>
                <w:highlight w:val="none"/>
              </w:rPr>
              <w:t>±5mm）</w:t>
            </w:r>
            <w:r>
              <w:rPr>
                <w:rFonts w:hint="eastAsia" w:ascii="宋体" w:hAnsi="宋体"/>
                <w:color w:val="000000"/>
                <w:szCs w:val="21"/>
                <w:highlight w:val="none"/>
              </w:rPr>
              <w:t>。</w:t>
            </w:r>
          </w:p>
          <w:p w14:paraId="721C53A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1.3</w:t>
            </w:r>
            <w:r>
              <w:rPr>
                <w:rFonts w:hint="eastAsia" w:ascii="宋体" w:hAnsi="宋体"/>
                <w:color w:val="000000"/>
                <w:szCs w:val="21"/>
                <w:highlight w:val="none"/>
              </w:rPr>
              <w:tab/>
            </w:r>
            <w:r>
              <w:rPr>
                <w:rFonts w:hint="eastAsia" w:ascii="宋体" w:hAnsi="宋体"/>
                <w:color w:val="000000"/>
                <w:szCs w:val="21"/>
                <w:highlight w:val="none"/>
              </w:rPr>
              <w:t>遥测发射盒防水等级符合≥IPX7要求，抗跌落测试通过至少1.5米跌落测试，电击防护等级CF（包括ECG、SpO2）。</w:t>
            </w:r>
          </w:p>
          <w:p w14:paraId="7E49584C">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1.4</w:t>
            </w:r>
            <w:r>
              <w:rPr>
                <w:rFonts w:hint="eastAsia" w:ascii="宋体" w:hAnsi="宋体"/>
                <w:color w:val="000000"/>
                <w:szCs w:val="21"/>
                <w:highlight w:val="none"/>
              </w:rPr>
              <w:tab/>
            </w:r>
            <w:r>
              <w:rPr>
                <w:rFonts w:hint="eastAsia" w:ascii="宋体" w:hAnsi="宋体"/>
                <w:color w:val="000000"/>
                <w:szCs w:val="21"/>
                <w:highlight w:val="none"/>
              </w:rPr>
              <w:t>遥测发射盒采用彩色屏，屏幕尺寸≥1.5英寸，屏幕分辨率≥240 x 240像素。</w:t>
            </w:r>
          </w:p>
          <w:p w14:paraId="04BB7FFF">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1.5</w:t>
            </w:r>
            <w:r>
              <w:rPr>
                <w:rFonts w:hint="eastAsia" w:ascii="宋体" w:hAnsi="宋体"/>
                <w:color w:val="000000"/>
                <w:szCs w:val="21"/>
                <w:highlight w:val="none"/>
              </w:rPr>
              <w:tab/>
            </w:r>
            <w:r>
              <w:rPr>
                <w:rFonts w:hint="eastAsia" w:ascii="宋体" w:hAnsi="宋体"/>
                <w:color w:val="000000"/>
                <w:szCs w:val="21"/>
                <w:highlight w:val="none"/>
              </w:rPr>
              <w:t>遥测发射盒屏幕可同时显示至少2个参数和1道波形。</w:t>
            </w:r>
          </w:p>
          <w:p w14:paraId="140C9EBD">
            <w:pPr>
              <w:tabs>
                <w:tab w:val="left" w:pos="435"/>
              </w:tabs>
              <w:wordWrap w:val="0"/>
              <w:spacing w:line="360" w:lineRule="exact"/>
              <w:rPr>
                <w:rFonts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rPr>
              <w:tab/>
            </w:r>
            <w:r>
              <w:rPr>
                <w:rFonts w:hint="eastAsia" w:ascii="宋体" w:hAnsi="宋体"/>
                <w:color w:val="000000"/>
                <w:szCs w:val="21"/>
                <w:highlight w:val="none"/>
              </w:rPr>
              <w:t>监测参数</w:t>
            </w:r>
          </w:p>
          <w:p w14:paraId="721631DE">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2.1</w:t>
            </w:r>
            <w:r>
              <w:rPr>
                <w:rFonts w:hint="eastAsia" w:ascii="宋体" w:hAnsi="宋体"/>
                <w:color w:val="000000"/>
                <w:szCs w:val="21"/>
                <w:highlight w:val="none"/>
              </w:rPr>
              <w:tab/>
            </w:r>
            <w:r>
              <w:rPr>
                <w:rFonts w:hint="eastAsia" w:ascii="宋体" w:hAnsi="宋体"/>
                <w:color w:val="000000"/>
                <w:szCs w:val="21"/>
                <w:highlight w:val="none"/>
              </w:rPr>
              <w:t>具有心电监护功能，提供HR，ST，PVC测量值，具有血氧监测，提供SpO</w:t>
            </w:r>
            <w:r>
              <w:rPr>
                <w:rFonts w:hint="eastAsia" w:ascii="宋体" w:hAnsi="宋体"/>
                <w:color w:val="000000"/>
                <w:szCs w:val="21"/>
                <w:highlight w:val="none"/>
                <w:vertAlign w:val="superscript"/>
              </w:rPr>
              <w:t>2</w:t>
            </w:r>
            <w:r>
              <w:rPr>
                <w:rFonts w:hint="eastAsia" w:ascii="宋体" w:hAnsi="宋体"/>
                <w:color w:val="000000"/>
                <w:szCs w:val="21"/>
                <w:highlight w:val="none"/>
              </w:rPr>
              <w:t>，PR，测量值（ST，PVC在中央站上显示）。</w:t>
            </w:r>
          </w:p>
          <w:p w14:paraId="5A64CD80">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2.2</w:t>
            </w:r>
            <w:r>
              <w:rPr>
                <w:rFonts w:hint="eastAsia" w:ascii="宋体" w:hAnsi="宋体"/>
                <w:color w:val="000000"/>
                <w:szCs w:val="21"/>
                <w:highlight w:val="none"/>
              </w:rPr>
              <w:tab/>
            </w:r>
            <w:r>
              <w:rPr>
                <w:rFonts w:hint="eastAsia" w:ascii="宋体" w:hAnsi="宋体"/>
                <w:color w:val="000000"/>
                <w:szCs w:val="21"/>
                <w:highlight w:val="none"/>
              </w:rPr>
              <w:t>支持≥3通道心电波形同步分析，可进行多导心电分析</w:t>
            </w:r>
          </w:p>
          <w:p w14:paraId="79E0E23C">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2.3</w:t>
            </w:r>
            <w:r>
              <w:rPr>
                <w:rFonts w:hint="eastAsia" w:ascii="宋体" w:hAnsi="宋体"/>
                <w:color w:val="000000"/>
                <w:szCs w:val="21"/>
                <w:highlight w:val="none"/>
              </w:rPr>
              <w:tab/>
            </w:r>
            <w:r>
              <w:rPr>
                <w:rFonts w:hint="eastAsia" w:ascii="宋体" w:hAnsi="宋体"/>
                <w:color w:val="000000"/>
                <w:szCs w:val="21"/>
                <w:highlight w:val="none"/>
              </w:rPr>
              <w:t>具有抗运动算法，良好的抗干扰性。</w:t>
            </w:r>
          </w:p>
          <w:p w14:paraId="3CCC255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2.4</w:t>
            </w:r>
            <w:r>
              <w:rPr>
                <w:rFonts w:hint="eastAsia" w:ascii="宋体" w:hAnsi="宋体"/>
                <w:color w:val="000000"/>
                <w:szCs w:val="21"/>
                <w:highlight w:val="none"/>
              </w:rPr>
              <w:tab/>
            </w:r>
            <w:r>
              <w:rPr>
                <w:rFonts w:hint="eastAsia" w:ascii="宋体" w:hAnsi="宋体"/>
                <w:color w:val="000000"/>
                <w:szCs w:val="21"/>
                <w:highlight w:val="none"/>
              </w:rPr>
              <w:t>具有3/5导心电监护功能,心率测量范围：成人15 – 300 bpm，小儿15 – 350 bpm。</w:t>
            </w:r>
          </w:p>
          <w:p w14:paraId="5A6BF262">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2.5</w:t>
            </w:r>
            <w:r>
              <w:rPr>
                <w:rFonts w:hint="eastAsia" w:ascii="宋体" w:hAnsi="宋体"/>
                <w:color w:val="000000"/>
                <w:szCs w:val="21"/>
                <w:highlight w:val="none"/>
              </w:rPr>
              <w:tab/>
            </w:r>
            <w:r>
              <w:rPr>
                <w:rFonts w:hint="eastAsia" w:ascii="宋体" w:hAnsi="宋体"/>
                <w:color w:val="000000"/>
                <w:szCs w:val="21"/>
                <w:highlight w:val="none"/>
              </w:rPr>
              <w:t>心电滤波模式提供监护模式（0.5 -40Hz），ST模式（0.05 - 40Hz）, 运动模式（1~20 Hz）。</w:t>
            </w:r>
          </w:p>
          <w:p w14:paraId="0C974F43">
            <w:pPr>
              <w:tabs>
                <w:tab w:val="left" w:pos="540"/>
              </w:tabs>
              <w:wordWrap w:val="0"/>
              <w:spacing w:line="360" w:lineRule="exact"/>
              <w:rPr>
                <w:rFonts w:ascii="宋体" w:hAnsi="宋体"/>
                <w:color w:val="000000"/>
                <w:sz w:val="18"/>
                <w:szCs w:val="18"/>
                <w:highlight w:val="none"/>
              </w:rPr>
            </w:pPr>
            <w:r>
              <w:rPr>
                <w:rFonts w:hint="eastAsia" w:ascii="宋体" w:hAnsi="宋体"/>
                <w:color w:val="000000"/>
                <w:szCs w:val="21"/>
                <w:highlight w:val="none"/>
              </w:rPr>
              <w:t>2.6</w:t>
            </w:r>
            <w:r>
              <w:rPr>
                <w:rFonts w:hint="eastAsia" w:ascii="宋体" w:hAnsi="宋体"/>
                <w:color w:val="000000"/>
                <w:szCs w:val="21"/>
                <w:highlight w:val="none"/>
              </w:rPr>
              <w:tab/>
            </w:r>
            <w:r>
              <w:rPr>
                <w:rFonts w:hint="eastAsia" w:ascii="宋体" w:hAnsi="宋体"/>
                <w:color w:val="000000"/>
                <w:szCs w:val="21"/>
                <w:highlight w:val="none"/>
              </w:rPr>
              <w:t>具有ST段分析功能，提供ST值，和每个ST的模板。（中央站上显示）。</w:t>
            </w:r>
          </w:p>
          <w:p w14:paraId="6645F513">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2.7</w:t>
            </w:r>
            <w:r>
              <w:rPr>
                <w:rFonts w:hint="eastAsia" w:ascii="宋体" w:hAnsi="宋体"/>
                <w:color w:val="000000"/>
                <w:szCs w:val="21"/>
                <w:highlight w:val="none"/>
              </w:rPr>
              <w:tab/>
            </w:r>
            <w:r>
              <w:rPr>
                <w:rFonts w:hint="eastAsia" w:ascii="宋体" w:hAnsi="宋体"/>
                <w:color w:val="000000"/>
                <w:szCs w:val="21"/>
                <w:highlight w:val="none"/>
              </w:rPr>
              <w:t>具有ST图像化显示界面，可以快速查看ST值的变化。（中央站上显示）。</w:t>
            </w:r>
          </w:p>
          <w:p w14:paraId="2893A5F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2.8</w:t>
            </w:r>
            <w:r>
              <w:rPr>
                <w:rFonts w:hint="eastAsia" w:ascii="宋体" w:hAnsi="宋体"/>
                <w:color w:val="000000"/>
                <w:szCs w:val="21"/>
                <w:highlight w:val="none"/>
              </w:rPr>
              <w:tab/>
            </w:r>
            <w:r>
              <w:rPr>
                <w:rFonts w:hint="eastAsia" w:ascii="宋体" w:hAnsi="宋体"/>
                <w:color w:val="000000"/>
                <w:szCs w:val="21"/>
                <w:highlight w:val="none"/>
              </w:rPr>
              <w:t>提供单个、多个ST值报警，并支持相对的报警限设置。</w:t>
            </w:r>
          </w:p>
          <w:p w14:paraId="53825604">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2.9</w:t>
            </w:r>
            <w:r>
              <w:rPr>
                <w:rFonts w:hint="eastAsia" w:ascii="宋体" w:hAnsi="宋体"/>
                <w:color w:val="000000"/>
                <w:szCs w:val="21"/>
                <w:highlight w:val="none"/>
              </w:rPr>
              <w:tab/>
            </w:r>
            <w:r>
              <w:rPr>
                <w:rFonts w:hint="eastAsia" w:ascii="宋体" w:hAnsi="宋体"/>
                <w:color w:val="000000"/>
                <w:szCs w:val="21"/>
                <w:highlight w:val="none"/>
              </w:rPr>
              <w:t>具有起搏分析功能。</w:t>
            </w:r>
          </w:p>
          <w:p w14:paraId="15972C9A">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2.10</w:t>
            </w:r>
            <w:r>
              <w:rPr>
                <w:rFonts w:hint="eastAsia" w:ascii="宋体" w:hAnsi="宋体"/>
                <w:color w:val="000000"/>
                <w:szCs w:val="21"/>
                <w:highlight w:val="none"/>
              </w:rPr>
              <w:tab/>
            </w:r>
            <w:r>
              <w:rPr>
                <w:rFonts w:hint="eastAsia" w:ascii="宋体" w:hAnsi="宋体"/>
                <w:color w:val="000000"/>
                <w:szCs w:val="21"/>
                <w:highlight w:val="none"/>
              </w:rPr>
              <w:t>具有QT/QTc测量功能，提供QT，QTc和ΔQTc参数值。（中央站上显示）。</w:t>
            </w:r>
          </w:p>
          <w:p w14:paraId="26D1E4B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2.11</w:t>
            </w:r>
            <w:r>
              <w:rPr>
                <w:rFonts w:hint="eastAsia" w:ascii="宋体" w:hAnsi="宋体"/>
                <w:color w:val="000000"/>
                <w:szCs w:val="21"/>
                <w:highlight w:val="none"/>
              </w:rPr>
              <w:tab/>
            </w:r>
            <w:r>
              <w:rPr>
                <w:rFonts w:hint="eastAsia" w:ascii="宋体" w:hAnsi="宋体"/>
                <w:color w:val="000000"/>
                <w:szCs w:val="21"/>
                <w:highlight w:val="none"/>
              </w:rPr>
              <w:t>QTc计算公式提供：Bazett, Fridericia, Framingham, Hodges。</w:t>
            </w:r>
          </w:p>
          <w:p w14:paraId="4F8A102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2.12</w:t>
            </w:r>
            <w:r>
              <w:rPr>
                <w:rFonts w:hint="eastAsia" w:ascii="宋体" w:hAnsi="宋体"/>
                <w:color w:val="000000"/>
                <w:szCs w:val="21"/>
                <w:highlight w:val="none"/>
              </w:rPr>
              <w:tab/>
            </w:r>
            <w:r>
              <w:rPr>
                <w:rFonts w:hint="eastAsia" w:ascii="宋体" w:hAnsi="宋体"/>
                <w:color w:val="000000"/>
                <w:szCs w:val="21"/>
                <w:highlight w:val="none"/>
              </w:rPr>
              <w:t>支持房颤及室上性心律失常分析功能，如：室上性心动过速，SVCs/min等，具有支持≥24种实时心律失常分析。</w:t>
            </w:r>
          </w:p>
          <w:p w14:paraId="575EE265">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2.13</w:t>
            </w:r>
            <w:r>
              <w:rPr>
                <w:rFonts w:hint="eastAsia" w:ascii="宋体" w:hAnsi="宋体"/>
                <w:color w:val="000000"/>
                <w:szCs w:val="21"/>
                <w:highlight w:val="none"/>
              </w:rPr>
              <w:tab/>
            </w:r>
            <w:r>
              <w:rPr>
                <w:rFonts w:hint="eastAsia" w:ascii="宋体" w:hAnsi="宋体"/>
                <w:color w:val="000000"/>
                <w:szCs w:val="21"/>
                <w:highlight w:val="none"/>
              </w:rPr>
              <w:t>血氧饱和度测量范围：0 - 100%，来自于血氧的脉率测量范围：20– 300 bpm。</w:t>
            </w:r>
          </w:p>
          <w:p w14:paraId="4D9D23D8">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2.14</w:t>
            </w:r>
            <w:r>
              <w:rPr>
                <w:rFonts w:hint="eastAsia" w:ascii="宋体" w:hAnsi="宋体"/>
                <w:color w:val="000000"/>
                <w:szCs w:val="21"/>
                <w:highlight w:val="none"/>
              </w:rPr>
              <w:tab/>
            </w:r>
            <w:r>
              <w:rPr>
                <w:rFonts w:hint="eastAsia" w:ascii="宋体" w:hAnsi="宋体"/>
                <w:color w:val="000000"/>
                <w:szCs w:val="21"/>
                <w:highlight w:val="none"/>
              </w:rPr>
              <w:t>可显示弱灌注指数（PI）。</w:t>
            </w:r>
          </w:p>
          <w:p w14:paraId="6A080C60">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w:t>
            </w:r>
            <w:r>
              <w:rPr>
                <w:rFonts w:hint="eastAsia" w:ascii="宋体" w:hAnsi="宋体"/>
                <w:color w:val="000000"/>
                <w:szCs w:val="21"/>
                <w:highlight w:val="none"/>
              </w:rPr>
              <w:tab/>
            </w:r>
            <w:r>
              <w:rPr>
                <w:rFonts w:hint="eastAsia" w:ascii="宋体" w:hAnsi="宋体"/>
                <w:color w:val="000000"/>
                <w:szCs w:val="21"/>
                <w:highlight w:val="none"/>
              </w:rPr>
              <w:t>系统功能</w:t>
            </w:r>
          </w:p>
          <w:p w14:paraId="381FE66A">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3.1</w:t>
            </w:r>
            <w:r>
              <w:rPr>
                <w:rFonts w:hint="eastAsia" w:ascii="宋体" w:hAnsi="宋体"/>
                <w:color w:val="000000"/>
                <w:szCs w:val="21"/>
                <w:highlight w:val="none"/>
              </w:rPr>
              <w:tab/>
            </w:r>
            <w:r>
              <w:rPr>
                <w:rFonts w:hint="eastAsia" w:ascii="宋体" w:hAnsi="宋体"/>
                <w:color w:val="000000"/>
                <w:szCs w:val="21"/>
                <w:highlight w:val="none"/>
              </w:rPr>
              <w:t>遥测发射盒有三个硬按键：开关机/关屏，护士呼叫和主界面键。</w:t>
            </w:r>
          </w:p>
          <w:p w14:paraId="68F312D1">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3.2</w:t>
            </w:r>
            <w:r>
              <w:rPr>
                <w:rFonts w:hint="eastAsia" w:ascii="宋体" w:hAnsi="宋体"/>
                <w:color w:val="000000"/>
                <w:szCs w:val="21"/>
                <w:highlight w:val="none"/>
              </w:rPr>
              <w:tab/>
            </w:r>
            <w:r>
              <w:rPr>
                <w:rFonts w:hint="eastAsia" w:ascii="宋体" w:hAnsi="宋体"/>
                <w:color w:val="000000"/>
                <w:szCs w:val="21"/>
                <w:highlight w:val="none"/>
              </w:rPr>
              <w:t>遥测发射盒主界面上能够显示病人信息。</w:t>
            </w:r>
          </w:p>
          <w:p w14:paraId="27CA9B57">
            <w:pPr>
              <w:tabs>
                <w:tab w:val="left" w:pos="540"/>
              </w:tabs>
              <w:wordWrap w:val="0"/>
              <w:spacing w:line="360" w:lineRule="exact"/>
              <w:rPr>
                <w:rFonts w:ascii="宋体" w:hAnsi="宋体"/>
                <w:color w:val="000000"/>
                <w:szCs w:val="21"/>
                <w:highlight w:val="none"/>
              </w:rPr>
            </w:pPr>
            <w:r>
              <w:rPr>
                <w:rFonts w:hint="eastAsia" w:ascii="宋体" w:hAnsi="宋体"/>
                <w:color w:val="000000"/>
                <w:szCs w:val="21"/>
                <w:highlight w:val="none"/>
              </w:rPr>
              <w:t>3.3</w:t>
            </w:r>
            <w:r>
              <w:rPr>
                <w:rFonts w:hint="eastAsia" w:ascii="宋体" w:hAnsi="宋体"/>
                <w:color w:val="000000"/>
                <w:szCs w:val="21"/>
                <w:highlight w:val="none"/>
              </w:rPr>
              <w:tab/>
            </w:r>
            <w:r>
              <w:rPr>
                <w:rFonts w:hint="eastAsia" w:ascii="宋体" w:hAnsi="宋体"/>
                <w:color w:val="000000"/>
                <w:szCs w:val="21"/>
                <w:highlight w:val="none"/>
              </w:rPr>
              <w:t>支持在同品牌监护仪上通过它床观察的方式查看连接到中央站的遥测监测数据和报警。</w:t>
            </w:r>
          </w:p>
        </w:tc>
        <w:tc>
          <w:tcPr>
            <w:tcW w:w="1134" w:type="dxa"/>
            <w:noWrap w:val="0"/>
            <w:vAlign w:val="center"/>
          </w:tcPr>
          <w:p w14:paraId="51CEEC1D">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29</w:t>
            </w:r>
          </w:p>
        </w:tc>
      </w:tr>
    </w:tbl>
    <w:p w14:paraId="6213BBEE">
      <w:pPr>
        <w:spacing w:line="428" w:lineRule="exact"/>
        <w:ind w:left="119"/>
        <w:rPr>
          <w:rFonts w:ascii="宋体" w:hAnsi="宋体" w:cs="黑体"/>
          <w:color w:val="000000"/>
          <w:szCs w:val="21"/>
          <w:highlight w:val="none"/>
        </w:rPr>
      </w:pPr>
    </w:p>
    <w:tbl>
      <w:tblPr>
        <w:tblStyle w:val="45"/>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7655"/>
      </w:tblGrid>
      <w:tr w14:paraId="75DE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019" w:type="dxa"/>
            <w:gridSpan w:val="2"/>
            <w:tcBorders>
              <w:top w:val="single" w:color="auto" w:sz="4" w:space="0"/>
              <w:left w:val="single" w:color="auto" w:sz="4" w:space="0"/>
              <w:bottom w:val="single" w:color="auto" w:sz="4" w:space="0"/>
              <w:right w:val="single" w:color="auto" w:sz="4" w:space="0"/>
            </w:tcBorders>
            <w:noWrap/>
            <w:vAlign w:val="top"/>
          </w:tcPr>
          <w:p w14:paraId="4FEAFB89">
            <w:pPr>
              <w:widowControl/>
              <w:autoSpaceDE w:val="0"/>
              <w:autoSpaceDN w:val="0"/>
              <w:spacing w:after="120" w:line="360" w:lineRule="exact"/>
              <w:rPr>
                <w:rFonts w:ascii="宋体" w:hAnsi="宋体" w:cs="宋体"/>
                <w:b/>
                <w:bCs/>
                <w:color w:val="000000"/>
                <w:kern w:val="0"/>
                <w:szCs w:val="21"/>
                <w:highlight w:val="none"/>
              </w:rPr>
            </w:pPr>
            <w:r>
              <w:rPr>
                <w:rFonts w:hint="eastAsia" w:ascii="宋体" w:hAnsi="宋体" w:cs="宋体"/>
                <w:b/>
                <w:bCs/>
                <w:color w:val="000000"/>
                <w:kern w:val="0"/>
                <w:szCs w:val="21"/>
                <w:highlight w:val="none"/>
              </w:rPr>
              <w:t>二、商务条款要求</w:t>
            </w:r>
          </w:p>
        </w:tc>
      </w:tr>
      <w:tr w14:paraId="65DE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tcBorders>
              <w:top w:val="single" w:color="auto" w:sz="4" w:space="0"/>
              <w:left w:val="single" w:color="auto" w:sz="4" w:space="0"/>
              <w:bottom w:val="single" w:color="auto" w:sz="4" w:space="0"/>
              <w:right w:val="single" w:color="auto" w:sz="4" w:space="0"/>
            </w:tcBorders>
            <w:noWrap/>
            <w:vAlign w:val="center"/>
          </w:tcPr>
          <w:p w14:paraId="61B50BD0">
            <w:pPr>
              <w:snapToGrid w:val="0"/>
              <w:spacing w:line="360" w:lineRule="exac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质保期</w:t>
            </w:r>
          </w:p>
        </w:tc>
        <w:tc>
          <w:tcPr>
            <w:tcW w:w="7655" w:type="dxa"/>
            <w:tcBorders>
              <w:top w:val="single" w:color="auto" w:sz="4" w:space="0"/>
              <w:left w:val="single" w:color="auto" w:sz="4" w:space="0"/>
              <w:bottom w:val="single" w:color="auto" w:sz="4" w:space="0"/>
              <w:right w:val="single" w:color="auto" w:sz="4" w:space="0"/>
            </w:tcBorders>
            <w:noWrap/>
            <w:vAlign w:val="center"/>
          </w:tcPr>
          <w:p w14:paraId="29CFECEB">
            <w:pPr>
              <w:spacing w:line="360" w:lineRule="exact"/>
              <w:jc w:val="left"/>
              <w:rPr>
                <w:rFonts w:ascii="宋体" w:hAnsi="宋体" w:cs="宋体"/>
                <w:color w:val="000000"/>
                <w:szCs w:val="21"/>
                <w:highlight w:val="none"/>
              </w:rPr>
            </w:pPr>
            <w:r>
              <w:rPr>
                <w:rFonts w:hint="eastAsia" w:ascii="宋体" w:hAnsi="宋体" w:cs="宋体"/>
                <w:color w:val="000000"/>
                <w:szCs w:val="21"/>
                <w:highlight w:val="none"/>
              </w:rPr>
              <w:t>按国家有关的产品“三包”规定实行“三包”，所有产品为全新产品，符合国家相关标准。所有设备安装调试并经采购人验收合格之日起质保期不少于2年，若国家或生产厂家对本项目所涉及货物的质量保证期的规定高于本项目要求的，应按国家或生产厂家的规定执行，若投标人在投标文件中承诺高于该期限，按照投标人承诺），质保期内维修、更换配件，提供设备维修及正常维护保养所需的零部件，质保期外提供终身维修服务。需求表中特别注明的按需求表中的执行。</w:t>
            </w:r>
          </w:p>
        </w:tc>
      </w:tr>
      <w:tr w14:paraId="205C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14:paraId="204646B3">
            <w:pPr>
              <w:snapToGrid w:val="0"/>
              <w:spacing w:line="360" w:lineRule="exac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售后服务要求</w:t>
            </w:r>
          </w:p>
        </w:tc>
        <w:tc>
          <w:tcPr>
            <w:tcW w:w="7655" w:type="dxa"/>
            <w:noWrap/>
            <w:vAlign w:val="center"/>
          </w:tcPr>
          <w:p w14:paraId="75B593FE">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1.中标人负责送货至钦州市第二人民医院，负责安装调试，并对操作人员进行操作培训。</w:t>
            </w:r>
            <w:r>
              <w:rPr>
                <w:rFonts w:hint="eastAsia" w:ascii="宋体" w:hAnsi="宋体" w:cs="宋体"/>
                <w:color w:val="000000"/>
                <w:szCs w:val="21"/>
                <w:highlight w:val="none"/>
                <w:lang w:val="en-US" w:eastAsia="zh-CN"/>
              </w:rPr>
              <w:t>提供</w:t>
            </w:r>
            <w:r>
              <w:rPr>
                <w:rFonts w:hint="eastAsia" w:ascii="宋体" w:hAnsi="宋体" w:cs="宋体"/>
                <w:color w:val="000000"/>
                <w:szCs w:val="21"/>
                <w:highlight w:val="none"/>
                <w:lang w:eastAsia="zh-CN"/>
              </w:rPr>
              <w:t>售后服务人员</w:t>
            </w:r>
            <w:r>
              <w:rPr>
                <w:rFonts w:hint="eastAsia" w:ascii="宋体" w:hAnsi="宋体" w:eastAsia="宋体" w:cs="宋体"/>
                <w:color w:val="000000"/>
                <w:szCs w:val="21"/>
                <w:highlight w:val="none"/>
                <w:lang w:eastAsia="zh-CN"/>
              </w:rPr>
              <w:t>≧</w:t>
            </w:r>
            <w:r>
              <w:rPr>
                <w:rFonts w:hint="eastAsia" w:ascii="宋体" w:hAnsi="宋体" w:cs="宋体"/>
                <w:color w:val="000000"/>
                <w:szCs w:val="21"/>
                <w:highlight w:val="none"/>
                <w:lang w:val="en-US" w:eastAsia="zh-CN"/>
              </w:rPr>
              <w:t>2人，投标文件中提供详细名单及联系方式，格式自拟。</w:t>
            </w:r>
          </w:p>
          <w:p w14:paraId="6207E13D">
            <w:pPr>
              <w:spacing w:line="360" w:lineRule="exact"/>
              <w:ind w:left="197" w:leftChars="94"/>
              <w:jc w:val="left"/>
              <w:rPr>
                <w:rFonts w:ascii="宋体" w:hAnsi="宋体" w:cs="宋体"/>
                <w:color w:val="000000"/>
                <w:szCs w:val="21"/>
                <w:highlight w:val="none"/>
              </w:rPr>
            </w:pPr>
            <w:r>
              <w:rPr>
                <w:rFonts w:hint="eastAsia" w:ascii="宋体" w:hAnsi="宋体" w:cs="宋体"/>
                <w:color w:val="000000"/>
                <w:szCs w:val="21"/>
                <w:highlight w:val="none"/>
              </w:rPr>
              <w:t>2.维护保养的安排：中标人一年两次派工程技术人员对设备进行维护保养。质保期内当设备有重大级别提升时，中标人应为设备进行软件升级。</w:t>
            </w:r>
          </w:p>
          <w:p w14:paraId="75FA9528">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3.维修时间安排应急维修时间安排：至少提供5*8小时远程桌面或7*24小时电话技术支持，使用中出故障接到通知后应立即响应，对重大问题提供现场技术支持，24小时内派工程技术人员到达现场维修。如果需要更换配件的，更换的配件应跟被更换的品牌、类型相一致或者是同类同档次的替代品，后者需征得采购人管理人员同意。需提供质保期外零配件优惠服务方案。</w:t>
            </w:r>
          </w:p>
          <w:p w14:paraId="37C16E24">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4.主要零配件价格；为采购人提供优惠的零配件及易耗品。</w:t>
            </w:r>
          </w:p>
          <w:p w14:paraId="00A22540">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5.设备质保期内一周如出现3次以上停机或设备故障的，采购人有权要求中标人退货或更换新机器，所产生费用由中标人承担。</w:t>
            </w:r>
          </w:p>
          <w:p w14:paraId="4D470F31">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6.培训对象：包括使用科室的设备使用人员及维修人员，由生产厂家为采购人提供使用技术培训，使用培训为验收要件之一，没有经过培训，视为没能完成验收。</w:t>
            </w:r>
          </w:p>
          <w:p w14:paraId="3B778FAC">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7.设备如需接入医院HIS、LIS或PACS系统及互联互通系统，相关费用由中标人负责。</w:t>
            </w:r>
          </w:p>
        </w:tc>
      </w:tr>
      <w:tr w14:paraId="04D3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14:paraId="63E8669B">
            <w:pPr>
              <w:snapToGrid w:val="0"/>
              <w:spacing w:line="360" w:lineRule="exac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培训计划</w:t>
            </w:r>
          </w:p>
        </w:tc>
        <w:tc>
          <w:tcPr>
            <w:tcW w:w="7655" w:type="dxa"/>
            <w:noWrap/>
            <w:vAlign w:val="center"/>
          </w:tcPr>
          <w:p w14:paraId="09A5D562">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由生产厂家为采购人提供使用技术培训，使用培训为验收要件之一，没有经过培训，视为没能完成验收。</w:t>
            </w:r>
          </w:p>
          <w:p w14:paraId="3BD581C2">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1.培训对象：使用科室的设备使用人员及维修人员。</w:t>
            </w:r>
          </w:p>
          <w:p w14:paraId="2519CF29">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2.培训形式：</w:t>
            </w:r>
          </w:p>
          <w:p w14:paraId="505A7A99">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① 现场使用培训：安装调试结束后，中标人组织培训工程师对机器正确使用方法进行示范操作，保证教会使用人员能正确使用设备</w:t>
            </w:r>
          </w:p>
          <w:p w14:paraId="190F298F">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② 集中授课：应由厂方培训工程师使用专门讲义进行授课，并进行考核考试。</w:t>
            </w:r>
          </w:p>
        </w:tc>
      </w:tr>
      <w:tr w14:paraId="2144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14:paraId="35E80A04">
            <w:pPr>
              <w:snapToGrid w:val="0"/>
              <w:spacing w:line="360" w:lineRule="exac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交货期</w:t>
            </w:r>
          </w:p>
        </w:tc>
        <w:tc>
          <w:tcPr>
            <w:tcW w:w="7655" w:type="dxa"/>
            <w:noWrap/>
            <w:vAlign w:val="center"/>
          </w:tcPr>
          <w:p w14:paraId="25032038">
            <w:pPr>
              <w:spacing w:line="360" w:lineRule="exact"/>
              <w:jc w:val="left"/>
              <w:rPr>
                <w:rFonts w:ascii="宋体" w:hAnsi="宋体" w:cs="宋体"/>
                <w:color w:val="000000"/>
                <w:szCs w:val="21"/>
                <w:highlight w:val="none"/>
              </w:rPr>
            </w:pPr>
            <w:r>
              <w:rPr>
                <w:rFonts w:hint="eastAsia" w:ascii="宋体" w:hAnsi="宋体" w:cs="宋体"/>
                <w:color w:val="000000"/>
                <w:szCs w:val="21"/>
                <w:highlight w:val="none"/>
              </w:rPr>
              <w:t>自签订合同之日起60天内调试完毕验收合格并交付使用。</w:t>
            </w:r>
          </w:p>
        </w:tc>
      </w:tr>
      <w:tr w14:paraId="05AD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14:paraId="7E58A425">
            <w:pPr>
              <w:snapToGrid w:val="0"/>
              <w:spacing w:line="360" w:lineRule="exac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交货地点</w:t>
            </w:r>
          </w:p>
        </w:tc>
        <w:tc>
          <w:tcPr>
            <w:tcW w:w="7655" w:type="dxa"/>
            <w:noWrap/>
            <w:vAlign w:val="center"/>
          </w:tcPr>
          <w:p w14:paraId="703C29DD">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钦州市第二人民医院内采购人指定地点。</w:t>
            </w:r>
          </w:p>
        </w:tc>
      </w:tr>
      <w:tr w14:paraId="51BA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14:paraId="26FEDF8E">
            <w:pPr>
              <w:snapToGrid w:val="0"/>
              <w:spacing w:line="360" w:lineRule="exac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签订合同日期</w:t>
            </w:r>
          </w:p>
        </w:tc>
        <w:tc>
          <w:tcPr>
            <w:tcW w:w="7655" w:type="dxa"/>
            <w:noWrap/>
            <w:vAlign w:val="center"/>
          </w:tcPr>
          <w:p w14:paraId="4D722C72">
            <w:pPr>
              <w:spacing w:line="360" w:lineRule="exact"/>
              <w:ind w:firstLine="198"/>
              <w:jc w:val="left"/>
              <w:rPr>
                <w:rFonts w:ascii="宋体" w:hAnsi="宋体" w:cs="宋体"/>
                <w:color w:val="000000"/>
                <w:szCs w:val="21"/>
                <w:highlight w:val="none"/>
              </w:rPr>
            </w:pPr>
            <w:r>
              <w:rPr>
                <w:rFonts w:hint="eastAsia" w:ascii="宋体" w:hAnsi="宋体" w:cs="宋体"/>
                <w:color w:val="000000"/>
                <w:szCs w:val="21"/>
                <w:highlight w:val="none"/>
              </w:rPr>
              <w:t>自中标通知书发出之日起25天内。</w:t>
            </w:r>
          </w:p>
        </w:tc>
      </w:tr>
      <w:tr w14:paraId="488E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14:paraId="0F6B62E6">
            <w:pPr>
              <w:snapToGrid w:val="0"/>
              <w:spacing w:line="360" w:lineRule="exac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付款条件</w:t>
            </w:r>
          </w:p>
        </w:tc>
        <w:tc>
          <w:tcPr>
            <w:tcW w:w="7655" w:type="dxa"/>
            <w:noWrap/>
            <w:vAlign w:val="center"/>
          </w:tcPr>
          <w:p w14:paraId="7B0235C1">
            <w:pPr>
              <w:spacing w:before="240" w:after="60" w:line="360" w:lineRule="exact"/>
              <w:ind w:firstLine="220" w:firstLineChars="100"/>
              <w:outlineLvl w:val="0"/>
              <w:rPr>
                <w:rFonts w:ascii="宋体" w:hAnsi="宋体" w:cs="宋体"/>
                <w:bCs/>
                <w:color w:val="000000"/>
                <w:szCs w:val="21"/>
                <w:highlight w:val="none"/>
              </w:rPr>
            </w:pPr>
            <w:r>
              <w:rPr>
                <w:rFonts w:hint="eastAsia" w:ascii="宋体" w:hAnsi="宋体" w:cs="宋体"/>
                <w:bCs/>
                <w:color w:val="000000"/>
                <w:sz w:val="22"/>
                <w:szCs w:val="22"/>
                <w:highlight w:val="none"/>
              </w:rPr>
              <w:t>签订合同后无预付款，到货后付10%，验收合格半年后付40%，验收合格1年后付50%，整个付款期内合同金额不计利息。</w:t>
            </w:r>
          </w:p>
        </w:tc>
      </w:tr>
      <w:tr w14:paraId="22E8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14:paraId="14BBB0A1">
            <w:pPr>
              <w:snapToGrid w:val="0"/>
              <w:spacing w:line="360" w:lineRule="exac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备品备件或耗材等要求</w:t>
            </w:r>
          </w:p>
        </w:tc>
        <w:tc>
          <w:tcPr>
            <w:tcW w:w="7655" w:type="dxa"/>
            <w:noWrap/>
            <w:vAlign w:val="center"/>
          </w:tcPr>
          <w:p w14:paraId="103BF687">
            <w:pPr>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投标人必须有完善的备品备件库体系，质保期内能提供相应的措施和备件，保证过质保期后五年内有足够的备品备件，为完成本项目技术支持、服务需求提供可靠保证；需在投标报价时提供主要零配件及易耗品供货价格及质保期外零配件优质服务方案及报价</w:t>
            </w:r>
            <w:r>
              <w:rPr>
                <w:rFonts w:hint="eastAsia" w:ascii="宋体" w:hAnsi="宋体" w:cs="宋体"/>
                <w:b/>
                <w:color w:val="000000"/>
                <w:szCs w:val="21"/>
                <w:highlight w:val="none"/>
              </w:rPr>
              <w:t>，否则投标无效</w:t>
            </w:r>
            <w:r>
              <w:rPr>
                <w:rFonts w:hint="eastAsia" w:ascii="宋体" w:hAnsi="宋体" w:cs="宋体"/>
                <w:color w:val="000000"/>
                <w:szCs w:val="21"/>
                <w:highlight w:val="none"/>
              </w:rPr>
              <w:t>。</w:t>
            </w:r>
          </w:p>
          <w:p w14:paraId="62927044">
            <w:pPr>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2.所有零部件、配件必须是未经使用的全新未使用过的并符合国家有关质量安全标准的产品。</w:t>
            </w:r>
          </w:p>
        </w:tc>
      </w:tr>
      <w:tr w14:paraId="15A6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14:paraId="209A6235">
            <w:pPr>
              <w:snapToGrid w:val="0"/>
              <w:spacing w:line="360" w:lineRule="exac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验收标准</w:t>
            </w:r>
          </w:p>
        </w:tc>
        <w:tc>
          <w:tcPr>
            <w:tcW w:w="7655" w:type="dxa"/>
            <w:noWrap/>
            <w:vAlign w:val="center"/>
          </w:tcPr>
          <w:p w14:paraId="44850A03">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验收过程中所产生的一切费用均由中标人承担。报价时应考虑相关费用。中标人在货物验收时由采购单位对照招标文件的功能目标及技术指标全面核对检验，对所有要求出具的证明文件的原件进行核查，如不符合招标文件的技术需求及要求以及提供虚假承诺的，按相关规定做退货处理及违约处理，中标人承担所有责任和费用，采购人保留进一步追究责任的权利。安装标准：符合国际、国家及行业有关技术规范和技术标准。招标项目有其他要求的按其要求。</w:t>
            </w:r>
          </w:p>
          <w:p w14:paraId="437031D4">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投标人负责安装的技术人员按照验收流程要求提供合格证标明的内容及技术参数表逐条进行验收。验收应符合国家相关法规及合同的技术要求，同时也应符合厂家或医疗器械厂家提供的技术资料中各项技术指标和参数要求，参数要求必须符合采购参数规定，不能以“标准配置”、“选购配置”为由与采购参数不符。</w:t>
            </w:r>
          </w:p>
          <w:p w14:paraId="7FE418A2">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⑵设备的合法性证明材料：</w:t>
            </w:r>
          </w:p>
          <w:p w14:paraId="6B42C8FB">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1)提供设备的生产许可证明材料（适用于国产品牌）：</w:t>
            </w:r>
          </w:p>
          <w:p w14:paraId="51787B53">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a.具有医疗器械属性的设备：医疗器械生产企业许可证复印件 1 份及 PDF 文档 1 份。</w:t>
            </w:r>
          </w:p>
          <w:p w14:paraId="1F801086">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b.具有计量仪器属性的设备：制造计量器具许可证复印件 1 份及 PDF 文档 1 份。</w:t>
            </w:r>
          </w:p>
          <w:p w14:paraId="7F987A37">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2)提供设备生产合格证明：</w:t>
            </w:r>
          </w:p>
          <w:p w14:paraId="7F4D69F8">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出厂合格证明：原件及 PDF 文档各 1 份</w:t>
            </w:r>
          </w:p>
          <w:p w14:paraId="3BC61CF3">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3)医疗器械市场监管合法证明材料</w:t>
            </w:r>
          </w:p>
          <w:p w14:paraId="58C6616D">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a.医疗器械注册证（含注册登记表）（如涉及 2 类、3 类医疗器械时必须提供，1 类如有请提供）复印件 1 件及 PDF 文档 1 份。</w:t>
            </w:r>
          </w:p>
          <w:p w14:paraId="3947ADDF">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4)经销商的合法性证明材料：</w:t>
            </w:r>
          </w:p>
          <w:p w14:paraId="3DB5D69D">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a.营业执照复印件及 PDF 文档各 1 份，经营范围必须与所经营的类别相符，并在有效期内。</w:t>
            </w:r>
          </w:p>
          <w:p w14:paraId="77A0A38B">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b.医疗器械经营企业许可证或属于二类的备案凭证复印件 1 份及 PDF 文档 1 份，经营医疗器械级别及经营类别必须与设备的医疗器械注册证相符（如涉及 2 类、3 类医疗器械时必须提供，1 类如有请提供）。</w:t>
            </w:r>
          </w:p>
          <w:p w14:paraId="4627F31A">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c.中标人取得投标产品经销或代理的合法授权书原件 1 份及 PDF 文档 1 份，存在多级授权的须同时提供完整各级授权的证明文件。（验收时需提供）</w:t>
            </w:r>
          </w:p>
          <w:p w14:paraId="09B921C7">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5)设备随机资料：</w:t>
            </w:r>
          </w:p>
          <w:p w14:paraId="02061DB7">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a.纸质《使用说明书》一式两份和电子版一份。纸质版一份留使用科室，一份存档案室，不能提供两份原版的，可提供一份原版。</w:t>
            </w:r>
          </w:p>
          <w:p w14:paraId="23115EA4">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b.电路图、其它技术文件、软件光盘、系统光盘、视频光盘及其它电子版原件资料，设备安装调试结束后必须存放医院档案室。</w:t>
            </w:r>
          </w:p>
          <w:p w14:paraId="53413A1D">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c.如是计量仪器必须提供相关计量仪器检定合格证明材料原件及 PDF 文档各 1 份。</w:t>
            </w:r>
          </w:p>
          <w:p w14:paraId="4148E3F6">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d.设备装箱单、配置清单。</w:t>
            </w:r>
          </w:p>
          <w:p w14:paraId="3C34D6E0">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e.每台设备 1 份操作规定程序（操作规程）卡片，由投标人或厂方制作的质量好耐用纸质版。</w:t>
            </w:r>
          </w:p>
          <w:p w14:paraId="56AD3FE8">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f.出库清单，清单包括设备名称、型号、单价，总金额，出库公司与合同公司一致。</w:t>
            </w:r>
          </w:p>
          <w:p w14:paraId="32BADD55">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(3)技术性能验收：</w:t>
            </w:r>
          </w:p>
          <w:p w14:paraId="4ED6FB6D">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1)以采购参数为依据，以满足使用要求为原则，验收由设备使用科室人员负责,投标参数是否符合采购参数要求以验收实际结果为准。</w:t>
            </w:r>
          </w:p>
          <w:p w14:paraId="50FD2DAF">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2)设备清单必须与采购参数相符合,如有出入，以招标文件参数为准。</w:t>
            </w:r>
          </w:p>
          <w:p w14:paraId="0D025325">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3)验收必须以采购参数为基准，对投标技术响应表逐条进行验收，对于技术响应表与采购技术参数不符的，作如下处理：</w:t>
            </w:r>
          </w:p>
          <w:p w14:paraId="45D226CC">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a.技术响应表与采购参数比较有漏项的，以不实质响应采购要求论处。</w:t>
            </w:r>
          </w:p>
          <w:p w14:paraId="63E9A971">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b.实际是负偏离的参数，响应表成交明负偏离，经评标仍然成交的，说明不影响设备质量、使用与档次，验收时以负偏离验收，设备视为接受。如果对质量、使用与档次有影响的，以不实质响应采购要求论处。</w:t>
            </w:r>
          </w:p>
          <w:p w14:paraId="2F101124">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c.实际是负偏离的参数，在投标文件中技术响应表明是无偏离或正偏离，以虚假应标论处。</w:t>
            </w:r>
          </w:p>
          <w:p w14:paraId="1DC01FEC">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d.实际是无偏离参数，在投标文件中技术响应表明是正偏离，以虚假应标论处。</w:t>
            </w:r>
          </w:p>
          <w:p w14:paraId="2FB2BF6F">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e.实际是正偏离参数，但验收时并没有达到投标文件中技术响应表明的正偏离幅度，以虚假应标论处。</w:t>
            </w:r>
          </w:p>
          <w:p w14:paraId="2E81C8B1">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f.备用功能。是指设备主机具备相应的功能，但需要增加相应的软件硬件配件才能实现，除非需要在使用期限内升级，本次投标中不设“备用功能”参数，需要这种功能时，投标文件必须有明确注明“备用功能”字样。验收时投标人必须携带相关部件进行验收，以证明设备确实具备相关功能，验收完成后相关部件投标人带回，如果拒绝携带相关部件验收，以虚假应标论处。</w:t>
            </w:r>
          </w:p>
          <w:p w14:paraId="110274D0">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g.对于招标文件只要求具备的功能或性能，但招标文件没有详细标明硬件配置参数，同时招标文件也没有注明“备用功能”字样，投标人必须无条件配齐相关软件硬件后，予以接受，凡出现“可配”等不明确意义字样，以虚假应标论处。</w:t>
            </w:r>
          </w:p>
          <w:p w14:paraId="6300C829">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h.如是“可配可不配的必须配”，不得以“必须增购相关软硬件才能具备”或者以此为“选配，必须加钱另买”为由要求医院方额外开支才能达到相应功能项。如果投标人不愿意提供相关软硬件配置，以虚假应标论处。</w:t>
            </w:r>
          </w:p>
          <w:p w14:paraId="32818D4B">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i.对于以采购参数不同的参数概念，应标时出现张冠李戴现象，如以“速度”参数响应“长度”参数等，按虚假应标论处。</w:t>
            </w:r>
          </w:p>
          <w:p w14:paraId="254BE084">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j.替代技术或同类技术，指用另一种与采购参数完全不一样的技术应标，验收时必须提供技术白皮书，说明与采购参数原理不同但目的与效果相同，验收时实际使用效果与采购参数一样，并得到使用科室验收专家的认可，才能判定无偏离，否则判定为负偏离，如果达不到相应使用效果，投标文件却以无偏离甚至以正偏离响应，以虚假应标论处。</w:t>
            </w:r>
          </w:p>
          <w:p w14:paraId="71D76320">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k.对于以含义相同而名字不同的参数名称响应，投标人必须提供白皮书等有效证明材料，并得到医院有关专业人员的认可，以无偏离论处，否则判定为负偏离，负偏离情况下，如果投标文件标明为无偏离或正偏离响应，以虚假应标论处。</w:t>
            </w:r>
          </w:p>
          <w:p w14:paraId="181663C5">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l.复合参数，一个参数有多个技术指标，必须全部响应。如果只响应其中一部份指标，以负偏离论处，如果投标文件标明为无偏离或正偏离，以虚假应标论处。</w:t>
            </w:r>
          </w:p>
          <w:p w14:paraId="3C341B44">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m.对于区间涵盖值参数，如“频率范围为 x-y，”等，其下界值更低，上界值更高，才能判定正偏离；其中一端负偏离，不管另一端实际情况如何，均判定负偏离，如果投标文件还标明正偏离，以虚假应标论处。</w:t>
            </w:r>
          </w:p>
          <w:p w14:paraId="565254E2">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n.对于区间任意值参数，如“a≤××尺寸≤b”，“ ××尺寸”在区间 a-b 内任意一个数值均为无偏离，超出约定区间范围为负偏离，此类情形，如果投标文件仍标明为无偏离以虚假应标论处，此类参数出现正偏离，也以虚假应标论处。</w:t>
            </w:r>
          </w:p>
          <w:p w14:paraId="7B4B898C">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o.对于指定值参数：不是大于值也不是小于值，更不是区间值，只有应标数据与招标文件一致，才能定为无偏离，应标参数不一致，为负偏离。如果与应标参数不一致，而响应为“无偏离”，以虚假应标论处。</w:t>
            </w:r>
          </w:p>
          <w:p w14:paraId="0B17427D">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p.按常识，设备特殊的工作环境工作条件必须配置的软硬件才能发挥设备效用的，即使采购技术参数表没有表明，投标人也必须提供，不能以采购参数没有要求而拒绝提供。（如：除颤器有可能在远离电源的情况下使用，必须配置电池，即使招标文件没有明确标明电池，投标人也不能以此为由拒绝提供电池）。</w:t>
            </w:r>
          </w:p>
          <w:p w14:paraId="2F825A0C">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（4）试运行：设备使用科室验收人员按设备说明书要求在投标人指导下，常规负荷试运行七个工作日，没有出现异常者，为合格。</w:t>
            </w:r>
          </w:p>
          <w:p w14:paraId="711A86FB">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（5）如果发现属于负偏离，偏离表说明仍写无偏离或正偏离，属于无偏离，偏离说明仍写正偏离，作无效投标论处。</w:t>
            </w:r>
          </w:p>
          <w:p w14:paraId="6ADB4FD4">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（6）设备符合下列情形的，不予接收：</w:t>
            </w:r>
          </w:p>
          <w:p w14:paraId="0753859C">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1)设备部件损伤，影响整机外观或性能，投标人又不愿意更换的不予接收。</w:t>
            </w:r>
          </w:p>
          <w:p w14:paraId="46C93BEB">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2)带▲号的参数，必须百分之百满足，验收发现是负偏离，不予接收。</w:t>
            </w:r>
          </w:p>
          <w:p w14:paraId="4C969B39">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3)对于标准功能或者常规操作所必须的软硬件配置，设备安全必须的软硬件配置，国家相关标准规定配置，行业内认可的配置，如果不配置，即使采购参数没有标明详细配置，投标人必须无条件提供，如不提供，设备不予接收。</w:t>
            </w:r>
          </w:p>
          <w:p w14:paraId="210023BE">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4)验收时出现一项不实质性响应采购要求或一项验收条款规定的虚假应标情形者，设备不予接收。</w:t>
            </w:r>
          </w:p>
          <w:p w14:paraId="05ADF18F">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5)设备使用没有完成，使用人员还未能独立使用，投标人必须按合同要求提供培训，否则不予接收。</w:t>
            </w:r>
          </w:p>
          <w:p w14:paraId="49A0D81E">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6)带▲号的参数，验收中发现不实质响应采购要求，设备不予接收。</w:t>
            </w:r>
          </w:p>
          <w:p w14:paraId="3DC9F73B">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（7）设备属于不予接收的情形，视为设备没有交接，投标人不得将设备放在医院任何场地，无条件搬走。</w:t>
            </w:r>
          </w:p>
          <w:p w14:paraId="35B402BD">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（8）培训条款验收：按商务要求执行。设备安装结束后，投标人必须培训使用科室的操作人员，直到熟悉掌握机器性能及操作。</w:t>
            </w:r>
          </w:p>
          <w:p w14:paraId="5A9EE505">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（9）验收合格证签署 ：设备经投标人安装人员、设备科工程技术人员、使用科室负责人、验收人员均认为合格并全部签署验收合格证后，验收合格证生效。</w:t>
            </w:r>
          </w:p>
          <w:p w14:paraId="071E3A7C">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（10）验收合格生效：验收合格日期以最后验收完成项目为准，设备验收时间计算在供货期内，按合同相关规定执行，由于投标人原因造成不按时完成验收造成逾期供货事实，由投标人承担相关合同责任。</w:t>
            </w:r>
          </w:p>
          <w:p w14:paraId="1CF7236D">
            <w:pPr>
              <w:widowControl/>
              <w:spacing w:line="360" w:lineRule="exac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11）其他要求：在设备验收时，采购人可按照推荐排名邀请其他投标人共同验收，包括所提供的产品参数的真实性、实际性能等按招标文件要求逐条测试，如发现投标产品及产品资质、性能指标不满足招标文件要求或不满足投标承诺的，视为虚假应标并报监管部门查处。</w:t>
            </w:r>
          </w:p>
        </w:tc>
      </w:tr>
      <w:tr w14:paraId="5577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14:paraId="1605B1A4">
            <w:pPr>
              <w:snapToGrid w:val="0"/>
              <w:spacing w:line="360" w:lineRule="exac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报价要求</w:t>
            </w:r>
          </w:p>
        </w:tc>
        <w:tc>
          <w:tcPr>
            <w:tcW w:w="7655" w:type="dxa"/>
            <w:noWrap/>
            <w:vAlign w:val="center"/>
          </w:tcPr>
          <w:p w14:paraId="6A1DA391">
            <w:pPr>
              <w:spacing w:line="360" w:lineRule="exact"/>
              <w:jc w:val="left"/>
              <w:rPr>
                <w:rFonts w:ascii="宋体" w:hAnsi="宋体" w:cs="宋体"/>
                <w:color w:val="000000"/>
                <w:szCs w:val="21"/>
                <w:highlight w:val="none"/>
              </w:rPr>
            </w:pPr>
            <w:r>
              <w:rPr>
                <w:rFonts w:hint="eastAsia" w:ascii="宋体" w:hAnsi="宋体" w:cs="宋体"/>
                <w:color w:val="000000"/>
                <w:szCs w:val="21"/>
                <w:highlight w:val="none"/>
              </w:rPr>
              <w:t>1.投标报价包括但不限于货款、标准附件、备品备件、专用工具、包装、运输、装卸、保险、税金、货到就位以及安装、调试、培训、保修、验收等一切税金和费用。投标人在固定总价中必须考虑各种风险费用。在合同履行过程中，采购人不予支付合同以外的其他费用。投标人负责工人人身、设备安全责任，验收前，设备丢失自行负责。</w:t>
            </w:r>
          </w:p>
          <w:p w14:paraId="4387A91D">
            <w:pPr>
              <w:spacing w:line="360" w:lineRule="exact"/>
              <w:jc w:val="left"/>
              <w:rPr>
                <w:rFonts w:ascii="宋体" w:hAnsi="宋体" w:cs="宋体"/>
                <w:color w:val="000000"/>
                <w:szCs w:val="21"/>
                <w:highlight w:val="none"/>
              </w:rPr>
            </w:pPr>
            <w:r>
              <w:rPr>
                <w:rFonts w:hint="eastAsia" w:ascii="宋体" w:hAnsi="宋体" w:cs="宋体"/>
                <w:color w:val="000000"/>
                <w:szCs w:val="21"/>
                <w:highlight w:val="none"/>
              </w:rPr>
              <w:t>2.要求投标货物是全新的、未经改装的、合格的、满足本项目技术需求及要求的货物，提供的货物及制作安装采用的各种配件、材料均必须满足国家和行业规范标准。</w:t>
            </w:r>
          </w:p>
        </w:tc>
      </w:tr>
      <w:tr w14:paraId="4D83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14:paraId="280BB56F">
            <w:pPr>
              <w:snapToGrid w:val="0"/>
              <w:spacing w:line="360" w:lineRule="exact"/>
              <w:ind w:firstLine="198"/>
              <w:jc w:val="center"/>
              <w:rPr>
                <w:rFonts w:ascii="宋体" w:hAnsi="宋体" w:cs="宋体"/>
                <w:b/>
                <w:bCs/>
                <w:color w:val="000000"/>
                <w:szCs w:val="21"/>
                <w:highlight w:val="none"/>
              </w:rPr>
            </w:pPr>
            <w:r>
              <w:rPr>
                <w:rFonts w:hint="eastAsia" w:ascii="宋体" w:hAnsi="宋体" w:cs="宋体"/>
                <w:b/>
                <w:color w:val="000000"/>
                <w:kern w:val="0"/>
                <w:szCs w:val="21"/>
                <w:highlight w:val="none"/>
              </w:rPr>
              <w:t>三、其他</w:t>
            </w:r>
          </w:p>
        </w:tc>
        <w:tc>
          <w:tcPr>
            <w:tcW w:w="7655" w:type="dxa"/>
            <w:noWrap/>
            <w:vAlign w:val="center"/>
          </w:tcPr>
          <w:p w14:paraId="7EA7775A">
            <w:pPr>
              <w:spacing w:line="360" w:lineRule="exact"/>
              <w:rPr>
                <w:rFonts w:ascii="宋体" w:hAnsi="宋体" w:cs="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投标人在投标活动中如提供任何虚假材料，以及投标产品的技术参数不如实说明，</w:t>
            </w:r>
            <w:r>
              <w:rPr>
                <w:rFonts w:hint="eastAsia" w:ascii="宋体" w:hAnsi="宋体" w:cs="宋体"/>
                <w:b/>
                <w:color w:val="000000"/>
                <w:szCs w:val="21"/>
                <w:highlight w:val="none"/>
              </w:rPr>
              <w:t>其投标无效</w:t>
            </w:r>
            <w:r>
              <w:rPr>
                <w:rFonts w:hint="eastAsia" w:ascii="宋体" w:hAnsi="宋体" w:cs="宋体"/>
                <w:color w:val="000000"/>
                <w:szCs w:val="21"/>
                <w:highlight w:val="none"/>
              </w:rPr>
              <w:t>，并报监管部门查处。</w:t>
            </w:r>
          </w:p>
          <w:p w14:paraId="0D33049E">
            <w:pPr>
              <w:spacing w:line="360" w:lineRule="exact"/>
              <w:rPr>
                <w:rFonts w:ascii="宋体" w:hAnsi="宋体" w:cs="宋体"/>
                <w:color w:val="000000"/>
                <w:szCs w:val="21"/>
                <w:highlight w:val="none"/>
              </w:rPr>
            </w:pPr>
            <w:r>
              <w:rPr>
                <w:rFonts w:ascii="宋体" w:hAnsi="宋体" w:cs="宋体"/>
                <w:color w:val="000000"/>
                <w:szCs w:val="21"/>
                <w:highlight w:val="none"/>
              </w:rPr>
              <w:t>2.</w:t>
            </w:r>
            <w:r>
              <w:rPr>
                <w:rFonts w:hint="eastAsia" w:ascii="宋体" w:hAnsi="宋体" w:cs="宋体"/>
                <w:color w:val="000000"/>
                <w:szCs w:val="21"/>
                <w:highlight w:val="none"/>
              </w:rPr>
              <w:t>若中标人所供产品及售后服务不按招标文件要求履约的，将按照相关有关规定严肃处理。</w:t>
            </w:r>
          </w:p>
          <w:p w14:paraId="1BB75ED2">
            <w:pPr>
              <w:spacing w:line="360" w:lineRule="exact"/>
              <w:rPr>
                <w:rFonts w:ascii="宋体" w:hAnsi="宋体" w:cs="宋体"/>
                <w:color w:val="000000"/>
                <w:szCs w:val="21"/>
                <w:highlight w:val="none"/>
              </w:rPr>
            </w:pPr>
            <w:r>
              <w:rPr>
                <w:rFonts w:ascii="宋体" w:hAnsi="宋体" w:cs="宋体"/>
                <w:color w:val="000000"/>
                <w:szCs w:val="21"/>
                <w:highlight w:val="none"/>
              </w:rPr>
              <w:t>3.</w:t>
            </w:r>
            <w:r>
              <w:rPr>
                <w:rFonts w:hint="eastAsia" w:ascii="宋体" w:hAnsi="宋体" w:cs="宋体"/>
                <w:color w:val="000000"/>
                <w:szCs w:val="21"/>
                <w:highlight w:val="none"/>
              </w:rPr>
              <w:t>投标人在投标文件中针对本项目提供切实可行的售后服务方案，项目实施方案、质量保证措施</w:t>
            </w:r>
            <w:r>
              <w:rPr>
                <w:rFonts w:hint="eastAsia" w:ascii="宋体" w:hAnsi="宋体" w:cs="宋体"/>
                <w:color w:val="000000"/>
                <w:szCs w:val="21"/>
                <w:highlight w:val="none"/>
                <w:lang w:val="en-US" w:eastAsia="zh-CN"/>
              </w:rPr>
              <w:t>及拟投入本项目的人员信息</w:t>
            </w:r>
            <w:r>
              <w:rPr>
                <w:rFonts w:hint="eastAsia" w:ascii="宋体" w:hAnsi="宋体" w:cs="宋体"/>
                <w:color w:val="000000"/>
                <w:szCs w:val="21"/>
                <w:highlight w:val="none"/>
              </w:rPr>
              <w:t>等。</w:t>
            </w:r>
          </w:p>
          <w:p w14:paraId="525FBCFC">
            <w:pPr>
              <w:spacing w:before="25" w:after="25" w:line="360" w:lineRule="exact"/>
              <w:jc w:val="left"/>
              <w:rPr>
                <w:rFonts w:ascii="宋体" w:hAnsi="宋体" w:cs="宋体"/>
                <w:b/>
                <w:color w:val="000000"/>
                <w:szCs w:val="21"/>
                <w:highlight w:val="none"/>
              </w:rPr>
            </w:pPr>
            <w:r>
              <w:rPr>
                <w:rFonts w:ascii="宋体" w:hAnsi="宋体" w:cs="宋体"/>
                <w:color w:val="000000"/>
                <w:szCs w:val="21"/>
                <w:highlight w:val="none"/>
              </w:rPr>
              <w:t>4.</w:t>
            </w:r>
            <w:r>
              <w:rPr>
                <w:rFonts w:hint="eastAsia"/>
                <w:color w:val="000000"/>
                <w:highlight w:val="none"/>
              </w:rPr>
              <w:t xml:space="preserve"> </w:t>
            </w:r>
            <w:r>
              <w:rPr>
                <w:rFonts w:hint="eastAsia" w:ascii="宋体" w:hAnsi="宋体" w:cs="宋体"/>
                <w:color w:val="000000"/>
                <w:szCs w:val="21"/>
                <w:highlight w:val="none"/>
              </w:rPr>
              <w:t>进口产品说明：本分标货物不接受进口产品（即通过中国海关报关验放进入中国境内且产自关境外的产品）参与投标，如有进口产品参与投标的作无效标处理。</w:t>
            </w:r>
          </w:p>
          <w:p w14:paraId="7DF112B7">
            <w:pPr>
              <w:spacing w:before="25" w:after="25" w:line="360" w:lineRule="exact"/>
              <w:jc w:val="left"/>
              <w:rPr>
                <w:rFonts w:hint="eastAsia" w:ascii="宋体" w:hAnsi="宋体" w:cs="宋体"/>
                <w:color w:val="000000"/>
                <w:szCs w:val="21"/>
                <w:highlight w:val="none"/>
              </w:rPr>
            </w:pPr>
            <w:r>
              <w:rPr>
                <w:rFonts w:hint="eastAsia" w:ascii="宋体" w:hAnsi="宋体" w:cs="宋体"/>
                <w:color w:val="000000"/>
                <w:szCs w:val="21"/>
                <w:highlight w:val="none"/>
              </w:rPr>
              <w:t>5.货物一览表中，中标注“▲”项的内容为实质性响应条款，必须满足或优于，</w:t>
            </w:r>
            <w:r>
              <w:rPr>
                <w:rFonts w:hint="eastAsia" w:ascii="宋体" w:hAnsi="宋体" w:cs="宋体"/>
                <w:b/>
                <w:color w:val="000000"/>
                <w:szCs w:val="21"/>
                <w:highlight w:val="none"/>
              </w:rPr>
              <w:t>否则投标无效</w:t>
            </w:r>
            <w:r>
              <w:rPr>
                <w:rFonts w:hint="eastAsia" w:ascii="宋体" w:hAnsi="宋体" w:cs="宋体"/>
                <w:color w:val="000000"/>
                <w:szCs w:val="21"/>
                <w:highlight w:val="none"/>
              </w:rPr>
              <w:t>；不带“▲”的参数发生负偏离达6项（含）以上的，视为不实质性响应招标文件要求，</w:t>
            </w:r>
            <w:r>
              <w:rPr>
                <w:rFonts w:hint="eastAsia" w:ascii="宋体" w:hAnsi="宋体" w:cs="宋体"/>
                <w:b/>
                <w:color w:val="000000"/>
                <w:szCs w:val="21"/>
                <w:highlight w:val="none"/>
              </w:rPr>
              <w:t>评审时投标文件将被作为无效文件处理</w:t>
            </w:r>
            <w:r>
              <w:rPr>
                <w:rFonts w:hint="eastAsia" w:ascii="宋体" w:hAnsi="宋体" w:cs="宋体"/>
                <w:color w:val="000000"/>
                <w:szCs w:val="21"/>
                <w:highlight w:val="none"/>
              </w:rPr>
              <w:t>。</w:t>
            </w:r>
          </w:p>
          <w:p w14:paraId="5335CF3A">
            <w:pPr>
              <w:spacing w:before="25" w:after="25" w:line="360" w:lineRule="exact"/>
              <w:jc w:val="left"/>
              <w:rPr>
                <w:rFonts w:hint="eastAsia" w:ascii="宋体" w:hAnsi="宋体" w:cs="宋体"/>
                <w:color w:val="000000"/>
                <w:szCs w:val="21"/>
                <w:highlight w:val="none"/>
              </w:rPr>
            </w:pPr>
            <w:r>
              <w:rPr>
                <w:rFonts w:hint="eastAsia" w:ascii="宋体" w:hAnsi="宋体" w:cs="宋体"/>
                <w:color w:val="000000"/>
                <w:szCs w:val="21"/>
                <w:highlight w:val="none"/>
              </w:rPr>
              <w:t>6.本分标核心产品为第1项货物“麻醉机”。|</w:t>
            </w:r>
          </w:p>
          <w:p w14:paraId="45E27E5E">
            <w:pPr>
              <w:spacing w:before="25" w:after="25" w:line="360" w:lineRule="exact"/>
              <w:jc w:val="left"/>
              <w:rPr>
                <w:rFonts w:ascii="宋体" w:hAnsi="宋体" w:cs="宋体"/>
                <w:color w:val="000000"/>
                <w:szCs w:val="21"/>
                <w:highlight w:val="none"/>
              </w:rPr>
            </w:pPr>
            <w:r>
              <w:rPr>
                <w:rFonts w:hint="eastAsia" w:ascii="宋体" w:hAnsi="宋体" w:cs="宋体"/>
                <w:color w:val="000000"/>
                <w:szCs w:val="21"/>
                <w:highlight w:val="none"/>
              </w:rPr>
              <w:t>▲7.</w:t>
            </w:r>
            <w:bookmarkStart w:id="52" w:name="OLE_LINK75"/>
            <w:r>
              <w:rPr>
                <w:rFonts w:hint="eastAsia" w:ascii="宋体" w:hAnsi="宋体" w:cs="宋体"/>
                <w:color w:val="000000"/>
                <w:szCs w:val="21"/>
                <w:highlight w:val="none"/>
              </w:rPr>
              <w:t>供货时提供各项产品的生产厂家的授权书，注册证等材料</w:t>
            </w:r>
            <w:bookmarkEnd w:id="52"/>
            <w:r>
              <w:rPr>
                <w:rFonts w:hint="eastAsia" w:ascii="宋体" w:hAnsi="宋体" w:cs="宋体"/>
                <w:color w:val="000000"/>
                <w:szCs w:val="21"/>
                <w:highlight w:val="none"/>
              </w:rPr>
              <w:t>。</w:t>
            </w:r>
          </w:p>
        </w:tc>
      </w:tr>
    </w:tbl>
    <w:p w14:paraId="37940834">
      <w:pPr>
        <w:widowControl/>
        <w:jc w:val="left"/>
        <w:rPr>
          <w:rFonts w:ascii="宋体" w:hAnsi="宋体"/>
          <w:color w:val="000000"/>
          <w:sz w:val="30"/>
          <w:szCs w:val="30"/>
          <w:highlight w:val="none"/>
        </w:rPr>
      </w:pPr>
    </w:p>
    <w:p w14:paraId="1C66D4A7">
      <w:pPr>
        <w:spacing w:line="380" w:lineRule="exact"/>
        <w:rPr>
          <w:rFonts w:ascii="宋体" w:hAnsi="宋体"/>
          <w:color w:val="000000"/>
          <w:szCs w:val="21"/>
          <w:highlight w:val="none"/>
        </w:rPr>
      </w:pPr>
      <w:r>
        <w:rPr>
          <w:rFonts w:ascii="宋体" w:hAnsi="宋体"/>
          <w:color w:val="000000"/>
          <w:szCs w:val="21"/>
          <w:highlight w:val="none"/>
        </w:rPr>
        <w:br w:type="page"/>
      </w:r>
      <w:r>
        <w:rPr>
          <w:rFonts w:hint="eastAsia" w:ascii="宋体" w:hAnsi="宋体"/>
          <w:b/>
          <w:color w:val="000000"/>
          <w:kern w:val="0"/>
          <w:sz w:val="24"/>
          <w:highlight w:val="none"/>
          <w:u w:val="single"/>
        </w:rPr>
        <w:t>B分标</w:t>
      </w:r>
    </w:p>
    <w:p w14:paraId="52102E5A">
      <w:pPr>
        <w:spacing w:line="380" w:lineRule="exact"/>
        <w:rPr>
          <w:rFonts w:ascii="宋体" w:hAnsi="宋体"/>
          <w:b/>
          <w:color w:val="000000"/>
          <w:kern w:val="0"/>
          <w:sz w:val="24"/>
          <w:highlight w:val="none"/>
          <w:u w:val="single"/>
        </w:rPr>
      </w:pPr>
      <w:r>
        <w:rPr>
          <w:rFonts w:hint="eastAsia" w:ascii="宋体" w:hAnsi="宋体"/>
          <w:b/>
          <w:color w:val="000000"/>
          <w:kern w:val="0"/>
          <w:sz w:val="24"/>
          <w:highlight w:val="none"/>
          <w:u w:val="single"/>
        </w:rPr>
        <w:t>各个标的的所属行业：工业</w:t>
      </w:r>
    </w:p>
    <w:p w14:paraId="19709857">
      <w:pPr>
        <w:spacing w:line="380" w:lineRule="exact"/>
        <w:rPr>
          <w:rFonts w:ascii="宋体" w:hAnsi="宋体"/>
          <w:b/>
          <w:color w:val="000000"/>
          <w:kern w:val="0"/>
          <w:sz w:val="24"/>
          <w:highlight w:val="none"/>
          <w:u w:val="single"/>
        </w:rPr>
      </w:pPr>
    </w:p>
    <w:tbl>
      <w:tblPr>
        <w:tblStyle w:val="45"/>
        <w:tblW w:w="90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1"/>
        <w:gridCol w:w="844"/>
        <w:gridCol w:w="813"/>
        <w:gridCol w:w="5702"/>
        <w:gridCol w:w="1217"/>
      </w:tblGrid>
      <w:tr w14:paraId="32B3A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1" w:type="dxa"/>
            <w:noWrap w:val="0"/>
            <w:vAlign w:val="top"/>
          </w:tcPr>
          <w:p w14:paraId="260BA72B">
            <w:pPr>
              <w:tabs>
                <w:tab w:val="left" w:pos="180"/>
                <w:tab w:val="left" w:pos="1620"/>
              </w:tabs>
              <w:spacing w:line="360" w:lineRule="auto"/>
              <w:jc w:val="center"/>
              <w:rPr>
                <w:rFonts w:ascii="宋体" w:hAnsi="宋体"/>
                <w:b/>
                <w:color w:val="000000"/>
                <w:szCs w:val="21"/>
                <w:highlight w:val="none"/>
              </w:rPr>
            </w:pPr>
            <w:r>
              <w:rPr>
                <w:rFonts w:ascii="宋体" w:hAnsi="宋体"/>
                <w:b/>
                <w:color w:val="000000"/>
                <w:szCs w:val="21"/>
                <w:highlight w:val="none"/>
              </w:rPr>
              <w:t>序号</w:t>
            </w:r>
          </w:p>
        </w:tc>
        <w:tc>
          <w:tcPr>
            <w:tcW w:w="844" w:type="dxa"/>
            <w:noWrap w:val="0"/>
            <w:vAlign w:val="top"/>
          </w:tcPr>
          <w:p w14:paraId="68262099">
            <w:pPr>
              <w:tabs>
                <w:tab w:val="left" w:pos="180"/>
                <w:tab w:val="left" w:pos="1620"/>
              </w:tabs>
              <w:spacing w:line="360" w:lineRule="auto"/>
              <w:jc w:val="center"/>
              <w:rPr>
                <w:rFonts w:ascii="宋体" w:hAnsi="宋体"/>
                <w:b/>
                <w:color w:val="000000"/>
                <w:szCs w:val="21"/>
                <w:highlight w:val="none"/>
              </w:rPr>
            </w:pPr>
            <w:r>
              <w:rPr>
                <w:rFonts w:hint="eastAsia" w:ascii="宋体" w:hAnsi="宋体"/>
                <w:b/>
                <w:color w:val="000000"/>
                <w:szCs w:val="21"/>
                <w:highlight w:val="none"/>
              </w:rPr>
              <w:t>标的</w:t>
            </w:r>
            <w:r>
              <w:rPr>
                <w:rFonts w:ascii="宋体" w:hAnsi="宋体"/>
                <w:b/>
                <w:color w:val="000000"/>
                <w:szCs w:val="21"/>
                <w:highlight w:val="none"/>
              </w:rPr>
              <w:t>名称</w:t>
            </w:r>
          </w:p>
        </w:tc>
        <w:tc>
          <w:tcPr>
            <w:tcW w:w="813" w:type="dxa"/>
            <w:noWrap w:val="0"/>
            <w:vAlign w:val="top"/>
          </w:tcPr>
          <w:p w14:paraId="124CB4B7">
            <w:pPr>
              <w:tabs>
                <w:tab w:val="left" w:pos="180"/>
                <w:tab w:val="left" w:pos="1620"/>
              </w:tabs>
              <w:spacing w:line="360" w:lineRule="auto"/>
              <w:jc w:val="center"/>
              <w:rPr>
                <w:rFonts w:ascii="宋体" w:hAnsi="宋体"/>
                <w:b/>
                <w:color w:val="000000"/>
                <w:szCs w:val="21"/>
                <w:highlight w:val="none"/>
              </w:rPr>
            </w:pPr>
            <w:r>
              <w:rPr>
                <w:rFonts w:ascii="宋体" w:hAnsi="宋体"/>
                <w:b/>
                <w:color w:val="000000"/>
                <w:szCs w:val="21"/>
                <w:highlight w:val="none"/>
              </w:rPr>
              <w:t>数量</w:t>
            </w:r>
            <w:r>
              <w:rPr>
                <w:rFonts w:hint="eastAsia" w:ascii="宋体" w:hAnsi="宋体"/>
                <w:b/>
                <w:color w:val="000000"/>
                <w:szCs w:val="21"/>
                <w:highlight w:val="none"/>
              </w:rPr>
              <w:t>/单位</w:t>
            </w:r>
          </w:p>
        </w:tc>
        <w:tc>
          <w:tcPr>
            <w:tcW w:w="5702" w:type="dxa"/>
            <w:noWrap w:val="0"/>
            <w:vAlign w:val="top"/>
          </w:tcPr>
          <w:p w14:paraId="06AC8EEE">
            <w:pPr>
              <w:tabs>
                <w:tab w:val="left" w:pos="180"/>
                <w:tab w:val="left" w:pos="1620"/>
              </w:tabs>
              <w:spacing w:line="360" w:lineRule="auto"/>
              <w:jc w:val="center"/>
              <w:rPr>
                <w:rFonts w:ascii="宋体" w:hAnsi="宋体"/>
                <w:b/>
                <w:color w:val="000000"/>
                <w:szCs w:val="21"/>
                <w:highlight w:val="none"/>
              </w:rPr>
            </w:pPr>
            <w:r>
              <w:rPr>
                <w:rFonts w:ascii="宋体" w:hAnsi="宋体"/>
                <w:b/>
                <w:color w:val="000000"/>
                <w:szCs w:val="21"/>
                <w:highlight w:val="none"/>
              </w:rPr>
              <w:t>技术参数</w:t>
            </w:r>
          </w:p>
        </w:tc>
        <w:tc>
          <w:tcPr>
            <w:tcW w:w="1217" w:type="dxa"/>
            <w:noWrap w:val="0"/>
            <w:vAlign w:val="center"/>
          </w:tcPr>
          <w:p w14:paraId="7C8E5F2D">
            <w:pPr>
              <w:tabs>
                <w:tab w:val="left" w:pos="180"/>
                <w:tab w:val="left" w:pos="1620"/>
              </w:tabs>
              <w:spacing w:line="360" w:lineRule="auto"/>
              <w:jc w:val="center"/>
              <w:rPr>
                <w:rFonts w:ascii="宋体" w:hAnsi="宋体"/>
                <w:b/>
                <w:color w:val="000000"/>
                <w:szCs w:val="21"/>
                <w:highlight w:val="none"/>
              </w:rPr>
            </w:pPr>
            <w:r>
              <w:rPr>
                <w:rFonts w:hint="eastAsia" w:ascii="宋体" w:hAnsi="宋体"/>
                <w:b/>
                <w:color w:val="000000"/>
                <w:szCs w:val="21"/>
                <w:highlight w:val="none"/>
              </w:rPr>
              <w:t>最高限价</w:t>
            </w:r>
          </w:p>
          <w:p w14:paraId="592609D0">
            <w:pPr>
              <w:tabs>
                <w:tab w:val="left" w:pos="180"/>
                <w:tab w:val="left" w:pos="1620"/>
              </w:tabs>
              <w:spacing w:line="360" w:lineRule="auto"/>
              <w:jc w:val="center"/>
              <w:rPr>
                <w:rFonts w:ascii="宋体" w:hAnsi="宋体"/>
                <w:b/>
                <w:color w:val="000000"/>
                <w:szCs w:val="21"/>
                <w:highlight w:val="none"/>
              </w:rPr>
            </w:pPr>
            <w:r>
              <w:rPr>
                <w:rFonts w:hint="eastAsia" w:ascii="宋体" w:hAnsi="宋体"/>
                <w:b/>
                <w:color w:val="000000"/>
                <w:szCs w:val="21"/>
                <w:highlight w:val="none"/>
              </w:rPr>
              <w:t>（万元）</w:t>
            </w:r>
          </w:p>
        </w:tc>
      </w:tr>
      <w:tr w14:paraId="3157F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1" w:type="dxa"/>
            <w:noWrap w:val="0"/>
            <w:vAlign w:val="center"/>
          </w:tcPr>
          <w:p w14:paraId="3647F5A2">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1</w:t>
            </w:r>
          </w:p>
        </w:tc>
        <w:tc>
          <w:tcPr>
            <w:tcW w:w="844" w:type="dxa"/>
            <w:noWrap w:val="0"/>
            <w:vAlign w:val="center"/>
          </w:tcPr>
          <w:p w14:paraId="19770A55">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手术内窥镜（电切镜）</w:t>
            </w:r>
          </w:p>
        </w:tc>
        <w:tc>
          <w:tcPr>
            <w:tcW w:w="813" w:type="dxa"/>
            <w:noWrap w:val="0"/>
            <w:vAlign w:val="center"/>
          </w:tcPr>
          <w:p w14:paraId="1FFB2CD5">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702" w:type="dxa"/>
            <w:noWrap w:val="0"/>
            <w:vAlign w:val="top"/>
          </w:tcPr>
          <w:p w14:paraId="698E496F">
            <w:pPr>
              <w:widowControl/>
              <w:wordWrap w:val="0"/>
              <w:spacing w:line="360" w:lineRule="exact"/>
              <w:rPr>
                <w:rFonts w:ascii="宋体" w:hAnsi="宋体"/>
                <w:color w:val="000000"/>
                <w:szCs w:val="21"/>
                <w:highlight w:val="none"/>
              </w:rPr>
            </w:pPr>
            <w:r>
              <w:rPr>
                <w:rFonts w:hint="eastAsia" w:ascii="宋体" w:hAnsi="宋体"/>
                <w:color w:val="000000"/>
                <w:szCs w:val="21"/>
                <w:highlight w:val="none"/>
              </w:rPr>
              <w:t>1、技术参数</w:t>
            </w:r>
          </w:p>
          <w:p w14:paraId="27B51480">
            <w:pPr>
              <w:widowControl/>
              <w:wordWrap w:val="0"/>
              <w:spacing w:line="360" w:lineRule="exact"/>
              <w:rPr>
                <w:rFonts w:ascii="宋体" w:hAnsi="宋体"/>
                <w:color w:val="000000"/>
                <w:szCs w:val="21"/>
                <w:highlight w:val="none"/>
              </w:rPr>
            </w:pPr>
            <w:r>
              <w:rPr>
                <w:rFonts w:hint="eastAsia" w:ascii="宋体" w:hAnsi="宋体"/>
                <w:color w:val="000000"/>
                <w:szCs w:val="21"/>
                <w:highlight w:val="none"/>
              </w:rPr>
              <w:t>1.内窥镜：视向角≤30°，镜管外径：≤φ4mm，工作长度≥302mm；</w:t>
            </w:r>
          </w:p>
          <w:p w14:paraId="10F6C291">
            <w:pPr>
              <w:widowControl/>
              <w:wordWrap w:val="0"/>
              <w:spacing w:line="360" w:lineRule="exact"/>
              <w:rPr>
                <w:rFonts w:ascii="宋体" w:hAnsi="宋体"/>
                <w:color w:val="000000"/>
                <w:szCs w:val="21"/>
                <w:highlight w:val="none"/>
              </w:rPr>
            </w:pPr>
            <w:r>
              <w:rPr>
                <w:rFonts w:hint="eastAsia" w:ascii="宋体" w:hAnsi="宋体"/>
                <w:color w:val="000000"/>
                <w:szCs w:val="21"/>
                <w:highlight w:val="none"/>
              </w:rPr>
              <w:t>2.内窥镜的金属配件全部采用医用不锈钢制造，物镜前保护片采用光洁、耐磨的蓝宝石材料，视场内装有三角形方向标；</w:t>
            </w:r>
          </w:p>
          <w:p w14:paraId="17CC9A2A">
            <w:pPr>
              <w:widowControl/>
              <w:wordWrap w:val="0"/>
              <w:spacing w:line="360" w:lineRule="exact"/>
              <w:rPr>
                <w:rFonts w:ascii="宋体" w:hAnsi="宋体"/>
                <w:color w:val="000000"/>
                <w:szCs w:val="21"/>
                <w:highlight w:val="none"/>
              </w:rPr>
            </w:pPr>
            <w:r>
              <w:rPr>
                <w:rFonts w:hint="eastAsia" w:ascii="宋体" w:hAnsi="宋体"/>
                <w:color w:val="000000"/>
                <w:szCs w:val="21"/>
                <w:highlight w:val="none"/>
              </w:rPr>
              <w:t>3.工作手柄：被动式；</w:t>
            </w:r>
          </w:p>
          <w:p w14:paraId="6AD549F3">
            <w:pPr>
              <w:widowControl/>
              <w:wordWrap w:val="0"/>
              <w:spacing w:line="360" w:lineRule="exact"/>
              <w:rPr>
                <w:rFonts w:ascii="宋体" w:hAnsi="宋体"/>
                <w:color w:val="000000"/>
                <w:szCs w:val="21"/>
                <w:highlight w:val="none"/>
              </w:rPr>
            </w:pPr>
            <w:r>
              <w:rPr>
                <w:rFonts w:hint="eastAsia" w:ascii="宋体" w:hAnsi="宋体"/>
                <w:color w:val="000000"/>
                <w:szCs w:val="21"/>
                <w:highlight w:val="none"/>
              </w:rPr>
              <w:t>4.外鞘 ：≤26Fr、带进出水开关，可持续灌流；</w:t>
            </w:r>
          </w:p>
          <w:p w14:paraId="011BC51C">
            <w:pPr>
              <w:widowControl/>
              <w:wordWrap w:val="0"/>
              <w:spacing w:line="360" w:lineRule="exact"/>
              <w:rPr>
                <w:rFonts w:ascii="宋体" w:hAnsi="宋体"/>
                <w:color w:val="000000"/>
                <w:szCs w:val="21"/>
                <w:highlight w:val="none"/>
              </w:rPr>
            </w:pPr>
            <w:r>
              <w:rPr>
                <w:rFonts w:hint="eastAsia" w:ascii="宋体" w:hAnsi="宋体"/>
                <w:color w:val="000000"/>
                <w:szCs w:val="21"/>
                <w:highlight w:val="none"/>
              </w:rPr>
              <w:t>5.内鞘 ：≤24Fr、可360°旋转 ，可持续灌流；</w:t>
            </w:r>
          </w:p>
          <w:p w14:paraId="6DBFF2F0">
            <w:pPr>
              <w:widowControl/>
              <w:wordWrap w:val="0"/>
              <w:spacing w:line="360" w:lineRule="exact"/>
              <w:rPr>
                <w:rFonts w:ascii="宋体" w:hAnsi="宋体"/>
                <w:color w:val="000000"/>
                <w:szCs w:val="21"/>
                <w:highlight w:val="none"/>
              </w:rPr>
            </w:pPr>
            <w:r>
              <w:rPr>
                <w:rFonts w:hint="eastAsia" w:ascii="宋体" w:hAnsi="宋体"/>
                <w:color w:val="000000"/>
                <w:szCs w:val="21"/>
                <w:highlight w:val="none"/>
              </w:rPr>
              <w:t>6.闭孔器、内鞘进水接头、冲洗接头：采用医用不锈钢制造</w:t>
            </w:r>
          </w:p>
          <w:p w14:paraId="2F5FC8CF">
            <w:pPr>
              <w:widowControl/>
              <w:wordWrap w:val="0"/>
              <w:spacing w:line="360" w:lineRule="exact"/>
              <w:rPr>
                <w:rFonts w:ascii="宋体" w:hAnsi="宋体"/>
                <w:color w:val="000000"/>
                <w:szCs w:val="21"/>
                <w:highlight w:val="none"/>
              </w:rPr>
            </w:pPr>
            <w:r>
              <w:rPr>
                <w:rFonts w:hint="eastAsia" w:ascii="宋体" w:hAnsi="宋体"/>
                <w:color w:val="000000"/>
                <w:szCs w:val="21"/>
                <w:highlight w:val="none"/>
              </w:rPr>
              <w:t>7.冲洗瓶： 霍夫曼式；</w:t>
            </w:r>
          </w:p>
          <w:p w14:paraId="46309C7E">
            <w:pPr>
              <w:widowControl/>
              <w:wordWrap w:val="0"/>
              <w:spacing w:line="360" w:lineRule="exact"/>
              <w:rPr>
                <w:rFonts w:ascii="宋体" w:hAnsi="宋体"/>
                <w:color w:val="000000"/>
                <w:szCs w:val="21"/>
                <w:highlight w:val="none"/>
              </w:rPr>
            </w:pPr>
            <w:r>
              <w:rPr>
                <w:rFonts w:hint="eastAsia" w:ascii="宋体" w:hAnsi="宋体"/>
                <w:color w:val="000000"/>
                <w:szCs w:val="21"/>
                <w:highlight w:val="none"/>
              </w:rPr>
              <w:t>8.电切镜与高频电切手术设备配套使用；</w:t>
            </w:r>
          </w:p>
          <w:p w14:paraId="5E7737BD">
            <w:pPr>
              <w:keepNext/>
              <w:keepLines/>
              <w:spacing w:before="280" w:after="290" w:line="376" w:lineRule="auto"/>
              <w:outlineLvl w:val="3"/>
              <w:rPr>
                <w:rFonts w:hint="eastAsia" w:ascii="宋体" w:hAnsi="宋体"/>
                <w:color w:val="000000"/>
                <w:szCs w:val="21"/>
                <w:highlight w:val="none"/>
              </w:rPr>
            </w:pPr>
            <w:r>
              <w:rPr>
                <w:rFonts w:hint="eastAsia" w:ascii="宋体" w:hAnsi="宋体"/>
                <w:color w:val="000000"/>
                <w:szCs w:val="21"/>
                <w:highlight w:val="none"/>
              </w:rPr>
              <w:t xml:space="preserve">9.投标人根据所投设备在投标文件中提供配置清单：至少包含以下表格中包含的配置项，且至少包含配置项名称、规格、数量、单位等； </w:t>
            </w:r>
          </w:p>
          <w:tbl>
            <w:tblPr>
              <w:tblStyle w:val="45"/>
              <w:tblW w:w="5070" w:type="dxa"/>
              <w:tblInd w:w="0" w:type="dxa"/>
              <w:tblBorders>
                <w:top w:val="none" w:color="auto" w:sz="0"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1"/>
              <w:gridCol w:w="2288"/>
              <w:gridCol w:w="1056"/>
              <w:gridCol w:w="1056"/>
            </w:tblGrid>
            <w:tr w14:paraId="58A6E27A">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081" w:type="dxa"/>
                  <w:tcBorders>
                    <w:top w:val="single" w:color="000000" w:sz="4" w:space="0"/>
                    <w:left w:val="single" w:color="000000" w:sz="4" w:space="0"/>
                    <w:bottom w:val="single" w:color="000000" w:sz="4" w:space="0"/>
                    <w:right w:val="single" w:color="000000" w:sz="4" w:space="0"/>
                  </w:tcBorders>
                  <w:noWrap/>
                  <w:vAlign w:val="center"/>
                </w:tcPr>
                <w:p w14:paraId="273C4A95">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序号</w:t>
                  </w:r>
                </w:p>
              </w:tc>
              <w:tc>
                <w:tcPr>
                  <w:tcW w:w="2288" w:type="dxa"/>
                  <w:tcBorders>
                    <w:top w:val="single" w:color="000000" w:sz="4" w:space="0"/>
                    <w:left w:val="single" w:color="000000" w:sz="4" w:space="0"/>
                    <w:bottom w:val="single" w:color="000000" w:sz="4" w:space="0"/>
                    <w:right w:val="single" w:color="000000" w:sz="4" w:space="0"/>
                  </w:tcBorders>
                  <w:noWrap/>
                  <w:vAlign w:val="center"/>
                </w:tcPr>
                <w:p w14:paraId="49C45421">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产品名称</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6FFDE9CA">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单位</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4D10293">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数量</w:t>
                  </w:r>
                </w:p>
              </w:tc>
            </w:tr>
            <w:tr w14:paraId="5A45B665">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081" w:type="dxa"/>
                  <w:tcBorders>
                    <w:top w:val="single" w:color="000000" w:sz="4" w:space="0"/>
                    <w:left w:val="single" w:color="000000" w:sz="4" w:space="0"/>
                    <w:bottom w:val="single" w:color="000000" w:sz="4" w:space="0"/>
                    <w:right w:val="single" w:color="000000" w:sz="4" w:space="0"/>
                  </w:tcBorders>
                  <w:noWrap/>
                  <w:vAlign w:val="center"/>
                </w:tcPr>
                <w:p w14:paraId="2D800CFE">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1</w:t>
                  </w:r>
                </w:p>
              </w:tc>
              <w:tc>
                <w:tcPr>
                  <w:tcW w:w="2288" w:type="dxa"/>
                  <w:tcBorders>
                    <w:top w:val="single" w:color="000000" w:sz="4" w:space="0"/>
                    <w:left w:val="single" w:color="000000" w:sz="4" w:space="0"/>
                    <w:bottom w:val="single" w:color="000000" w:sz="4" w:space="0"/>
                    <w:right w:val="single" w:color="000000" w:sz="4" w:space="0"/>
                  </w:tcBorders>
                  <w:noWrap/>
                  <w:vAlign w:val="center"/>
                </w:tcPr>
                <w:p w14:paraId="37631730">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内窥镜</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3E7984F8">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支</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C36335F">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1</w:t>
                  </w:r>
                </w:p>
              </w:tc>
            </w:tr>
            <w:tr w14:paraId="27392398">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081" w:type="dxa"/>
                  <w:tcBorders>
                    <w:top w:val="single" w:color="000000" w:sz="4" w:space="0"/>
                    <w:left w:val="single" w:color="000000" w:sz="4" w:space="0"/>
                    <w:bottom w:val="single" w:color="000000" w:sz="4" w:space="0"/>
                    <w:right w:val="single" w:color="000000" w:sz="4" w:space="0"/>
                  </w:tcBorders>
                  <w:noWrap/>
                  <w:vAlign w:val="center"/>
                </w:tcPr>
                <w:p w14:paraId="786F8A41">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2</w:t>
                  </w:r>
                </w:p>
              </w:tc>
              <w:tc>
                <w:tcPr>
                  <w:tcW w:w="2288" w:type="dxa"/>
                  <w:tcBorders>
                    <w:top w:val="single" w:color="000000" w:sz="4" w:space="0"/>
                    <w:left w:val="single" w:color="000000" w:sz="4" w:space="0"/>
                    <w:bottom w:val="single" w:color="000000" w:sz="4" w:space="0"/>
                    <w:right w:val="single" w:color="000000" w:sz="4" w:space="0"/>
                  </w:tcBorders>
                  <w:noWrap/>
                  <w:vAlign w:val="center"/>
                </w:tcPr>
                <w:p w14:paraId="751EF5B2">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工作手柄</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7BF9AB15">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个</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5612840">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1</w:t>
                  </w:r>
                </w:p>
              </w:tc>
            </w:tr>
            <w:tr w14:paraId="4209E2FD">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081" w:type="dxa"/>
                  <w:tcBorders>
                    <w:top w:val="single" w:color="000000" w:sz="4" w:space="0"/>
                    <w:left w:val="single" w:color="000000" w:sz="4" w:space="0"/>
                    <w:bottom w:val="single" w:color="000000" w:sz="4" w:space="0"/>
                    <w:right w:val="single" w:color="000000" w:sz="4" w:space="0"/>
                  </w:tcBorders>
                  <w:noWrap/>
                  <w:vAlign w:val="center"/>
                </w:tcPr>
                <w:p w14:paraId="5DC74EA8">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3</w:t>
                  </w:r>
                </w:p>
              </w:tc>
              <w:tc>
                <w:tcPr>
                  <w:tcW w:w="2288" w:type="dxa"/>
                  <w:tcBorders>
                    <w:top w:val="single" w:color="000000" w:sz="4" w:space="0"/>
                    <w:left w:val="single" w:color="000000" w:sz="4" w:space="0"/>
                    <w:bottom w:val="single" w:color="000000" w:sz="4" w:space="0"/>
                    <w:right w:val="single" w:color="000000" w:sz="4" w:space="0"/>
                  </w:tcBorders>
                  <w:noWrap/>
                  <w:vAlign w:val="center"/>
                </w:tcPr>
                <w:p w14:paraId="4E358D9C">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外鞘</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39D3AC8A">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支</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9FAFABF">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1</w:t>
                  </w:r>
                </w:p>
              </w:tc>
            </w:tr>
            <w:tr w14:paraId="6A2CE876">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081" w:type="dxa"/>
                  <w:tcBorders>
                    <w:top w:val="single" w:color="000000" w:sz="4" w:space="0"/>
                    <w:left w:val="single" w:color="000000" w:sz="4" w:space="0"/>
                    <w:bottom w:val="single" w:color="000000" w:sz="4" w:space="0"/>
                    <w:right w:val="single" w:color="000000" w:sz="4" w:space="0"/>
                  </w:tcBorders>
                  <w:noWrap/>
                  <w:vAlign w:val="center"/>
                </w:tcPr>
                <w:p w14:paraId="74F6904E">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4</w:t>
                  </w:r>
                </w:p>
              </w:tc>
              <w:tc>
                <w:tcPr>
                  <w:tcW w:w="2288" w:type="dxa"/>
                  <w:tcBorders>
                    <w:top w:val="single" w:color="000000" w:sz="4" w:space="0"/>
                    <w:left w:val="single" w:color="000000" w:sz="4" w:space="0"/>
                    <w:bottom w:val="single" w:color="000000" w:sz="4" w:space="0"/>
                    <w:right w:val="single" w:color="000000" w:sz="4" w:space="0"/>
                  </w:tcBorders>
                  <w:noWrap/>
                  <w:vAlign w:val="center"/>
                </w:tcPr>
                <w:p w14:paraId="7E590725">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内鞘</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23A583DB">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支</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CB541B8">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1</w:t>
                  </w:r>
                </w:p>
              </w:tc>
            </w:tr>
            <w:tr w14:paraId="1BE4B12F">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081" w:type="dxa"/>
                  <w:tcBorders>
                    <w:top w:val="single" w:color="000000" w:sz="4" w:space="0"/>
                    <w:left w:val="single" w:color="000000" w:sz="4" w:space="0"/>
                    <w:bottom w:val="single" w:color="000000" w:sz="4" w:space="0"/>
                    <w:right w:val="single" w:color="000000" w:sz="4" w:space="0"/>
                  </w:tcBorders>
                  <w:noWrap/>
                  <w:vAlign w:val="center"/>
                </w:tcPr>
                <w:p w14:paraId="57D70D22">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5</w:t>
                  </w:r>
                </w:p>
              </w:tc>
              <w:tc>
                <w:tcPr>
                  <w:tcW w:w="2288" w:type="dxa"/>
                  <w:tcBorders>
                    <w:top w:val="single" w:color="000000" w:sz="4" w:space="0"/>
                    <w:left w:val="single" w:color="000000" w:sz="4" w:space="0"/>
                    <w:bottom w:val="single" w:color="000000" w:sz="4" w:space="0"/>
                    <w:right w:val="single" w:color="000000" w:sz="4" w:space="0"/>
                  </w:tcBorders>
                  <w:noWrap/>
                  <w:vAlign w:val="center"/>
                </w:tcPr>
                <w:p w14:paraId="5A8A66C0">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闭孔器</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4CD002F6">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支</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ED53009">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1</w:t>
                  </w:r>
                </w:p>
              </w:tc>
            </w:tr>
            <w:tr w14:paraId="28809954">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081" w:type="dxa"/>
                  <w:tcBorders>
                    <w:top w:val="single" w:color="000000" w:sz="4" w:space="0"/>
                    <w:left w:val="single" w:color="000000" w:sz="4" w:space="0"/>
                    <w:bottom w:val="single" w:color="000000" w:sz="4" w:space="0"/>
                    <w:right w:val="single" w:color="000000" w:sz="4" w:space="0"/>
                  </w:tcBorders>
                  <w:noWrap/>
                  <w:vAlign w:val="center"/>
                </w:tcPr>
                <w:p w14:paraId="01153BF5">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6</w:t>
                  </w:r>
                </w:p>
              </w:tc>
              <w:tc>
                <w:tcPr>
                  <w:tcW w:w="2288" w:type="dxa"/>
                  <w:tcBorders>
                    <w:top w:val="single" w:color="000000" w:sz="4" w:space="0"/>
                    <w:left w:val="single" w:color="000000" w:sz="4" w:space="0"/>
                    <w:bottom w:val="single" w:color="000000" w:sz="4" w:space="0"/>
                    <w:right w:val="single" w:color="000000" w:sz="4" w:space="0"/>
                  </w:tcBorders>
                  <w:noWrap/>
                  <w:vAlign w:val="center"/>
                </w:tcPr>
                <w:p w14:paraId="47A99697">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内鞘进水接头</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7BC4C45F">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个</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C8CAE7E">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1</w:t>
                  </w:r>
                </w:p>
              </w:tc>
            </w:tr>
            <w:tr w14:paraId="763B1745">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081" w:type="dxa"/>
                  <w:tcBorders>
                    <w:top w:val="single" w:color="000000" w:sz="4" w:space="0"/>
                    <w:left w:val="single" w:color="000000" w:sz="4" w:space="0"/>
                    <w:bottom w:val="single" w:color="000000" w:sz="4" w:space="0"/>
                    <w:right w:val="single" w:color="000000" w:sz="4" w:space="0"/>
                  </w:tcBorders>
                  <w:noWrap/>
                  <w:vAlign w:val="center"/>
                </w:tcPr>
                <w:p w14:paraId="3BCAE305">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7</w:t>
                  </w:r>
                </w:p>
              </w:tc>
              <w:tc>
                <w:tcPr>
                  <w:tcW w:w="2288" w:type="dxa"/>
                  <w:tcBorders>
                    <w:top w:val="single" w:color="000000" w:sz="4" w:space="0"/>
                    <w:left w:val="single" w:color="000000" w:sz="4" w:space="0"/>
                    <w:bottom w:val="single" w:color="000000" w:sz="4" w:space="0"/>
                    <w:right w:val="single" w:color="000000" w:sz="4" w:space="0"/>
                  </w:tcBorders>
                  <w:noWrap/>
                  <w:vAlign w:val="center"/>
                </w:tcPr>
                <w:p w14:paraId="14ECF158">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冲洗接头</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00EFC36C">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个</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DF5DDAD">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1</w:t>
                  </w:r>
                </w:p>
              </w:tc>
            </w:tr>
            <w:tr w14:paraId="24A1C126">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081" w:type="dxa"/>
                  <w:tcBorders>
                    <w:top w:val="single" w:color="000000" w:sz="4" w:space="0"/>
                    <w:left w:val="single" w:color="000000" w:sz="4" w:space="0"/>
                    <w:bottom w:val="single" w:color="000000" w:sz="4" w:space="0"/>
                    <w:right w:val="single" w:color="000000" w:sz="4" w:space="0"/>
                  </w:tcBorders>
                  <w:noWrap/>
                  <w:vAlign w:val="center"/>
                </w:tcPr>
                <w:p w14:paraId="3BAF394B">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8</w:t>
                  </w:r>
                </w:p>
              </w:tc>
              <w:tc>
                <w:tcPr>
                  <w:tcW w:w="2288" w:type="dxa"/>
                  <w:tcBorders>
                    <w:top w:val="single" w:color="000000" w:sz="4" w:space="0"/>
                    <w:left w:val="single" w:color="000000" w:sz="4" w:space="0"/>
                    <w:bottom w:val="single" w:color="000000" w:sz="4" w:space="0"/>
                    <w:right w:val="single" w:color="000000" w:sz="4" w:space="0"/>
                  </w:tcBorders>
                  <w:noWrap/>
                  <w:vAlign w:val="center"/>
                </w:tcPr>
                <w:p w14:paraId="3A5C0D09">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冲洗瓶</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41FA4BC5">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个</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457E46A">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1</w:t>
                  </w:r>
                </w:p>
              </w:tc>
            </w:tr>
            <w:tr w14:paraId="5DDE66D3">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 w:hRule="atLeast"/>
              </w:trPr>
              <w:tc>
                <w:tcPr>
                  <w:tcW w:w="1081" w:type="dxa"/>
                  <w:tcBorders>
                    <w:top w:val="single" w:color="000000" w:sz="4" w:space="0"/>
                    <w:left w:val="single" w:color="000000" w:sz="4" w:space="0"/>
                    <w:bottom w:val="single" w:color="000000" w:sz="4" w:space="0"/>
                    <w:right w:val="single" w:color="000000" w:sz="4" w:space="0"/>
                  </w:tcBorders>
                  <w:noWrap/>
                  <w:vAlign w:val="center"/>
                </w:tcPr>
                <w:p w14:paraId="0ADF1F5E">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9</w:t>
                  </w:r>
                </w:p>
              </w:tc>
              <w:tc>
                <w:tcPr>
                  <w:tcW w:w="2288" w:type="dxa"/>
                  <w:tcBorders>
                    <w:top w:val="single" w:color="000000" w:sz="4" w:space="0"/>
                    <w:left w:val="single" w:color="000000" w:sz="4" w:space="0"/>
                    <w:bottom w:val="single" w:color="000000" w:sz="4" w:space="0"/>
                    <w:right w:val="single" w:color="000000" w:sz="4" w:space="0"/>
                  </w:tcBorders>
                  <w:noWrap/>
                  <w:vAlign w:val="center"/>
                </w:tcPr>
                <w:p w14:paraId="5CE87664">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消毒盒</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6CA2799F">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个</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111427E">
                  <w:pPr>
                    <w:ind w:left="630" w:hanging="630"/>
                    <w:jc w:val="center"/>
                    <w:rPr>
                      <w:rFonts w:ascii="宋体" w:hAnsi="宋体" w:cs="宋体"/>
                      <w:color w:val="000000"/>
                      <w:szCs w:val="21"/>
                      <w:highlight w:val="none"/>
                    </w:rPr>
                  </w:pPr>
                  <w:r>
                    <w:rPr>
                      <w:rFonts w:hint="eastAsia" w:ascii="宋体" w:hAnsi="宋体" w:cs="宋体"/>
                      <w:color w:val="000000"/>
                      <w:szCs w:val="21"/>
                      <w:highlight w:val="none"/>
                    </w:rPr>
                    <w:t>1</w:t>
                  </w:r>
                </w:p>
              </w:tc>
            </w:tr>
          </w:tbl>
          <w:p w14:paraId="3E4BF400">
            <w:pPr>
              <w:widowControl/>
              <w:wordWrap w:val="0"/>
              <w:spacing w:line="360" w:lineRule="exact"/>
              <w:rPr>
                <w:rFonts w:ascii="等线" w:hAnsi="等线" w:eastAsia="等线"/>
                <w:color w:val="000000"/>
                <w:szCs w:val="21"/>
                <w:highlight w:val="none"/>
              </w:rPr>
            </w:pPr>
          </w:p>
        </w:tc>
        <w:tc>
          <w:tcPr>
            <w:tcW w:w="1217" w:type="dxa"/>
            <w:noWrap w:val="0"/>
            <w:vAlign w:val="center"/>
          </w:tcPr>
          <w:p w14:paraId="7E47A492">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6.5</w:t>
            </w:r>
          </w:p>
        </w:tc>
      </w:tr>
      <w:tr w14:paraId="04B26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0" w:hRule="atLeast"/>
        </w:trPr>
        <w:tc>
          <w:tcPr>
            <w:tcW w:w="511" w:type="dxa"/>
            <w:noWrap w:val="0"/>
            <w:vAlign w:val="center"/>
          </w:tcPr>
          <w:p w14:paraId="6CE3D933">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2</w:t>
            </w:r>
          </w:p>
        </w:tc>
        <w:tc>
          <w:tcPr>
            <w:tcW w:w="844" w:type="dxa"/>
            <w:noWrap w:val="0"/>
            <w:vAlign w:val="center"/>
          </w:tcPr>
          <w:p w14:paraId="26E93366">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亚低温治疗仪</w:t>
            </w:r>
          </w:p>
        </w:tc>
        <w:tc>
          <w:tcPr>
            <w:tcW w:w="813" w:type="dxa"/>
            <w:noWrap w:val="0"/>
            <w:vAlign w:val="center"/>
          </w:tcPr>
          <w:p w14:paraId="41B45BAF">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702" w:type="dxa"/>
            <w:noWrap w:val="0"/>
            <w:vAlign w:val="top"/>
          </w:tcPr>
          <w:p w14:paraId="20BE3E2E">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1.供电电源：220VAC，50Hz</w:t>
            </w:r>
          </w:p>
          <w:p w14:paraId="000BE293">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2.额定功率：650VA</w:t>
            </w:r>
          </w:p>
          <w:p w14:paraId="2E44B09F">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3.水温温度控制范围：4-40℃</w:t>
            </w:r>
          </w:p>
          <w:p w14:paraId="337C55FC">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4.升温/降温双重功能：具备升温（26-40℃）与降温（4-25℃）双重功能。</w:t>
            </w:r>
          </w:p>
          <w:p w14:paraId="1B9B0D70">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5.空载平均降温速度与升温速度：平均降温速度≥1.3℃/分钟；平均升温速度≥0.8℃/分钟。</w:t>
            </w:r>
          </w:p>
          <w:p w14:paraId="6A69FCE7">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6.负载最大平均降温速度与升温速度：平均降温速度≥2.9℃/h；平均升温速度≥1℃/h。</w:t>
            </w:r>
          </w:p>
          <w:p w14:paraId="6D581DF2">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7.体温监测：具有体表温度和体腔温度两种专用探头，目标温度设置范围：降温30-40℃，升温30-37℃，监测精度±0.1℃。</w:t>
            </w:r>
          </w:p>
          <w:p w14:paraId="28577B00">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8.体温监测报警：双路体温监测报警均可同时独立设置体温下限和（或）体温上限，体温超限时报警并停止输出。</w:t>
            </w:r>
          </w:p>
          <w:p w14:paraId="71D63F28">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9.输出控制方式：四路两组输出，同一侧两路为一组，左右分别控制，双毯双帽可同时工作。</w:t>
            </w:r>
          </w:p>
          <w:p w14:paraId="6373E659">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10.</w:t>
            </w:r>
            <w:r>
              <w:rPr>
                <w:rFonts w:hint="eastAsia" w:ascii="宋体" w:hAnsi="宋体" w:cs="宋体"/>
                <w:bCs/>
                <w:color w:val="000000"/>
                <w:szCs w:val="21"/>
                <w:highlight w:val="none"/>
              </w:rPr>
              <w:tab/>
            </w:r>
            <w:r>
              <w:rPr>
                <w:rFonts w:hint="eastAsia" w:ascii="宋体" w:hAnsi="宋体" w:cs="宋体"/>
                <w:bCs/>
                <w:color w:val="000000"/>
                <w:szCs w:val="21"/>
                <w:highlight w:val="none"/>
              </w:rPr>
              <w:t>定时范围：1-99小时或长期运行，可自动计时（包括倒计时）。</w:t>
            </w:r>
          </w:p>
          <w:p w14:paraId="65A46A9F">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11.人机交互方式：高亮度LCD中文及图标显示，要求简洁明确，方便夜间及紧急情况下使用。</w:t>
            </w:r>
          </w:p>
          <w:p w14:paraId="044B0D81">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12.固化程序：内置≥10个常用固化程序，方便紧急时使用，也可采购人自定义设置。</w:t>
            </w:r>
          </w:p>
          <w:p w14:paraId="3CC441CF">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13.断电保护功能：具备断电保护功能，断电时再通电开机后，仪器自动运行断电前的程序。</w:t>
            </w:r>
          </w:p>
          <w:p w14:paraId="57FB764A">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14.</w:t>
            </w:r>
            <w:r>
              <w:rPr>
                <w:rFonts w:hint="eastAsia" w:ascii="宋体" w:hAnsi="宋体" w:cs="宋体"/>
                <w:bCs/>
                <w:color w:val="000000"/>
                <w:szCs w:val="21"/>
                <w:highlight w:val="none"/>
              </w:rPr>
              <w:tab/>
            </w:r>
            <w:r>
              <w:rPr>
                <w:rFonts w:hint="eastAsia" w:ascii="宋体" w:hAnsi="宋体" w:cs="宋体"/>
                <w:bCs/>
                <w:color w:val="000000"/>
                <w:szCs w:val="21"/>
                <w:highlight w:val="none"/>
              </w:rPr>
              <w:t>噪声控制：正常工作噪声≤55dB。</w:t>
            </w:r>
          </w:p>
          <w:p w14:paraId="63BAC5DB">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15.</w:t>
            </w:r>
            <w:r>
              <w:rPr>
                <w:rFonts w:hint="eastAsia" w:ascii="宋体" w:hAnsi="宋体" w:cs="宋体"/>
                <w:bCs/>
                <w:color w:val="000000"/>
                <w:szCs w:val="21"/>
                <w:highlight w:val="none"/>
              </w:rPr>
              <w:tab/>
            </w:r>
            <w:r>
              <w:rPr>
                <w:rFonts w:hint="eastAsia" w:ascii="宋体" w:hAnsi="宋体" w:cs="宋体"/>
                <w:bCs/>
                <w:color w:val="000000"/>
                <w:szCs w:val="21"/>
                <w:highlight w:val="none"/>
              </w:rPr>
              <w:t>毯/帽设计：TPU材质毯/帽采用蜂窝设计，保证液体流动性，降温快且均匀；冰帽为贴敷式设计，要求低温时柔软，贴近患者皮肤。</w:t>
            </w:r>
          </w:p>
          <w:p w14:paraId="5CCF972D">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16.快速接头设计：采用双向快速液压接头，要求密封性好，无液体喷溅。</w:t>
            </w:r>
          </w:p>
          <w:p w14:paraId="741F2F1E">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17.故障智能诊断：具有水量不足、传感器松脱等智能提示功能。</w:t>
            </w:r>
          </w:p>
          <w:p w14:paraId="6E7264FB">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18.外壳材质与工艺：外壳采用优质钣金，并做防锈喷漆处理。</w:t>
            </w:r>
          </w:p>
          <w:p w14:paraId="6DFEDB1D">
            <w:pPr>
              <w:spacing w:line="480" w:lineRule="exact"/>
              <w:rPr>
                <w:rFonts w:ascii="宋体" w:hAnsi="宋体" w:cs="宋体"/>
                <w:bCs/>
                <w:color w:val="000000"/>
                <w:szCs w:val="21"/>
                <w:highlight w:val="none"/>
              </w:rPr>
            </w:pPr>
            <w:r>
              <w:rPr>
                <w:rFonts w:hint="eastAsia" w:ascii="宋体" w:hAnsi="宋体" w:cs="宋体"/>
                <w:bCs/>
                <w:color w:val="000000"/>
                <w:szCs w:val="21"/>
                <w:highlight w:val="none"/>
              </w:rPr>
              <w:t>19.</w:t>
            </w:r>
            <w:r>
              <w:rPr>
                <w:rFonts w:hint="eastAsia" w:ascii="宋体" w:hAnsi="宋体" w:cs="宋体"/>
                <w:bCs/>
                <w:color w:val="000000"/>
                <w:szCs w:val="21"/>
                <w:highlight w:val="none"/>
              </w:rPr>
              <w:tab/>
            </w:r>
            <w:r>
              <w:rPr>
                <w:rFonts w:hint="eastAsia" w:ascii="宋体" w:hAnsi="宋体" w:cs="宋体"/>
                <w:bCs/>
                <w:color w:val="000000"/>
                <w:szCs w:val="21"/>
                <w:highlight w:val="none"/>
              </w:rPr>
              <w:t>毯帽存储：主机附带毯帽存储篮。</w:t>
            </w:r>
          </w:p>
          <w:p w14:paraId="3B7BEC94">
            <w:pPr>
              <w:spacing w:line="480" w:lineRule="exact"/>
              <w:rPr>
                <w:rFonts w:ascii="宋体" w:hAnsi="宋体" w:cs="宋体"/>
                <w:color w:val="000000"/>
                <w:sz w:val="28"/>
                <w:szCs w:val="28"/>
                <w:highlight w:val="none"/>
              </w:rPr>
            </w:pPr>
            <w:r>
              <w:rPr>
                <w:rFonts w:hint="eastAsia" w:ascii="宋体" w:hAnsi="宋体" w:cs="宋体"/>
                <w:bCs/>
                <w:color w:val="000000"/>
                <w:szCs w:val="21"/>
                <w:highlight w:val="none"/>
              </w:rPr>
              <w:t>20.</w:t>
            </w:r>
            <w:r>
              <w:rPr>
                <w:rFonts w:hint="eastAsia" w:ascii="宋体" w:hAnsi="宋体" w:cs="宋体"/>
                <w:bCs/>
                <w:color w:val="000000"/>
                <w:szCs w:val="21"/>
                <w:highlight w:val="none"/>
              </w:rPr>
              <w:tab/>
            </w:r>
            <w:r>
              <w:rPr>
                <w:rFonts w:hint="eastAsia" w:ascii="宋体" w:hAnsi="宋体" w:cs="宋体"/>
                <w:bCs/>
                <w:color w:val="000000"/>
                <w:szCs w:val="21"/>
                <w:highlight w:val="none"/>
              </w:rPr>
              <w:t>整机质量：≤40Kg。</w:t>
            </w:r>
            <w:r>
              <w:rPr>
                <w:rFonts w:ascii="宋体" w:hAnsi="宋体" w:cs="宋体"/>
                <w:color w:val="000000"/>
                <w:sz w:val="28"/>
                <w:szCs w:val="28"/>
                <w:highlight w:val="none"/>
              </w:rPr>
              <w:t xml:space="preserve"> </w:t>
            </w:r>
          </w:p>
        </w:tc>
        <w:tc>
          <w:tcPr>
            <w:tcW w:w="1217" w:type="dxa"/>
            <w:noWrap w:val="0"/>
            <w:vAlign w:val="center"/>
          </w:tcPr>
          <w:p w14:paraId="52E0D6E3">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4.7</w:t>
            </w:r>
          </w:p>
        </w:tc>
      </w:tr>
      <w:tr w14:paraId="0809A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1" w:type="dxa"/>
            <w:noWrap w:val="0"/>
            <w:vAlign w:val="center"/>
          </w:tcPr>
          <w:p w14:paraId="2B256EF5">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3</w:t>
            </w:r>
          </w:p>
        </w:tc>
        <w:tc>
          <w:tcPr>
            <w:tcW w:w="844" w:type="dxa"/>
            <w:noWrap w:val="0"/>
            <w:vAlign w:val="center"/>
          </w:tcPr>
          <w:p w14:paraId="3BA08D78">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高频电刀</w:t>
            </w:r>
          </w:p>
        </w:tc>
        <w:tc>
          <w:tcPr>
            <w:tcW w:w="813" w:type="dxa"/>
            <w:noWrap w:val="0"/>
            <w:vAlign w:val="center"/>
          </w:tcPr>
          <w:p w14:paraId="5940D71F">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2套</w:t>
            </w:r>
          </w:p>
        </w:tc>
        <w:tc>
          <w:tcPr>
            <w:tcW w:w="5702" w:type="dxa"/>
            <w:noWrap w:val="0"/>
            <w:vAlign w:val="top"/>
          </w:tcPr>
          <w:p w14:paraId="370DD456">
            <w:pPr>
              <w:tabs>
                <w:tab w:val="left" w:pos="360"/>
              </w:tabs>
              <w:spacing w:line="360" w:lineRule="exact"/>
              <w:rPr>
                <w:rFonts w:ascii="宋体" w:hAnsi="宋体"/>
                <w:color w:val="000000"/>
                <w:szCs w:val="21"/>
                <w:highlight w:val="none"/>
              </w:rPr>
            </w:pPr>
            <w:r>
              <w:rPr>
                <w:rFonts w:hint="eastAsia" w:ascii="宋体" w:hAnsi="宋体" w:cs="仿宋"/>
                <w:bCs/>
                <w:color w:val="000000"/>
                <w:szCs w:val="21"/>
                <w:highlight w:val="none"/>
              </w:rPr>
              <w:t>1</w:t>
            </w:r>
            <w:r>
              <w:rPr>
                <w:rFonts w:hint="eastAsia" w:ascii="宋体" w:hAnsi="宋体"/>
                <w:color w:val="000000"/>
                <w:szCs w:val="21"/>
                <w:highlight w:val="none"/>
              </w:rPr>
              <w:t>.</w:t>
            </w:r>
            <w:r>
              <w:rPr>
                <w:rFonts w:ascii="宋体" w:hAnsi="宋体"/>
                <w:color w:val="000000"/>
                <w:szCs w:val="21"/>
                <w:highlight w:val="none"/>
              </w:rPr>
              <w:t>输出全悬浮，具有两个相互独立和隔离的CF型防除颤应用部分（单极和双极）。</w:t>
            </w:r>
          </w:p>
          <w:p w14:paraId="3EB1EC24">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2.</w:t>
            </w:r>
            <w:r>
              <w:rPr>
                <w:rFonts w:ascii="宋体" w:hAnsi="宋体"/>
                <w:color w:val="000000"/>
                <w:szCs w:val="21"/>
                <w:highlight w:val="none"/>
              </w:rPr>
              <w:t>用于需要切割和/或凝血的各类外科手术，包括普外、泌尿、妇科、肛肠、骨科、胸外、心脏、肿瘤等科别，配以合适附件还可应用于</w:t>
            </w:r>
            <w:r>
              <w:rPr>
                <w:rFonts w:hint="eastAsia" w:ascii="宋体" w:hAnsi="宋体"/>
                <w:color w:val="000000"/>
                <w:szCs w:val="21"/>
                <w:highlight w:val="none"/>
              </w:rPr>
              <w:t>宫腔镜</w:t>
            </w:r>
            <w:r>
              <w:rPr>
                <w:rFonts w:ascii="宋体" w:hAnsi="宋体"/>
                <w:color w:val="000000"/>
                <w:szCs w:val="21"/>
                <w:highlight w:val="none"/>
              </w:rPr>
              <w:t>、腹腔镜、膀胱镜等内窥镜手术。</w:t>
            </w:r>
          </w:p>
          <w:p w14:paraId="2B3FD21D">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3.</w:t>
            </w:r>
            <w:r>
              <w:rPr>
                <w:rFonts w:ascii="宋体" w:hAnsi="宋体"/>
                <w:color w:val="000000"/>
                <w:szCs w:val="21"/>
                <w:highlight w:val="none"/>
              </w:rPr>
              <w:t>恒功率电刀（单极100Ω～2000Ω，双极25Ω～100Ω）：在正常人体阻抗范围和正常手术所需功率范围内，平均输出功率不随阻抗变化或变化较小。</w:t>
            </w:r>
          </w:p>
          <w:p w14:paraId="73BCF92E">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4.</w:t>
            </w:r>
            <w:r>
              <w:rPr>
                <w:rFonts w:ascii="宋体" w:hAnsi="宋体"/>
                <w:color w:val="000000"/>
                <w:szCs w:val="21"/>
                <w:highlight w:val="none"/>
              </w:rPr>
              <w:t>具有单极纯切、混切1、混切2、混切3、单极凝和双极凝等工作模式</w:t>
            </w:r>
            <w:r>
              <w:rPr>
                <w:rFonts w:hint="eastAsia" w:ascii="宋体" w:hAnsi="宋体"/>
                <w:color w:val="000000"/>
                <w:szCs w:val="21"/>
                <w:highlight w:val="none"/>
              </w:rPr>
              <w:t>，单极和双极的工作频率（主频率）均为512kHz</w:t>
            </w:r>
            <w:r>
              <w:rPr>
                <w:rFonts w:ascii="宋体" w:hAnsi="宋体"/>
                <w:color w:val="000000"/>
                <w:szCs w:val="21"/>
                <w:highlight w:val="none"/>
              </w:rPr>
              <w:t>。</w:t>
            </w:r>
          </w:p>
          <w:p w14:paraId="40442EE7">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单极纯切：额定功率（额定负载）350 W（500Ω）。</w:t>
            </w:r>
          </w:p>
          <w:p w14:paraId="564D1128">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6.</w:t>
            </w:r>
            <w:r>
              <w:rPr>
                <w:rFonts w:ascii="宋体" w:hAnsi="宋体"/>
                <w:color w:val="000000"/>
                <w:szCs w:val="21"/>
                <w:highlight w:val="none"/>
              </w:rPr>
              <w:t>混切1：250 W（500Ω）；混切2：200 W（500Ω）；混切3：120 W（500Ω）。</w:t>
            </w:r>
          </w:p>
          <w:p w14:paraId="6CCB7415">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7.</w:t>
            </w:r>
            <w:r>
              <w:rPr>
                <w:rFonts w:ascii="宋体" w:hAnsi="宋体"/>
                <w:color w:val="000000"/>
                <w:szCs w:val="21"/>
                <w:highlight w:val="none"/>
              </w:rPr>
              <w:t>单极凝：120 W（500Ω）；双极凝：</w:t>
            </w:r>
            <w:r>
              <w:rPr>
                <w:rFonts w:hint="eastAsia" w:ascii="宋体" w:hAnsi="宋体"/>
                <w:color w:val="000000"/>
                <w:szCs w:val="21"/>
                <w:highlight w:val="none"/>
              </w:rPr>
              <w:t>8</w:t>
            </w:r>
            <w:r>
              <w:rPr>
                <w:rFonts w:ascii="宋体" w:hAnsi="宋体"/>
                <w:color w:val="000000"/>
                <w:szCs w:val="21"/>
                <w:highlight w:val="none"/>
              </w:rPr>
              <w:t>0 W（100Ω）。</w:t>
            </w:r>
          </w:p>
          <w:p w14:paraId="45FA72BD">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8.</w:t>
            </w:r>
            <w:r>
              <w:rPr>
                <w:rFonts w:ascii="宋体" w:hAnsi="宋体"/>
                <w:color w:val="000000"/>
                <w:szCs w:val="21"/>
                <w:highlight w:val="none"/>
              </w:rPr>
              <w:t>采用三路输出方式：单极手控输出、单极脚控输出（或单极第二手控输出）和独立的双极脚控凝输出。</w:t>
            </w:r>
          </w:p>
          <w:p w14:paraId="5503BB28">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9.采用APFC电路，能更好的适应电压不稳或者大波动，保证稳定高效的输出。</w:t>
            </w:r>
          </w:p>
          <w:p w14:paraId="1CF1480D">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10.</w:t>
            </w:r>
            <w:r>
              <w:rPr>
                <w:rFonts w:ascii="宋体" w:hAnsi="宋体"/>
                <w:color w:val="000000"/>
                <w:szCs w:val="21"/>
                <w:highlight w:val="none"/>
              </w:rPr>
              <w:t>采用CPU控制，记忆上次手术时最佳功率，当再次开机时可复现上次功率设定值。</w:t>
            </w:r>
          </w:p>
          <w:p w14:paraId="3853075A">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11.</w:t>
            </w:r>
            <w:r>
              <w:rPr>
                <w:rFonts w:ascii="宋体" w:hAnsi="宋体"/>
                <w:color w:val="000000"/>
                <w:szCs w:val="21"/>
                <w:highlight w:val="none"/>
              </w:rPr>
              <w:t>单极切、凝和双极凝具有独立的功率设定和显示装置，手术过程中不必进行单极、双极模式转换。</w:t>
            </w:r>
          </w:p>
          <w:p w14:paraId="610A18E9">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12.</w:t>
            </w:r>
            <w:r>
              <w:rPr>
                <w:rFonts w:ascii="宋体" w:hAnsi="宋体"/>
                <w:color w:val="000000"/>
                <w:szCs w:val="21"/>
                <w:highlight w:val="none"/>
              </w:rPr>
              <w:t>每次开机时，内设软件检测系统对设备参数进行自检，视情形进行自修复、或显示错误代码、停止输出等功能。</w:t>
            </w:r>
          </w:p>
          <w:p w14:paraId="7AC4CA86">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13.</w:t>
            </w:r>
            <w:r>
              <w:rPr>
                <w:rFonts w:ascii="宋体" w:hAnsi="宋体"/>
                <w:color w:val="000000"/>
                <w:szCs w:val="21"/>
                <w:highlight w:val="none"/>
              </w:rPr>
              <w:t>采用极板接触质量检测系统对双片极板接触质量进行全程监测，一旦发现短路、开路、接触电阻太大或接触质量降低，立即发出声光报警，切断输出。</w:t>
            </w:r>
          </w:p>
          <w:p w14:paraId="143E6A3A">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14.</w:t>
            </w:r>
            <w:r>
              <w:rPr>
                <w:rFonts w:ascii="宋体" w:hAnsi="宋体"/>
                <w:color w:val="000000"/>
                <w:szCs w:val="21"/>
                <w:highlight w:val="none"/>
              </w:rPr>
              <w:t>采用断线自检技术，全程对极板连线进行检测，一旦发现断线情形，立即发出声光报警。</w:t>
            </w:r>
          </w:p>
          <w:p w14:paraId="3C8B4D04">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eastAsia="zh-CN"/>
              </w:rPr>
              <w:t>5</w:t>
            </w:r>
            <w:r>
              <w:rPr>
                <w:rFonts w:hint="eastAsia" w:ascii="宋体" w:hAnsi="宋体"/>
                <w:color w:val="000000"/>
                <w:szCs w:val="21"/>
                <w:highlight w:val="none"/>
              </w:rPr>
              <w:t>.</w:t>
            </w:r>
            <w:r>
              <w:rPr>
                <w:rFonts w:ascii="宋体" w:hAnsi="宋体"/>
                <w:color w:val="000000"/>
                <w:szCs w:val="21"/>
                <w:highlight w:val="none"/>
              </w:rPr>
              <w:t>保护</w:t>
            </w:r>
            <w:r>
              <w:rPr>
                <w:rFonts w:hint="eastAsia" w:ascii="宋体" w:hAnsi="宋体"/>
                <w:color w:val="000000"/>
                <w:szCs w:val="21"/>
                <w:highlight w:val="none"/>
              </w:rPr>
              <w:t>：</w:t>
            </w:r>
            <w:r>
              <w:rPr>
                <w:rFonts w:ascii="宋体" w:hAnsi="宋体"/>
                <w:color w:val="000000"/>
                <w:szCs w:val="21"/>
                <w:highlight w:val="none"/>
              </w:rPr>
              <w:t>具有开路、短路、过功率、过电流自动保护功能。</w:t>
            </w:r>
          </w:p>
          <w:p w14:paraId="7EC33DE5">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6</w:t>
            </w:r>
            <w:r>
              <w:rPr>
                <w:rFonts w:hint="eastAsia" w:ascii="宋体" w:hAnsi="宋体"/>
                <w:color w:val="000000"/>
                <w:szCs w:val="21"/>
                <w:highlight w:val="none"/>
              </w:rPr>
              <w:t>.</w:t>
            </w:r>
            <w:r>
              <w:rPr>
                <w:rFonts w:ascii="宋体" w:hAnsi="宋体"/>
                <w:color w:val="000000"/>
                <w:szCs w:val="21"/>
                <w:highlight w:val="none"/>
              </w:rPr>
              <w:t>对输出功率实行双重采样和双重控制，在单一故障（如一种采样/控制失效）状态下，输出功率仍然维持在标准规定范围内。（双重闭环控制）</w:t>
            </w:r>
          </w:p>
          <w:p w14:paraId="3C1E9417">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7</w:t>
            </w:r>
            <w:r>
              <w:rPr>
                <w:rFonts w:hint="eastAsia" w:ascii="宋体" w:hAnsi="宋体"/>
                <w:color w:val="000000"/>
                <w:szCs w:val="21"/>
                <w:highlight w:val="none"/>
              </w:rPr>
              <w:t>.</w:t>
            </w:r>
            <w:r>
              <w:rPr>
                <w:rFonts w:ascii="宋体" w:hAnsi="宋体"/>
                <w:color w:val="000000"/>
                <w:szCs w:val="21"/>
                <w:highlight w:val="none"/>
              </w:rPr>
              <w:t>采用功率器件和开关电路制作电刀的高压电源和高频功放。</w:t>
            </w:r>
          </w:p>
          <w:p w14:paraId="32E1A91D">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8</w:t>
            </w:r>
            <w:r>
              <w:rPr>
                <w:rFonts w:hint="eastAsia" w:ascii="宋体" w:hAnsi="宋体"/>
                <w:color w:val="000000"/>
                <w:szCs w:val="21"/>
                <w:highlight w:val="none"/>
              </w:rPr>
              <w:t>.</w:t>
            </w:r>
            <w:r>
              <w:rPr>
                <w:rFonts w:ascii="宋体" w:hAnsi="宋体"/>
                <w:color w:val="000000"/>
                <w:szCs w:val="21"/>
                <w:highlight w:val="none"/>
              </w:rPr>
              <w:t>允许连续使用，允许长时间开路和短路。</w:t>
            </w:r>
          </w:p>
          <w:p w14:paraId="59FB7AA7">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9</w:t>
            </w:r>
            <w:r>
              <w:rPr>
                <w:rFonts w:hint="eastAsia" w:ascii="宋体" w:hAnsi="宋体"/>
                <w:color w:val="000000"/>
                <w:szCs w:val="21"/>
                <w:highlight w:val="none"/>
              </w:rPr>
              <w:t>.</w:t>
            </w:r>
            <w:r>
              <w:rPr>
                <w:rFonts w:ascii="宋体" w:hAnsi="宋体"/>
                <w:color w:val="000000"/>
                <w:szCs w:val="21"/>
                <w:highlight w:val="none"/>
              </w:rPr>
              <w:t>冷却方式</w:t>
            </w:r>
            <w:r>
              <w:rPr>
                <w:rFonts w:hint="eastAsia" w:ascii="宋体" w:hAnsi="宋体"/>
                <w:color w:val="000000"/>
                <w:szCs w:val="21"/>
                <w:highlight w:val="none"/>
              </w:rPr>
              <w:t>：</w:t>
            </w:r>
            <w:r>
              <w:rPr>
                <w:rFonts w:ascii="宋体" w:hAnsi="宋体"/>
                <w:color w:val="000000"/>
                <w:szCs w:val="21"/>
                <w:highlight w:val="none"/>
              </w:rPr>
              <w:t>自然冷却，无风扇。</w:t>
            </w:r>
          </w:p>
          <w:p w14:paraId="22199585">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lang w:val="en-US" w:eastAsia="zh-CN"/>
              </w:rPr>
              <w:t>0</w:t>
            </w:r>
            <w:r>
              <w:rPr>
                <w:rFonts w:hint="eastAsia" w:ascii="宋体" w:hAnsi="宋体"/>
                <w:color w:val="000000"/>
                <w:szCs w:val="21"/>
                <w:highlight w:val="none"/>
              </w:rPr>
              <w:t>.</w:t>
            </w:r>
            <w:r>
              <w:rPr>
                <w:rFonts w:ascii="宋体" w:hAnsi="宋体"/>
                <w:color w:val="000000"/>
                <w:szCs w:val="21"/>
                <w:highlight w:val="none"/>
              </w:rPr>
              <w:t>可选用附件齐全（</w:t>
            </w:r>
            <w:r>
              <w:rPr>
                <w:rFonts w:hint="eastAsia" w:ascii="宋体" w:hAnsi="宋体"/>
                <w:color w:val="000000"/>
                <w:szCs w:val="21"/>
                <w:highlight w:val="none"/>
              </w:rPr>
              <w:t>如</w:t>
            </w:r>
            <w:r>
              <w:rPr>
                <w:rFonts w:ascii="宋体" w:hAnsi="宋体"/>
                <w:color w:val="000000"/>
                <w:szCs w:val="21"/>
                <w:highlight w:val="none"/>
              </w:rPr>
              <w:t>各种中性电极、普通手术电极、密封手术电极、可高温消毒手术附件等），适应各种手术需求。</w:t>
            </w:r>
          </w:p>
          <w:p w14:paraId="544BCCEC">
            <w:pPr>
              <w:tabs>
                <w:tab w:val="left" w:pos="360"/>
                <w:tab w:val="left" w:pos="540"/>
              </w:tabs>
              <w:spacing w:line="360" w:lineRule="exact"/>
              <w:rPr>
                <w:rFonts w:ascii="宋体" w:hAnsi="宋体"/>
                <w:color w:val="000000"/>
                <w:szCs w:val="21"/>
                <w:highlight w:val="none"/>
              </w:rPr>
            </w:pPr>
            <w:r>
              <w:rPr>
                <w:rFonts w:hint="eastAsia" w:ascii="宋体" w:hAnsi="宋体"/>
                <w:color w:val="000000"/>
                <w:szCs w:val="21"/>
                <w:highlight w:val="none"/>
                <w:lang w:val="en-US" w:eastAsia="zh-CN"/>
              </w:rPr>
              <w:t>21</w:t>
            </w:r>
            <w:r>
              <w:rPr>
                <w:rFonts w:hint="eastAsia" w:ascii="宋体" w:hAnsi="宋体"/>
                <w:color w:val="000000"/>
                <w:szCs w:val="21"/>
                <w:highlight w:val="none"/>
              </w:rPr>
              <w:t>.</w:t>
            </w:r>
            <w:r>
              <w:rPr>
                <w:rFonts w:ascii="宋体" w:hAnsi="宋体"/>
                <w:color w:val="000000"/>
                <w:szCs w:val="21"/>
                <w:highlight w:val="none"/>
              </w:rPr>
              <w:t>供电电源：单相AC220V±22 V，50Hz±1 Hz，≤3.5A。</w:t>
            </w:r>
          </w:p>
          <w:p w14:paraId="64041B06">
            <w:pPr>
              <w:tabs>
                <w:tab w:val="left" w:pos="360"/>
                <w:tab w:val="left" w:pos="540"/>
              </w:tabs>
              <w:spacing w:line="360" w:lineRule="exact"/>
              <w:rPr>
                <w:rFonts w:ascii="Calibri" w:hAnsi="Calibri" w:eastAsia="黑体"/>
                <w:b/>
                <w:bCs/>
                <w:snapToGrid w:val="0"/>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lang w:val="en-US" w:eastAsia="zh-CN"/>
              </w:rPr>
              <w:t>2</w:t>
            </w:r>
            <w:r>
              <w:rPr>
                <w:rFonts w:hint="eastAsia" w:ascii="宋体" w:hAnsi="宋体"/>
                <w:color w:val="000000"/>
                <w:szCs w:val="21"/>
                <w:highlight w:val="none"/>
              </w:rPr>
              <w:t>.</w:t>
            </w:r>
            <w:r>
              <w:rPr>
                <w:rFonts w:ascii="宋体" w:hAnsi="宋体"/>
                <w:color w:val="000000"/>
                <w:szCs w:val="21"/>
                <w:highlight w:val="none"/>
              </w:rPr>
              <w:t>运行条件：环境温度：5℃～40℃，相对湿度：≤80%RH，大气压力：86.0kPa～106.0kPa。</w:t>
            </w:r>
          </w:p>
        </w:tc>
        <w:tc>
          <w:tcPr>
            <w:tcW w:w="1217" w:type="dxa"/>
            <w:noWrap w:val="0"/>
            <w:vAlign w:val="center"/>
          </w:tcPr>
          <w:p w14:paraId="575FEF10">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9</w:t>
            </w:r>
          </w:p>
        </w:tc>
      </w:tr>
      <w:tr w14:paraId="7982D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1" w:type="dxa"/>
            <w:noWrap w:val="0"/>
            <w:vAlign w:val="center"/>
          </w:tcPr>
          <w:p w14:paraId="17B75AD0">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4</w:t>
            </w:r>
          </w:p>
        </w:tc>
        <w:tc>
          <w:tcPr>
            <w:tcW w:w="844" w:type="dxa"/>
            <w:noWrap w:val="0"/>
            <w:vAlign w:val="center"/>
          </w:tcPr>
          <w:p w14:paraId="6DB7E6F5">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半导体激光脱毛机</w:t>
            </w:r>
          </w:p>
        </w:tc>
        <w:tc>
          <w:tcPr>
            <w:tcW w:w="813" w:type="dxa"/>
            <w:noWrap w:val="0"/>
            <w:vAlign w:val="center"/>
          </w:tcPr>
          <w:p w14:paraId="7B90953B">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702" w:type="dxa"/>
            <w:noWrap w:val="0"/>
            <w:vAlign w:val="top"/>
          </w:tcPr>
          <w:p w14:paraId="03A7A0FD">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1.治疗手柄光源：半导体激光器。</w:t>
            </w:r>
          </w:p>
          <w:p w14:paraId="2D8B8EA8">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2.激光终端输出最大单脉冲能量：达到50J 。</w:t>
            </w:r>
          </w:p>
          <w:p w14:paraId="52F1FB80">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3.波长：808nm</w:t>
            </w:r>
          </w:p>
          <w:p w14:paraId="05995FB7">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4.激光输出模式：脉冲模式。</w:t>
            </w:r>
          </w:p>
          <w:p w14:paraId="59F1F27D">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5.输出能量范围：5-50J/cm</w:t>
            </w:r>
            <w:r>
              <w:rPr>
                <w:rFonts w:hint="eastAsia" w:ascii="宋体" w:hAnsi="宋体" w:cs="宋体"/>
                <w:color w:val="000000"/>
                <w:kern w:val="0"/>
                <w:szCs w:val="21"/>
                <w:highlight w:val="none"/>
                <w:vertAlign w:val="superscript"/>
              </w:rPr>
              <w:t>2</w:t>
            </w:r>
            <w:r>
              <w:rPr>
                <w:rFonts w:hint="eastAsia" w:ascii="宋体" w:hAnsi="宋体" w:cs="宋体"/>
                <w:color w:val="000000"/>
                <w:kern w:val="0"/>
                <w:szCs w:val="21"/>
                <w:highlight w:val="none"/>
              </w:rPr>
              <w:t>。</w:t>
            </w:r>
          </w:p>
          <w:p w14:paraId="7EB86CDA">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6、应用模式：传统定点模式、快速滑动模式。</w:t>
            </w:r>
          </w:p>
          <w:p w14:paraId="0F16C663">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 xml:space="preserve">▲7.检测功能：整机系统自检、实时监控数据，系统在待机或工作状态下检测到系统参数错误 ,系统会提示并显示红色，弹出错误提示。  </w:t>
            </w:r>
          </w:p>
          <w:p w14:paraId="51B13559">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8.脉冲重复频率：1Hz-10Hz可调。</w:t>
            </w:r>
          </w:p>
          <w:p w14:paraId="2B7C8929">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▲9.10Hz频率下：能级需≥22Jcm²。</w:t>
            </w:r>
          </w:p>
          <w:p w14:paraId="23E1A4C8">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10.脉冲宽度：≤103ms。</w:t>
            </w:r>
          </w:p>
          <w:p w14:paraId="437E1B61">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 xml:space="preserve">11.光斑大小：12mm× 12mm </w:t>
            </w:r>
            <w:r>
              <w:rPr>
                <w:rFonts w:hint="eastAsia" w:ascii="宋体" w:hAnsi="宋体"/>
                <w:color w:val="000000"/>
                <w:szCs w:val="21"/>
                <w:highlight w:val="none"/>
              </w:rPr>
              <w:t>（</w:t>
            </w:r>
            <w:r>
              <w:rPr>
                <w:rFonts w:hint="eastAsia" w:ascii="宋体" w:hAnsi="宋体" w:cs="宋体"/>
                <w:color w:val="000000"/>
                <w:szCs w:val="21"/>
                <w:highlight w:val="none"/>
              </w:rPr>
              <w:t>±</w:t>
            </w:r>
            <w:r>
              <w:rPr>
                <w:rFonts w:hint="eastAsia"/>
                <w:color w:val="000000"/>
                <w:highlight w:val="none"/>
                <w:lang w:val="en-US" w:eastAsia="zh-CN"/>
              </w:rPr>
              <w:t>1</w:t>
            </w:r>
            <w:r>
              <w:rPr>
                <w:rFonts w:hint="eastAsia" w:ascii="宋体" w:hAnsi="宋体" w:cs="宋体"/>
                <w:color w:val="000000"/>
                <w:szCs w:val="21"/>
                <w:highlight w:val="none"/>
              </w:rPr>
              <w:t>mm）</w:t>
            </w:r>
            <w:r>
              <w:rPr>
                <w:rFonts w:hint="eastAsia" w:ascii="宋体" w:hAnsi="宋体" w:cs="宋体"/>
                <w:color w:val="000000"/>
                <w:kern w:val="0"/>
                <w:szCs w:val="21"/>
                <w:highlight w:val="none"/>
              </w:rPr>
              <w:t>；</w:t>
            </w:r>
          </w:p>
          <w:p w14:paraId="6256DAE6">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12.表皮冷却：热电冷却、蓝宝石接触式制冷。</w:t>
            </w:r>
          </w:p>
          <w:p w14:paraId="467172B3">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13.治疗头晶体：三氧化二铝、蓝宝石、晶体匀化技术 。</w:t>
            </w:r>
          </w:p>
          <w:p w14:paraId="41D983A1">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 xml:space="preserve">14.双脉冲技术：预热脉冲、加热脉冲。 </w:t>
            </w:r>
          </w:p>
          <w:p w14:paraId="63DBA907">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15.系统冷却：水冷、风冷、TEC制冷。</w:t>
            </w:r>
          </w:p>
          <w:p w14:paraId="26D8EE74">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16.治疗手柄：激光器直接传导；手柄重量350g（±10g）超轻手柄。</w:t>
            </w:r>
          </w:p>
          <w:p w14:paraId="53A1D0DC">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17.保护机制：设备具有漏电保护、制冷保护、激光器过压过载保护、水流保护。</w:t>
            </w:r>
          </w:p>
          <w:p w14:paraId="454E76D9">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18.仪器质保：整机质保至少2年；激光器质保至少2年</w:t>
            </w:r>
            <w:r>
              <w:rPr>
                <w:rFonts w:hint="eastAsia" w:ascii="宋体" w:hAnsi="宋体" w:cs="宋体"/>
                <w:color w:val="000000"/>
                <w:kern w:val="0"/>
                <w:szCs w:val="21"/>
                <w:highlight w:val="none"/>
                <w:lang w:eastAsia="zh-CN"/>
              </w:rPr>
              <w:t>或</w:t>
            </w:r>
            <w:r>
              <w:rPr>
                <w:rFonts w:hint="eastAsia" w:ascii="宋体" w:hAnsi="宋体" w:cs="宋体"/>
                <w:color w:val="000000"/>
                <w:kern w:val="0"/>
                <w:szCs w:val="21"/>
                <w:highlight w:val="none"/>
              </w:rPr>
              <w:t>2000万发出光。</w:t>
            </w:r>
          </w:p>
        </w:tc>
        <w:tc>
          <w:tcPr>
            <w:tcW w:w="1217" w:type="dxa"/>
            <w:noWrap w:val="0"/>
            <w:vAlign w:val="center"/>
          </w:tcPr>
          <w:p w14:paraId="7084887C">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17</w:t>
            </w:r>
          </w:p>
        </w:tc>
      </w:tr>
      <w:tr w14:paraId="11E4C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1" w:type="dxa"/>
            <w:noWrap w:val="0"/>
            <w:vAlign w:val="center"/>
          </w:tcPr>
          <w:p w14:paraId="6251159A">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5</w:t>
            </w:r>
          </w:p>
        </w:tc>
        <w:tc>
          <w:tcPr>
            <w:tcW w:w="844" w:type="dxa"/>
            <w:noWrap w:val="0"/>
            <w:vAlign w:val="center"/>
          </w:tcPr>
          <w:p w14:paraId="0438AB6F">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气压喷液仪</w:t>
            </w:r>
          </w:p>
        </w:tc>
        <w:tc>
          <w:tcPr>
            <w:tcW w:w="813" w:type="dxa"/>
            <w:noWrap w:val="0"/>
            <w:vAlign w:val="center"/>
          </w:tcPr>
          <w:p w14:paraId="6B98C72F">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702" w:type="dxa"/>
            <w:noWrap w:val="0"/>
            <w:vAlign w:val="top"/>
          </w:tcPr>
          <w:p w14:paraId="7A13FF29">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 最大喷射量：达到3ml/min；</w:t>
            </w:r>
          </w:p>
          <w:p w14:paraId="2B7D1A2C">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 治疗时间：10-15min/次；</w:t>
            </w:r>
          </w:p>
          <w:p w14:paraId="2D4995F0">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3. 喷射压力：0.65MPa</w:t>
            </w:r>
            <w:r>
              <w:rPr>
                <w:rFonts w:hint="eastAsia" w:ascii="宋体" w:hAnsi="宋体"/>
                <w:color w:val="000000"/>
                <w:szCs w:val="21"/>
                <w:highlight w:val="none"/>
              </w:rPr>
              <w:t>（</w:t>
            </w:r>
            <w:r>
              <w:rPr>
                <w:rFonts w:hint="eastAsia" w:ascii="宋体" w:hAnsi="宋体" w:cs="宋体"/>
                <w:color w:val="000000"/>
                <w:szCs w:val="21"/>
                <w:highlight w:val="none"/>
              </w:rPr>
              <w:t>±</w:t>
            </w:r>
            <w:r>
              <w:rPr>
                <w:rFonts w:hint="eastAsia" w:ascii="宋体" w:hAnsi="宋体" w:cs="宋体"/>
                <w:bCs/>
                <w:color w:val="000000"/>
                <w:szCs w:val="21"/>
                <w:highlight w:val="none"/>
              </w:rPr>
              <w:t>0.</w:t>
            </w:r>
            <w:r>
              <w:rPr>
                <w:rFonts w:hint="eastAsia" w:ascii="宋体" w:hAnsi="宋体" w:cs="宋体"/>
                <w:bCs/>
                <w:color w:val="000000"/>
                <w:szCs w:val="21"/>
                <w:highlight w:val="none"/>
                <w:lang w:val="en-US" w:eastAsia="zh-CN"/>
              </w:rPr>
              <w:t>1</w:t>
            </w:r>
            <w:r>
              <w:rPr>
                <w:rFonts w:hint="eastAsia" w:ascii="宋体" w:hAnsi="宋体" w:cs="宋体"/>
                <w:bCs/>
                <w:color w:val="000000"/>
                <w:szCs w:val="21"/>
                <w:highlight w:val="none"/>
              </w:rPr>
              <w:t>MPa</w:t>
            </w:r>
            <w:r>
              <w:rPr>
                <w:rFonts w:hint="eastAsia" w:ascii="宋体" w:hAnsi="宋体" w:cs="宋体"/>
                <w:color w:val="000000"/>
                <w:szCs w:val="21"/>
                <w:highlight w:val="none"/>
              </w:rPr>
              <w:t>）</w:t>
            </w:r>
            <w:r>
              <w:rPr>
                <w:rFonts w:hint="eastAsia" w:ascii="宋体" w:hAnsi="宋体" w:cs="宋体"/>
                <w:bCs/>
                <w:color w:val="000000"/>
                <w:szCs w:val="21"/>
                <w:highlight w:val="none"/>
              </w:rPr>
              <w:t>；</w:t>
            </w:r>
          </w:p>
          <w:p w14:paraId="4B26C1CD">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4. 气体喷射压力至少7档可调；</w:t>
            </w:r>
          </w:p>
          <w:p w14:paraId="786090B0">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5. 气体输出模式：连续、脉冲；</w:t>
            </w:r>
          </w:p>
          <w:p w14:paraId="2DCA2DD2">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6. 配置≥10.4寸彩色液晶触控屏；</w:t>
            </w:r>
          </w:p>
          <w:p w14:paraId="06E51F7F">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7. 整机配置要求：主机+脚踏开关+连接导管+三头喷嘴套装+电源线；</w:t>
            </w:r>
          </w:p>
          <w:p w14:paraId="30974534">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8. 供货时提供中文《技术资料》和《使用说明书》及专用工具，提供设备操作规程；</w:t>
            </w:r>
          </w:p>
        </w:tc>
        <w:tc>
          <w:tcPr>
            <w:tcW w:w="1217" w:type="dxa"/>
            <w:noWrap w:val="0"/>
            <w:vAlign w:val="center"/>
          </w:tcPr>
          <w:p w14:paraId="7A6F32FD">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39</w:t>
            </w:r>
          </w:p>
        </w:tc>
      </w:tr>
      <w:tr w14:paraId="085DE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1" w:type="dxa"/>
            <w:noWrap w:val="0"/>
            <w:vAlign w:val="center"/>
          </w:tcPr>
          <w:p w14:paraId="404D5090">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6</w:t>
            </w:r>
          </w:p>
        </w:tc>
        <w:tc>
          <w:tcPr>
            <w:tcW w:w="844" w:type="dxa"/>
            <w:noWrap w:val="0"/>
            <w:vAlign w:val="center"/>
          </w:tcPr>
          <w:p w14:paraId="12BDF2EF">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前庭康复训练器</w:t>
            </w:r>
          </w:p>
        </w:tc>
        <w:tc>
          <w:tcPr>
            <w:tcW w:w="813" w:type="dxa"/>
            <w:noWrap w:val="0"/>
            <w:vAlign w:val="center"/>
          </w:tcPr>
          <w:p w14:paraId="20BB65C7">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702" w:type="dxa"/>
            <w:noWrap w:val="0"/>
            <w:vAlign w:val="top"/>
          </w:tcPr>
          <w:p w14:paraId="18FD13E3">
            <w:pPr>
              <w:spacing w:line="400" w:lineRule="exact"/>
              <w:rPr>
                <w:rFonts w:ascii="宋体" w:hAnsi="宋体" w:cs="宋体"/>
                <w:color w:val="000000"/>
                <w:szCs w:val="21"/>
                <w:highlight w:val="none"/>
              </w:rPr>
            </w:pPr>
            <w:r>
              <w:rPr>
                <w:rFonts w:hint="eastAsia" w:ascii="宋体" w:hAnsi="宋体" w:cs="宋体"/>
                <w:color w:val="000000"/>
                <w:szCs w:val="21"/>
                <w:highlight w:val="none"/>
              </w:rPr>
              <w:t>1.显示方式：虚拟现实沉浸式环境。</w:t>
            </w:r>
          </w:p>
          <w:p w14:paraId="4B45D11C">
            <w:pPr>
              <w:spacing w:line="400" w:lineRule="exact"/>
              <w:rPr>
                <w:rFonts w:ascii="宋体" w:hAnsi="宋体" w:cs="宋体"/>
                <w:color w:val="000000"/>
                <w:szCs w:val="21"/>
                <w:highlight w:val="none"/>
              </w:rPr>
            </w:pPr>
            <w:r>
              <w:rPr>
                <w:rFonts w:hint="eastAsia" w:ascii="宋体" w:hAnsi="宋体" w:cs="宋体"/>
                <w:color w:val="000000"/>
                <w:szCs w:val="21"/>
                <w:highlight w:val="none"/>
              </w:rPr>
              <w:t>2.操作方式：手柄无线操作。</w:t>
            </w:r>
          </w:p>
          <w:p w14:paraId="6D228E6D">
            <w:pPr>
              <w:spacing w:line="400" w:lineRule="exact"/>
              <w:rPr>
                <w:rFonts w:ascii="宋体" w:hAnsi="宋体" w:cs="宋体"/>
                <w:color w:val="000000"/>
                <w:szCs w:val="21"/>
                <w:highlight w:val="none"/>
              </w:rPr>
            </w:pPr>
            <w:r>
              <w:rPr>
                <w:rFonts w:hint="eastAsia" w:ascii="宋体" w:hAnsi="宋体" w:cs="宋体"/>
                <w:color w:val="000000"/>
                <w:szCs w:val="21"/>
                <w:highlight w:val="none"/>
              </w:rPr>
              <w:t>▲3.固定方式：配有侧边硬绑带，能防滑。</w:t>
            </w:r>
          </w:p>
          <w:p w14:paraId="46ADE2F5">
            <w:pPr>
              <w:spacing w:line="400" w:lineRule="exact"/>
              <w:rPr>
                <w:rFonts w:ascii="宋体" w:hAnsi="宋体" w:cs="宋体"/>
                <w:color w:val="000000"/>
                <w:szCs w:val="21"/>
                <w:highlight w:val="none"/>
              </w:rPr>
            </w:pPr>
            <w:r>
              <w:rPr>
                <w:rFonts w:hint="eastAsia" w:ascii="宋体" w:hAnsi="宋体" w:cs="宋体"/>
                <w:color w:val="000000"/>
                <w:szCs w:val="21"/>
                <w:highlight w:val="none"/>
              </w:rPr>
              <w:t>4.视场角FOV：</w:t>
            </w:r>
            <w:r>
              <w:rPr>
                <w:rFonts w:hint="eastAsia" w:ascii="宋体" w:hAnsi="宋体" w:eastAsia="宋体" w:cs="宋体"/>
                <w:color w:val="000000"/>
                <w:szCs w:val="21"/>
                <w:highlight w:val="none"/>
              </w:rPr>
              <w:t>≧</w:t>
            </w:r>
            <w:r>
              <w:rPr>
                <w:rFonts w:hint="eastAsia" w:ascii="宋体" w:hAnsi="宋体" w:cs="宋体"/>
                <w:color w:val="000000"/>
                <w:szCs w:val="21"/>
                <w:highlight w:val="none"/>
              </w:rPr>
              <w:t>98度</w:t>
            </w:r>
          </w:p>
          <w:p w14:paraId="002FF177">
            <w:pPr>
              <w:spacing w:line="400" w:lineRule="exact"/>
              <w:rPr>
                <w:rFonts w:ascii="宋体" w:hAnsi="宋体" w:cs="宋体"/>
                <w:color w:val="000000"/>
                <w:szCs w:val="21"/>
                <w:highlight w:val="none"/>
              </w:rPr>
            </w:pPr>
            <w:r>
              <w:rPr>
                <w:rFonts w:hint="eastAsia" w:ascii="宋体" w:hAnsi="宋体" w:cs="宋体"/>
                <w:color w:val="000000"/>
                <w:szCs w:val="21"/>
                <w:highlight w:val="none"/>
              </w:rPr>
              <w:t>5.训练评估：训练结束后提供评估分数。</w:t>
            </w:r>
          </w:p>
          <w:p w14:paraId="508FD2E0">
            <w:pPr>
              <w:pStyle w:val="16"/>
              <w:rPr>
                <w:rFonts w:ascii="宋体" w:hAnsi="宋体" w:cs="宋体"/>
                <w:color w:val="000000"/>
                <w:szCs w:val="21"/>
                <w:highlight w:val="none"/>
              </w:rPr>
            </w:pPr>
            <w:r>
              <w:rPr>
                <w:rFonts w:hint="eastAsia" w:ascii="宋体" w:hAnsi="宋体" w:cs="宋体"/>
                <w:color w:val="000000"/>
                <w:szCs w:val="21"/>
                <w:highlight w:val="none"/>
              </w:rPr>
              <w:t>6.训练模块</w:t>
            </w:r>
            <w:r>
              <w:rPr>
                <w:rFonts w:hint="eastAsia"/>
                <w:color w:val="000000"/>
                <w:highlight w:val="none"/>
                <w:lang w:eastAsia="zh-CN"/>
              </w:rPr>
              <w:t>包含但不限于</w:t>
            </w:r>
            <w:r>
              <w:rPr>
                <w:rFonts w:hint="eastAsia" w:ascii="宋体" w:hAnsi="宋体" w:cs="宋体"/>
                <w:color w:val="000000"/>
                <w:szCs w:val="21"/>
                <w:highlight w:val="none"/>
              </w:rPr>
              <w:t>：外周性、中枢康复训练模块；坐姿、站姿训练模块；凝视记忆、替代性康复训练模块，耳石症、视觉强化训练模块；自定义训练模块；心理康复模块及量表。</w:t>
            </w:r>
          </w:p>
          <w:p w14:paraId="6281D791">
            <w:pPr>
              <w:spacing w:line="400" w:lineRule="exact"/>
              <w:rPr>
                <w:rFonts w:ascii="宋体" w:hAnsi="宋体" w:cs="宋体"/>
                <w:color w:val="000000"/>
                <w:szCs w:val="21"/>
                <w:highlight w:val="none"/>
              </w:rPr>
            </w:pPr>
            <w:r>
              <w:rPr>
                <w:rFonts w:hint="eastAsia" w:ascii="宋体" w:hAnsi="宋体" w:cs="宋体"/>
                <w:color w:val="000000"/>
                <w:szCs w:val="21"/>
                <w:highlight w:val="none"/>
              </w:rPr>
              <w:t>▲7.配有外部环境摄像头，提醒训练者不要离开安全区域。</w:t>
            </w:r>
          </w:p>
          <w:p w14:paraId="43077A56">
            <w:pPr>
              <w:spacing w:line="400" w:lineRule="exact"/>
              <w:rPr>
                <w:rFonts w:ascii="宋体" w:hAnsi="宋体" w:cs="宋体"/>
                <w:color w:val="000000"/>
                <w:szCs w:val="21"/>
                <w:highlight w:val="none"/>
              </w:rPr>
            </w:pPr>
            <w:r>
              <w:rPr>
                <w:rFonts w:hint="eastAsia" w:ascii="宋体" w:hAnsi="宋体" w:cs="宋体"/>
                <w:color w:val="000000"/>
                <w:szCs w:val="21"/>
                <w:highlight w:val="none"/>
              </w:rPr>
              <w:t>▲8.可通过工作站控制和显示患者训练内容，具备打印训练报告。</w:t>
            </w:r>
          </w:p>
          <w:p w14:paraId="7444BBDA">
            <w:pPr>
              <w:spacing w:line="400" w:lineRule="exact"/>
              <w:rPr>
                <w:rFonts w:ascii="宋体" w:hAnsi="宋体" w:cs="宋体"/>
                <w:color w:val="000000"/>
                <w:szCs w:val="21"/>
                <w:highlight w:val="none"/>
              </w:rPr>
            </w:pPr>
            <w:r>
              <w:rPr>
                <w:rFonts w:hint="eastAsia" w:ascii="宋体" w:hAnsi="宋体" w:cs="宋体"/>
                <w:color w:val="000000"/>
                <w:szCs w:val="21"/>
                <w:highlight w:val="none"/>
              </w:rPr>
              <w:t>9.存储</w:t>
            </w:r>
          </w:p>
          <w:p w14:paraId="4A653905">
            <w:pPr>
              <w:spacing w:line="400" w:lineRule="exact"/>
              <w:rPr>
                <w:rFonts w:ascii="宋体" w:hAnsi="宋体" w:cs="宋体"/>
                <w:color w:val="000000"/>
                <w:szCs w:val="21"/>
                <w:highlight w:val="none"/>
              </w:rPr>
            </w:pPr>
            <w:r>
              <w:rPr>
                <w:rFonts w:hint="eastAsia" w:ascii="宋体" w:hAnsi="宋体" w:cs="宋体"/>
                <w:color w:val="000000"/>
                <w:szCs w:val="21"/>
                <w:highlight w:val="none"/>
              </w:rPr>
              <w:t>（1）主动散热结构，避免机身发烫</w:t>
            </w:r>
          </w:p>
          <w:p w14:paraId="462F5F36">
            <w:pPr>
              <w:spacing w:line="400" w:lineRule="exact"/>
              <w:rPr>
                <w:rFonts w:ascii="宋体" w:hAnsi="宋体" w:cs="宋体"/>
                <w:color w:val="000000"/>
                <w:szCs w:val="21"/>
                <w:highlight w:val="none"/>
              </w:rPr>
            </w:pPr>
            <w:r>
              <w:rPr>
                <w:rFonts w:hint="eastAsia" w:ascii="宋体" w:hAnsi="宋体" w:cs="宋体"/>
                <w:color w:val="000000"/>
                <w:szCs w:val="21"/>
                <w:highlight w:val="none"/>
              </w:rPr>
              <w:t>▲（2）电池后置,减轻压迫感，佩戴更加舒适</w:t>
            </w:r>
          </w:p>
          <w:p w14:paraId="4D14FB6D">
            <w:pPr>
              <w:spacing w:line="400" w:lineRule="exact"/>
              <w:rPr>
                <w:rFonts w:ascii="宋体" w:hAnsi="宋体" w:cs="宋体"/>
                <w:color w:val="000000"/>
                <w:szCs w:val="21"/>
                <w:highlight w:val="none"/>
              </w:rPr>
            </w:pPr>
            <w:r>
              <w:rPr>
                <w:rFonts w:hint="eastAsia" w:ascii="宋体" w:hAnsi="宋体" w:cs="宋体"/>
                <w:color w:val="000000"/>
                <w:szCs w:val="21"/>
                <w:highlight w:val="none"/>
              </w:rPr>
              <w:t>（3）6DOF双手柄定位</w:t>
            </w:r>
          </w:p>
          <w:p w14:paraId="05E194D5">
            <w:pPr>
              <w:spacing w:line="400" w:lineRule="exact"/>
              <w:rPr>
                <w:rFonts w:ascii="宋体" w:hAnsi="宋体" w:cs="宋体"/>
                <w:color w:val="000000"/>
                <w:szCs w:val="21"/>
                <w:highlight w:val="none"/>
              </w:rPr>
            </w:pPr>
            <w:r>
              <w:rPr>
                <w:rFonts w:hint="eastAsia" w:ascii="宋体" w:hAnsi="宋体" w:cs="宋体"/>
                <w:color w:val="000000"/>
                <w:szCs w:val="21"/>
                <w:highlight w:val="none"/>
              </w:rPr>
              <w:t>（4）参照或相当于安卓系统</w:t>
            </w:r>
          </w:p>
          <w:p w14:paraId="46F4C4E5">
            <w:pPr>
              <w:spacing w:line="400" w:lineRule="exact"/>
              <w:rPr>
                <w:rFonts w:ascii="宋体" w:hAnsi="宋体" w:cs="宋体"/>
                <w:color w:val="000000"/>
                <w:szCs w:val="21"/>
                <w:highlight w:val="none"/>
              </w:rPr>
            </w:pPr>
            <w:r>
              <w:rPr>
                <w:rFonts w:hint="eastAsia" w:ascii="宋体" w:hAnsi="宋体" w:cs="宋体"/>
                <w:color w:val="000000"/>
                <w:szCs w:val="21"/>
                <w:highlight w:val="none"/>
              </w:rPr>
              <w:t>（5）双眼4K分辨率：≥3664*1920</w:t>
            </w:r>
          </w:p>
          <w:p w14:paraId="708CC684">
            <w:pPr>
              <w:spacing w:line="400" w:lineRule="exact"/>
              <w:rPr>
                <w:rFonts w:ascii="宋体" w:hAnsi="宋体" w:cs="宋体"/>
                <w:color w:val="000000"/>
                <w:szCs w:val="21"/>
                <w:highlight w:val="none"/>
              </w:rPr>
            </w:pPr>
            <w:r>
              <w:rPr>
                <w:rFonts w:hint="eastAsia" w:ascii="宋体" w:hAnsi="宋体" w:cs="宋体"/>
                <w:color w:val="000000"/>
                <w:szCs w:val="21"/>
                <w:highlight w:val="none"/>
              </w:rPr>
              <w:t>（6）WIFI连接方式，USB连接方式，支持WIFI6</w:t>
            </w:r>
          </w:p>
          <w:p w14:paraId="0356555C">
            <w:pPr>
              <w:spacing w:line="400" w:lineRule="exact"/>
              <w:rPr>
                <w:rFonts w:ascii="宋体" w:hAnsi="宋体" w:cs="宋体"/>
                <w:color w:val="000000"/>
                <w:szCs w:val="21"/>
                <w:highlight w:val="none"/>
              </w:rPr>
            </w:pPr>
            <w:r>
              <w:rPr>
                <w:rFonts w:hint="eastAsia" w:ascii="宋体" w:hAnsi="宋体" w:cs="宋体"/>
                <w:color w:val="000000"/>
                <w:szCs w:val="21"/>
                <w:highlight w:val="none"/>
              </w:rPr>
              <w:t>（7）屏幕精细度：≥773ppi</w:t>
            </w:r>
          </w:p>
          <w:p w14:paraId="2C25D025">
            <w:pPr>
              <w:spacing w:line="400" w:lineRule="exact"/>
              <w:rPr>
                <w:rFonts w:ascii="宋体" w:hAnsi="宋体" w:cs="宋体"/>
                <w:color w:val="000000"/>
                <w:szCs w:val="21"/>
                <w:highlight w:val="none"/>
              </w:rPr>
            </w:pPr>
            <w:r>
              <w:rPr>
                <w:rFonts w:hint="eastAsia" w:ascii="宋体" w:hAnsi="宋体" w:cs="宋体"/>
                <w:color w:val="000000"/>
                <w:szCs w:val="21"/>
                <w:highlight w:val="none"/>
              </w:rPr>
              <w:t>（8）屏幕刷新率：≥60Hz</w:t>
            </w:r>
          </w:p>
          <w:p w14:paraId="01D033C7">
            <w:pPr>
              <w:spacing w:line="400" w:lineRule="exact"/>
              <w:rPr>
                <w:rFonts w:ascii="宋体" w:hAnsi="宋体" w:cs="宋体"/>
                <w:color w:val="000000"/>
                <w:szCs w:val="21"/>
                <w:highlight w:val="none"/>
              </w:rPr>
            </w:pPr>
            <w:r>
              <w:rPr>
                <w:rFonts w:hint="eastAsia" w:ascii="宋体" w:hAnsi="宋体" w:cs="宋体"/>
                <w:color w:val="000000"/>
                <w:szCs w:val="21"/>
                <w:highlight w:val="none"/>
              </w:rPr>
              <w:t>（9）处理器：参照或相当于高通骁龙XR2</w:t>
            </w:r>
          </w:p>
          <w:p w14:paraId="7E77338C">
            <w:pPr>
              <w:spacing w:line="400" w:lineRule="exact"/>
              <w:rPr>
                <w:rFonts w:ascii="宋体" w:hAnsi="宋体" w:cs="宋体"/>
                <w:color w:val="000000"/>
                <w:szCs w:val="21"/>
                <w:highlight w:val="none"/>
              </w:rPr>
            </w:pPr>
            <w:r>
              <w:rPr>
                <w:rFonts w:hint="eastAsia" w:ascii="宋体" w:hAnsi="宋体" w:cs="宋体"/>
                <w:color w:val="000000"/>
                <w:szCs w:val="21"/>
                <w:highlight w:val="none"/>
              </w:rPr>
              <w:t>（10）存储：≥4G内存，≥64G闪存</w:t>
            </w:r>
          </w:p>
          <w:p w14:paraId="64B7531D">
            <w:pPr>
              <w:spacing w:line="400" w:lineRule="exact"/>
              <w:rPr>
                <w:rFonts w:ascii="宋体" w:hAnsi="宋体" w:cs="宋体"/>
                <w:color w:val="000000"/>
                <w:szCs w:val="21"/>
                <w:highlight w:val="none"/>
              </w:rPr>
            </w:pPr>
            <w:r>
              <w:rPr>
                <w:rFonts w:hint="eastAsia" w:ascii="宋体" w:hAnsi="宋体" w:cs="宋体"/>
                <w:color w:val="000000"/>
                <w:szCs w:val="21"/>
                <w:highlight w:val="none"/>
              </w:rPr>
              <w:t>10.电池</w:t>
            </w:r>
          </w:p>
          <w:p w14:paraId="64C4D246">
            <w:pPr>
              <w:spacing w:line="400" w:lineRule="exact"/>
              <w:rPr>
                <w:rFonts w:ascii="宋体" w:hAnsi="宋体" w:cs="宋体"/>
                <w:color w:val="000000"/>
                <w:szCs w:val="21"/>
                <w:highlight w:val="none"/>
              </w:rPr>
            </w:pPr>
            <w:r>
              <w:rPr>
                <w:rFonts w:hint="eastAsia" w:ascii="宋体" w:hAnsi="宋体" w:cs="宋体"/>
                <w:color w:val="000000"/>
                <w:szCs w:val="21"/>
                <w:highlight w:val="none"/>
              </w:rPr>
              <w:t>（1）容量：≥5000mAh</w:t>
            </w:r>
          </w:p>
          <w:p w14:paraId="798B4883">
            <w:pPr>
              <w:spacing w:line="400" w:lineRule="exact"/>
              <w:rPr>
                <w:rFonts w:ascii="宋体" w:hAnsi="宋体" w:cs="宋体"/>
                <w:color w:val="000000"/>
                <w:szCs w:val="21"/>
                <w:highlight w:val="none"/>
              </w:rPr>
            </w:pPr>
            <w:r>
              <w:rPr>
                <w:rFonts w:hint="eastAsia" w:ascii="宋体" w:hAnsi="宋体" w:cs="宋体"/>
                <w:color w:val="000000"/>
                <w:szCs w:val="21"/>
                <w:highlight w:val="none"/>
              </w:rPr>
              <w:t>（2）续航时间：≥4小时</w:t>
            </w:r>
          </w:p>
        </w:tc>
        <w:tc>
          <w:tcPr>
            <w:tcW w:w="1217" w:type="dxa"/>
            <w:noWrap w:val="0"/>
            <w:vAlign w:val="center"/>
          </w:tcPr>
          <w:p w14:paraId="05A1322A">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30</w:t>
            </w:r>
          </w:p>
        </w:tc>
      </w:tr>
      <w:tr w14:paraId="2EF65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1" w:type="dxa"/>
            <w:noWrap w:val="0"/>
            <w:vAlign w:val="center"/>
          </w:tcPr>
          <w:p w14:paraId="2EFD8C0D">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7</w:t>
            </w:r>
          </w:p>
        </w:tc>
        <w:tc>
          <w:tcPr>
            <w:tcW w:w="844" w:type="dxa"/>
            <w:noWrap w:val="0"/>
            <w:vAlign w:val="center"/>
          </w:tcPr>
          <w:p w14:paraId="3D24F4D4">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耳鸣治疗验配平台</w:t>
            </w:r>
          </w:p>
        </w:tc>
        <w:tc>
          <w:tcPr>
            <w:tcW w:w="813" w:type="dxa"/>
            <w:noWrap w:val="0"/>
            <w:vAlign w:val="center"/>
          </w:tcPr>
          <w:p w14:paraId="12FD9EF0">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702" w:type="dxa"/>
            <w:noWrap w:val="0"/>
            <w:vAlign w:val="top"/>
          </w:tcPr>
          <w:p w14:paraId="7230CE79">
            <w:pPr>
              <w:numPr>
                <w:ilvl w:val="0"/>
                <w:numId w:val="4"/>
              </w:numPr>
              <w:spacing w:line="360" w:lineRule="auto"/>
              <w:jc w:val="left"/>
              <w:rPr>
                <w:rFonts w:ascii="宋体" w:hAnsi="宋体" w:cs="宋体"/>
                <w:color w:val="000000"/>
                <w:szCs w:val="21"/>
                <w:highlight w:val="none"/>
              </w:rPr>
            </w:pPr>
            <w:r>
              <w:rPr>
                <w:rFonts w:hint="eastAsia" w:ascii="宋体" w:hAnsi="宋体" w:cs="宋体"/>
                <w:color w:val="000000"/>
                <w:szCs w:val="21"/>
                <w:highlight w:val="none"/>
              </w:rPr>
              <w:t>▲</w:t>
            </w:r>
            <w:r>
              <w:rPr>
                <w:rFonts w:hint="eastAsia" w:ascii="宋体" w:hAnsi="宋体" w:cs="宋体"/>
                <w:b/>
                <w:bCs/>
                <w:color w:val="000000"/>
                <w:szCs w:val="21"/>
                <w:highlight w:val="none"/>
              </w:rPr>
              <w:t>患者管理模块：</w:t>
            </w:r>
            <w:r>
              <w:rPr>
                <w:rFonts w:hint="eastAsia" w:ascii="宋体" w:hAnsi="宋体" w:cs="宋体"/>
                <w:color w:val="000000"/>
                <w:szCs w:val="21"/>
                <w:highlight w:val="none"/>
              </w:rPr>
              <w:t>病史、体征、专科检查等数据采集</w:t>
            </w:r>
          </w:p>
          <w:p w14:paraId="18655FBD">
            <w:pPr>
              <w:numPr>
                <w:ilvl w:val="0"/>
                <w:numId w:val="4"/>
              </w:numPr>
              <w:spacing w:line="360" w:lineRule="auto"/>
              <w:jc w:val="left"/>
              <w:rPr>
                <w:rFonts w:ascii="宋体" w:hAnsi="宋体" w:cs="宋体"/>
                <w:b/>
                <w:bCs/>
                <w:color w:val="000000"/>
                <w:szCs w:val="21"/>
                <w:highlight w:val="none"/>
              </w:rPr>
            </w:pPr>
            <w:r>
              <w:rPr>
                <w:rFonts w:hint="eastAsia" w:ascii="宋体" w:hAnsi="宋体" w:cs="宋体"/>
                <w:b/>
                <w:bCs/>
                <w:color w:val="000000"/>
                <w:szCs w:val="21"/>
                <w:highlight w:val="none"/>
              </w:rPr>
              <w:t>量表问诊模块：</w:t>
            </w:r>
          </w:p>
          <w:p w14:paraId="36DC77BC">
            <w:pPr>
              <w:spacing w:line="360" w:lineRule="auto"/>
              <w:jc w:val="left"/>
              <w:rPr>
                <w:rFonts w:ascii="宋体" w:hAnsi="宋体" w:cs="宋体"/>
                <w:color w:val="000000"/>
                <w:szCs w:val="21"/>
                <w:highlight w:val="none"/>
              </w:rPr>
            </w:pPr>
            <w:r>
              <w:rPr>
                <w:rFonts w:hint="eastAsia" w:ascii="宋体" w:hAnsi="宋体" w:cs="宋体"/>
                <w:color w:val="000000"/>
                <w:szCs w:val="21"/>
                <w:highlight w:val="none"/>
              </w:rPr>
              <w:t>2.1问诊：内置标准问卷，采购人可自定义，如耳鸣、眩晕、耳聋、中耳炎、耳科特征、耳痛、耳流脓、鼻科与咽喉科等问诊表。</w:t>
            </w:r>
          </w:p>
          <w:p w14:paraId="04C5F4C1">
            <w:pPr>
              <w:spacing w:line="360" w:lineRule="auto"/>
              <w:jc w:val="left"/>
              <w:rPr>
                <w:rFonts w:ascii="宋体" w:hAnsi="宋体" w:cs="宋体"/>
                <w:color w:val="000000"/>
                <w:szCs w:val="21"/>
                <w:highlight w:val="none"/>
              </w:rPr>
            </w:pPr>
            <w:r>
              <w:rPr>
                <w:rFonts w:hint="eastAsia" w:ascii="宋体" w:hAnsi="宋体" w:cs="宋体"/>
                <w:color w:val="000000"/>
                <w:szCs w:val="21"/>
                <w:highlight w:val="none"/>
              </w:rPr>
              <w:t>2.2评估：内置标准评估量表，采购人可自定义，如THI、抑郁症、焦虑症等评估量表</w:t>
            </w:r>
          </w:p>
          <w:p w14:paraId="057B15C0">
            <w:pPr>
              <w:numPr>
                <w:ilvl w:val="0"/>
                <w:numId w:val="4"/>
              </w:numPr>
              <w:spacing w:line="360" w:lineRule="auto"/>
              <w:jc w:val="left"/>
              <w:rPr>
                <w:rFonts w:ascii="宋体" w:hAnsi="宋体" w:cs="宋体"/>
                <w:b/>
                <w:bCs/>
                <w:color w:val="000000"/>
                <w:szCs w:val="21"/>
                <w:highlight w:val="none"/>
              </w:rPr>
            </w:pPr>
            <w:r>
              <w:rPr>
                <w:rFonts w:hint="eastAsia" w:ascii="宋体" w:hAnsi="宋体" w:cs="宋体"/>
                <w:b/>
                <w:bCs/>
                <w:color w:val="000000"/>
                <w:szCs w:val="21"/>
                <w:highlight w:val="none"/>
              </w:rPr>
              <w:t>精细测听模块：</w:t>
            </w:r>
          </w:p>
          <w:p w14:paraId="14687274">
            <w:pPr>
              <w:widowControl/>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color w:val="000000"/>
                <w:kern w:val="0"/>
                <w:szCs w:val="21"/>
                <w:highlight w:val="none"/>
              </w:rPr>
              <w:t>▲</w:t>
            </w:r>
            <w:r>
              <w:rPr>
                <w:rFonts w:hint="eastAsia" w:ascii="宋体" w:hAnsi="宋体" w:cs="宋体"/>
                <w:bCs/>
                <w:color w:val="000000"/>
                <w:kern w:val="0"/>
                <w:szCs w:val="21"/>
                <w:highlight w:val="none"/>
              </w:rPr>
              <w:t>3.1  纯音：气导：</w:t>
            </w:r>
            <w:r>
              <w:rPr>
                <w:rFonts w:hint="eastAsia" w:ascii="宋体" w:hAnsi="宋体" w:cs="宋体"/>
                <w:color w:val="000000"/>
                <w:kern w:val="0"/>
                <w:szCs w:val="21"/>
                <w:highlight w:val="none"/>
              </w:rPr>
              <w:t xml:space="preserve">125-8000Hz </w:t>
            </w:r>
          </w:p>
          <w:p w14:paraId="19C87230">
            <w:pPr>
              <w:widowControl/>
              <w:autoSpaceDE w:val="0"/>
              <w:autoSpaceDN w:val="0"/>
              <w:adjustRightInd w:val="0"/>
              <w:spacing w:line="360" w:lineRule="auto"/>
              <w:jc w:val="left"/>
              <w:rPr>
                <w:rFonts w:ascii="宋体" w:hAnsi="宋体" w:cs="宋体"/>
                <w:bCs/>
                <w:color w:val="000000"/>
                <w:kern w:val="0"/>
                <w:szCs w:val="21"/>
                <w:highlight w:val="none"/>
              </w:rPr>
            </w:pPr>
            <w:r>
              <w:rPr>
                <w:rFonts w:hint="eastAsia" w:ascii="宋体" w:hAnsi="宋体" w:cs="宋体"/>
                <w:color w:val="000000"/>
                <w:kern w:val="0"/>
                <w:szCs w:val="21"/>
                <w:highlight w:val="none"/>
              </w:rPr>
              <w:t>3.2  分辨率：1/2-1/24 octave.1Hz/10Hz/50Hz/100Hz</w:t>
            </w:r>
          </w:p>
          <w:p w14:paraId="3FFDF9AA">
            <w:pPr>
              <w:widowControl/>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3.3  波形文件：</w:t>
            </w:r>
            <w:r>
              <w:rPr>
                <w:rFonts w:hint="eastAsia" w:ascii="宋体" w:hAnsi="宋体" w:cs="宋体"/>
                <w:color w:val="000000"/>
                <w:kern w:val="0"/>
                <w:szCs w:val="21"/>
                <w:highlight w:val="none"/>
              </w:rPr>
              <w:t>采样率：44100Hz，16bits, 2通道</w:t>
            </w:r>
          </w:p>
          <w:p w14:paraId="7E5608B2">
            <w:pPr>
              <w:widowControl/>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3.4  强度：气导：</w:t>
            </w:r>
            <w:r>
              <w:rPr>
                <w:rFonts w:hint="eastAsia" w:ascii="宋体" w:hAnsi="宋体" w:cs="宋体"/>
                <w:color w:val="000000"/>
                <w:kern w:val="0"/>
                <w:szCs w:val="21"/>
                <w:highlight w:val="none"/>
              </w:rPr>
              <w:t>-10～ 110dB HL</w:t>
            </w:r>
          </w:p>
          <w:p w14:paraId="078275BF">
            <w:pPr>
              <w:widowControl/>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color w:val="000000"/>
                <w:kern w:val="0"/>
                <w:szCs w:val="21"/>
                <w:highlight w:val="none"/>
                <w:lang w:val="da-DK"/>
              </w:rPr>
              <w:t>3</w:t>
            </w: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val="da-DK"/>
              </w:rPr>
              <w:t>5</w:t>
            </w:r>
            <w:r>
              <w:rPr>
                <w:rFonts w:hint="eastAsia" w:ascii="宋体" w:hAnsi="宋体" w:cs="宋体"/>
                <w:color w:val="000000"/>
                <w:kern w:val="0"/>
                <w:szCs w:val="21"/>
                <w:highlight w:val="none"/>
              </w:rPr>
              <w:t xml:space="preserve">  步进：1、2、5dB</w:t>
            </w:r>
          </w:p>
          <w:p w14:paraId="5401BBF6">
            <w:pPr>
              <w:widowControl/>
              <w:tabs>
                <w:tab w:val="left" w:pos="567"/>
              </w:tabs>
              <w:autoSpaceDE w:val="0"/>
              <w:autoSpaceDN w:val="0"/>
              <w:adjustRightInd w:val="0"/>
              <w:spacing w:line="360" w:lineRule="auto"/>
              <w:ind w:left="630" w:hanging="630" w:hangingChars="300"/>
              <w:jc w:val="left"/>
              <w:rPr>
                <w:rFonts w:ascii="宋体" w:hAnsi="宋体" w:cs="宋体"/>
                <w:color w:val="000000"/>
                <w:kern w:val="0"/>
                <w:szCs w:val="21"/>
                <w:highlight w:val="none"/>
              </w:rPr>
            </w:pPr>
            <w:r>
              <w:rPr>
                <w:rFonts w:hint="eastAsia" w:ascii="宋体" w:hAnsi="宋体" w:cs="宋体"/>
                <w:color w:val="000000"/>
                <w:kern w:val="0"/>
                <w:szCs w:val="21"/>
                <w:highlight w:val="none"/>
              </w:rPr>
              <w:t>3.6  频率准确度：±1%</w:t>
            </w:r>
          </w:p>
          <w:p w14:paraId="0FE22DC6">
            <w:pPr>
              <w:widowControl/>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3.7  频率范围：气导：</w:t>
            </w:r>
            <w:r>
              <w:rPr>
                <w:rFonts w:hint="eastAsia" w:ascii="宋体" w:hAnsi="宋体" w:cs="宋体"/>
                <w:color w:val="000000"/>
                <w:kern w:val="0"/>
                <w:szCs w:val="21"/>
                <w:highlight w:val="none"/>
              </w:rPr>
              <w:t xml:space="preserve">125-8000Hz </w:t>
            </w:r>
          </w:p>
          <w:p w14:paraId="29AE6B12">
            <w:pPr>
              <w:widowControl/>
              <w:tabs>
                <w:tab w:val="left" w:pos="567"/>
              </w:tabs>
              <w:autoSpaceDE w:val="0"/>
              <w:autoSpaceDN w:val="0"/>
              <w:adjustRightInd w:val="0"/>
              <w:spacing w:line="360" w:lineRule="auto"/>
              <w:jc w:val="left"/>
              <w:rPr>
                <w:rFonts w:ascii="宋体" w:hAnsi="宋体" w:cs="宋体"/>
                <w:bCs/>
                <w:color w:val="000000"/>
                <w:kern w:val="0"/>
                <w:szCs w:val="21"/>
                <w:highlight w:val="none"/>
              </w:rPr>
            </w:pPr>
            <w:r>
              <w:rPr>
                <w:rFonts w:hint="eastAsia" w:ascii="宋体" w:hAnsi="宋体" w:cs="宋体"/>
                <w:bCs/>
                <w:color w:val="000000"/>
                <w:kern w:val="0"/>
                <w:szCs w:val="21"/>
                <w:highlight w:val="none"/>
              </w:rPr>
              <w:t>3.8 失真 (THD)：气导失真：</w:t>
            </w:r>
            <w:r>
              <w:rPr>
                <w:rFonts w:hint="eastAsia" w:ascii="宋体" w:hAnsi="宋体" w:cs="宋体"/>
                <w:color w:val="000000"/>
                <w:kern w:val="0"/>
                <w:szCs w:val="21"/>
                <w:highlight w:val="none"/>
              </w:rPr>
              <w:t>≤1%</w:t>
            </w:r>
          </w:p>
          <w:p w14:paraId="2F9B1366">
            <w:pPr>
              <w:widowControl/>
              <w:tabs>
                <w:tab w:val="left" w:pos="567"/>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3.9信号指示(VU)：</w:t>
            </w:r>
            <w:r>
              <w:rPr>
                <w:rFonts w:hint="eastAsia" w:ascii="宋体" w:hAnsi="宋体" w:cs="宋体"/>
                <w:color w:val="000000"/>
                <w:kern w:val="0"/>
                <w:szCs w:val="21"/>
                <w:highlight w:val="none"/>
              </w:rPr>
              <w:t>计权时间： 350ms</w:t>
            </w:r>
          </w:p>
          <w:p w14:paraId="42E45383">
            <w:pPr>
              <w:widowControl/>
              <w:tabs>
                <w:tab w:val="left" w:pos="567"/>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color w:val="000000"/>
                <w:kern w:val="0"/>
                <w:szCs w:val="21"/>
                <w:highlight w:val="none"/>
              </w:rPr>
              <w:t xml:space="preserve">3.10 动态范围： -10dB ～ +3dB </w:t>
            </w:r>
          </w:p>
          <w:p w14:paraId="48A80EED">
            <w:pPr>
              <w:widowControl/>
              <w:tabs>
                <w:tab w:val="left" w:pos="567"/>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color w:val="000000"/>
                <w:kern w:val="0"/>
                <w:szCs w:val="21"/>
                <w:highlight w:val="none"/>
              </w:rPr>
              <w:t>3.11 计算方法： RMS</w:t>
            </w:r>
          </w:p>
          <w:p w14:paraId="7808728E">
            <w:pPr>
              <w:widowControl/>
              <w:tabs>
                <w:tab w:val="left" w:pos="567"/>
              </w:tabs>
              <w:autoSpaceDE w:val="0"/>
              <w:autoSpaceDN w:val="0"/>
              <w:adjustRightInd w:val="0"/>
              <w:spacing w:line="360" w:lineRule="auto"/>
              <w:jc w:val="left"/>
              <w:rPr>
                <w:rFonts w:hint="eastAsia" w:ascii="宋体" w:hAnsi="宋体" w:eastAsia="宋体" w:cs="宋体"/>
                <w:color w:val="000000"/>
                <w:kern w:val="0"/>
                <w:szCs w:val="21"/>
                <w:highlight w:val="none"/>
                <w:lang w:eastAsia="zh-CN"/>
              </w:rPr>
            </w:pPr>
            <w:r>
              <w:rPr>
                <w:rFonts w:hint="eastAsia" w:ascii="宋体" w:hAnsi="宋体" w:cs="宋体"/>
                <w:bCs/>
                <w:color w:val="000000"/>
                <w:kern w:val="0"/>
                <w:szCs w:val="21"/>
                <w:highlight w:val="none"/>
              </w:rPr>
              <w:t>3.12 存储：所</w:t>
            </w:r>
            <w:r>
              <w:rPr>
                <w:rFonts w:hint="eastAsia" w:ascii="宋体" w:hAnsi="宋体" w:cs="宋体"/>
                <w:bCs/>
                <w:color w:val="000000"/>
                <w:kern w:val="0"/>
                <w:szCs w:val="21"/>
                <w:highlight w:val="none"/>
                <w:lang w:eastAsia="zh-CN"/>
              </w:rPr>
              <w:t>键</w:t>
            </w:r>
            <w:r>
              <w:rPr>
                <w:rFonts w:hint="eastAsia" w:ascii="宋体" w:hAnsi="宋体" w:cs="宋体"/>
                <w:bCs/>
                <w:color w:val="000000"/>
                <w:kern w:val="0"/>
                <w:szCs w:val="21"/>
                <w:highlight w:val="none"/>
              </w:rPr>
              <w:t>即所得</w:t>
            </w:r>
            <w:r>
              <w:rPr>
                <w:rStyle w:val="59"/>
                <w:rFonts w:hint="eastAsia"/>
                <w:color w:val="000000"/>
                <w:highlight w:val="none"/>
                <w:lang w:eastAsia="zh-CN"/>
              </w:rPr>
              <w:t>，实时储存；</w:t>
            </w:r>
          </w:p>
          <w:p w14:paraId="149E95AD">
            <w:pPr>
              <w:widowControl/>
              <w:tabs>
                <w:tab w:val="left" w:pos="567"/>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color w:val="000000"/>
                <w:kern w:val="0"/>
                <w:szCs w:val="21"/>
                <w:highlight w:val="none"/>
              </w:rPr>
              <w:t>3.13 FPT测试：探查神经元响应特征以及与耳鸣位点的相关性，用于鉴别诊断</w:t>
            </w:r>
          </w:p>
          <w:p w14:paraId="06AD65AD">
            <w:pPr>
              <w:spacing w:line="360" w:lineRule="auto"/>
              <w:jc w:val="left"/>
              <w:rPr>
                <w:rFonts w:ascii="宋体" w:hAnsi="宋体" w:cs="宋体"/>
                <w:color w:val="000000"/>
                <w:kern w:val="0"/>
                <w:szCs w:val="21"/>
                <w:highlight w:val="none"/>
              </w:rPr>
            </w:pPr>
            <w:r>
              <w:rPr>
                <w:rFonts w:hint="eastAsia" w:ascii="宋体" w:hAnsi="宋体" w:cs="宋体"/>
                <w:color w:val="000000"/>
                <w:szCs w:val="21"/>
                <w:highlight w:val="none"/>
              </w:rPr>
              <w:t>3.14</w:t>
            </w:r>
            <w:r>
              <w:rPr>
                <w:rFonts w:hint="eastAsia" w:ascii="宋体" w:hAnsi="宋体" w:cs="宋体"/>
                <w:color w:val="000000"/>
                <w:kern w:val="0"/>
                <w:szCs w:val="21"/>
                <w:highlight w:val="none"/>
              </w:rPr>
              <w:t>掩蔽信号：根据纯音测试结果自动选择窄带噪声、言语噪声</w:t>
            </w:r>
          </w:p>
          <w:p w14:paraId="48F99D98">
            <w:pPr>
              <w:spacing w:line="360" w:lineRule="auto"/>
              <w:jc w:val="left"/>
              <w:rPr>
                <w:rFonts w:ascii="宋体" w:hAnsi="宋体" w:cs="宋体"/>
                <w:color w:val="000000"/>
                <w:szCs w:val="21"/>
                <w:highlight w:val="none"/>
              </w:rPr>
            </w:pPr>
            <w:r>
              <w:rPr>
                <w:rFonts w:hint="eastAsia" w:ascii="宋体" w:hAnsi="宋体" w:cs="宋体"/>
                <w:color w:val="000000"/>
                <w:kern w:val="0"/>
                <w:szCs w:val="21"/>
                <w:highlight w:val="none"/>
              </w:rPr>
              <w:t>3.15</w:t>
            </w:r>
            <w:r>
              <w:rPr>
                <w:rFonts w:hint="eastAsia" w:ascii="宋体" w:hAnsi="宋体" w:cs="宋体"/>
                <w:color w:val="000000"/>
                <w:szCs w:val="21"/>
                <w:highlight w:val="none"/>
              </w:rPr>
              <w:t>信号发射：电脑操作</w:t>
            </w:r>
          </w:p>
          <w:p w14:paraId="1B83EC6E">
            <w:pPr>
              <w:numPr>
                <w:ilvl w:val="0"/>
                <w:numId w:val="4"/>
              </w:numPr>
              <w:spacing w:line="360" w:lineRule="auto"/>
              <w:jc w:val="left"/>
              <w:rPr>
                <w:rFonts w:ascii="宋体" w:hAnsi="宋体" w:cs="宋体"/>
                <w:b/>
                <w:bCs/>
                <w:color w:val="000000"/>
                <w:szCs w:val="21"/>
                <w:highlight w:val="none"/>
              </w:rPr>
            </w:pPr>
            <w:r>
              <w:rPr>
                <w:rFonts w:hint="eastAsia" w:ascii="宋体" w:hAnsi="宋体" w:cs="宋体"/>
                <w:b/>
                <w:bCs/>
                <w:color w:val="000000"/>
                <w:szCs w:val="21"/>
                <w:highlight w:val="none"/>
              </w:rPr>
              <w:t>耳鸣检测模块：</w:t>
            </w:r>
          </w:p>
          <w:p w14:paraId="60026A11">
            <w:pPr>
              <w:widowControl/>
              <w:tabs>
                <w:tab w:val="left" w:pos="567"/>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color w:val="000000"/>
                <w:kern w:val="0"/>
                <w:szCs w:val="21"/>
                <w:highlight w:val="none"/>
              </w:rPr>
              <w:t>4.1检查功能：TinniScan、耳鸣位点（TP）测试、F-RI测试、精细化测听FPT</w:t>
            </w:r>
          </w:p>
          <w:p w14:paraId="62CCF5B6">
            <w:pPr>
              <w:widowControl/>
              <w:tabs>
                <w:tab w:val="left" w:pos="142"/>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4.2  刺激声：</w:t>
            </w:r>
            <w:r>
              <w:rPr>
                <w:rFonts w:hint="eastAsia" w:ascii="宋体" w:hAnsi="宋体" w:cs="宋体"/>
                <w:color w:val="000000"/>
                <w:kern w:val="0"/>
                <w:szCs w:val="21"/>
                <w:highlight w:val="none"/>
              </w:rPr>
              <w:t>可选刺激波形wave</w:t>
            </w:r>
          </w:p>
          <w:p w14:paraId="29CBE381">
            <w:pPr>
              <w:widowControl/>
              <w:tabs>
                <w:tab w:val="left" w:pos="142"/>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4.3  频率范围：</w:t>
            </w:r>
            <w:r>
              <w:rPr>
                <w:rFonts w:hint="eastAsia" w:ascii="宋体" w:hAnsi="宋体" w:cs="宋体"/>
                <w:color w:val="000000"/>
                <w:kern w:val="0"/>
                <w:szCs w:val="21"/>
                <w:highlight w:val="none"/>
              </w:rPr>
              <w:t xml:space="preserve"> 气导：125-8000Hz</w:t>
            </w:r>
            <w:r>
              <w:rPr>
                <w:rFonts w:ascii="宋体" w:hAnsi="宋体" w:cs="宋体"/>
                <w:color w:val="000000"/>
                <w:kern w:val="0"/>
                <w:szCs w:val="21"/>
                <w:highlight w:val="none"/>
              </w:rPr>
              <w:t xml:space="preserve"> </w:t>
            </w:r>
          </w:p>
          <w:p w14:paraId="074A302D">
            <w:pPr>
              <w:widowControl/>
              <w:tabs>
                <w:tab w:val="left" w:pos="142"/>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4.4  频率精度：</w:t>
            </w:r>
            <w:r>
              <w:rPr>
                <w:rFonts w:hint="eastAsia" w:ascii="宋体" w:hAnsi="宋体" w:cs="宋体"/>
                <w:color w:val="000000"/>
                <w:kern w:val="0"/>
                <w:szCs w:val="21"/>
                <w:highlight w:val="none"/>
              </w:rPr>
              <w:t>±1%</w:t>
            </w:r>
          </w:p>
          <w:p w14:paraId="739D3368">
            <w:pPr>
              <w:widowControl/>
              <w:tabs>
                <w:tab w:val="left" w:pos="567"/>
              </w:tabs>
              <w:autoSpaceDE w:val="0"/>
              <w:autoSpaceDN w:val="0"/>
              <w:adjustRightInd w:val="0"/>
              <w:spacing w:line="360" w:lineRule="auto"/>
              <w:jc w:val="left"/>
              <w:rPr>
                <w:rFonts w:ascii="宋体" w:hAnsi="宋体" w:cs="宋体"/>
                <w:bCs/>
                <w:color w:val="000000"/>
                <w:kern w:val="0"/>
                <w:szCs w:val="21"/>
                <w:highlight w:val="none"/>
              </w:rPr>
            </w:pPr>
            <w:r>
              <w:rPr>
                <w:rFonts w:hint="eastAsia" w:ascii="宋体" w:hAnsi="宋体" w:cs="宋体"/>
                <w:bCs/>
                <w:color w:val="000000"/>
                <w:kern w:val="0"/>
                <w:szCs w:val="21"/>
                <w:highlight w:val="none"/>
              </w:rPr>
              <w:t>4.5  失真：气导失真：</w:t>
            </w:r>
            <w:r>
              <w:rPr>
                <w:rFonts w:hint="eastAsia" w:ascii="宋体" w:hAnsi="宋体" w:cs="宋体"/>
                <w:color w:val="000000"/>
                <w:kern w:val="0"/>
                <w:szCs w:val="21"/>
                <w:highlight w:val="none"/>
              </w:rPr>
              <w:t>≤1%</w:t>
            </w:r>
          </w:p>
          <w:p w14:paraId="7837F478">
            <w:pPr>
              <w:widowControl/>
              <w:tabs>
                <w:tab w:val="left" w:pos="142"/>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4.6  刺激声强度：</w:t>
            </w:r>
            <w:r>
              <w:rPr>
                <w:rFonts w:hint="eastAsia" w:ascii="宋体" w:hAnsi="宋体" w:cs="宋体"/>
                <w:color w:val="000000"/>
                <w:kern w:val="0"/>
                <w:szCs w:val="21"/>
                <w:highlight w:val="none"/>
              </w:rPr>
              <w:t>0–100dB</w:t>
            </w:r>
            <w:r>
              <w:rPr>
                <w:rFonts w:ascii="宋体" w:hAnsi="宋体" w:cs="宋体"/>
                <w:color w:val="000000"/>
                <w:kern w:val="0"/>
                <w:szCs w:val="21"/>
                <w:highlight w:val="none"/>
              </w:rPr>
              <w:t xml:space="preserve"> </w:t>
            </w:r>
          </w:p>
          <w:p w14:paraId="04A137EA">
            <w:pPr>
              <w:widowControl/>
              <w:tabs>
                <w:tab w:val="left" w:pos="142"/>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4.7  刺激声精度：</w:t>
            </w:r>
            <w:r>
              <w:rPr>
                <w:rFonts w:hint="eastAsia" w:ascii="宋体" w:hAnsi="宋体" w:cs="宋体"/>
                <w:color w:val="000000"/>
                <w:kern w:val="0"/>
                <w:szCs w:val="21"/>
                <w:highlight w:val="none"/>
              </w:rPr>
              <w:t>±1.5%</w:t>
            </w:r>
          </w:p>
          <w:p w14:paraId="6D9DC040">
            <w:pPr>
              <w:widowControl/>
              <w:tabs>
                <w:tab w:val="left" w:pos="142"/>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4.8  测量范围：</w:t>
            </w:r>
            <w:r>
              <w:rPr>
                <w:rFonts w:hint="eastAsia" w:ascii="宋体" w:hAnsi="宋体" w:cs="宋体"/>
                <w:color w:val="000000"/>
                <w:kern w:val="0"/>
                <w:szCs w:val="21"/>
                <w:highlight w:val="none"/>
              </w:rPr>
              <w:t>20-100dB，SPL ± 2dB.</w:t>
            </w:r>
          </w:p>
          <w:p w14:paraId="093AAF17">
            <w:pPr>
              <w:widowControl/>
              <w:tabs>
                <w:tab w:val="left" w:pos="142"/>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bCs/>
                <w:color w:val="000000"/>
                <w:kern w:val="0"/>
                <w:szCs w:val="21"/>
                <w:highlight w:val="none"/>
              </w:rPr>
              <w:t>4.9  分辨率：</w:t>
            </w:r>
            <w:r>
              <w:rPr>
                <w:rFonts w:hint="eastAsia" w:ascii="宋体" w:hAnsi="宋体" w:cs="宋体"/>
                <w:color w:val="000000"/>
                <w:kern w:val="0"/>
                <w:szCs w:val="21"/>
                <w:highlight w:val="none"/>
              </w:rPr>
              <w:t xml:space="preserve"> 1/3, 1/6, 1/12, 1/24 octave或1024点FFT，1Hz/10Hz/50Hz/100Hz</w:t>
            </w:r>
          </w:p>
          <w:p w14:paraId="571077C9">
            <w:pPr>
              <w:widowControl/>
              <w:tabs>
                <w:tab w:val="left" w:pos="142"/>
              </w:tabs>
              <w:autoSpaceDE w:val="0"/>
              <w:autoSpaceDN w:val="0"/>
              <w:adjustRightInd w:val="0"/>
              <w:spacing w:line="360" w:lineRule="auto"/>
              <w:jc w:val="left"/>
              <w:rPr>
                <w:rFonts w:ascii="宋体" w:hAnsi="宋体" w:cs="宋体"/>
                <w:color w:val="000000"/>
                <w:kern w:val="0"/>
                <w:szCs w:val="21"/>
                <w:highlight w:val="none"/>
              </w:rPr>
            </w:pPr>
            <w:r>
              <w:rPr>
                <w:rFonts w:hint="eastAsia" w:ascii="宋体" w:hAnsi="宋体" w:cs="宋体"/>
                <w:color w:val="000000"/>
                <w:kern w:val="0"/>
                <w:szCs w:val="21"/>
                <w:highlight w:val="none"/>
              </w:rPr>
              <w:t>4.10 刺激方式：单耳、双耳</w:t>
            </w:r>
          </w:p>
          <w:p w14:paraId="26ADEDE0">
            <w:pPr>
              <w:widowControl/>
              <w:autoSpaceDE w:val="0"/>
              <w:autoSpaceDN w:val="0"/>
              <w:adjustRightInd w:val="0"/>
              <w:spacing w:line="360" w:lineRule="auto"/>
              <w:ind w:left="-46" w:leftChars="-22"/>
              <w:jc w:val="left"/>
              <w:rPr>
                <w:rFonts w:ascii="宋体" w:hAnsi="宋体" w:cs="宋体"/>
                <w:b/>
                <w:bCs/>
                <w:color w:val="000000"/>
                <w:kern w:val="0"/>
                <w:szCs w:val="21"/>
                <w:highlight w:val="none"/>
              </w:rPr>
            </w:pPr>
            <w:r>
              <w:rPr>
                <w:rFonts w:hint="eastAsia" w:ascii="宋体" w:hAnsi="宋体" w:cs="宋体"/>
                <w:b/>
                <w:bCs/>
                <w:color w:val="000000"/>
                <w:kern w:val="0"/>
                <w:szCs w:val="21"/>
                <w:highlight w:val="none"/>
              </w:rPr>
              <w:t>5、耳鸣减敏验配模块：</w:t>
            </w:r>
          </w:p>
          <w:p w14:paraId="3F7A78DB">
            <w:pPr>
              <w:widowControl/>
              <w:tabs>
                <w:tab w:val="left" w:pos="567"/>
              </w:tabs>
              <w:autoSpaceDE w:val="0"/>
              <w:autoSpaceDN w:val="0"/>
              <w:adjustRightInd w:val="0"/>
              <w:spacing w:line="360" w:lineRule="auto"/>
              <w:ind w:left="525" w:hanging="525" w:hangingChars="250"/>
              <w:jc w:val="left"/>
              <w:rPr>
                <w:rFonts w:ascii="宋体" w:hAnsi="宋体" w:cs="宋体"/>
                <w:color w:val="000000"/>
                <w:kern w:val="0"/>
                <w:szCs w:val="21"/>
                <w:highlight w:val="none"/>
              </w:rPr>
            </w:pPr>
            <w:r>
              <w:rPr>
                <w:rFonts w:hint="eastAsia" w:ascii="宋体" w:hAnsi="宋体" w:cs="宋体"/>
                <w:color w:val="000000"/>
                <w:kern w:val="0"/>
                <w:szCs w:val="21"/>
                <w:highlight w:val="none"/>
              </w:rPr>
              <w:t>5.1  T-MIST减敏验配：依据精细化检查结果可以确定T-MIST适应症，并进行治疗声验证和选配。</w:t>
            </w:r>
          </w:p>
          <w:p w14:paraId="43833AA4">
            <w:pPr>
              <w:widowControl/>
              <w:tabs>
                <w:tab w:val="left" w:pos="567"/>
              </w:tabs>
              <w:autoSpaceDE w:val="0"/>
              <w:autoSpaceDN w:val="0"/>
              <w:adjustRightInd w:val="0"/>
              <w:spacing w:line="360" w:lineRule="auto"/>
              <w:ind w:left="525" w:hanging="525" w:hangingChars="250"/>
              <w:jc w:val="left"/>
              <w:rPr>
                <w:rFonts w:ascii="宋体" w:hAnsi="宋体" w:cs="宋体"/>
                <w:color w:val="000000"/>
                <w:kern w:val="0"/>
                <w:szCs w:val="21"/>
                <w:highlight w:val="none"/>
              </w:rPr>
            </w:pPr>
            <w:r>
              <w:rPr>
                <w:rFonts w:hint="eastAsia" w:ascii="宋体" w:hAnsi="宋体" w:cs="宋体"/>
                <w:color w:val="000000"/>
                <w:kern w:val="0"/>
                <w:szCs w:val="21"/>
                <w:highlight w:val="none"/>
              </w:rPr>
              <w:t>5.2  具有声音文件库：内置至少包含精细频率抑制声、频率特性和心理感知特征的双重声、改善情绪背景声三种类型，刺激声强：0-80 SPL</w:t>
            </w:r>
            <w:r>
              <w:rPr>
                <w:rFonts w:ascii="宋体" w:hAnsi="宋体" w:cs="宋体"/>
                <w:color w:val="000000"/>
                <w:kern w:val="0"/>
                <w:szCs w:val="21"/>
                <w:highlight w:val="none"/>
              </w:rPr>
              <w:t xml:space="preserve"> </w:t>
            </w:r>
          </w:p>
          <w:p w14:paraId="0E4D3B82">
            <w:pPr>
              <w:widowControl/>
              <w:tabs>
                <w:tab w:val="left" w:pos="567"/>
              </w:tabs>
              <w:autoSpaceDE w:val="0"/>
              <w:autoSpaceDN w:val="0"/>
              <w:adjustRightInd w:val="0"/>
              <w:spacing w:line="360" w:lineRule="auto"/>
              <w:ind w:left="525" w:hanging="525" w:hangingChars="250"/>
              <w:jc w:val="left"/>
              <w:rPr>
                <w:rFonts w:ascii="宋体" w:hAnsi="宋体" w:cs="宋体"/>
                <w:color w:val="000000"/>
                <w:kern w:val="0"/>
                <w:szCs w:val="21"/>
                <w:highlight w:val="none"/>
              </w:rPr>
            </w:pPr>
            <w:r>
              <w:rPr>
                <w:rFonts w:hint="eastAsia" w:ascii="宋体" w:hAnsi="宋体" w:cs="宋体"/>
                <w:color w:val="000000"/>
                <w:kern w:val="0"/>
                <w:szCs w:val="21"/>
                <w:highlight w:val="none"/>
              </w:rPr>
              <w:t>5.3  验配处方：至少可定制2种处方，每个处方可选配至少2种声音文件，自定义组合，可选单侧、双侧</w:t>
            </w:r>
          </w:p>
          <w:p w14:paraId="7ED0B389">
            <w:pPr>
              <w:widowControl/>
              <w:autoSpaceDE w:val="0"/>
              <w:autoSpaceDN w:val="0"/>
              <w:adjustRightInd w:val="0"/>
              <w:spacing w:line="360" w:lineRule="auto"/>
              <w:ind w:left="-46" w:leftChars="-22"/>
              <w:jc w:val="left"/>
              <w:rPr>
                <w:rFonts w:ascii="宋体" w:hAnsi="宋体" w:cs="宋体"/>
                <w:color w:val="000000"/>
                <w:kern w:val="0"/>
                <w:szCs w:val="21"/>
                <w:highlight w:val="none"/>
              </w:rPr>
            </w:pPr>
            <w:r>
              <w:rPr>
                <w:rFonts w:hint="eastAsia" w:ascii="宋体" w:hAnsi="宋体" w:cs="宋体"/>
                <w:color w:val="000000"/>
                <w:kern w:val="0"/>
                <w:szCs w:val="21"/>
                <w:highlight w:val="none"/>
              </w:rPr>
              <w:t>5.4  验配方法：内置公式，响度、频宽、刺激时间等可自定义</w:t>
            </w:r>
          </w:p>
          <w:p w14:paraId="2AE62B4E">
            <w:pPr>
              <w:widowControl/>
              <w:tabs>
                <w:tab w:val="left" w:pos="380"/>
              </w:tabs>
              <w:autoSpaceDE w:val="0"/>
              <w:autoSpaceDN w:val="0"/>
              <w:adjustRightInd w:val="0"/>
              <w:spacing w:line="360" w:lineRule="auto"/>
              <w:ind w:left="332" w:hanging="331" w:hangingChars="158"/>
              <w:jc w:val="left"/>
              <w:rPr>
                <w:rFonts w:ascii="宋体" w:hAnsi="宋体" w:cs="宋体"/>
                <w:color w:val="000000"/>
                <w:kern w:val="0"/>
                <w:szCs w:val="21"/>
                <w:highlight w:val="none"/>
              </w:rPr>
            </w:pPr>
            <w:r>
              <w:rPr>
                <w:rFonts w:hint="eastAsia" w:ascii="宋体" w:hAnsi="宋体" w:cs="宋体"/>
                <w:color w:val="000000"/>
                <w:kern w:val="0"/>
                <w:szCs w:val="21"/>
                <w:highlight w:val="none"/>
              </w:rPr>
              <w:t>▲</w:t>
            </w:r>
            <w:r>
              <w:rPr>
                <w:rFonts w:hint="eastAsia" w:ascii="宋体" w:hAnsi="宋体" w:cs="宋体"/>
                <w:b/>
                <w:bCs/>
                <w:color w:val="000000"/>
                <w:kern w:val="0"/>
                <w:szCs w:val="21"/>
                <w:highlight w:val="none"/>
              </w:rPr>
              <w:t>6、耳鸣声治疗输出模块</w:t>
            </w:r>
            <w:r>
              <w:rPr>
                <w:rFonts w:hint="eastAsia" w:ascii="宋体" w:hAnsi="宋体" w:cs="宋体"/>
                <w:color w:val="000000"/>
                <w:kern w:val="0"/>
                <w:szCs w:val="21"/>
                <w:highlight w:val="none"/>
              </w:rPr>
              <w:t>：处方输出：可把“声处方”输出，连接专用的个人定制产品，随时随地进行耳鸣治疗。</w:t>
            </w:r>
          </w:p>
        </w:tc>
        <w:tc>
          <w:tcPr>
            <w:tcW w:w="1217" w:type="dxa"/>
            <w:noWrap w:val="0"/>
            <w:vAlign w:val="center"/>
          </w:tcPr>
          <w:p w14:paraId="318ECCDA">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46</w:t>
            </w:r>
          </w:p>
        </w:tc>
      </w:tr>
      <w:tr w14:paraId="3DD65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1" w:type="dxa"/>
            <w:noWrap w:val="0"/>
            <w:vAlign w:val="center"/>
          </w:tcPr>
          <w:p w14:paraId="5BE425BA">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8</w:t>
            </w:r>
          </w:p>
        </w:tc>
        <w:tc>
          <w:tcPr>
            <w:tcW w:w="844" w:type="dxa"/>
            <w:noWrap w:val="0"/>
            <w:vAlign w:val="center"/>
          </w:tcPr>
          <w:p w14:paraId="02CF13D3">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血液低温冷藏箱</w:t>
            </w:r>
          </w:p>
        </w:tc>
        <w:tc>
          <w:tcPr>
            <w:tcW w:w="813" w:type="dxa"/>
            <w:noWrap w:val="0"/>
            <w:vAlign w:val="center"/>
          </w:tcPr>
          <w:p w14:paraId="10088D98">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702" w:type="dxa"/>
            <w:noWrap w:val="0"/>
            <w:vAlign w:val="top"/>
          </w:tcPr>
          <w:p w14:paraId="65CF99B2">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1.样式：立式</w:t>
            </w:r>
          </w:p>
          <w:p w14:paraId="4E87B7EE">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2.有效容积：</w:t>
            </w:r>
            <w:r>
              <w:rPr>
                <w:rFonts w:hint="eastAsia" w:ascii="宋体" w:hAnsi="宋体" w:cs="宋体"/>
                <w:color w:val="000000"/>
                <w:szCs w:val="21"/>
                <w:highlight w:val="none"/>
              </w:rPr>
              <w:t>≥</w:t>
            </w:r>
            <w:r>
              <w:rPr>
                <w:rFonts w:hint="eastAsia" w:ascii="宋体" w:hAnsi="宋体" w:cs="宋体"/>
                <w:bCs/>
                <w:color w:val="000000"/>
                <w:szCs w:val="21"/>
                <w:highlight w:val="none"/>
              </w:rPr>
              <w:t>390L</w:t>
            </w:r>
          </w:p>
          <w:p w14:paraId="5C0343EC">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3.外门体：高密度聚氨酯发泡门；</w:t>
            </w:r>
          </w:p>
          <w:p w14:paraId="6DFBB17C">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4.内门：采用至少 2 个聚氨酯发泡内门，内门带有低温密封条，防止打开内门漏冷严重；</w:t>
            </w:r>
          </w:p>
          <w:p w14:paraId="278DABD1">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5.箱体外部材质：采用喷涂钢板，防腐蚀、抗氧化、易清洁；</w:t>
            </w:r>
          </w:p>
          <w:p w14:paraId="6511B0F2">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6 . 内胆材质 ： 产品采用 304 不锈钢内胆食品级安全材质 ，要求耐酸碱腐蚀；</w:t>
            </w:r>
          </w:p>
          <w:p w14:paraId="31F7BC02">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7.层架/抽屉数量：至少4 层空间，至少3 个可调节间距不锈钢搁架；</w:t>
            </w:r>
          </w:p>
          <w:p w14:paraId="722EC44E">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8.保温材料：产品采用高密度聚氨酯发泡+航空 VIP 绝热材料；</w:t>
            </w:r>
          </w:p>
          <w:p w14:paraId="46E96454">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9.密封：采用硅胶门封，要求耐低温不变性，在超低温环境下保持柔软，确保密封性能；</w:t>
            </w:r>
          </w:p>
          <w:p w14:paraId="4D2A3DF1">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10.电压范围：产品采用宽电压设计，187-242V 均可使用；</w:t>
            </w:r>
          </w:p>
          <w:p w14:paraId="46B3EB2D">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11.耗电量</w:t>
            </w:r>
            <w:bookmarkStart w:id="53" w:name="OLE_LINK44"/>
            <w:bookmarkStart w:id="54" w:name="OLE_LINK43"/>
            <w:r>
              <w:rPr>
                <w:rFonts w:hint="eastAsia" w:ascii="宋体" w:hAnsi="宋体" w:cs="宋体"/>
                <w:bCs/>
                <w:color w:val="000000"/>
                <w:szCs w:val="21"/>
                <w:highlight w:val="none"/>
              </w:rPr>
              <w:t>（ kW · h/24h） ） ：</w:t>
            </w:r>
            <w:r>
              <w:rPr>
                <w:rFonts w:hint="eastAsia" w:ascii="宋体" w:hAnsi="宋体" w:cs="宋体"/>
                <w:bCs/>
                <w:color w:val="000000"/>
                <w:szCs w:val="21"/>
                <w:highlight w:val="none"/>
                <w:lang w:eastAsia="zh-CN"/>
              </w:rPr>
              <w:t>在</w:t>
            </w:r>
            <w:r>
              <w:rPr>
                <w:rFonts w:hint="eastAsia" w:ascii="宋体" w:hAnsi="宋体" w:cs="宋体"/>
                <w:bCs/>
                <w:color w:val="000000"/>
                <w:szCs w:val="21"/>
                <w:highlight w:val="none"/>
              </w:rPr>
              <w:t xml:space="preserve"> 25 ℃ </w:t>
            </w:r>
            <w:r>
              <w:rPr>
                <w:rFonts w:hint="eastAsia" w:ascii="宋体" w:hAnsi="宋体" w:cs="宋体"/>
                <w:bCs/>
                <w:color w:val="000000"/>
                <w:szCs w:val="21"/>
                <w:highlight w:val="none"/>
                <w:lang w:eastAsia="zh-CN"/>
              </w:rPr>
              <w:t>外部工作</w:t>
            </w:r>
            <w:r>
              <w:rPr>
                <w:rFonts w:hint="eastAsia" w:ascii="宋体" w:hAnsi="宋体" w:cs="宋体"/>
                <w:bCs/>
                <w:color w:val="000000"/>
                <w:szCs w:val="21"/>
                <w:highlight w:val="none"/>
              </w:rPr>
              <w:t>环境下，</w:t>
            </w:r>
            <w:bookmarkEnd w:id="53"/>
            <w:bookmarkEnd w:id="54"/>
            <w:r>
              <w:rPr>
                <w:rFonts w:hint="eastAsia" w:ascii="宋体" w:hAnsi="宋体" w:cs="宋体"/>
                <w:bCs/>
                <w:color w:val="000000"/>
                <w:szCs w:val="21"/>
                <w:highlight w:val="none"/>
              </w:rPr>
              <w:t>整机耗电量不高于 7.5kW·h/24h ；</w:t>
            </w:r>
          </w:p>
          <w:p w14:paraId="41A69229">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12.噪音值：整体声功率及噪音低于 60dB(A)，声压级噪音低于 50 dB(A)；</w:t>
            </w:r>
          </w:p>
          <w:p w14:paraId="2FA60CE6">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13.传感器数量：产品采用至少5 个传感器设计，保证运行安全；</w:t>
            </w:r>
          </w:p>
          <w:p w14:paraId="6D5D18C4">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14.温度设置范围：-40℃— -86℃；</w:t>
            </w:r>
          </w:p>
          <w:p w14:paraId="52154865">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15.温度设置精度：0.1℃；</w:t>
            </w:r>
          </w:p>
          <w:p w14:paraId="34EB8222">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16 .显示控制器：产品采用</w:t>
            </w:r>
            <w:r>
              <w:rPr>
                <w:rFonts w:hint="eastAsia" w:ascii="宋体" w:hAnsi="宋体" w:cs="宋体"/>
                <w:color w:val="000000"/>
                <w:szCs w:val="21"/>
                <w:highlight w:val="none"/>
              </w:rPr>
              <w:t>≥</w:t>
            </w:r>
            <w:r>
              <w:rPr>
                <w:rFonts w:hint="eastAsia" w:ascii="宋体" w:hAnsi="宋体" w:cs="宋体"/>
                <w:bCs/>
                <w:color w:val="000000"/>
                <w:szCs w:val="21"/>
                <w:highlight w:val="none"/>
              </w:rPr>
              <w:t xml:space="preserve"> 8寸 LCD 电容触摸控制显示屏，可以显示设定温度，实时温度，环境温度，压缩机运行状态，风机运行状态，报警情况等；</w:t>
            </w:r>
          </w:p>
          <w:p w14:paraId="0F48A91B">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17 .制冷： 采用碳氢无氟制冷剂 ；</w:t>
            </w:r>
          </w:p>
          <w:p w14:paraId="542BA2A4">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18.温度均匀度：产品国家医疗器械注册检测温度均匀度＜22℃；</w:t>
            </w:r>
          </w:p>
          <w:p w14:paraId="0E9C9C6C">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19.风机：能加速散热，提高制冷性能；</w:t>
            </w:r>
          </w:p>
          <w:p w14:paraId="1E4C17F2">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20.制冷方式：采用内藏式铜管蒸发器直接制冷；</w:t>
            </w:r>
          </w:p>
          <w:p w14:paraId="06D6404D">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21.降温时间： 25 ℃ 环境下，空载从室温降低至特性点温度时间 ＜290  分钟；</w:t>
            </w:r>
          </w:p>
          <w:p w14:paraId="4C9651F0">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22.断电保温时间：25℃ 环境下断电，从 -80 ℃ 温度回温到 -40 ℃ 时间不低于</w:t>
            </w:r>
            <w:r>
              <w:rPr>
                <w:rFonts w:hint="eastAsia" w:ascii="宋体" w:hAnsi="宋体" w:cs="宋体"/>
                <w:bCs/>
                <w:color w:val="000000"/>
                <w:szCs w:val="21"/>
                <w:highlight w:val="none"/>
                <w:lang w:val="en-US" w:eastAsia="zh-CN"/>
              </w:rPr>
              <w:t>2</w:t>
            </w:r>
            <w:r>
              <w:rPr>
                <w:rFonts w:hint="eastAsia" w:ascii="宋体" w:hAnsi="宋体" w:cs="宋体"/>
                <w:bCs/>
                <w:color w:val="000000"/>
                <w:szCs w:val="21"/>
                <w:highlight w:val="none"/>
              </w:rPr>
              <w:t>90分钟  ；</w:t>
            </w:r>
          </w:p>
          <w:p w14:paraId="44F2F105">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23.报警功能：多重报警功能，高低温报警、传感器故障报警、电压超标报警、电池电量低报警、断电报警、环温超标报警、过滤网脏报警等；</w:t>
            </w:r>
          </w:p>
          <w:p w14:paraId="0DF74AF6">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24.报警方式：声音蜂鸣、灯光闪烁 、远程报警；</w:t>
            </w:r>
          </w:p>
          <w:p w14:paraId="43FE9B35">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25.多重保护功能：开机延时保护，停机间隔保护，密码保护，电压异常补偿保护；</w:t>
            </w:r>
          </w:p>
          <w:p w14:paraId="7E6C525F">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26.安全双门锁设计：采用设备自带门锁以及预留锁孔，具备挂锁的双门锁设计；</w:t>
            </w:r>
          </w:p>
          <w:p w14:paraId="24808969">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27.密码防护：温控器多层密码保护功能，防止随意调整运行参数；</w:t>
            </w:r>
          </w:p>
          <w:p w14:paraId="5C450221">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28.具有过载、漏电保护的电源线，保护压缩机及内部电路系统；</w:t>
            </w:r>
          </w:p>
          <w:p w14:paraId="352FCE82">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29.采用双测试孔设计，方便采购人增加测试仪器探头；</w:t>
            </w:r>
          </w:p>
          <w:p w14:paraId="2BA5E991">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30.气压平衡装置：气压平衡阀设计，防止门体快速开关后负压不易打开问题；</w:t>
            </w:r>
          </w:p>
          <w:p w14:paraId="59843AB9">
            <w:pPr>
              <w:spacing w:line="500" w:lineRule="exact"/>
              <w:jc w:val="left"/>
              <w:rPr>
                <w:rFonts w:ascii="宋体" w:hAnsi="宋体" w:cs="宋体"/>
                <w:bCs/>
                <w:color w:val="000000"/>
                <w:szCs w:val="21"/>
                <w:highlight w:val="none"/>
              </w:rPr>
            </w:pPr>
            <w:r>
              <w:rPr>
                <w:rFonts w:hint="eastAsia" w:ascii="宋体" w:hAnsi="宋体" w:cs="宋体"/>
                <w:bCs/>
                <w:color w:val="000000"/>
                <w:szCs w:val="21"/>
                <w:highlight w:val="none"/>
              </w:rPr>
              <w:t>31.温度数据记录：具有 USB 模块，同步记录箱内温度数据，最长可以保存 至少10 年温度数据；</w:t>
            </w:r>
          </w:p>
        </w:tc>
        <w:tc>
          <w:tcPr>
            <w:tcW w:w="1217" w:type="dxa"/>
            <w:noWrap w:val="0"/>
            <w:vAlign w:val="center"/>
          </w:tcPr>
          <w:p w14:paraId="16D434EA">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4</w:t>
            </w:r>
          </w:p>
        </w:tc>
      </w:tr>
      <w:tr w14:paraId="305B0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1" w:type="dxa"/>
            <w:noWrap w:val="0"/>
            <w:vAlign w:val="center"/>
          </w:tcPr>
          <w:p w14:paraId="1C4AF725">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9</w:t>
            </w:r>
          </w:p>
        </w:tc>
        <w:tc>
          <w:tcPr>
            <w:tcW w:w="844" w:type="dxa"/>
            <w:noWrap w:val="0"/>
            <w:vAlign w:val="center"/>
          </w:tcPr>
          <w:p w14:paraId="04C24E1F">
            <w:pPr>
              <w:tabs>
                <w:tab w:val="left" w:pos="180"/>
                <w:tab w:val="left" w:pos="1620"/>
              </w:tabs>
              <w:spacing w:line="360" w:lineRule="exact"/>
              <w:jc w:val="center"/>
              <w:rPr>
                <w:rFonts w:ascii="宋体" w:hAnsi="宋体"/>
                <w:color w:val="000000"/>
                <w:szCs w:val="21"/>
                <w:highlight w:val="none"/>
              </w:rPr>
            </w:pPr>
            <w:r>
              <w:rPr>
                <w:rFonts w:hint="eastAsia" w:ascii="宋体" w:hAnsi="宋体"/>
                <w:color w:val="000000"/>
                <w:szCs w:val="21"/>
                <w:highlight w:val="none"/>
              </w:rPr>
              <w:t>连续性血液净化设备</w:t>
            </w:r>
          </w:p>
        </w:tc>
        <w:tc>
          <w:tcPr>
            <w:tcW w:w="813" w:type="dxa"/>
            <w:noWrap w:val="0"/>
            <w:vAlign w:val="center"/>
          </w:tcPr>
          <w:p w14:paraId="67451E49">
            <w:pPr>
              <w:tabs>
                <w:tab w:val="left" w:pos="180"/>
                <w:tab w:val="left" w:pos="1620"/>
              </w:tabs>
              <w:spacing w:line="360" w:lineRule="exact"/>
              <w:jc w:val="center"/>
              <w:rPr>
                <w:rFonts w:hint="eastAsia" w:ascii="宋体" w:hAnsi="宋体"/>
                <w:color w:val="000000"/>
                <w:szCs w:val="21"/>
                <w:highlight w:val="none"/>
              </w:rPr>
            </w:pPr>
            <w:r>
              <w:rPr>
                <w:rFonts w:hint="eastAsia" w:ascii="宋体" w:hAnsi="宋体"/>
                <w:color w:val="000000"/>
                <w:szCs w:val="21"/>
                <w:highlight w:val="none"/>
              </w:rPr>
              <w:t>1套</w:t>
            </w:r>
          </w:p>
        </w:tc>
        <w:tc>
          <w:tcPr>
            <w:tcW w:w="5702" w:type="dxa"/>
            <w:noWrap w:val="0"/>
            <w:vAlign w:val="top"/>
          </w:tcPr>
          <w:p w14:paraId="47580A69">
            <w:pPr>
              <w:wordWrap w:val="0"/>
              <w:adjustRightInd w:val="0"/>
              <w:snapToGrid w:val="0"/>
              <w:spacing w:line="312" w:lineRule="auto"/>
              <w:rPr>
                <w:rFonts w:ascii="宋体" w:hAnsi="宋体" w:cs="仿宋"/>
                <w:b/>
                <w:bCs/>
                <w:color w:val="000000"/>
                <w:szCs w:val="21"/>
                <w:highlight w:val="none"/>
              </w:rPr>
            </w:pPr>
            <w:r>
              <w:rPr>
                <w:rFonts w:hint="eastAsia" w:ascii="宋体" w:hAnsi="宋体" w:cs="仿宋"/>
                <w:b/>
                <w:bCs/>
                <w:color w:val="000000"/>
                <w:szCs w:val="21"/>
                <w:highlight w:val="none"/>
              </w:rPr>
              <w:t>一、功能描述：</w:t>
            </w:r>
          </w:p>
          <w:p w14:paraId="421A57B4">
            <w:p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用于连续性血液净化治疗、血浆置换治疗、血浆吸附治疗、血液灌流治疗等。</w:t>
            </w:r>
          </w:p>
          <w:p w14:paraId="4ADC736F">
            <w:pPr>
              <w:wordWrap w:val="0"/>
              <w:adjustRightInd w:val="0"/>
              <w:snapToGrid w:val="0"/>
              <w:spacing w:line="312" w:lineRule="auto"/>
              <w:rPr>
                <w:rFonts w:ascii="宋体" w:hAnsi="宋体" w:cs="仿宋"/>
                <w:b/>
                <w:bCs/>
                <w:color w:val="000000"/>
                <w:szCs w:val="21"/>
                <w:highlight w:val="none"/>
              </w:rPr>
            </w:pPr>
            <w:r>
              <w:rPr>
                <w:rFonts w:hint="eastAsia" w:ascii="宋体" w:hAnsi="宋体" w:cs="仿宋"/>
                <w:b/>
                <w:bCs/>
                <w:color w:val="000000"/>
                <w:szCs w:val="21"/>
                <w:highlight w:val="none"/>
              </w:rPr>
              <w:t>二、治疗模式：</w:t>
            </w:r>
          </w:p>
          <w:p w14:paraId="1308C2C9">
            <w:p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支持连续性静脉静脉血液透析（CVVHD）、连续性静脉静脉血液滤过（CVVH）、连续性静脉静脉血液透析滤过（CVVHDF）、缓慢性连续性超滤（SCUF）、血液灌流（HP）、单重血浆置换（PE）、血浆吸附（PA）治疗等功能。</w:t>
            </w:r>
          </w:p>
          <w:p w14:paraId="01D3063C">
            <w:pPr>
              <w:wordWrap w:val="0"/>
              <w:adjustRightInd w:val="0"/>
              <w:snapToGrid w:val="0"/>
              <w:spacing w:line="312" w:lineRule="auto"/>
              <w:rPr>
                <w:rFonts w:ascii="宋体" w:hAnsi="宋体" w:cs="仿宋"/>
                <w:b/>
                <w:bCs/>
                <w:color w:val="000000"/>
                <w:szCs w:val="21"/>
                <w:highlight w:val="none"/>
              </w:rPr>
            </w:pPr>
            <w:r>
              <w:rPr>
                <w:rFonts w:hint="eastAsia" w:ascii="宋体" w:hAnsi="宋体" w:cs="仿宋"/>
                <w:b/>
                <w:bCs/>
                <w:color w:val="000000"/>
                <w:szCs w:val="21"/>
                <w:highlight w:val="none"/>
              </w:rPr>
              <w:t>三、技术要求</w:t>
            </w:r>
          </w:p>
          <w:p w14:paraId="3289AD2E">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采用≥12英寸可旋转液晶触摸显示屏，具有中文操作界面。</w:t>
            </w:r>
          </w:p>
          <w:p w14:paraId="49B1B269">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▲设备标准配置有枸橼酸抗凝输入功能。</w:t>
            </w:r>
          </w:p>
          <w:p w14:paraId="077A8CDD">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▲设备标准配置碳酸氢钠单独输入功能（置换基础液与碳酸氢钠两个通路输入），防止出现钙镁离子沉淀。</w:t>
            </w:r>
          </w:p>
          <w:p w14:paraId="34AA0AE4">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管路的安装有图文引导。</w:t>
            </w:r>
          </w:p>
          <w:p w14:paraId="576E8603">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管路和血液滤过器分离，可兼容多种品牌的透析器、血浆分离器和灌流器等。</w:t>
            </w:r>
          </w:p>
          <w:p w14:paraId="7016F004">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设备配置1个肝素泵，至少支持 10ml、20ml、30ml、50ml 规格的注射器。</w:t>
            </w:r>
          </w:p>
          <w:p w14:paraId="07E50CA2">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▲设备配置≥4个流量泵（不包括肝素泵）。</w:t>
            </w:r>
          </w:p>
          <w:p w14:paraId="061FA956">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流量控制范围</w:t>
            </w:r>
          </w:p>
          <w:p w14:paraId="12D05F00">
            <w:pPr>
              <w:numPr>
                <w:ilvl w:val="4"/>
                <w:numId w:val="0"/>
              </w:num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8.1血泵流量范围：30mL/min～400mL/min。</w:t>
            </w:r>
          </w:p>
          <w:p w14:paraId="63817EBA">
            <w:pPr>
              <w:numPr>
                <w:ilvl w:val="4"/>
                <w:numId w:val="0"/>
              </w:num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8.2置换液流量范围：100～10000mL/h。</w:t>
            </w:r>
          </w:p>
          <w:p w14:paraId="3B1D304D">
            <w:pPr>
              <w:numPr>
                <w:ilvl w:val="4"/>
                <w:numId w:val="0"/>
              </w:num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8.3废液流量范围：100～10000mL/h。</w:t>
            </w:r>
          </w:p>
          <w:p w14:paraId="7B27744D">
            <w:pPr>
              <w:numPr>
                <w:ilvl w:val="4"/>
                <w:numId w:val="0"/>
              </w:num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8.4透析液流量范围：100～10000mL/h。</w:t>
            </w:r>
          </w:p>
          <w:p w14:paraId="5547C49C">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压力监测范围</w:t>
            </w:r>
          </w:p>
          <w:p w14:paraId="6F56E01D">
            <w:pPr>
              <w:numPr>
                <w:ilvl w:val="4"/>
                <w:numId w:val="0"/>
              </w:num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9.1动脉压监测范围： -300mmHg～+500mmHg。</w:t>
            </w:r>
          </w:p>
          <w:p w14:paraId="1F6E47B5">
            <w:pPr>
              <w:numPr>
                <w:ilvl w:val="4"/>
                <w:numId w:val="0"/>
              </w:num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9.2静脉压监测范围： -300mmHg～+500mmHg。</w:t>
            </w:r>
          </w:p>
          <w:p w14:paraId="6AB851C9">
            <w:pPr>
              <w:numPr>
                <w:ilvl w:val="4"/>
                <w:numId w:val="0"/>
              </w:num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9.3跨膜压监测范围： -300mmHg～+500mmHg。</w:t>
            </w:r>
          </w:p>
          <w:p w14:paraId="30009CB6">
            <w:pPr>
              <w:numPr>
                <w:ilvl w:val="4"/>
                <w:numId w:val="0"/>
              </w:num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9.4滤前压监测范围：-300mmHg～+500mmHg。</w:t>
            </w:r>
          </w:p>
          <w:p w14:paraId="2F222828">
            <w:pPr>
              <w:numPr>
                <w:ilvl w:val="4"/>
                <w:numId w:val="0"/>
              </w:num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9.5一级膜外压监测范围：-300mmHg～+500mmHg。</w:t>
            </w:r>
          </w:p>
          <w:p w14:paraId="6FD18C1A">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气泡检测器：可监测＞0.02ml的气泡。</w:t>
            </w:r>
          </w:p>
          <w:p w14:paraId="7B97E073">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漏血监测：可检测≤0.35mL/min（HCT 32%）。</w:t>
            </w:r>
          </w:p>
          <w:p w14:paraId="7F9E67EF">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脱水范围为0～3000mL/h。</w:t>
            </w:r>
          </w:p>
          <w:p w14:paraId="0AC781FA">
            <w:pPr>
              <w:numPr>
                <w:ilvl w:val="0"/>
                <w:numId w:val="5"/>
              </w:numPr>
              <w:wordWrap w:val="0"/>
              <w:adjustRightInd w:val="0"/>
              <w:snapToGrid w:val="0"/>
              <w:spacing w:line="312" w:lineRule="auto"/>
              <w:ind w:firstLine="0"/>
              <w:rPr>
                <w:rFonts w:ascii="宋体" w:hAnsi="宋体" w:cs="仿宋"/>
                <w:bCs/>
                <w:color w:val="000000"/>
                <w:szCs w:val="21"/>
                <w:highlight w:val="none"/>
              </w:rPr>
            </w:pPr>
            <w:r>
              <w:rPr>
                <w:rFonts w:hint="eastAsia" w:ascii="宋体" w:hAnsi="宋体" w:cs="仿宋"/>
                <w:bCs/>
                <w:color w:val="000000"/>
                <w:szCs w:val="21"/>
                <w:highlight w:val="none"/>
              </w:rPr>
              <w:t>▲加热系统：</w:t>
            </w:r>
          </w:p>
          <w:p w14:paraId="08B40F47">
            <w:pPr>
              <w:numPr>
                <w:ilvl w:val="4"/>
                <w:numId w:val="0"/>
              </w:numPr>
              <w:wordWrap w:val="0"/>
              <w:adjustRightInd w:val="0"/>
              <w:snapToGrid w:val="0"/>
              <w:spacing w:line="312" w:lineRule="auto"/>
              <w:rPr>
                <w:rFonts w:ascii="宋体" w:hAnsi="宋体" w:cs="仿宋"/>
                <w:bCs/>
                <w:color w:val="000000"/>
                <w:szCs w:val="21"/>
                <w:highlight w:val="none"/>
              </w:rPr>
            </w:pPr>
            <w:r>
              <w:rPr>
                <w:rFonts w:hint="eastAsia" w:ascii="宋体" w:hAnsi="宋体" w:cs="仿宋"/>
                <w:bCs/>
                <w:color w:val="000000"/>
                <w:szCs w:val="21"/>
                <w:highlight w:val="none"/>
              </w:rPr>
              <w:t>直接控制置换液温度，温度范围：35～40℃，置换液温度控制精度：±1℃。</w:t>
            </w:r>
          </w:p>
          <w:p w14:paraId="5673D110">
            <w:pPr>
              <w:numPr>
                <w:ilvl w:val="0"/>
                <w:numId w:val="5"/>
              </w:numPr>
              <w:wordWrap w:val="0"/>
              <w:adjustRightInd w:val="0"/>
              <w:snapToGrid w:val="0"/>
              <w:spacing w:line="312" w:lineRule="auto"/>
              <w:ind w:firstLine="0"/>
              <w:rPr>
                <w:rFonts w:ascii="宋体" w:hAnsi="宋体"/>
                <w:color w:val="000000"/>
                <w:szCs w:val="21"/>
                <w:highlight w:val="none"/>
              </w:rPr>
            </w:pPr>
            <w:r>
              <w:rPr>
                <w:rFonts w:hint="eastAsia" w:ascii="宋体" w:hAnsi="宋体" w:cs="仿宋"/>
                <w:bCs/>
                <w:color w:val="000000"/>
                <w:szCs w:val="21"/>
                <w:highlight w:val="none"/>
              </w:rPr>
              <w:t>设备≥2个高精度称重计，最大的称重范围：0kg～20kg</w:t>
            </w:r>
            <w:r>
              <w:rPr>
                <w:rFonts w:ascii="宋体" w:hAnsi="宋体"/>
                <w:color w:val="000000"/>
                <w:szCs w:val="21"/>
                <w:highlight w:val="none"/>
              </w:rPr>
              <w:t xml:space="preserve"> </w:t>
            </w:r>
          </w:p>
        </w:tc>
        <w:tc>
          <w:tcPr>
            <w:tcW w:w="1217" w:type="dxa"/>
            <w:noWrap w:val="0"/>
            <w:vAlign w:val="center"/>
          </w:tcPr>
          <w:p w14:paraId="3666E9B0">
            <w:pPr>
              <w:keepNext w:val="0"/>
              <w:keepLines w:val="0"/>
              <w:widowControl/>
              <w:suppressLineNumbers w:val="0"/>
              <w:jc w:val="center"/>
              <w:textAlignment w:val="center"/>
              <w:rPr>
                <w:rFonts w:ascii="宋体" w:hAnsi="宋体"/>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31</w:t>
            </w:r>
          </w:p>
        </w:tc>
      </w:tr>
    </w:tbl>
    <w:p w14:paraId="1A816ED6">
      <w:pPr>
        <w:spacing w:line="428" w:lineRule="exact"/>
        <w:ind w:left="119"/>
        <w:rPr>
          <w:rFonts w:ascii="宋体" w:hAnsi="宋体" w:cs="黑体"/>
          <w:color w:val="000000"/>
          <w:szCs w:val="21"/>
          <w:highlight w:val="none"/>
        </w:rPr>
      </w:pPr>
    </w:p>
    <w:p w14:paraId="60BDE333">
      <w:pPr>
        <w:spacing w:line="428" w:lineRule="exact"/>
        <w:ind w:left="119"/>
        <w:rPr>
          <w:rFonts w:ascii="宋体" w:hAnsi="宋体" w:cs="黑体"/>
          <w:color w:val="000000"/>
          <w:szCs w:val="21"/>
          <w:highlight w:val="none"/>
        </w:rPr>
      </w:pPr>
    </w:p>
    <w:tbl>
      <w:tblPr>
        <w:tblStyle w:val="45"/>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7760"/>
      </w:tblGrid>
      <w:tr w14:paraId="60F0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966" w:type="dxa"/>
            <w:gridSpan w:val="2"/>
            <w:tcBorders>
              <w:top w:val="single" w:color="auto" w:sz="4" w:space="0"/>
              <w:left w:val="single" w:color="auto" w:sz="4" w:space="0"/>
              <w:bottom w:val="single" w:color="auto" w:sz="4" w:space="0"/>
              <w:right w:val="single" w:color="auto" w:sz="4" w:space="0"/>
            </w:tcBorders>
            <w:noWrap/>
            <w:vAlign w:val="top"/>
          </w:tcPr>
          <w:p w14:paraId="6E047375">
            <w:pPr>
              <w:widowControl/>
              <w:autoSpaceDE w:val="0"/>
              <w:autoSpaceDN w:val="0"/>
              <w:spacing w:after="120" w:line="360" w:lineRule="atLeast"/>
              <w:rPr>
                <w:rFonts w:ascii="宋体" w:hAnsi="宋体" w:cs="宋体"/>
                <w:b/>
                <w:bCs/>
                <w:color w:val="000000"/>
                <w:kern w:val="0"/>
                <w:szCs w:val="21"/>
                <w:highlight w:val="none"/>
              </w:rPr>
            </w:pPr>
            <w:r>
              <w:rPr>
                <w:rFonts w:hint="eastAsia" w:ascii="宋体" w:hAnsi="宋体" w:cs="宋体"/>
                <w:b/>
                <w:bCs/>
                <w:color w:val="000000"/>
                <w:kern w:val="0"/>
                <w:szCs w:val="21"/>
                <w:highlight w:val="none"/>
              </w:rPr>
              <w:t>二、商务条款要求</w:t>
            </w:r>
          </w:p>
        </w:tc>
      </w:tr>
      <w:tr w14:paraId="3B83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tcBorders>
              <w:top w:val="single" w:color="auto" w:sz="4" w:space="0"/>
              <w:left w:val="single" w:color="auto" w:sz="4" w:space="0"/>
              <w:bottom w:val="single" w:color="auto" w:sz="4" w:space="0"/>
              <w:right w:val="single" w:color="auto" w:sz="4" w:space="0"/>
            </w:tcBorders>
            <w:noWrap/>
            <w:vAlign w:val="center"/>
          </w:tcPr>
          <w:p w14:paraId="2EBC9EA0">
            <w:pPr>
              <w:snapToGrid w:val="0"/>
              <w:spacing w:line="360" w:lineRule="atLeas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质保期</w:t>
            </w:r>
          </w:p>
        </w:tc>
        <w:tc>
          <w:tcPr>
            <w:tcW w:w="7760" w:type="dxa"/>
            <w:tcBorders>
              <w:top w:val="single" w:color="auto" w:sz="4" w:space="0"/>
              <w:left w:val="single" w:color="auto" w:sz="4" w:space="0"/>
              <w:bottom w:val="single" w:color="auto" w:sz="4" w:space="0"/>
              <w:right w:val="single" w:color="auto" w:sz="4" w:space="0"/>
            </w:tcBorders>
            <w:noWrap/>
            <w:vAlign w:val="center"/>
          </w:tcPr>
          <w:p w14:paraId="3DF5DE50">
            <w:pPr>
              <w:spacing w:line="360" w:lineRule="atLeast"/>
              <w:jc w:val="left"/>
              <w:rPr>
                <w:rFonts w:ascii="宋体" w:hAnsi="宋体" w:cs="宋体"/>
                <w:color w:val="000000"/>
                <w:szCs w:val="21"/>
                <w:highlight w:val="none"/>
              </w:rPr>
            </w:pPr>
            <w:r>
              <w:rPr>
                <w:rFonts w:hint="eastAsia" w:ascii="宋体" w:hAnsi="宋体" w:cs="宋体"/>
                <w:color w:val="000000"/>
                <w:szCs w:val="21"/>
                <w:highlight w:val="none"/>
              </w:rPr>
              <w:t>按国家有关的产品“三包”规定实行“三包”，所有产品为全新产品，符合国家相关标准。所有设备安装调试并经采购人验收合格之日起质保期不少于2年（若国家或生产厂家对本项目所涉及货物的质量保证期的规定高于本项目要求的，应按国家或生产厂家的规定执行，若投标人在投标文件中承诺高于该期限，按照投标人承诺），质保期内维修、更换配件，提供设备维修及正常维护保养所需的零部件，质保期外提供终身维修服务。需求表中特别注明的按需求表中的执行。</w:t>
            </w:r>
          </w:p>
        </w:tc>
      </w:tr>
      <w:tr w14:paraId="1013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noWrap/>
            <w:vAlign w:val="center"/>
          </w:tcPr>
          <w:p w14:paraId="5EEE4686">
            <w:pPr>
              <w:snapToGrid w:val="0"/>
              <w:spacing w:line="360" w:lineRule="atLeas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售后服务要求</w:t>
            </w:r>
          </w:p>
        </w:tc>
        <w:tc>
          <w:tcPr>
            <w:tcW w:w="7760" w:type="dxa"/>
            <w:noWrap/>
            <w:vAlign w:val="center"/>
          </w:tcPr>
          <w:p w14:paraId="3320AA84">
            <w:pPr>
              <w:spacing w:line="360" w:lineRule="atLeast"/>
              <w:ind w:firstLine="198"/>
              <w:jc w:val="left"/>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1.中标人负责送货至钦州市第二人民医院，负责安装调试，并对操作人员进行操作培训。</w:t>
            </w:r>
            <w:r>
              <w:rPr>
                <w:rFonts w:hint="eastAsia" w:ascii="宋体" w:hAnsi="宋体" w:cs="宋体"/>
                <w:color w:val="000000"/>
                <w:szCs w:val="21"/>
                <w:highlight w:val="none"/>
                <w:lang w:val="en-US" w:eastAsia="zh-CN"/>
              </w:rPr>
              <w:t>提供</w:t>
            </w:r>
            <w:r>
              <w:rPr>
                <w:rFonts w:hint="eastAsia" w:ascii="宋体" w:hAnsi="宋体" w:cs="宋体"/>
                <w:color w:val="000000"/>
                <w:szCs w:val="21"/>
                <w:highlight w:val="none"/>
                <w:lang w:eastAsia="zh-CN"/>
              </w:rPr>
              <w:t>售后服务人员</w:t>
            </w:r>
            <w:r>
              <w:rPr>
                <w:rFonts w:hint="eastAsia" w:ascii="宋体" w:hAnsi="宋体" w:eastAsia="宋体" w:cs="宋体"/>
                <w:color w:val="000000"/>
                <w:szCs w:val="21"/>
                <w:highlight w:val="none"/>
                <w:lang w:eastAsia="zh-CN"/>
              </w:rPr>
              <w:t>≧</w:t>
            </w:r>
            <w:r>
              <w:rPr>
                <w:rFonts w:hint="eastAsia" w:ascii="宋体" w:hAnsi="宋体" w:cs="宋体"/>
                <w:color w:val="000000"/>
                <w:szCs w:val="21"/>
                <w:highlight w:val="none"/>
                <w:lang w:val="en-US" w:eastAsia="zh-CN"/>
              </w:rPr>
              <w:t>2人，投标文件中提供详细名单及联系方式，格式自拟。</w:t>
            </w:r>
          </w:p>
          <w:p w14:paraId="224B7A2D">
            <w:pPr>
              <w:spacing w:line="360" w:lineRule="atLeast"/>
              <w:ind w:left="197" w:leftChars="94"/>
              <w:jc w:val="left"/>
              <w:rPr>
                <w:rFonts w:ascii="宋体" w:hAnsi="宋体" w:cs="宋体"/>
                <w:color w:val="000000"/>
                <w:szCs w:val="21"/>
                <w:highlight w:val="none"/>
              </w:rPr>
            </w:pPr>
            <w:r>
              <w:rPr>
                <w:rFonts w:hint="eastAsia" w:ascii="宋体" w:hAnsi="宋体" w:cs="宋体"/>
                <w:color w:val="000000"/>
                <w:szCs w:val="21"/>
                <w:highlight w:val="none"/>
              </w:rPr>
              <w:t>2.维护保养的安排：中标人一年两次派工程技术人员对设备进行维护保养。质保期内当设备有重大级别提升时，中标人应为设备进行软件升级。</w:t>
            </w:r>
          </w:p>
          <w:p w14:paraId="386A01AC">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3.维修时间安排应急维修时间安排：至少提供5*8小时远程桌面或7*24小时电话技术支持，使用中出故障接到通知后应立即响应，对重大问题提供现场技术支持，24小时内派工程技术人员到达现场维修。如果需要更换配件的，更换的配件应跟被更换的品牌、类型相一致或者是同类同档次的替代品，后者需征得采购人管理人员同意。需提供质保期外零配件优惠服务方案。</w:t>
            </w:r>
          </w:p>
          <w:p w14:paraId="66E16BE7">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4.主要零配件价格；为采购人提供优惠的零配件及易耗品。</w:t>
            </w:r>
          </w:p>
          <w:p w14:paraId="6FFA0542">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5.设备质保期内一周如出现3次以上停机或设备故障的，采购人有权要求中标人退货或更换新机器，所产生费用由中标人承担。</w:t>
            </w:r>
          </w:p>
          <w:p w14:paraId="3B8D4015">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6.培训对象：包括使用科室的设备使用人员及维修人员，由生产厂家为采购人提供使用技术培训，使用培训为验收要件之一，没有经过培训，视为没能完成验收。</w:t>
            </w:r>
          </w:p>
          <w:p w14:paraId="70F0E9FE">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7.设备如需接入医院HIS、LIS或PACS系统及互联互通系统，相关费用由中标供应商负责。</w:t>
            </w:r>
          </w:p>
        </w:tc>
      </w:tr>
      <w:tr w14:paraId="1AF2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noWrap/>
            <w:vAlign w:val="center"/>
          </w:tcPr>
          <w:p w14:paraId="647F9D19">
            <w:pPr>
              <w:snapToGrid w:val="0"/>
              <w:spacing w:line="360" w:lineRule="atLeas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培训计划</w:t>
            </w:r>
          </w:p>
        </w:tc>
        <w:tc>
          <w:tcPr>
            <w:tcW w:w="7760" w:type="dxa"/>
            <w:noWrap/>
            <w:vAlign w:val="center"/>
          </w:tcPr>
          <w:p w14:paraId="2E1E57D8">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由生产厂家为采购人提供使用技术培训，使用培训为验收要件之一，没有经过培训，视为没能完成验收。</w:t>
            </w:r>
          </w:p>
          <w:p w14:paraId="401AAE32">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1.培训对象：使用科室的设备使用人员及维修人员。</w:t>
            </w:r>
          </w:p>
          <w:p w14:paraId="0894D151">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2.培训形式：</w:t>
            </w:r>
          </w:p>
          <w:p w14:paraId="4AAB8AA4">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① 现场使用培训：安装调试结束后，中标人组织培训工程师对机器正确使用方法进行示范操作，保证教会使用人员能正确使用设备</w:t>
            </w:r>
          </w:p>
          <w:p w14:paraId="18402031">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② 集中授课：应由厂方培训工程师使用专门讲义进行授课，并进行考核考试。</w:t>
            </w:r>
          </w:p>
        </w:tc>
      </w:tr>
      <w:tr w14:paraId="5084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noWrap/>
            <w:vAlign w:val="center"/>
          </w:tcPr>
          <w:p w14:paraId="4A2C0E2F">
            <w:pPr>
              <w:snapToGrid w:val="0"/>
              <w:spacing w:line="360" w:lineRule="atLeast"/>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交货期</w:t>
            </w:r>
          </w:p>
        </w:tc>
        <w:tc>
          <w:tcPr>
            <w:tcW w:w="7760" w:type="dxa"/>
            <w:noWrap/>
            <w:vAlign w:val="center"/>
          </w:tcPr>
          <w:p w14:paraId="54348589">
            <w:pPr>
              <w:spacing w:line="360" w:lineRule="atLeast"/>
              <w:jc w:val="left"/>
              <w:rPr>
                <w:rFonts w:ascii="宋体" w:hAnsi="宋体" w:cs="宋体"/>
                <w:color w:val="000000"/>
                <w:szCs w:val="21"/>
                <w:highlight w:val="none"/>
              </w:rPr>
            </w:pPr>
            <w:r>
              <w:rPr>
                <w:rFonts w:hint="eastAsia" w:ascii="宋体" w:hAnsi="宋体" w:cs="宋体"/>
                <w:color w:val="000000"/>
                <w:szCs w:val="21"/>
                <w:highlight w:val="none"/>
              </w:rPr>
              <w:t>自签订合同之日起60天内调试完毕验收合格并交付使用。</w:t>
            </w:r>
          </w:p>
        </w:tc>
      </w:tr>
      <w:tr w14:paraId="66EA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noWrap/>
            <w:vAlign w:val="center"/>
          </w:tcPr>
          <w:p w14:paraId="4DB6CD3C">
            <w:pPr>
              <w:snapToGrid w:val="0"/>
              <w:spacing w:line="360" w:lineRule="atLeast"/>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交货地点</w:t>
            </w:r>
          </w:p>
        </w:tc>
        <w:tc>
          <w:tcPr>
            <w:tcW w:w="7760" w:type="dxa"/>
            <w:noWrap/>
            <w:vAlign w:val="center"/>
          </w:tcPr>
          <w:p w14:paraId="4A9B7DA0">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钦州市第二人民医院内采购人指定地点。</w:t>
            </w:r>
          </w:p>
        </w:tc>
      </w:tr>
      <w:tr w14:paraId="6115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noWrap/>
            <w:vAlign w:val="center"/>
          </w:tcPr>
          <w:p w14:paraId="4B5CD1CF">
            <w:pPr>
              <w:snapToGrid w:val="0"/>
              <w:spacing w:line="360" w:lineRule="atLeast"/>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签订合同日期</w:t>
            </w:r>
          </w:p>
        </w:tc>
        <w:tc>
          <w:tcPr>
            <w:tcW w:w="7760" w:type="dxa"/>
            <w:noWrap/>
            <w:vAlign w:val="center"/>
          </w:tcPr>
          <w:p w14:paraId="69238A0B">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自中标通知书发出之日起25天内。</w:t>
            </w:r>
          </w:p>
        </w:tc>
      </w:tr>
      <w:tr w14:paraId="2802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noWrap/>
            <w:vAlign w:val="center"/>
          </w:tcPr>
          <w:p w14:paraId="6D8C0883">
            <w:pPr>
              <w:snapToGrid w:val="0"/>
              <w:spacing w:line="360" w:lineRule="atLeas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付款条件</w:t>
            </w:r>
          </w:p>
        </w:tc>
        <w:tc>
          <w:tcPr>
            <w:tcW w:w="7760" w:type="dxa"/>
            <w:noWrap/>
            <w:vAlign w:val="center"/>
          </w:tcPr>
          <w:p w14:paraId="135B8024">
            <w:pPr>
              <w:spacing w:before="240" w:after="60" w:line="360" w:lineRule="atLeast"/>
              <w:ind w:firstLine="220" w:firstLineChars="100"/>
              <w:outlineLvl w:val="0"/>
              <w:rPr>
                <w:rFonts w:ascii="宋体" w:hAnsi="宋体" w:cs="宋体"/>
                <w:bCs/>
                <w:color w:val="000000"/>
                <w:szCs w:val="21"/>
                <w:highlight w:val="none"/>
              </w:rPr>
            </w:pPr>
            <w:r>
              <w:rPr>
                <w:rFonts w:hint="eastAsia" w:ascii="宋体" w:hAnsi="宋体" w:cs="宋体"/>
                <w:bCs/>
                <w:color w:val="000000"/>
                <w:sz w:val="22"/>
                <w:szCs w:val="22"/>
                <w:highlight w:val="none"/>
              </w:rPr>
              <w:t>签订合同后无预付款，到货后付10%，验收合格半年后付40%，验收合格1年后付50%，整个付款期内合同金额不计利息。</w:t>
            </w:r>
          </w:p>
        </w:tc>
      </w:tr>
      <w:tr w14:paraId="52B2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noWrap/>
            <w:vAlign w:val="center"/>
          </w:tcPr>
          <w:p w14:paraId="44918367">
            <w:pPr>
              <w:snapToGrid w:val="0"/>
              <w:spacing w:line="360" w:lineRule="atLeas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备品备件或耗材等要求</w:t>
            </w:r>
          </w:p>
        </w:tc>
        <w:tc>
          <w:tcPr>
            <w:tcW w:w="7760" w:type="dxa"/>
            <w:noWrap/>
            <w:vAlign w:val="center"/>
          </w:tcPr>
          <w:p w14:paraId="3542FF98">
            <w:pPr>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投标人必须有完善的备品备件库体系，质保期内能提供相应的措施和备件，保证过质保期后五年内有足够的备品备件，为完成本项目技术支持、服务需求提供可靠保证；需在投标报价时提供主要零配件及易耗品供货价格及质保期外零配件优质服务方案及报价</w:t>
            </w:r>
            <w:r>
              <w:rPr>
                <w:rFonts w:hint="eastAsia" w:ascii="宋体" w:hAnsi="宋体" w:cs="宋体"/>
                <w:b/>
                <w:color w:val="000000"/>
                <w:szCs w:val="21"/>
                <w:highlight w:val="none"/>
              </w:rPr>
              <w:t>，否则投标无效</w:t>
            </w:r>
            <w:r>
              <w:rPr>
                <w:rFonts w:hint="eastAsia" w:ascii="宋体" w:hAnsi="宋体" w:cs="宋体"/>
                <w:color w:val="000000"/>
                <w:szCs w:val="21"/>
                <w:highlight w:val="none"/>
              </w:rPr>
              <w:t>。</w:t>
            </w:r>
          </w:p>
          <w:p w14:paraId="4442437F">
            <w:pPr>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2.所有零部件、配件必须是未经使用的全新未使用过的并符合国家有关质量安全标准的产品。</w:t>
            </w:r>
          </w:p>
        </w:tc>
      </w:tr>
      <w:tr w14:paraId="4420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noWrap/>
            <w:vAlign w:val="center"/>
          </w:tcPr>
          <w:p w14:paraId="466706A9">
            <w:pPr>
              <w:snapToGrid w:val="0"/>
              <w:spacing w:line="360" w:lineRule="atLeas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验收标准</w:t>
            </w:r>
          </w:p>
        </w:tc>
        <w:tc>
          <w:tcPr>
            <w:tcW w:w="7760" w:type="dxa"/>
            <w:noWrap/>
            <w:vAlign w:val="center"/>
          </w:tcPr>
          <w:p w14:paraId="3E313A29">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验收过程中所产生的一切费用均由中标人承担。报价时应考虑相关费用。中标人在货物验收时由采购单位对照招标文件的功能目标及技术指标全面核对检验，对所有要求出具的证明文件的原件进行核查，如不符合招标文件的技术需求及要求以及提供虚假承诺的，按相关规定做退货处理及违约处理，中标人承担所有责任和费用，采购人保留进一步追究责任的权利。安装标准：符合国际、国家及行业有关技术规范和技术标准。招标项目有其他要求的按其要求。</w:t>
            </w:r>
          </w:p>
          <w:p w14:paraId="22BEF4A9">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投标人负责安装的技术人员按照验收流程要求提供合格证标明的内容及技术参数表逐条进行验收。验收应符合国家相关法规及合同的技术要求，同时也应符合厂家或医疗器械厂家提供的技术资料中各项技术指标和参数要求，参数要求必须符合采购参数规定，不能以“标准配置”、“选购配置”为由与采购参数不符。</w:t>
            </w:r>
          </w:p>
          <w:p w14:paraId="17A22910">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⑵设备的合法性证明材料：</w:t>
            </w:r>
          </w:p>
          <w:p w14:paraId="21033473">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1)提供设备的生产许可证明材料（适用于国产品牌）：</w:t>
            </w:r>
          </w:p>
          <w:p w14:paraId="1B2D8C15">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a.具有医疗器械属性的设备：医疗器械生产企业许可证复印件 1 份及 PDF 文档 1 份。</w:t>
            </w:r>
          </w:p>
          <w:p w14:paraId="79C6D7C7">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b.具有计量仪器属性的设备：制造计量器具许可证复印件 1 份及 PDF 文档 1 份。</w:t>
            </w:r>
          </w:p>
          <w:p w14:paraId="7FC56FF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2)提供设备生产合格证明：</w:t>
            </w:r>
          </w:p>
          <w:p w14:paraId="02CA300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出厂合格证明：原件及 PDF 文档各 1 份</w:t>
            </w:r>
          </w:p>
          <w:p w14:paraId="2290A02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3)医疗器械市场监管合法证明材料</w:t>
            </w:r>
          </w:p>
          <w:p w14:paraId="171C6455">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a.医疗器械注册证（含注册登记表）（如涉及 2 类、3 类医疗器械时必须提供，1 类如有请提供）复印件 1 件及 PDF 文档 1 份。</w:t>
            </w:r>
          </w:p>
          <w:p w14:paraId="6F16E167">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4)经销商的合法性证明材料：</w:t>
            </w:r>
          </w:p>
          <w:p w14:paraId="6ED301C1">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a.营业执照复印件及 PDF 文档各 1 份，经营范围必须与所经营的类别相符，并在有效期内。</w:t>
            </w:r>
          </w:p>
          <w:p w14:paraId="045479FE">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b.医疗器械经营企业许可证或属于二类的备案凭证复印件 1 份及 PDF 文档 1 份，经营医疗器械级别及经营类别必须与设备的医疗器械注册证相符（如涉及 2 类、3 类医疗器械时必须提供，1 类如有请提供）。</w:t>
            </w:r>
          </w:p>
          <w:p w14:paraId="6993B824">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c.中标人取得投标产品经销或代理的合法授权书原件 1 份及 PDF 文档 1 份，存在多级授权的须同时提供完整各级授权的证明文件。（验收时需提供）</w:t>
            </w:r>
          </w:p>
          <w:p w14:paraId="46E4521F">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5)设备随机资料：</w:t>
            </w:r>
          </w:p>
          <w:p w14:paraId="4DE61FFB">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a.纸质《使用说明书》一式两份和电子版一份。纸质版一份留使用科室，一份存档案室，不能提供两份原版的，可提供一份原版。</w:t>
            </w:r>
          </w:p>
          <w:p w14:paraId="7EAF4827">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b.电路图、其它技术文件、软件光盘、系统光盘、视频光盘及其它电子版原件资料，设备安装调试结束后必须存放医院档案室。</w:t>
            </w:r>
          </w:p>
          <w:p w14:paraId="6AD020AA">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c.如是计量仪器必须提供相关计量仪器检定合格证明材料原件及 PDF 文档各 1 份。</w:t>
            </w:r>
          </w:p>
          <w:p w14:paraId="5D1B52DC">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d.设备装箱单、配置清单。</w:t>
            </w:r>
          </w:p>
          <w:p w14:paraId="77EE5002">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e.每台设备 1 份操作规定程序（操作规程）卡片，由投标人或厂方制作的质量好耐用纸质版。</w:t>
            </w:r>
          </w:p>
          <w:p w14:paraId="65D761FF">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f.出库清单，清单包括设备名称、型号、单价，总金额，出库公司与合同公司一致。</w:t>
            </w:r>
          </w:p>
          <w:p w14:paraId="5D884537">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(3)技术性能验收：</w:t>
            </w:r>
          </w:p>
          <w:p w14:paraId="7513E773">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1)以采购参数为依据，以满足使用要求为原则，验收由设备使用科室人员负责,投标参数是否符合采购参数要求以验收实际结果为准。</w:t>
            </w:r>
          </w:p>
          <w:p w14:paraId="0B4A608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2)设备清单必须与采购参数相符合,如有出入，以招标文件参数为准。</w:t>
            </w:r>
          </w:p>
          <w:p w14:paraId="644AAD7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3)验收必须以采购参数为基准，对投标技术响应表逐条进行验收，对于技术响应表与采购技术参数不符的，作如下处理：</w:t>
            </w:r>
          </w:p>
          <w:p w14:paraId="33037A8F">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a.技术响应表与采购参数比较有漏项的，以不实质响应采购要求论处。</w:t>
            </w:r>
          </w:p>
          <w:p w14:paraId="6FD61153">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b.实际是负偏离的参数，响应表成交明负偏离，经评标仍然成交的，说明不影响设备质量、使用与档次，验收时以负偏离验收，设备视为接受。如果对质量、使用与档次有影响的，以不实质响应采购要求论处。</w:t>
            </w:r>
          </w:p>
          <w:p w14:paraId="6CD23709">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c.实际是负偏离的参数，在投标文件中技术响应表明是无偏离或正偏离，以虚假应标论处。</w:t>
            </w:r>
          </w:p>
          <w:p w14:paraId="190B773C">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d.实际是无偏离参数，在投标文件中技术响应表明是正偏离，以虚假应标论处。</w:t>
            </w:r>
          </w:p>
          <w:p w14:paraId="070011F3">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e.实际是正偏离参数，但验收时并没有达到投标文件中技术响应表明的正偏离幅度，以虚假应标论处。</w:t>
            </w:r>
          </w:p>
          <w:p w14:paraId="720B050D">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f.备用功能。是指设备主机具备相应的功能，但需要增加相应的软件硬件配件才能实现，除非需要在使用期限内升级，本次投标中不设“备用功能”参数，需要这种功能时，投标文件必须有明确注明“备用功能”字样。验收时投标人必须携带相关部件进行验收，以证明设备确实具备相关功能，验收完成后相关部件投标人带回，如果拒绝携带相关部件验收，以虚假应标论处。</w:t>
            </w:r>
          </w:p>
          <w:p w14:paraId="7621DB36">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g.对于招标文件只要求具备的功能或性能，但招标文件没有详细标明硬件配置参数，同时招标文件也没有注明“备用功能”字样，投标人必须无条件配齐相关软件硬件后，予以接受，凡出现“可配”等不明确意义字样，以虚假应标论处。</w:t>
            </w:r>
          </w:p>
          <w:p w14:paraId="694D53C6">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h.如是“可配可不配的必须配”，不得以“必须增购相关软硬件才能具备”或者以此为“选配，必须加钱另买”为由要求医院方额外开支才能达到相应功能项。如果投标人不愿意提供相关软硬件配置，以虚假应标论处。</w:t>
            </w:r>
          </w:p>
          <w:p w14:paraId="6D03F1BF">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i.对于以采购参数不同的参数概念，应标时出现张冠李戴现象，如以“速度”参数响应“长度”参数等，按虚假应标论处。</w:t>
            </w:r>
          </w:p>
          <w:p w14:paraId="5AC9CB70">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j.替代技术或同类技术，指用另一种与采购参数完全不一样的技术应标，验收时必须提供技术白皮书，说明与采购参数原理不同但目的与效果相同，验收时实际使用效果与采购参数一样，并得到使用科室验收专家的认可，才能判定无偏离，否则判定为负偏离，如果达不到相应使用效果，投标文件却以无偏离甚至以正偏离响应，以虚假应标论处。</w:t>
            </w:r>
          </w:p>
          <w:p w14:paraId="3D1B1ACF">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k.对于以含义相同而名字不同的参数名称响应，投标人必须提供白皮书等有效证明材料，并得到医院有关专业人员的认可，以无偏离论处，否则判定为负偏离，负偏离情况下，如果投标文件标明为无偏离或正偏离响应，以虚假应标论处。</w:t>
            </w:r>
          </w:p>
          <w:p w14:paraId="2CEB0F90">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l.复合参数，一个参数有多个技术指标，必须全部响应。如果只响应其中一部份指标，以负偏离论处，如果投标文件标明为无偏离或正偏离，以虚假应标论处。</w:t>
            </w:r>
          </w:p>
          <w:p w14:paraId="3453F1C4">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m.对于区间涵盖值参数，如“频率范围为 x-y，”等，其下界值更低，上界值更高，才能判定正偏离；其中一端负偏离，不管另一端实际情况如何，均判定负偏离，如果投标文件还标明正偏离，以虚假应标论处。</w:t>
            </w:r>
          </w:p>
          <w:p w14:paraId="61F373C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n.对于区间任意值参数，如“a≤××尺寸≤b”，“ ××尺寸”在区间 a-b 内任意一个数值均为无偏离，超出约定区间范围为负偏离，此类情形，如果投标文件仍标明为无偏离以虚假应标论处，此类参数出现正偏离，也以虚假应标论处。</w:t>
            </w:r>
          </w:p>
          <w:p w14:paraId="0C881B3D">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o.对于指定值参数：不是大于值也不是小于值，更不是区间值，只有应标数据与招标文件一致，才能定为无偏离，应标参数不一致，为负偏离。如果与应标参数不一致，而响应为“无偏离”，以虚假应标论处。</w:t>
            </w:r>
          </w:p>
          <w:p w14:paraId="5AA8C8D3">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p.按常识，设备特殊的工作环境工作条件必须配置的软硬件才能发挥设备效用的，即使采购技术参数表没有表明，投标人也必须提供，不能以采购参数没有要求而拒绝提供。（如：除颤器有可能在远离电源的情况下使用，必须配置电池，即使招标文件没有明确标明电池，投标人也不能以此为由拒绝提供电池）。</w:t>
            </w:r>
          </w:p>
          <w:p w14:paraId="5D41034D">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（4）试运行：设备使用科室验收人员按设备说明书要求在投标人指导下，常规负荷试运行七个工作日，没有出现异常者，为合格。</w:t>
            </w:r>
          </w:p>
          <w:p w14:paraId="5498BBDE">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（5）如果发现属于负偏离，偏离表说明仍写无偏离或正偏离，属于无偏离，偏离说明仍写正偏离，作无效投标论处。</w:t>
            </w:r>
          </w:p>
          <w:p w14:paraId="5E5A11D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（6）设备符合下列情形的，不予接收：</w:t>
            </w:r>
          </w:p>
          <w:p w14:paraId="2E266E80">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1)设备部件损伤，影响整机外观或性能，投标人又不愿意更换的不予接收。</w:t>
            </w:r>
          </w:p>
          <w:p w14:paraId="367FE640">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2)带▲号的参数，必须百分之百满足，验收发现是负偏离，不予接收。</w:t>
            </w:r>
          </w:p>
          <w:p w14:paraId="47EA6D16">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3)对于标准功能或者常规操作所必须的软硬件配置，设备安全必须的软硬件配置，国家相关标准规定配置，行业内认可的配置，如果不配置，即使采购参数没有标明详细配置，投标人必须无条件提供，如不提供，设备不予接收。</w:t>
            </w:r>
          </w:p>
          <w:p w14:paraId="23E4E470">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4)验收时出现一项不实质性响应采购要求或一项验收条款规定的虚假应标情形者，设备不予接收。</w:t>
            </w:r>
          </w:p>
          <w:p w14:paraId="410BE63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5)设备使用没有完成，使用人员还未能独立使用，投标人必须按合同要求提供培训，否则不予接收。</w:t>
            </w:r>
          </w:p>
          <w:p w14:paraId="735101E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6)带▲号的参数，验收中发现不实质响应采购要求，设备不予接收。</w:t>
            </w:r>
          </w:p>
          <w:p w14:paraId="5696ADD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（7）设备属于不予接收的情形，视为设备没有交接，投标人不得将设备放在医院任何场地，无条件搬走。</w:t>
            </w:r>
          </w:p>
          <w:p w14:paraId="1C5848E7">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（8）培训条款验收：按商务要求执行。设备安装结束后，投标人必须培训使用科室的操作人员，直到熟悉掌握机器性能及操作。</w:t>
            </w:r>
          </w:p>
          <w:p w14:paraId="6ADBF3F2">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（9）验收合格证签署 ：设备经投标人安装人员、设备科工程技术人员、使用科室负责人、验收人员均认为合格并全部签署验收合格证后，验收合格证生效。</w:t>
            </w:r>
          </w:p>
          <w:p w14:paraId="570B9D09">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（10）验收合格生效：验收合格日期以最后验收完成项目为准，设备验收时间计算在供货期内，按合同相关规定执行，由于投标人原因造成不按时完成验收造成逾期供货事实，由投标人承担相关合同责任。</w:t>
            </w:r>
          </w:p>
          <w:p w14:paraId="6742A698">
            <w:pPr>
              <w:widowControl/>
              <w:spacing w:line="360" w:lineRule="atLeast"/>
              <w:ind w:firstLine="210" w:firstLineChars="100"/>
              <w:jc w:val="left"/>
              <w:rPr>
                <w:rFonts w:ascii="宋体" w:hAnsi="宋体" w:cs="宋体"/>
                <w:color w:val="000000"/>
                <w:szCs w:val="21"/>
                <w:highlight w:val="none"/>
              </w:rPr>
            </w:pPr>
            <w:r>
              <w:rPr>
                <w:rFonts w:hint="eastAsia" w:ascii="宋体" w:hAnsi="宋体" w:cs="宋体"/>
                <w:color w:val="000000"/>
                <w:szCs w:val="21"/>
                <w:highlight w:val="none"/>
              </w:rPr>
              <w:t>（11）其他要求：在设备验收时，采购人可按照推荐排名邀请其他投标人共同验收，包括所提供的产品参数的真实性、实际性能等按招标文件要求逐条测试，如发现投标产品及产品资质、性能指标不满足招标文件要求或不满足投标承诺的，视为虚假应标并报监管部门查处。</w:t>
            </w:r>
          </w:p>
        </w:tc>
      </w:tr>
      <w:tr w14:paraId="359C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noWrap/>
            <w:vAlign w:val="center"/>
          </w:tcPr>
          <w:p w14:paraId="3C087E5E">
            <w:pPr>
              <w:snapToGrid w:val="0"/>
              <w:spacing w:line="360" w:lineRule="atLeast"/>
              <w:ind w:firstLine="198"/>
              <w:jc w:val="center"/>
              <w:rPr>
                <w:rFonts w:ascii="宋体" w:hAnsi="宋体" w:cs="宋体"/>
                <w:b/>
                <w:bCs/>
                <w:color w:val="000000"/>
                <w:szCs w:val="21"/>
                <w:highlight w:val="none"/>
              </w:rPr>
            </w:pPr>
            <w:r>
              <w:rPr>
                <w:rFonts w:hint="eastAsia" w:ascii="宋体" w:hAnsi="宋体" w:cs="Arial"/>
                <w:color w:val="000000"/>
                <w:szCs w:val="21"/>
                <w:highlight w:val="none"/>
              </w:rPr>
              <w:t>▲</w:t>
            </w:r>
            <w:r>
              <w:rPr>
                <w:rFonts w:hint="eastAsia" w:ascii="宋体" w:hAnsi="宋体" w:cs="宋体"/>
                <w:b/>
                <w:color w:val="000000"/>
                <w:kern w:val="0"/>
                <w:szCs w:val="21"/>
                <w:highlight w:val="none"/>
              </w:rPr>
              <w:t>报价要求</w:t>
            </w:r>
          </w:p>
        </w:tc>
        <w:tc>
          <w:tcPr>
            <w:tcW w:w="7760" w:type="dxa"/>
            <w:noWrap/>
            <w:vAlign w:val="center"/>
          </w:tcPr>
          <w:p w14:paraId="2956AED4">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1.投标报价包括但不限于货款、标准附件、备品备件、专用工具、包装、运输、装卸、保险、税金、货到就位以及安装、调试、培训、保修、验收等一切税金和费用。投标人在固定总价中必须考虑各种风险费用。在合同履行过程中，采购人不予支付合同以外的其他费用。投标人负责工人人身、设备安全责任，验收前，设备丢失自行负责。</w:t>
            </w:r>
          </w:p>
          <w:p w14:paraId="11DFC3B8">
            <w:pPr>
              <w:spacing w:line="360" w:lineRule="atLeast"/>
              <w:ind w:firstLine="198"/>
              <w:jc w:val="left"/>
              <w:rPr>
                <w:rFonts w:ascii="宋体" w:hAnsi="宋体" w:cs="宋体"/>
                <w:color w:val="000000"/>
                <w:szCs w:val="21"/>
                <w:highlight w:val="none"/>
              </w:rPr>
            </w:pPr>
            <w:r>
              <w:rPr>
                <w:rFonts w:hint="eastAsia" w:ascii="宋体" w:hAnsi="宋体" w:cs="宋体"/>
                <w:color w:val="000000"/>
                <w:szCs w:val="21"/>
                <w:highlight w:val="none"/>
              </w:rPr>
              <w:t>2.要求投标货物是全新的、未经改装的、合格的、满足本项目技术需求及要求的货物，提供的货物及制作安装采用的各种配件、材料均必须满足国家和行业规范标准。</w:t>
            </w:r>
          </w:p>
        </w:tc>
      </w:tr>
      <w:tr w14:paraId="7817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noWrap/>
            <w:vAlign w:val="center"/>
          </w:tcPr>
          <w:p w14:paraId="111ACDAB">
            <w:pPr>
              <w:snapToGrid w:val="0"/>
              <w:spacing w:line="360" w:lineRule="atLeast"/>
              <w:ind w:firstLine="198"/>
              <w:jc w:val="center"/>
              <w:rPr>
                <w:rFonts w:ascii="宋体" w:hAnsi="宋体" w:cs="宋体"/>
                <w:b/>
                <w:bCs/>
                <w:color w:val="000000"/>
                <w:szCs w:val="21"/>
                <w:highlight w:val="none"/>
              </w:rPr>
            </w:pPr>
            <w:r>
              <w:rPr>
                <w:rFonts w:hint="eastAsia" w:ascii="宋体" w:hAnsi="宋体" w:cs="宋体"/>
                <w:b/>
                <w:color w:val="000000"/>
                <w:kern w:val="0"/>
                <w:szCs w:val="21"/>
                <w:highlight w:val="none"/>
              </w:rPr>
              <w:t>三、其他</w:t>
            </w:r>
          </w:p>
        </w:tc>
        <w:tc>
          <w:tcPr>
            <w:tcW w:w="7760" w:type="dxa"/>
            <w:noWrap/>
            <w:vAlign w:val="center"/>
          </w:tcPr>
          <w:p w14:paraId="5DEB9D5F">
            <w:pPr>
              <w:spacing w:line="360" w:lineRule="atLeast"/>
              <w:rPr>
                <w:rFonts w:ascii="宋体" w:hAnsi="宋体" w:cs="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投标人在投标活动中如提供任何虚假材料，以及投标产品的技术参数不如实说明，</w:t>
            </w:r>
            <w:r>
              <w:rPr>
                <w:rFonts w:hint="eastAsia" w:ascii="宋体" w:hAnsi="宋体" w:cs="宋体"/>
                <w:b/>
                <w:color w:val="000000"/>
                <w:szCs w:val="21"/>
                <w:highlight w:val="none"/>
              </w:rPr>
              <w:t>其投标无效</w:t>
            </w:r>
            <w:r>
              <w:rPr>
                <w:rFonts w:hint="eastAsia" w:ascii="宋体" w:hAnsi="宋体" w:cs="宋体"/>
                <w:color w:val="000000"/>
                <w:szCs w:val="21"/>
                <w:highlight w:val="none"/>
              </w:rPr>
              <w:t>，并报监管部门查处。</w:t>
            </w:r>
          </w:p>
          <w:p w14:paraId="7D644C7F">
            <w:pPr>
              <w:spacing w:line="360" w:lineRule="atLeast"/>
              <w:rPr>
                <w:rFonts w:ascii="宋体" w:hAnsi="宋体" w:cs="宋体"/>
                <w:color w:val="000000"/>
                <w:szCs w:val="21"/>
                <w:highlight w:val="none"/>
              </w:rPr>
            </w:pPr>
            <w:r>
              <w:rPr>
                <w:rFonts w:ascii="宋体" w:hAnsi="宋体" w:cs="宋体"/>
                <w:color w:val="000000"/>
                <w:szCs w:val="21"/>
                <w:highlight w:val="none"/>
              </w:rPr>
              <w:t>2.</w:t>
            </w:r>
            <w:r>
              <w:rPr>
                <w:rFonts w:hint="eastAsia" w:ascii="宋体" w:hAnsi="宋体" w:cs="宋体"/>
                <w:color w:val="000000"/>
                <w:szCs w:val="21"/>
                <w:highlight w:val="none"/>
              </w:rPr>
              <w:t>若中标人所供产品及售后服务不按招标文件要求履约的，将按照相关有关规定严肃处理。</w:t>
            </w:r>
          </w:p>
          <w:p w14:paraId="6D406CFA">
            <w:pPr>
              <w:spacing w:line="360" w:lineRule="atLeast"/>
              <w:rPr>
                <w:rFonts w:ascii="宋体" w:hAnsi="宋体" w:cs="宋体"/>
                <w:color w:val="000000"/>
                <w:szCs w:val="21"/>
                <w:highlight w:val="none"/>
              </w:rPr>
            </w:pPr>
            <w:r>
              <w:rPr>
                <w:rFonts w:ascii="宋体" w:hAnsi="宋体" w:cs="宋体"/>
                <w:color w:val="000000"/>
                <w:szCs w:val="21"/>
                <w:highlight w:val="none"/>
              </w:rPr>
              <w:t>3.</w:t>
            </w:r>
            <w:r>
              <w:rPr>
                <w:rFonts w:hint="eastAsia" w:ascii="宋体" w:hAnsi="宋体" w:cs="宋体"/>
                <w:color w:val="000000"/>
                <w:szCs w:val="21"/>
                <w:highlight w:val="none"/>
              </w:rPr>
              <w:t>投标人在投标文件中针对本项目提供切实可行的售后服务方案，项目实施方案、质量保证措施</w:t>
            </w:r>
            <w:r>
              <w:rPr>
                <w:rFonts w:hint="eastAsia" w:ascii="宋体" w:hAnsi="宋体" w:cs="宋体"/>
                <w:color w:val="000000"/>
                <w:szCs w:val="21"/>
                <w:highlight w:val="none"/>
                <w:lang w:val="en-US" w:eastAsia="zh-CN"/>
              </w:rPr>
              <w:t>及拟投入本项目的人员信息</w:t>
            </w:r>
            <w:r>
              <w:rPr>
                <w:rFonts w:hint="eastAsia" w:ascii="宋体" w:hAnsi="宋体" w:cs="宋体"/>
                <w:color w:val="000000"/>
                <w:szCs w:val="21"/>
                <w:highlight w:val="none"/>
              </w:rPr>
              <w:t>等。</w:t>
            </w:r>
          </w:p>
          <w:p w14:paraId="0C7717C5">
            <w:pPr>
              <w:spacing w:before="25" w:after="25" w:line="360" w:lineRule="atLeast"/>
              <w:jc w:val="left"/>
              <w:rPr>
                <w:rFonts w:hint="eastAsia" w:ascii="宋体" w:hAnsi="宋体" w:cs="宋体"/>
                <w:color w:val="000000"/>
                <w:szCs w:val="21"/>
                <w:highlight w:val="none"/>
              </w:rPr>
            </w:pPr>
            <w:r>
              <w:rPr>
                <w:rFonts w:ascii="宋体" w:hAnsi="宋体" w:cs="宋体"/>
                <w:color w:val="000000"/>
                <w:szCs w:val="21"/>
                <w:highlight w:val="none"/>
              </w:rPr>
              <w:t>4.</w:t>
            </w:r>
            <w:r>
              <w:rPr>
                <w:rFonts w:hint="eastAsia"/>
                <w:color w:val="000000"/>
                <w:highlight w:val="none"/>
              </w:rPr>
              <w:t xml:space="preserve"> </w:t>
            </w:r>
            <w:r>
              <w:rPr>
                <w:rFonts w:hint="eastAsia" w:ascii="宋体" w:hAnsi="宋体" w:cs="宋体"/>
                <w:color w:val="000000"/>
                <w:szCs w:val="21"/>
                <w:highlight w:val="none"/>
              </w:rPr>
              <w:t>进口产品说明：本分标货物不接受进口产品（即通过中国海关报关验放进入中国境内且产自关境外的产品）参与投标，如有进口产品参与投标的作无效标处理。5. 货物一览表中，中标注“▲”项的内容为实质性响应条款，必须满足或优于，</w:t>
            </w:r>
            <w:r>
              <w:rPr>
                <w:rFonts w:hint="eastAsia" w:ascii="宋体" w:hAnsi="宋体" w:cs="宋体"/>
                <w:b/>
                <w:color w:val="000000"/>
                <w:szCs w:val="21"/>
                <w:highlight w:val="none"/>
              </w:rPr>
              <w:t>否则投标无效</w:t>
            </w:r>
            <w:r>
              <w:rPr>
                <w:rFonts w:hint="eastAsia" w:ascii="宋体" w:hAnsi="宋体" w:cs="宋体"/>
                <w:color w:val="000000"/>
                <w:szCs w:val="21"/>
                <w:highlight w:val="none"/>
              </w:rPr>
              <w:t>；不带“▲”的参数发生负偏离达6项（含）以上的，视为不实质性响应招标文件要求，</w:t>
            </w:r>
            <w:r>
              <w:rPr>
                <w:rFonts w:hint="eastAsia" w:ascii="宋体" w:hAnsi="宋体" w:cs="宋体"/>
                <w:b/>
                <w:color w:val="000000"/>
                <w:szCs w:val="21"/>
                <w:highlight w:val="none"/>
              </w:rPr>
              <w:t>评审时投标文件将被作为无效文件处理</w:t>
            </w:r>
            <w:r>
              <w:rPr>
                <w:rFonts w:hint="eastAsia" w:ascii="宋体" w:hAnsi="宋体" w:cs="宋体"/>
                <w:color w:val="000000"/>
                <w:szCs w:val="21"/>
                <w:highlight w:val="none"/>
              </w:rPr>
              <w:t>。</w:t>
            </w:r>
          </w:p>
          <w:p w14:paraId="0F341643">
            <w:pPr>
              <w:spacing w:before="25" w:after="25" w:line="360" w:lineRule="atLeast"/>
              <w:jc w:val="left"/>
              <w:rPr>
                <w:rFonts w:ascii="宋体" w:hAnsi="宋体" w:cs="宋体"/>
                <w:color w:val="000000"/>
                <w:szCs w:val="21"/>
                <w:highlight w:val="none"/>
              </w:rPr>
            </w:pPr>
            <w:r>
              <w:rPr>
                <w:rFonts w:hint="eastAsia" w:ascii="宋体" w:hAnsi="宋体" w:cs="宋体"/>
                <w:color w:val="000000"/>
                <w:szCs w:val="21"/>
                <w:highlight w:val="none"/>
              </w:rPr>
              <w:t>6.本分标核心产品为第5项货物“ 气压喷液仪 ”</w:t>
            </w:r>
          </w:p>
        </w:tc>
      </w:tr>
    </w:tbl>
    <w:p w14:paraId="43DE7BFD">
      <w:pPr>
        <w:widowControl/>
        <w:jc w:val="left"/>
        <w:rPr>
          <w:rFonts w:ascii="宋体" w:hAnsi="宋体"/>
          <w:color w:val="000000"/>
          <w:sz w:val="30"/>
          <w:szCs w:val="30"/>
          <w:highlight w:val="none"/>
        </w:rPr>
      </w:pPr>
    </w:p>
    <w:p w14:paraId="514D838D">
      <w:pPr>
        <w:spacing w:line="380" w:lineRule="exact"/>
        <w:rPr>
          <w:rFonts w:ascii="宋体" w:hAnsi="宋体"/>
          <w:color w:val="000000"/>
          <w:sz w:val="30"/>
          <w:szCs w:val="30"/>
          <w:highlight w:val="none"/>
        </w:rPr>
      </w:pPr>
      <w:r>
        <w:rPr>
          <w:rFonts w:ascii="宋体" w:hAnsi="宋体"/>
          <w:color w:val="000000"/>
          <w:sz w:val="30"/>
          <w:szCs w:val="30"/>
          <w:highlight w:val="none"/>
        </w:rPr>
        <w:t xml:space="preserve"> </w:t>
      </w:r>
    </w:p>
    <w:p w14:paraId="26790B06">
      <w:pPr>
        <w:spacing w:line="360" w:lineRule="auto"/>
        <w:jc w:val="left"/>
        <w:rPr>
          <w:rFonts w:ascii="黑体" w:hAnsi="黑体" w:eastAsia="黑体" w:cs="黑体"/>
          <w:color w:val="000000"/>
          <w:sz w:val="32"/>
          <w:szCs w:val="32"/>
          <w:highlight w:val="none"/>
        </w:rPr>
      </w:pPr>
      <w:r>
        <w:rPr>
          <w:rFonts w:ascii="黑体" w:hAnsi="黑体" w:eastAsia="黑体" w:cs="黑体"/>
          <w:color w:val="000000"/>
          <w:sz w:val="32"/>
          <w:szCs w:val="32"/>
          <w:highlight w:val="none"/>
        </w:rPr>
        <w:br w:type="page"/>
      </w:r>
    </w:p>
    <w:p w14:paraId="460E6C55">
      <w:pPr>
        <w:spacing w:line="428" w:lineRule="exact"/>
        <w:ind w:left="119"/>
        <w:rPr>
          <w:rFonts w:ascii="Arial Unicode MS" w:hAnsi="Arial Unicode MS" w:eastAsia="Arial Unicode MS" w:cs="Arial Unicode MS"/>
          <w:color w:val="000000"/>
          <w:sz w:val="32"/>
          <w:szCs w:val="32"/>
          <w:highlight w:val="none"/>
        </w:rPr>
      </w:pPr>
      <w:r>
        <w:rPr>
          <w:rFonts w:hint="eastAsia" w:ascii="黑体" w:hAnsi="黑体" w:eastAsia="黑体" w:cs="黑体"/>
          <w:color w:val="000000"/>
          <w:sz w:val="32"/>
          <w:szCs w:val="32"/>
          <w:highlight w:val="none"/>
        </w:rPr>
        <w:t>附件1：</w:t>
      </w:r>
    </w:p>
    <w:p w14:paraId="43167717">
      <w:pPr>
        <w:spacing w:before="7"/>
        <w:rPr>
          <w:rFonts w:hint="eastAsia" w:ascii="Arial Unicode MS" w:hAnsi="Arial Unicode MS" w:eastAsia="Arial Unicode MS" w:cs="Arial Unicode MS"/>
          <w:color w:val="000000"/>
          <w:sz w:val="17"/>
          <w:szCs w:val="17"/>
          <w:highlight w:val="none"/>
        </w:rPr>
      </w:pPr>
    </w:p>
    <w:p w14:paraId="403F7652">
      <w:pPr>
        <w:spacing w:line="528" w:lineRule="exact"/>
        <w:ind w:left="1871"/>
        <w:rPr>
          <w:rFonts w:hint="eastAsia" w:ascii="Arial Unicode MS" w:hAnsi="Arial Unicode MS" w:eastAsia="Arial Unicode MS" w:cs="Arial Unicode MS"/>
          <w:color w:val="000000"/>
          <w:sz w:val="40"/>
          <w:szCs w:val="40"/>
          <w:highlight w:val="none"/>
        </w:rPr>
      </w:pPr>
      <w:r>
        <w:rPr>
          <w:rFonts w:hint="eastAsia" w:ascii="方正小标宋简体" w:hAnsi="方正小标宋简体" w:eastAsia="方正小标宋简体" w:cs="方正小标宋简体"/>
          <w:color w:val="000000"/>
          <w:sz w:val="44"/>
          <w:szCs w:val="44"/>
          <w:highlight w:val="none"/>
        </w:rPr>
        <w:t>节能产品政府采购品目清单</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3452"/>
      </w:tblGrid>
      <w:tr w14:paraId="5080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3E177B31">
            <w:pPr>
              <w:jc w:val="center"/>
              <w:rPr>
                <w:rFonts w:ascii="Calibri" w:hAnsi="Calibri"/>
                <w:color w:val="000000"/>
                <w:szCs w:val="22"/>
                <w:highlight w:val="none"/>
              </w:rPr>
            </w:pPr>
            <w:r>
              <w:rPr>
                <w:rFonts w:hint="eastAsia" w:ascii="宋体" w:hAnsi="宋体" w:cs="宋体"/>
                <w:b/>
                <w:bCs/>
                <w:color w:val="000000"/>
                <w:w w:val="99"/>
                <w:highlight w:val="none"/>
              </w:rPr>
              <w:t>品目序号</w:t>
            </w:r>
          </w:p>
        </w:tc>
        <w:tc>
          <w:tcPr>
            <w:tcW w:w="4399" w:type="dxa"/>
            <w:gridSpan w:val="3"/>
            <w:tcBorders>
              <w:top w:val="single" w:color="000000" w:sz="4" w:space="0"/>
              <w:left w:val="single" w:color="000000" w:sz="4" w:space="0"/>
              <w:bottom w:val="single" w:color="000000" w:sz="4" w:space="0"/>
              <w:right w:val="single" w:color="000000" w:sz="4" w:space="0"/>
            </w:tcBorders>
            <w:noWrap w:val="0"/>
            <w:vAlign w:val="center"/>
          </w:tcPr>
          <w:p w14:paraId="150DE44A">
            <w:pPr>
              <w:jc w:val="center"/>
              <w:rPr>
                <w:rFonts w:ascii="Calibri" w:hAnsi="Calibri"/>
                <w:color w:val="000000"/>
                <w:szCs w:val="22"/>
                <w:highlight w:val="none"/>
              </w:rPr>
            </w:pPr>
            <w:r>
              <w:rPr>
                <w:rFonts w:hint="eastAsia" w:ascii="宋体" w:hAnsi="宋体" w:cs="宋体"/>
                <w:b/>
                <w:bCs/>
                <w:color w:val="000000"/>
                <w:w w:val="99"/>
                <w:highlight w:val="none"/>
              </w:rPr>
              <w:t>名称</w:t>
            </w:r>
          </w:p>
        </w:tc>
        <w:tc>
          <w:tcPr>
            <w:tcW w:w="3452" w:type="dxa"/>
            <w:tcBorders>
              <w:top w:val="single" w:color="000000" w:sz="4" w:space="0"/>
              <w:left w:val="single" w:color="000000" w:sz="4" w:space="0"/>
              <w:bottom w:val="single" w:color="000000" w:sz="4" w:space="0"/>
              <w:right w:val="single" w:color="000000" w:sz="4" w:space="0"/>
            </w:tcBorders>
            <w:noWrap w:val="0"/>
            <w:vAlign w:val="center"/>
          </w:tcPr>
          <w:p w14:paraId="5FCEC6D7">
            <w:pPr>
              <w:jc w:val="center"/>
              <w:rPr>
                <w:rFonts w:ascii="Calibri" w:hAnsi="Calibri"/>
                <w:color w:val="000000"/>
                <w:szCs w:val="22"/>
                <w:highlight w:val="none"/>
              </w:rPr>
            </w:pPr>
            <w:r>
              <w:rPr>
                <w:rFonts w:hint="eastAsia" w:ascii="宋体" w:hAnsi="宋体" w:cs="宋体"/>
                <w:b/>
                <w:bCs/>
                <w:color w:val="000000"/>
                <w:w w:val="99"/>
                <w:highlight w:val="none"/>
              </w:rPr>
              <w:t>依据的标准</w:t>
            </w:r>
          </w:p>
        </w:tc>
      </w:tr>
      <w:tr w14:paraId="29A0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009E0337">
            <w:pPr>
              <w:jc w:val="center"/>
              <w:rPr>
                <w:rFonts w:ascii="宋体" w:hAnsi="宋体"/>
                <w:color w:val="000000"/>
                <w:szCs w:val="21"/>
                <w:highlight w:val="none"/>
              </w:rPr>
            </w:pPr>
            <w:r>
              <w:rPr>
                <w:rFonts w:hint="eastAsia" w:ascii="宋体" w:hAnsi="宋体"/>
                <w:color w:val="000000"/>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66019F7C">
            <w:pPr>
              <w:jc w:val="center"/>
              <w:rPr>
                <w:rFonts w:ascii="宋体" w:hAnsi="宋体"/>
                <w:color w:val="000000"/>
                <w:szCs w:val="21"/>
                <w:highlight w:val="none"/>
              </w:rPr>
            </w:pPr>
            <w:r>
              <w:rPr>
                <w:rFonts w:hint="eastAsia" w:ascii="宋体" w:hAnsi="宋体" w:cs="仿宋_GB2312"/>
                <w:color w:val="000000"/>
                <w:szCs w:val="21"/>
                <w:highlight w:val="none"/>
              </w:rPr>
              <w:t>A02010100</w:t>
            </w:r>
            <w:r>
              <w:rPr>
                <w:rFonts w:hint="eastAsia" w:ascii="宋体" w:hAnsi="宋体" w:cs="宋体"/>
                <w:color w:val="000000"/>
                <w:w w:val="99"/>
                <w:szCs w:val="21"/>
                <w:highlight w:val="none"/>
              </w:rPr>
              <w:t>计算机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51C2248D">
            <w:pPr>
              <w:pStyle w:val="114"/>
              <w:spacing w:before="93"/>
              <w:ind w:left="7" w:right="5"/>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w:t>
            </w:r>
            <w:r>
              <w:rPr>
                <w:rFonts w:hint="eastAsia" w:ascii="宋体" w:hAnsi="宋体" w:cs="仿宋_GB2312"/>
                <w:color w:val="000000"/>
                <w:kern w:val="2"/>
                <w:sz w:val="21"/>
                <w:szCs w:val="21"/>
                <w:highlight w:val="none"/>
              </w:rPr>
              <w:t>A02010105</w:t>
            </w:r>
            <w:r>
              <w:rPr>
                <w:rFonts w:hint="eastAsia" w:ascii="宋体" w:hAnsi="宋体" w:cs="宋体"/>
                <w:color w:val="000000"/>
                <w:w w:val="99"/>
                <w:kern w:val="2"/>
                <w:sz w:val="21"/>
                <w:szCs w:val="21"/>
                <w:highlight w:val="none"/>
              </w:rPr>
              <w:t>台式计算机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655A112">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7ECA3068">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《微型计算机能效限定值及能效等级》（GB28380）</w:t>
            </w:r>
          </w:p>
        </w:tc>
      </w:tr>
      <w:tr w14:paraId="4E47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40C2EB3">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73C182C">
            <w:pPr>
              <w:widowControl/>
              <w:jc w:val="left"/>
              <w:rPr>
                <w:rFonts w:ascii="宋体" w:hAnsi="宋体"/>
                <w:color w:val="000000"/>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B856697">
            <w:pPr>
              <w:pStyle w:val="114"/>
              <w:spacing w:before="44"/>
              <w:ind w:left="7" w:right="5"/>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w:t>
            </w:r>
            <w:r>
              <w:rPr>
                <w:rFonts w:hint="eastAsia" w:ascii="宋体" w:hAnsi="宋体" w:cs="仿宋_GB2312"/>
                <w:color w:val="000000"/>
                <w:kern w:val="2"/>
                <w:sz w:val="21"/>
                <w:szCs w:val="21"/>
                <w:highlight w:val="none"/>
              </w:rPr>
              <w:t>A02010108</w:t>
            </w:r>
            <w:r>
              <w:rPr>
                <w:rFonts w:hint="eastAsia" w:ascii="宋体" w:hAnsi="宋体" w:cs="宋体"/>
                <w:color w:val="000000"/>
                <w:w w:val="99"/>
                <w:kern w:val="2"/>
                <w:sz w:val="21"/>
                <w:szCs w:val="21"/>
                <w:highlight w:val="none"/>
              </w:rPr>
              <w:t>便携式计算机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873E727">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669230FE">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《微型计算机能效限定值及能效等级》（GB28380）</w:t>
            </w:r>
          </w:p>
        </w:tc>
      </w:tr>
      <w:tr w14:paraId="19C8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9A9152D">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CD7DB69">
            <w:pPr>
              <w:widowControl/>
              <w:jc w:val="left"/>
              <w:rPr>
                <w:rFonts w:ascii="宋体" w:hAnsi="宋体"/>
                <w:color w:val="000000"/>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5BB58C06">
            <w:pPr>
              <w:pStyle w:val="114"/>
              <w:spacing w:before="64"/>
              <w:ind w:left="7" w:right="5"/>
              <w:jc w:val="center"/>
              <w:rPr>
                <w:rFonts w:ascii="宋体" w:hAnsi="宋体" w:cs="宋体"/>
                <w:color w:val="000000"/>
                <w:kern w:val="2"/>
                <w:sz w:val="21"/>
                <w:szCs w:val="21"/>
                <w:highlight w:val="none"/>
                <w:lang w:eastAsia="zh-CN"/>
              </w:rPr>
            </w:pPr>
            <w:r>
              <w:rPr>
                <w:rFonts w:hint="eastAsia" w:ascii="宋体" w:hAnsi="宋体" w:cs="宋体"/>
                <w:color w:val="000000"/>
                <w:w w:val="99"/>
                <w:kern w:val="2"/>
                <w:sz w:val="21"/>
                <w:szCs w:val="21"/>
                <w:highlight w:val="none"/>
                <w:lang w:eastAsia="zh-CN"/>
              </w:rPr>
              <w:t>★</w:t>
            </w:r>
            <w:r>
              <w:rPr>
                <w:rFonts w:hint="eastAsia" w:ascii="宋体" w:hAnsi="宋体" w:cs="仿宋_GB2312"/>
                <w:color w:val="000000"/>
                <w:kern w:val="2"/>
                <w:sz w:val="21"/>
                <w:szCs w:val="21"/>
                <w:highlight w:val="none"/>
                <w:lang w:eastAsia="zh-CN"/>
              </w:rPr>
              <w:t>A02010109平板式计算机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8B8DBC7">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52E19067">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《微型计算机能效限定值及能效等级》（GB28380）</w:t>
            </w:r>
          </w:p>
        </w:tc>
      </w:tr>
      <w:tr w14:paraId="3CE4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49F95E6C">
            <w:pPr>
              <w:jc w:val="center"/>
              <w:rPr>
                <w:rFonts w:ascii="宋体" w:hAnsi="宋体"/>
                <w:color w:val="000000"/>
                <w:szCs w:val="21"/>
                <w:highlight w:val="none"/>
              </w:rPr>
            </w:pPr>
            <w:r>
              <w:rPr>
                <w:rFonts w:hint="eastAsia" w:ascii="宋体" w:hAnsi="宋体"/>
                <w:color w:val="000000"/>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16D7ECB5">
            <w:pPr>
              <w:pStyle w:val="114"/>
              <w:ind w:left="7"/>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A02020000</w:t>
            </w:r>
            <w:r>
              <w:rPr>
                <w:rFonts w:hint="eastAsia" w:ascii="宋体" w:hAnsi="宋体" w:cs="宋体"/>
                <w:color w:val="000000"/>
                <w:w w:val="99"/>
                <w:kern w:val="2"/>
                <w:sz w:val="21"/>
                <w:szCs w:val="21"/>
                <w:highlight w:val="none"/>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2B2BC46">
            <w:pPr>
              <w:jc w:val="center"/>
              <w:rPr>
                <w:rFonts w:ascii="宋体" w:hAnsi="宋体"/>
                <w:color w:val="000000"/>
                <w:szCs w:val="21"/>
                <w:highlight w:val="none"/>
              </w:rPr>
            </w:pPr>
            <w:r>
              <w:rPr>
                <w:rFonts w:hint="eastAsia" w:ascii="宋体" w:hAnsi="宋体" w:cs="宋体"/>
                <w:color w:val="000000"/>
                <w:spacing w:val="1"/>
                <w:w w:val="99"/>
                <w:szCs w:val="21"/>
                <w:highlight w:val="none"/>
              </w:rPr>
              <w:t>A02021000</w:t>
            </w:r>
            <w:r>
              <w:rPr>
                <w:rFonts w:hint="eastAsia" w:ascii="宋体" w:hAnsi="宋体" w:cs="Arial"/>
                <w:color w:val="000000"/>
                <w:szCs w:val="21"/>
                <w:highlight w:val="none"/>
                <w:shd w:val="clear" w:color="auto" w:fill="FFFFFF"/>
              </w:rPr>
              <w:t>打印机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10EC117">
            <w:pPr>
              <w:jc w:val="center"/>
              <w:rPr>
                <w:rFonts w:ascii="宋体" w:hAnsi="宋体"/>
                <w:color w:val="000000"/>
                <w:szCs w:val="21"/>
                <w:highlight w:val="none"/>
              </w:rPr>
            </w:pPr>
            <w:r>
              <w:rPr>
                <w:rFonts w:hint="eastAsia" w:ascii="宋体" w:hAnsi="宋体"/>
                <w:color w:val="000000"/>
                <w:szCs w:val="21"/>
                <w:highlight w:val="none"/>
              </w:rPr>
              <w:t>A02021001 A3黑白打印机</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1AEB9F8F">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《复印机、打印机和传真机能效限定值及能效等级》（GB21521）</w:t>
            </w:r>
          </w:p>
        </w:tc>
      </w:tr>
      <w:tr w14:paraId="18E9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3BE87F9">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7FB747E">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6ABFA10">
            <w:pPr>
              <w:widowControl/>
              <w:jc w:val="left"/>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6181B0F">
            <w:pPr>
              <w:jc w:val="center"/>
              <w:rPr>
                <w:rFonts w:ascii="宋体" w:hAnsi="宋体"/>
                <w:color w:val="000000"/>
                <w:szCs w:val="21"/>
                <w:highlight w:val="none"/>
              </w:rPr>
            </w:pPr>
            <w:r>
              <w:rPr>
                <w:rFonts w:hint="eastAsia" w:ascii="宋体" w:hAnsi="宋体"/>
                <w:color w:val="000000"/>
                <w:szCs w:val="21"/>
                <w:highlight w:val="none"/>
              </w:rPr>
              <w:t>A02021002 A3彩色打印机</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46391E1B">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《复印机、打印机和传真机能效限定值及能效等级》（GB21521）</w:t>
            </w:r>
          </w:p>
        </w:tc>
      </w:tr>
      <w:tr w14:paraId="69CA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06FAAD3">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AD5B4CE">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96C39B5">
            <w:pPr>
              <w:widowControl/>
              <w:jc w:val="left"/>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F300702">
            <w:pPr>
              <w:jc w:val="center"/>
              <w:rPr>
                <w:rFonts w:ascii="宋体" w:hAnsi="宋体"/>
                <w:color w:val="000000"/>
                <w:szCs w:val="21"/>
                <w:highlight w:val="none"/>
              </w:rPr>
            </w:pPr>
            <w:r>
              <w:rPr>
                <w:rFonts w:hint="eastAsia" w:ascii="宋体" w:hAnsi="宋体"/>
                <w:color w:val="000000"/>
                <w:szCs w:val="21"/>
                <w:highlight w:val="none"/>
              </w:rPr>
              <w:t>A02021003 A4黑白打印机</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6051F449">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《复印机、打印机和传真机能效限定值及能效等级》（GB21521）</w:t>
            </w:r>
          </w:p>
        </w:tc>
      </w:tr>
      <w:tr w14:paraId="72BD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037347B">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9DB6CAD">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9BEDBFA">
            <w:pPr>
              <w:widowControl/>
              <w:jc w:val="left"/>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2EA8DA1">
            <w:pPr>
              <w:jc w:val="center"/>
              <w:rPr>
                <w:rFonts w:ascii="宋体" w:hAnsi="宋体"/>
                <w:color w:val="000000"/>
                <w:szCs w:val="21"/>
                <w:highlight w:val="none"/>
              </w:rPr>
            </w:pPr>
            <w:r>
              <w:rPr>
                <w:rFonts w:hint="eastAsia" w:ascii="宋体" w:hAnsi="宋体"/>
                <w:color w:val="000000"/>
                <w:szCs w:val="21"/>
                <w:highlight w:val="none"/>
              </w:rPr>
              <w:t>A02021004 A4彩色打印机</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02C499EF">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《复印机、打印机和传真机能效限定值及能效等级》（GB21521）</w:t>
            </w:r>
          </w:p>
        </w:tc>
      </w:tr>
      <w:tr w14:paraId="4656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C352FFD">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79F08C8">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6851940">
            <w:pPr>
              <w:widowControl/>
              <w:jc w:val="left"/>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2D3AA3D">
            <w:pPr>
              <w:jc w:val="center"/>
              <w:rPr>
                <w:rFonts w:ascii="宋体" w:hAnsi="宋体"/>
                <w:color w:val="000000"/>
                <w:szCs w:val="21"/>
                <w:highlight w:val="none"/>
              </w:rPr>
            </w:pPr>
            <w:r>
              <w:rPr>
                <w:rFonts w:hint="eastAsia" w:ascii="宋体" w:hAnsi="宋体"/>
                <w:color w:val="000000"/>
                <w:szCs w:val="21"/>
                <w:highlight w:val="none"/>
              </w:rPr>
              <w:t>A02021005 3D打印机</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47610017">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《复印机、打印机和传真机能效限定值及能效等级》（GB21521）</w:t>
            </w:r>
          </w:p>
        </w:tc>
      </w:tr>
      <w:tr w14:paraId="3D01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39AD5BA">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B39198C">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106E1BE">
            <w:pPr>
              <w:widowControl/>
              <w:jc w:val="left"/>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77A1F83">
            <w:pPr>
              <w:jc w:val="center"/>
              <w:rPr>
                <w:rFonts w:ascii="宋体" w:hAnsi="宋体"/>
                <w:color w:val="000000"/>
                <w:szCs w:val="21"/>
                <w:highlight w:val="none"/>
              </w:rPr>
            </w:pPr>
            <w:r>
              <w:rPr>
                <w:rFonts w:hint="eastAsia" w:ascii="宋体" w:hAnsi="宋体"/>
                <w:color w:val="000000"/>
                <w:szCs w:val="21"/>
                <w:highlight w:val="none"/>
              </w:rPr>
              <w:t>A02021006票据打印机</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175C2196">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《复印机、打印机和传真机能效限定值及能效等级》（GB21521）</w:t>
            </w:r>
          </w:p>
        </w:tc>
      </w:tr>
      <w:tr w14:paraId="282D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02F159C">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14BFCC3">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366EA69">
            <w:pPr>
              <w:widowControl/>
              <w:jc w:val="left"/>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884BACA">
            <w:pPr>
              <w:jc w:val="center"/>
              <w:rPr>
                <w:rFonts w:ascii="宋体" w:hAnsi="宋体"/>
                <w:color w:val="000000"/>
                <w:szCs w:val="21"/>
                <w:highlight w:val="none"/>
              </w:rPr>
            </w:pPr>
            <w:r>
              <w:rPr>
                <w:rFonts w:hint="eastAsia" w:ascii="宋体" w:hAnsi="宋体"/>
                <w:color w:val="000000"/>
                <w:szCs w:val="21"/>
                <w:highlight w:val="none"/>
              </w:rPr>
              <w:t>A02021007条码打印机</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555CB41F">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《复印机、打印机和传真机能效限定值及能效等级》（GB21521）</w:t>
            </w:r>
          </w:p>
        </w:tc>
      </w:tr>
      <w:tr w14:paraId="079B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9910D20">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35B367E">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797E928">
            <w:pPr>
              <w:widowControl/>
              <w:jc w:val="left"/>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0F0E6D3">
            <w:pPr>
              <w:jc w:val="center"/>
              <w:rPr>
                <w:rFonts w:ascii="宋体" w:hAnsi="宋体"/>
                <w:color w:val="000000"/>
                <w:szCs w:val="21"/>
                <w:highlight w:val="none"/>
              </w:rPr>
            </w:pPr>
            <w:r>
              <w:rPr>
                <w:rFonts w:hint="eastAsia" w:ascii="宋体" w:hAnsi="宋体"/>
                <w:color w:val="000000"/>
                <w:szCs w:val="21"/>
                <w:highlight w:val="none"/>
              </w:rPr>
              <w:t>A02021008地址打印机</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12953E8F">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《复印机、打印机和传真机能效限定值及能效等级》（GB21521）</w:t>
            </w:r>
          </w:p>
        </w:tc>
      </w:tr>
      <w:tr w14:paraId="6A64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7AE56DF">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D71084D">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356F612">
            <w:pPr>
              <w:widowControl/>
              <w:jc w:val="left"/>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8EF3079">
            <w:pPr>
              <w:jc w:val="center"/>
              <w:rPr>
                <w:rFonts w:ascii="宋体" w:hAnsi="宋体"/>
                <w:color w:val="000000"/>
                <w:szCs w:val="21"/>
                <w:highlight w:val="none"/>
              </w:rPr>
            </w:pPr>
            <w:r>
              <w:rPr>
                <w:rFonts w:hint="eastAsia" w:ascii="宋体" w:hAnsi="宋体"/>
                <w:color w:val="000000"/>
                <w:szCs w:val="21"/>
                <w:highlight w:val="none"/>
              </w:rPr>
              <w:t>A02021099其他打印机</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5217EB3F">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《复印机、打印机和传真机能效限定值及能效等级》（GB21521）</w:t>
            </w:r>
          </w:p>
        </w:tc>
      </w:tr>
      <w:tr w14:paraId="611E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2412BC6">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CF8FCB2">
            <w:pPr>
              <w:widowControl/>
              <w:jc w:val="left"/>
              <w:rPr>
                <w:rFonts w:ascii="宋体" w:hAnsi="宋体" w:cs="宋体"/>
                <w:color w:val="000000"/>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1386AFC">
            <w:pPr>
              <w:jc w:val="center"/>
              <w:rPr>
                <w:rFonts w:ascii="宋体" w:hAnsi="宋体"/>
                <w:color w:val="000000"/>
                <w:szCs w:val="21"/>
                <w:highlight w:val="none"/>
              </w:rPr>
            </w:pPr>
            <w:r>
              <w:rPr>
                <w:rFonts w:hint="eastAsia" w:ascii="宋体" w:hAnsi="宋体"/>
                <w:color w:val="000000"/>
                <w:szCs w:val="21"/>
                <w:highlight w:val="none"/>
              </w:rPr>
              <w:t>A02021100输入输出设备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286D7CB">
            <w:pPr>
              <w:jc w:val="center"/>
              <w:rPr>
                <w:rFonts w:ascii="宋体" w:hAnsi="宋体"/>
                <w:color w:val="000000"/>
                <w:szCs w:val="21"/>
                <w:highlight w:val="none"/>
              </w:rPr>
            </w:pPr>
            <w:r>
              <w:rPr>
                <w:rFonts w:hint="eastAsia" w:ascii="宋体" w:hAnsi="宋体" w:cs="宋体"/>
                <w:color w:val="000000"/>
                <w:w w:val="99"/>
                <w:szCs w:val="21"/>
                <w:highlight w:val="none"/>
              </w:rPr>
              <w:t>★</w:t>
            </w:r>
            <w:r>
              <w:rPr>
                <w:rFonts w:hint="eastAsia" w:ascii="宋体" w:hAnsi="宋体"/>
                <w:color w:val="000000"/>
                <w:szCs w:val="21"/>
                <w:highlight w:val="none"/>
              </w:rPr>
              <w:t>A02021104液晶显示器</w:t>
            </w:r>
          </w:p>
        </w:tc>
        <w:tc>
          <w:tcPr>
            <w:tcW w:w="3452" w:type="dxa"/>
            <w:tcBorders>
              <w:top w:val="single" w:color="000000" w:sz="4" w:space="0"/>
              <w:left w:val="single" w:color="000000" w:sz="4" w:space="0"/>
              <w:bottom w:val="single" w:color="000000" w:sz="4" w:space="0"/>
              <w:right w:val="single" w:color="000000" w:sz="4" w:space="0"/>
            </w:tcBorders>
            <w:noWrap w:val="0"/>
            <w:vAlign w:val="center"/>
          </w:tcPr>
          <w:p w14:paraId="28749247">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《计算机显示器能效限定值及能效等级》（GB21520）</w:t>
            </w:r>
          </w:p>
        </w:tc>
      </w:tr>
      <w:tr w14:paraId="2A8D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B79BC14">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6EBDB5A">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0D7CAFE">
            <w:pPr>
              <w:widowControl/>
              <w:jc w:val="left"/>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F826050">
            <w:pPr>
              <w:jc w:val="center"/>
              <w:rPr>
                <w:rFonts w:ascii="宋体" w:hAnsi="宋体"/>
                <w:color w:val="000000"/>
                <w:szCs w:val="21"/>
                <w:highlight w:val="none"/>
              </w:rPr>
            </w:pPr>
            <w:r>
              <w:rPr>
                <w:rFonts w:hint="eastAsia" w:ascii="宋体" w:hAnsi="宋体"/>
                <w:color w:val="000000"/>
                <w:szCs w:val="21"/>
                <w:highlight w:val="none"/>
              </w:rPr>
              <w:t>A02021118扫描仪</w:t>
            </w:r>
          </w:p>
        </w:tc>
        <w:tc>
          <w:tcPr>
            <w:tcW w:w="3452" w:type="dxa"/>
            <w:tcBorders>
              <w:top w:val="single" w:color="000000" w:sz="4" w:space="0"/>
              <w:left w:val="single" w:color="000000" w:sz="4" w:space="0"/>
              <w:bottom w:val="single" w:color="000000" w:sz="4" w:space="0"/>
              <w:right w:val="single" w:color="000000" w:sz="4" w:space="0"/>
            </w:tcBorders>
            <w:noWrap w:val="0"/>
            <w:vAlign w:val="center"/>
          </w:tcPr>
          <w:p w14:paraId="126C5B30">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参照《复印机、打印机和传真机能效限定值及能效等级》（GB21521）中打印速度为15页/分的针式打印机相关要求</w:t>
            </w:r>
          </w:p>
        </w:tc>
      </w:tr>
      <w:tr w14:paraId="124E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66DE6164">
            <w:pPr>
              <w:jc w:val="center"/>
              <w:rPr>
                <w:rFonts w:ascii="宋体" w:hAnsi="宋体"/>
                <w:color w:val="000000"/>
                <w:szCs w:val="21"/>
                <w:highlight w:val="none"/>
              </w:rPr>
            </w:pPr>
            <w:r>
              <w:rPr>
                <w:rFonts w:hint="eastAsia" w:ascii="宋体" w:hAnsi="宋体"/>
                <w:color w:val="000000"/>
                <w:w w:val="99"/>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78B6D35D">
            <w:pPr>
              <w:jc w:val="center"/>
              <w:rPr>
                <w:rFonts w:ascii="宋体" w:hAnsi="宋体"/>
                <w:color w:val="000000"/>
                <w:szCs w:val="21"/>
                <w:highlight w:val="none"/>
              </w:rPr>
            </w:pPr>
            <w:r>
              <w:rPr>
                <w:rFonts w:hint="eastAsia" w:ascii="宋体" w:hAnsi="宋体"/>
                <w:color w:val="000000"/>
                <w:szCs w:val="21"/>
                <w:highlight w:val="none"/>
              </w:rPr>
              <w:t>A02020200投影仪</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4D5E01E">
            <w:pPr>
              <w:jc w:val="center"/>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6CF63AE">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center"/>
          </w:tcPr>
          <w:p w14:paraId="253ADCCA">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《投影机能效限定值及能效等级》（GB32028）</w:t>
            </w:r>
          </w:p>
        </w:tc>
      </w:tr>
      <w:tr w14:paraId="7690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4D9920F3">
            <w:pPr>
              <w:jc w:val="center"/>
              <w:rPr>
                <w:rFonts w:ascii="宋体" w:hAnsi="宋体"/>
                <w:color w:val="000000"/>
                <w:szCs w:val="21"/>
                <w:highlight w:val="none"/>
              </w:rPr>
            </w:pPr>
            <w:r>
              <w:rPr>
                <w:rFonts w:hint="eastAsia" w:ascii="宋体" w:hAnsi="宋体"/>
                <w:color w:val="000000"/>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0D12526B">
            <w:pPr>
              <w:pStyle w:val="114"/>
              <w:spacing w:before="66"/>
              <w:ind w:left="7"/>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A02020400</w:t>
            </w:r>
            <w:r>
              <w:rPr>
                <w:rFonts w:hint="eastAsia" w:ascii="宋体" w:hAnsi="宋体" w:cs="宋体"/>
                <w:color w:val="000000"/>
                <w:w w:val="99"/>
                <w:kern w:val="2"/>
                <w:sz w:val="21"/>
                <w:szCs w:val="21"/>
                <w:highlight w:val="none"/>
              </w:rPr>
              <w:t>多功能一体机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79FE416">
            <w:pPr>
              <w:jc w:val="center"/>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B58542F">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center"/>
          </w:tcPr>
          <w:p w14:paraId="40D6D8E6">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《复印机、打印机和传真机能效限定值及能效等级》（GB21521）</w:t>
            </w:r>
          </w:p>
        </w:tc>
      </w:tr>
      <w:tr w14:paraId="7800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7650781F">
            <w:pPr>
              <w:pStyle w:val="114"/>
              <w:spacing w:before="160"/>
              <w:ind w:right="1"/>
              <w:jc w:val="center"/>
              <w:rPr>
                <w:rFonts w:ascii="宋体" w:hAnsi="宋体" w:cs="宋体"/>
                <w:color w:val="000000"/>
                <w:kern w:val="2"/>
                <w:sz w:val="21"/>
                <w:szCs w:val="21"/>
                <w:highlight w:val="none"/>
              </w:rPr>
            </w:pPr>
            <w:r>
              <w:rPr>
                <w:rFonts w:hint="eastAsia" w:ascii="宋体" w:hAnsi="宋体"/>
                <w:color w:val="000000"/>
                <w:w w:val="99"/>
                <w:kern w:val="2"/>
                <w:sz w:val="21"/>
                <w:szCs w:val="21"/>
                <w:highlight w:val="none"/>
              </w:rPr>
              <w:t>5</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6C2044A9">
            <w:pPr>
              <w:pStyle w:val="114"/>
              <w:spacing w:before="160"/>
              <w:ind w:left="7"/>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A02051900</w:t>
            </w:r>
            <w:r>
              <w:rPr>
                <w:rFonts w:hint="eastAsia" w:ascii="宋体" w:hAnsi="宋体" w:cs="宋体"/>
                <w:color w:val="000000"/>
                <w:w w:val="99"/>
                <w:kern w:val="2"/>
                <w:sz w:val="21"/>
                <w:szCs w:val="21"/>
                <w:highlight w:val="none"/>
              </w:rPr>
              <w:t>泵</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F22D452">
            <w:pPr>
              <w:pStyle w:val="114"/>
              <w:spacing w:before="160"/>
              <w:ind w:left="7"/>
              <w:jc w:val="center"/>
              <w:rPr>
                <w:rFonts w:ascii="宋体" w:hAnsi="宋体" w:cs="宋体"/>
                <w:color w:val="000000"/>
                <w:kern w:val="2"/>
                <w:sz w:val="21"/>
                <w:szCs w:val="21"/>
                <w:highlight w:val="none"/>
              </w:rPr>
            </w:pPr>
            <w:r>
              <w:rPr>
                <w:rFonts w:hint="eastAsia" w:ascii="宋体" w:hAnsi="宋体" w:cs="宋体"/>
                <w:color w:val="000000"/>
                <w:spacing w:val="1"/>
                <w:w w:val="99"/>
                <w:kern w:val="2"/>
                <w:sz w:val="21"/>
                <w:szCs w:val="21"/>
                <w:highlight w:val="none"/>
              </w:rPr>
              <w:t>A02</w:t>
            </w:r>
            <w:r>
              <w:rPr>
                <w:rFonts w:hint="eastAsia" w:ascii="宋体" w:hAnsi="宋体" w:cs="宋体"/>
                <w:color w:val="000000"/>
                <w:w w:val="99"/>
                <w:kern w:val="2"/>
                <w:sz w:val="21"/>
                <w:szCs w:val="21"/>
                <w:highlight w:val="none"/>
              </w:rPr>
              <w:t>05</w:t>
            </w:r>
            <w:r>
              <w:rPr>
                <w:rFonts w:hint="eastAsia" w:ascii="宋体" w:hAnsi="宋体" w:cs="宋体"/>
                <w:color w:val="000000"/>
                <w:spacing w:val="1"/>
                <w:w w:val="99"/>
                <w:kern w:val="2"/>
                <w:sz w:val="21"/>
                <w:szCs w:val="21"/>
                <w:highlight w:val="none"/>
              </w:rPr>
              <w:t>1</w:t>
            </w:r>
            <w:r>
              <w:rPr>
                <w:rFonts w:hint="eastAsia" w:ascii="宋体" w:hAnsi="宋体" w:cs="宋体"/>
                <w:color w:val="000000"/>
                <w:w w:val="99"/>
                <w:kern w:val="2"/>
                <w:sz w:val="21"/>
                <w:szCs w:val="21"/>
                <w:highlight w:val="none"/>
              </w:rPr>
              <w:t>901离心泵</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582E20C">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0D669477">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《清水离心泵能效限定值及节能评价值》（GB19762）</w:t>
            </w:r>
          </w:p>
        </w:tc>
      </w:tr>
      <w:tr w14:paraId="214E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042E52D6">
            <w:pPr>
              <w:jc w:val="center"/>
              <w:rPr>
                <w:rFonts w:ascii="宋体" w:hAnsi="宋体"/>
                <w:color w:val="000000"/>
                <w:szCs w:val="21"/>
                <w:highlight w:val="none"/>
              </w:rPr>
            </w:pPr>
            <w:r>
              <w:rPr>
                <w:rFonts w:hint="eastAsia" w:ascii="宋体" w:hAnsi="宋体"/>
                <w:color w:val="000000"/>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6AE36BD4">
            <w:pPr>
              <w:pStyle w:val="114"/>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A02052300</w:t>
            </w:r>
            <w:r>
              <w:rPr>
                <w:rFonts w:hint="eastAsia" w:ascii="宋体" w:hAnsi="宋体" w:cs="宋体"/>
                <w:color w:val="000000"/>
                <w:w w:val="99"/>
                <w:kern w:val="2"/>
                <w:sz w:val="21"/>
                <w:szCs w:val="21"/>
                <w:highlight w:val="none"/>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06408EB3">
            <w:pPr>
              <w:pStyle w:val="114"/>
              <w:spacing w:line="276" w:lineRule="auto"/>
              <w:ind w:right="5"/>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w:t>
            </w:r>
            <w:r>
              <w:rPr>
                <w:rFonts w:hint="eastAsia" w:ascii="宋体" w:hAnsi="宋体" w:cs="宋体"/>
                <w:color w:val="000000"/>
                <w:spacing w:val="1"/>
                <w:w w:val="99"/>
                <w:kern w:val="2"/>
                <w:sz w:val="21"/>
                <w:szCs w:val="21"/>
                <w:highlight w:val="none"/>
              </w:rPr>
              <w:t>A020</w:t>
            </w:r>
            <w:r>
              <w:rPr>
                <w:rFonts w:hint="eastAsia" w:ascii="宋体" w:hAnsi="宋体" w:cs="宋体"/>
                <w:color w:val="000000"/>
                <w:w w:val="99"/>
                <w:kern w:val="2"/>
                <w:sz w:val="21"/>
                <w:szCs w:val="21"/>
                <w:highlight w:val="none"/>
              </w:rPr>
              <w:t>52</w:t>
            </w:r>
            <w:r>
              <w:rPr>
                <w:rFonts w:hint="eastAsia" w:ascii="宋体" w:hAnsi="宋体" w:cs="宋体"/>
                <w:color w:val="000000"/>
                <w:spacing w:val="1"/>
                <w:w w:val="99"/>
                <w:kern w:val="2"/>
                <w:sz w:val="21"/>
                <w:szCs w:val="21"/>
                <w:highlight w:val="none"/>
              </w:rPr>
              <w:t>3</w:t>
            </w:r>
            <w:r>
              <w:rPr>
                <w:rFonts w:hint="eastAsia" w:ascii="宋体" w:hAnsi="宋体" w:cs="宋体"/>
                <w:color w:val="000000"/>
                <w:w w:val="99"/>
                <w:kern w:val="2"/>
                <w:sz w:val="21"/>
                <w:szCs w:val="21"/>
                <w:highlight w:val="none"/>
              </w:rPr>
              <w:t>01制冷压缩机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ED3F19A">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冷水机组</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6BB45028">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《冷水机组能效限定值及能效等级》（GB19577），《低环境温度空气源热泵（冷水）机组能效限定值及能效等级》（GB37480）</w:t>
            </w:r>
          </w:p>
        </w:tc>
      </w:tr>
      <w:tr w14:paraId="5F22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DEA2918">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30BA1DF">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6280C51">
            <w:pPr>
              <w:widowControl/>
              <w:jc w:val="left"/>
              <w:rPr>
                <w:rFonts w:ascii="宋体" w:hAnsi="宋体" w:cs="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0A361E2">
            <w:pPr>
              <w:jc w:val="center"/>
              <w:rPr>
                <w:rFonts w:ascii="宋体" w:hAnsi="宋体"/>
                <w:color w:val="000000"/>
                <w:szCs w:val="21"/>
                <w:highlight w:val="none"/>
              </w:rPr>
            </w:pPr>
            <w:r>
              <w:rPr>
                <w:rFonts w:hint="eastAsia" w:ascii="宋体" w:hAnsi="宋体"/>
                <w:color w:val="000000"/>
                <w:szCs w:val="21"/>
                <w:highlight w:val="none"/>
              </w:rPr>
              <w:t>溴化锂吸收式冷水机组</w:t>
            </w:r>
          </w:p>
        </w:tc>
        <w:tc>
          <w:tcPr>
            <w:tcW w:w="3452" w:type="dxa"/>
            <w:tcBorders>
              <w:top w:val="single" w:color="000000" w:sz="4" w:space="0"/>
              <w:left w:val="single" w:color="000000" w:sz="4" w:space="0"/>
              <w:bottom w:val="single" w:color="000000" w:sz="4" w:space="0"/>
              <w:right w:val="single" w:color="000000" w:sz="4" w:space="0"/>
            </w:tcBorders>
            <w:noWrap w:val="0"/>
            <w:vAlign w:val="center"/>
          </w:tcPr>
          <w:p w14:paraId="4C7055B3">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《溴化锂吸收式冷水机组能效限</w:t>
            </w:r>
          </w:p>
          <w:p w14:paraId="58EA0F38">
            <w:pPr>
              <w:spacing w:before="131" w:line="276" w:lineRule="auto"/>
              <w:ind w:right="4"/>
              <w:rPr>
                <w:rFonts w:ascii="宋体" w:hAnsi="宋体" w:cs="宋体"/>
                <w:color w:val="000000"/>
                <w:spacing w:val="10"/>
                <w:szCs w:val="21"/>
                <w:highlight w:val="none"/>
              </w:rPr>
            </w:pPr>
            <w:r>
              <w:rPr>
                <w:rFonts w:hint="eastAsia" w:ascii="宋体" w:hAnsi="宋体" w:cs="宋体"/>
                <w:color w:val="000000"/>
                <w:spacing w:val="10"/>
                <w:szCs w:val="21"/>
                <w:highlight w:val="none"/>
              </w:rPr>
              <w:t>定值及能效等级》（GB29540）</w:t>
            </w:r>
          </w:p>
        </w:tc>
      </w:tr>
      <w:tr w14:paraId="4FEF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D27B48E">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0C7D118">
            <w:pPr>
              <w:widowControl/>
              <w:jc w:val="left"/>
              <w:rPr>
                <w:rFonts w:ascii="宋体" w:hAnsi="宋体" w:cs="宋体"/>
                <w:color w:val="000000"/>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2165B8B5">
            <w:pPr>
              <w:pStyle w:val="114"/>
              <w:spacing w:line="276" w:lineRule="auto"/>
              <w:ind w:right="5"/>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★A02052305空调机组</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044D2F6">
            <w:pPr>
              <w:pStyle w:val="114"/>
              <w:spacing w:before="4" w:line="276" w:lineRule="auto"/>
              <w:ind w:left="7" w:right="7"/>
              <w:jc w:val="center"/>
              <w:rPr>
                <w:rFonts w:ascii="宋体" w:hAnsi="宋体" w:cs="宋体"/>
                <w:color w:val="000000"/>
                <w:w w:val="99"/>
                <w:kern w:val="2"/>
                <w:sz w:val="21"/>
                <w:szCs w:val="21"/>
                <w:highlight w:val="none"/>
                <w:lang w:eastAsia="zh-CN"/>
              </w:rPr>
            </w:pPr>
            <w:r>
              <w:rPr>
                <w:rFonts w:hint="eastAsia" w:ascii="宋体" w:hAnsi="宋体" w:cs="宋体"/>
                <w:color w:val="000000"/>
                <w:w w:val="99"/>
                <w:kern w:val="2"/>
                <w:sz w:val="21"/>
                <w:szCs w:val="21"/>
                <w:highlight w:val="none"/>
                <w:lang w:eastAsia="zh-CN"/>
              </w:rPr>
              <w:t>多联式空调（热泵）机组（制冷量＞14000W）</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719C3F91">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《多联式空调（热泵）机组能效限定值及能源效率等级》（GB21454）</w:t>
            </w:r>
          </w:p>
        </w:tc>
      </w:tr>
      <w:tr w14:paraId="314C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D42AE79">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5549C02">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3C7F714">
            <w:pPr>
              <w:widowControl/>
              <w:jc w:val="left"/>
              <w:rPr>
                <w:rFonts w:ascii="宋体" w:hAnsi="宋体" w:cs="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E97A233">
            <w:pPr>
              <w:jc w:val="center"/>
              <w:rPr>
                <w:rFonts w:ascii="宋体" w:hAnsi="宋体"/>
                <w:color w:val="000000"/>
                <w:szCs w:val="21"/>
                <w:highlight w:val="none"/>
              </w:rPr>
            </w:pPr>
            <w:r>
              <w:rPr>
                <w:rFonts w:hint="eastAsia" w:ascii="宋体" w:hAnsi="宋体" w:cs="宋体"/>
                <w:color w:val="000000"/>
                <w:w w:val="99"/>
                <w:szCs w:val="21"/>
                <w:highlight w:val="none"/>
              </w:rPr>
              <w:t>单元式空气调节机</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35A713A3">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《单元式空气调节机能效限定值及能效等级》（GB19576）《风管送风式空调机组能效限定值及能效等级》（GB37479）</w:t>
            </w:r>
          </w:p>
        </w:tc>
      </w:tr>
      <w:tr w14:paraId="3425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6B2BD64">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B8BADF7">
            <w:pPr>
              <w:widowControl/>
              <w:jc w:val="left"/>
              <w:rPr>
                <w:rFonts w:ascii="宋体" w:hAnsi="宋体" w:cs="宋体"/>
                <w:color w:val="000000"/>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AA238A0">
            <w:pPr>
              <w:pStyle w:val="114"/>
              <w:spacing w:before="83"/>
              <w:ind w:left="7"/>
              <w:jc w:val="center"/>
              <w:rPr>
                <w:rFonts w:ascii="宋体" w:hAnsi="宋体" w:cs="宋体"/>
                <w:color w:val="000000"/>
                <w:w w:val="99"/>
                <w:kern w:val="2"/>
                <w:sz w:val="21"/>
                <w:szCs w:val="21"/>
                <w:highlight w:val="none"/>
                <w:lang w:eastAsia="zh-CN"/>
              </w:rPr>
            </w:pPr>
            <w:r>
              <w:rPr>
                <w:rFonts w:hint="eastAsia" w:ascii="宋体" w:hAnsi="宋体" w:cs="宋体"/>
                <w:color w:val="000000"/>
                <w:w w:val="99"/>
                <w:kern w:val="2"/>
                <w:sz w:val="21"/>
                <w:szCs w:val="21"/>
                <w:highlight w:val="none"/>
                <w:lang w:eastAsia="zh-CN"/>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D8D905B">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机房空调</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09C78D1A">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《单元式空气调节机能效限定值</w:t>
            </w:r>
          </w:p>
          <w:p w14:paraId="6D75CDEB">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及能效等级》（GB19576）</w:t>
            </w:r>
          </w:p>
        </w:tc>
      </w:tr>
      <w:tr w14:paraId="448C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2FDBCB5">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5FBDF79">
            <w:pPr>
              <w:widowControl/>
              <w:jc w:val="left"/>
              <w:rPr>
                <w:rFonts w:ascii="宋体" w:hAnsi="宋体" w:cs="宋体"/>
                <w:color w:val="000000"/>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3D3C59D">
            <w:pPr>
              <w:pStyle w:val="114"/>
              <w:spacing w:line="254" w:lineRule="exact"/>
              <w:ind w:left="7"/>
              <w:jc w:val="center"/>
              <w:rPr>
                <w:rFonts w:ascii="宋体" w:hAnsi="宋体" w:cs="宋体"/>
                <w:color w:val="000000"/>
                <w:w w:val="99"/>
                <w:kern w:val="2"/>
                <w:sz w:val="21"/>
                <w:szCs w:val="21"/>
                <w:highlight w:val="none"/>
              </w:rPr>
            </w:pPr>
            <w:r>
              <w:rPr>
                <w:rFonts w:hint="eastAsia" w:ascii="宋体" w:hAnsi="宋体" w:cs="宋体"/>
                <w:color w:val="000000"/>
                <w:w w:val="99"/>
                <w:kern w:val="2"/>
                <w:sz w:val="21"/>
                <w:szCs w:val="21"/>
                <w:highlight w:val="none"/>
              </w:rPr>
              <w:t>A02052399其他制冷</w:t>
            </w:r>
          </w:p>
          <w:p w14:paraId="38EBFF3F">
            <w:pPr>
              <w:pStyle w:val="114"/>
              <w:spacing w:line="254" w:lineRule="exact"/>
              <w:ind w:left="7"/>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空调设备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4E45E82">
            <w:pPr>
              <w:widowControl/>
              <w:jc w:val="center"/>
              <w:rPr>
                <w:rFonts w:ascii="宋体" w:hAnsi="宋体" w:cs="宋体"/>
                <w:color w:val="000000"/>
                <w:szCs w:val="21"/>
                <w:highlight w:val="none"/>
                <w:lang w:eastAsia="en-US"/>
              </w:rPr>
            </w:pPr>
            <w:r>
              <w:rPr>
                <w:rFonts w:hint="eastAsia" w:ascii="宋体" w:hAnsi="宋体" w:cs="宋体"/>
                <w:color w:val="000000"/>
                <w:w w:val="99"/>
                <w:szCs w:val="21"/>
                <w:highlight w:val="none"/>
              </w:rPr>
              <w:t>冷却塔</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598825B0">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《机械通风冷却塔第1部分：中小型开式冷却塔》（GB/T7190.1）</w:t>
            </w:r>
          </w:p>
          <w:p w14:paraId="6F7BC1E3">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《机械通风冷却塔第2部分：大型开式冷却塔》（GB/T7190.2）</w:t>
            </w:r>
          </w:p>
        </w:tc>
      </w:tr>
      <w:tr w14:paraId="0D21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76807913">
            <w:pPr>
              <w:pStyle w:val="114"/>
              <w:ind w:right="1"/>
              <w:jc w:val="center"/>
              <w:rPr>
                <w:rFonts w:ascii="宋体" w:hAnsi="宋体" w:cs="宋体"/>
                <w:color w:val="000000"/>
                <w:kern w:val="2"/>
                <w:sz w:val="21"/>
                <w:szCs w:val="21"/>
                <w:highlight w:val="none"/>
              </w:rPr>
            </w:pPr>
            <w:r>
              <w:rPr>
                <w:rFonts w:hint="eastAsia" w:ascii="宋体" w:hAnsi="宋体"/>
                <w:color w:val="000000"/>
                <w:w w:val="99"/>
                <w:kern w:val="2"/>
                <w:sz w:val="21"/>
                <w:szCs w:val="21"/>
                <w:highlight w:val="none"/>
              </w:rPr>
              <w:t>7</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2AC01B21">
            <w:pPr>
              <w:pStyle w:val="114"/>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A02060100</w:t>
            </w:r>
            <w:r>
              <w:rPr>
                <w:rFonts w:hint="eastAsia" w:ascii="宋体" w:hAnsi="宋体" w:cs="宋体"/>
                <w:color w:val="000000"/>
                <w:w w:val="99"/>
                <w:kern w:val="2"/>
                <w:sz w:val="21"/>
                <w:szCs w:val="21"/>
                <w:highlight w:val="none"/>
              </w:rPr>
              <w:t>电机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C8DD803">
            <w:pPr>
              <w:jc w:val="center"/>
              <w:rPr>
                <w:rFonts w:ascii="宋体" w:hAnsi="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AB31BB7">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5C94099D">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《中小型三相异步电动机能效限定值及能效等级》（GB18613）</w:t>
            </w:r>
          </w:p>
        </w:tc>
      </w:tr>
      <w:tr w14:paraId="0B32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3C682223">
            <w:pPr>
              <w:pStyle w:val="114"/>
              <w:ind w:right="1"/>
              <w:jc w:val="center"/>
              <w:rPr>
                <w:rFonts w:ascii="宋体" w:hAnsi="宋体" w:cs="宋体"/>
                <w:color w:val="000000"/>
                <w:kern w:val="2"/>
                <w:sz w:val="21"/>
                <w:szCs w:val="21"/>
                <w:highlight w:val="none"/>
              </w:rPr>
            </w:pPr>
            <w:r>
              <w:rPr>
                <w:rFonts w:hint="eastAsia" w:ascii="宋体" w:hAnsi="宋体"/>
                <w:color w:val="000000"/>
                <w:w w:val="99"/>
                <w:kern w:val="2"/>
                <w:sz w:val="21"/>
                <w:szCs w:val="21"/>
                <w:highlight w:val="none"/>
              </w:rPr>
              <w:t>8</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4F237119">
            <w:pPr>
              <w:pStyle w:val="114"/>
              <w:spacing w:before="30"/>
              <w:ind w:left="7"/>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A02060200</w:t>
            </w:r>
            <w:r>
              <w:rPr>
                <w:rFonts w:hint="eastAsia" w:ascii="宋体" w:hAnsi="宋体" w:cs="宋体"/>
                <w:color w:val="000000"/>
                <w:w w:val="99"/>
                <w:kern w:val="2"/>
                <w:sz w:val="21"/>
                <w:szCs w:val="21"/>
                <w:highlight w:val="none"/>
              </w:rPr>
              <w:t>变压</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AF746AD">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配电变压器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098F0BD">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600727BE">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《三相配电变压器能效限定值及能效等级》（GB 20052）</w:t>
            </w:r>
          </w:p>
        </w:tc>
      </w:tr>
      <w:tr w14:paraId="14A9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4660CC4A">
            <w:pPr>
              <w:pStyle w:val="114"/>
              <w:ind w:right="1"/>
              <w:jc w:val="center"/>
              <w:rPr>
                <w:rFonts w:ascii="宋体" w:hAnsi="宋体" w:cs="宋体"/>
                <w:color w:val="000000"/>
                <w:kern w:val="2"/>
                <w:sz w:val="21"/>
                <w:szCs w:val="21"/>
                <w:highlight w:val="none"/>
              </w:rPr>
            </w:pPr>
            <w:r>
              <w:rPr>
                <w:rFonts w:hint="eastAsia" w:ascii="宋体" w:hAnsi="宋体"/>
                <w:color w:val="000000"/>
                <w:w w:val="99"/>
                <w:kern w:val="2"/>
                <w:sz w:val="21"/>
                <w:szCs w:val="21"/>
                <w:highlight w:val="none"/>
              </w:rPr>
              <w:t>9</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7F6043C1">
            <w:pPr>
              <w:pStyle w:val="114"/>
              <w:spacing w:before="126"/>
              <w:ind w:left="7"/>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★A02060900镇流器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BCA581E">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管型荧光灯镇流器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AAEA1B5">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7EB92D8D">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《管形荧光灯镇流器能效限定值及能效等级》（GB17896）</w:t>
            </w:r>
          </w:p>
        </w:tc>
      </w:tr>
      <w:tr w14:paraId="26BA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5B1250FB">
            <w:pPr>
              <w:pStyle w:val="114"/>
              <w:jc w:val="center"/>
              <w:rPr>
                <w:rFonts w:ascii="宋体" w:hAnsi="宋体" w:cs="宋体"/>
                <w:color w:val="000000"/>
                <w:kern w:val="2"/>
                <w:sz w:val="21"/>
                <w:szCs w:val="21"/>
                <w:highlight w:val="none"/>
              </w:rPr>
            </w:pPr>
            <w:r>
              <w:rPr>
                <w:rFonts w:hint="eastAsia" w:ascii="宋体" w:hAnsi="宋体"/>
                <w:color w:val="000000"/>
                <w:w w:val="99"/>
                <w:kern w:val="2"/>
                <w:sz w:val="21"/>
                <w:szCs w:val="21"/>
                <w:highlight w:val="none"/>
              </w:rPr>
              <w:t>10</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2F68D9DD">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A02061800生活用电器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5D9E7F60">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A02061801电冰箱</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18C999E">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239A5817">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《家用电冰箱耗电量限定值及能效等级》（GB12021.2）</w:t>
            </w:r>
          </w:p>
        </w:tc>
      </w:tr>
      <w:tr w14:paraId="500D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2356FC3">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06D3BDC">
            <w:pPr>
              <w:widowControl/>
              <w:jc w:val="left"/>
              <w:rPr>
                <w:rFonts w:ascii="宋体" w:hAnsi="宋体" w:cs="宋体"/>
                <w:color w:val="000000"/>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01EDFD95">
            <w:pPr>
              <w:pStyle w:val="114"/>
              <w:spacing w:before="171"/>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w:t>
            </w:r>
            <w:r>
              <w:rPr>
                <w:rFonts w:hint="eastAsia" w:ascii="宋体" w:hAnsi="宋体" w:cs="仿宋_GB2312"/>
                <w:color w:val="000000"/>
                <w:kern w:val="2"/>
                <w:sz w:val="21"/>
                <w:szCs w:val="21"/>
                <w:highlight w:val="none"/>
              </w:rPr>
              <w:t>A02061804</w:t>
            </w:r>
            <w:r>
              <w:rPr>
                <w:rFonts w:hint="eastAsia" w:ascii="宋体" w:hAnsi="宋体" w:cs="宋体"/>
                <w:color w:val="000000"/>
                <w:w w:val="99"/>
                <w:kern w:val="2"/>
                <w:sz w:val="21"/>
                <w:szCs w:val="21"/>
                <w:highlight w:val="none"/>
              </w:rPr>
              <w:t>空调机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2A9B8B9">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房间空气调节器</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3859A459">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《房间空气调节器能效限定值及能效等级》（GB21455-2019）</w:t>
            </w:r>
          </w:p>
        </w:tc>
      </w:tr>
      <w:tr w14:paraId="0A1D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FD0CD43">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724F2C2">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8049076">
            <w:pPr>
              <w:widowControl/>
              <w:jc w:val="left"/>
              <w:rPr>
                <w:rFonts w:ascii="宋体" w:hAnsi="宋体" w:cs="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A5E0AE5">
            <w:pPr>
              <w:pStyle w:val="114"/>
              <w:spacing w:before="4" w:line="276" w:lineRule="auto"/>
              <w:ind w:left="7" w:right="7"/>
              <w:jc w:val="center"/>
              <w:rPr>
                <w:rFonts w:ascii="宋体" w:hAnsi="宋体" w:cs="宋体"/>
                <w:color w:val="000000"/>
                <w:kern w:val="2"/>
                <w:sz w:val="21"/>
                <w:szCs w:val="21"/>
                <w:highlight w:val="none"/>
                <w:lang w:eastAsia="zh-CN"/>
              </w:rPr>
            </w:pPr>
            <w:r>
              <w:rPr>
                <w:rFonts w:hint="eastAsia" w:ascii="宋体" w:hAnsi="宋体" w:cs="宋体"/>
                <w:color w:val="000000"/>
                <w:w w:val="99"/>
                <w:kern w:val="2"/>
                <w:sz w:val="21"/>
                <w:szCs w:val="21"/>
                <w:highlight w:val="none"/>
                <w:lang w:eastAsia="zh-CN"/>
              </w:rPr>
              <w:t>多联式空调（热泵）机组（制冷量≤ 14000W）</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4B6E55D1">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《多联式空调（热泵）机组能效限定值及能源效率等级》（GB21454）</w:t>
            </w:r>
          </w:p>
        </w:tc>
      </w:tr>
      <w:tr w14:paraId="5162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835FEB8">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297EBE9">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DCD6CCF">
            <w:pPr>
              <w:widowControl/>
              <w:jc w:val="left"/>
              <w:rPr>
                <w:rFonts w:ascii="宋体" w:hAnsi="宋体" w:cs="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5C96726">
            <w:pPr>
              <w:pStyle w:val="114"/>
              <w:jc w:val="center"/>
              <w:rPr>
                <w:rFonts w:ascii="宋体" w:hAnsi="宋体" w:cs="宋体"/>
                <w:color w:val="000000"/>
                <w:kern w:val="2"/>
                <w:sz w:val="21"/>
                <w:szCs w:val="21"/>
                <w:highlight w:val="none"/>
                <w:lang w:eastAsia="zh-CN"/>
              </w:rPr>
            </w:pPr>
            <w:r>
              <w:rPr>
                <w:rFonts w:hint="eastAsia" w:ascii="宋体" w:hAnsi="宋体" w:cs="宋体"/>
                <w:color w:val="000000"/>
                <w:w w:val="99"/>
                <w:kern w:val="2"/>
                <w:sz w:val="21"/>
                <w:szCs w:val="21"/>
                <w:highlight w:val="none"/>
                <w:lang w:eastAsia="zh-CN"/>
              </w:rPr>
              <w:t>单元式空气调节机（制冷量≤ 14000W）</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330528C7">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《单元式空气调节机能效限定值及能源效率等级》（GB19576）《风管送风式空调机组能效限定值及能效等级》（GB37479）</w:t>
            </w:r>
          </w:p>
        </w:tc>
      </w:tr>
      <w:tr w14:paraId="2180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B166D28">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797783F">
            <w:pPr>
              <w:widowControl/>
              <w:jc w:val="left"/>
              <w:rPr>
                <w:rFonts w:ascii="宋体" w:hAnsi="宋体" w:cs="宋体"/>
                <w:color w:val="000000"/>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CF39654">
            <w:pPr>
              <w:pStyle w:val="114"/>
              <w:spacing w:before="162"/>
              <w:ind w:left="7"/>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A02061810</w:t>
            </w:r>
            <w:r>
              <w:rPr>
                <w:rFonts w:hint="eastAsia" w:ascii="宋体" w:hAnsi="宋体" w:cs="宋体"/>
                <w:color w:val="000000"/>
                <w:w w:val="99"/>
                <w:kern w:val="2"/>
                <w:sz w:val="21"/>
                <w:szCs w:val="21"/>
                <w:highlight w:val="none"/>
              </w:rPr>
              <w:t>洗衣机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0B94392">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15D825BC">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《电动洗衣机能效水效限定值及等级》（GB12021.4）</w:t>
            </w:r>
          </w:p>
        </w:tc>
      </w:tr>
      <w:tr w14:paraId="39B5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6D21D0B">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6FAB399">
            <w:pPr>
              <w:widowControl/>
              <w:jc w:val="left"/>
              <w:rPr>
                <w:rFonts w:ascii="宋体" w:hAnsi="宋体" w:cs="宋体"/>
                <w:color w:val="000000"/>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3C531AB">
            <w:pPr>
              <w:pStyle w:val="114"/>
              <w:spacing w:before="161"/>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A02061819</w:t>
            </w:r>
            <w:r>
              <w:rPr>
                <w:rFonts w:hint="eastAsia" w:ascii="宋体" w:hAnsi="宋体" w:cs="宋体"/>
                <w:color w:val="000000"/>
                <w:w w:val="99"/>
                <w:kern w:val="2"/>
                <w:sz w:val="21"/>
                <w:szCs w:val="21"/>
                <w:highlight w:val="none"/>
              </w:rPr>
              <w:t>热水器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AE4B77F">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★电热</w:t>
            </w:r>
            <w:r>
              <w:rPr>
                <w:rFonts w:hint="eastAsia" w:ascii="宋体" w:hAnsi="宋体" w:cs="宋体"/>
                <w:color w:val="000000"/>
                <w:spacing w:val="2"/>
                <w:w w:val="99"/>
                <w:kern w:val="2"/>
                <w:sz w:val="21"/>
                <w:szCs w:val="21"/>
                <w:highlight w:val="none"/>
              </w:rPr>
              <w:t>水</w:t>
            </w:r>
            <w:r>
              <w:rPr>
                <w:rFonts w:hint="eastAsia" w:ascii="宋体" w:hAnsi="宋体" w:cs="宋体"/>
                <w:color w:val="000000"/>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64EEE691">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《储水式电热水器能效限定值及能效等级》（GB21519）</w:t>
            </w:r>
          </w:p>
        </w:tc>
      </w:tr>
      <w:tr w14:paraId="6529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BC99C40">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661FDCE">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3208E71">
            <w:pPr>
              <w:widowControl/>
              <w:jc w:val="left"/>
              <w:rPr>
                <w:rFonts w:ascii="宋体" w:hAnsi="宋体" w:cs="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6303DCD">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燃气热</w:t>
            </w:r>
            <w:r>
              <w:rPr>
                <w:rFonts w:hint="eastAsia" w:ascii="宋体" w:hAnsi="宋体" w:cs="宋体"/>
                <w:color w:val="000000"/>
                <w:spacing w:val="2"/>
                <w:w w:val="99"/>
                <w:kern w:val="2"/>
                <w:sz w:val="21"/>
                <w:szCs w:val="21"/>
                <w:highlight w:val="none"/>
              </w:rPr>
              <w:t>水</w:t>
            </w:r>
            <w:r>
              <w:rPr>
                <w:rFonts w:hint="eastAsia" w:ascii="宋体" w:hAnsi="宋体" w:cs="宋体"/>
                <w:color w:val="000000"/>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5B2936DC">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《家用燃气快速热水器和燃气采暖热水炉能效限定值及能效等级》（GB20665）</w:t>
            </w:r>
          </w:p>
        </w:tc>
      </w:tr>
      <w:tr w14:paraId="2511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13DF352">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B38A4DB">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CFF309F">
            <w:pPr>
              <w:widowControl/>
              <w:jc w:val="left"/>
              <w:rPr>
                <w:rFonts w:ascii="宋体" w:hAnsi="宋体" w:cs="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D940305">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热泵热</w:t>
            </w:r>
            <w:r>
              <w:rPr>
                <w:rFonts w:hint="eastAsia" w:ascii="宋体" w:hAnsi="宋体" w:cs="宋体"/>
                <w:color w:val="000000"/>
                <w:spacing w:val="2"/>
                <w:w w:val="99"/>
                <w:kern w:val="2"/>
                <w:sz w:val="21"/>
                <w:szCs w:val="21"/>
                <w:highlight w:val="none"/>
              </w:rPr>
              <w:t>水</w:t>
            </w:r>
            <w:r>
              <w:rPr>
                <w:rFonts w:hint="eastAsia" w:ascii="宋体" w:hAnsi="宋体" w:cs="宋体"/>
                <w:color w:val="000000"/>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22ABEC26">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《热泵热水机（器）能效限定值及能效等级》（GB29541）</w:t>
            </w:r>
          </w:p>
        </w:tc>
      </w:tr>
      <w:tr w14:paraId="5223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54A2C31">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D4459C4">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AA68190">
            <w:pPr>
              <w:widowControl/>
              <w:jc w:val="left"/>
              <w:rPr>
                <w:rFonts w:ascii="宋体" w:hAnsi="宋体" w:cs="宋体"/>
                <w:color w:val="000000"/>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4A5BA1F">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太阳能</w:t>
            </w:r>
            <w:r>
              <w:rPr>
                <w:rFonts w:hint="eastAsia" w:ascii="宋体" w:hAnsi="宋体" w:cs="宋体"/>
                <w:color w:val="000000"/>
                <w:spacing w:val="2"/>
                <w:w w:val="99"/>
                <w:kern w:val="2"/>
                <w:sz w:val="21"/>
                <w:szCs w:val="21"/>
                <w:highlight w:val="none"/>
              </w:rPr>
              <w:t>热</w:t>
            </w:r>
            <w:r>
              <w:rPr>
                <w:rFonts w:hint="eastAsia" w:ascii="宋体" w:hAnsi="宋体" w:cs="宋体"/>
                <w:color w:val="000000"/>
                <w:w w:val="99"/>
                <w:kern w:val="2"/>
                <w:sz w:val="21"/>
                <w:szCs w:val="21"/>
                <w:highlight w:val="none"/>
              </w:rPr>
              <w:t>水系统</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528657CE">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《家用太阳能热水系统能效限定值及能效等级》（GB26969）</w:t>
            </w:r>
          </w:p>
        </w:tc>
      </w:tr>
      <w:tr w14:paraId="2D50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6C37E6D2">
            <w:pPr>
              <w:pStyle w:val="114"/>
              <w:jc w:val="center"/>
              <w:rPr>
                <w:rFonts w:ascii="宋体" w:hAnsi="宋体" w:cs="宋体"/>
                <w:color w:val="000000"/>
                <w:kern w:val="2"/>
                <w:sz w:val="21"/>
                <w:szCs w:val="21"/>
                <w:highlight w:val="none"/>
              </w:rPr>
            </w:pPr>
            <w:r>
              <w:rPr>
                <w:rFonts w:hint="eastAsia" w:ascii="宋体" w:hAnsi="宋体"/>
                <w:color w:val="000000"/>
                <w:spacing w:val="1"/>
                <w:w w:val="99"/>
                <w:kern w:val="2"/>
                <w:sz w:val="21"/>
                <w:szCs w:val="21"/>
                <w:highlight w:val="none"/>
              </w:rPr>
              <w:t>1</w:t>
            </w:r>
            <w:r>
              <w:rPr>
                <w:rFonts w:hint="eastAsia" w:ascii="宋体" w:hAnsi="宋体"/>
                <w:color w:val="000000"/>
                <w:w w:val="99"/>
                <w:kern w:val="2"/>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618F3461">
            <w:pPr>
              <w:pStyle w:val="114"/>
              <w:spacing w:before="157"/>
              <w:jc w:val="center"/>
              <w:rPr>
                <w:rFonts w:ascii="宋体" w:hAnsi="宋体" w:cs="宋体"/>
                <w:color w:val="000000"/>
                <w:kern w:val="2"/>
                <w:sz w:val="21"/>
                <w:szCs w:val="21"/>
                <w:highlight w:val="none"/>
              </w:rPr>
            </w:pPr>
            <w:r>
              <w:rPr>
                <w:rFonts w:hint="eastAsia" w:ascii="宋体" w:hAnsi="宋体" w:cs="宋体"/>
                <w:color w:val="000000"/>
                <w:spacing w:val="1"/>
                <w:w w:val="99"/>
                <w:kern w:val="2"/>
                <w:sz w:val="21"/>
                <w:szCs w:val="21"/>
                <w:highlight w:val="none"/>
              </w:rPr>
              <w:t>A02</w:t>
            </w:r>
            <w:r>
              <w:rPr>
                <w:rFonts w:hint="eastAsia" w:ascii="宋体" w:hAnsi="宋体" w:cs="宋体"/>
                <w:color w:val="000000"/>
                <w:w w:val="99"/>
                <w:kern w:val="2"/>
                <w:sz w:val="21"/>
                <w:szCs w:val="21"/>
                <w:highlight w:val="none"/>
              </w:rPr>
              <w:t>06</w:t>
            </w:r>
            <w:r>
              <w:rPr>
                <w:rFonts w:hint="eastAsia" w:ascii="宋体" w:hAnsi="宋体" w:cs="宋体"/>
                <w:color w:val="000000"/>
                <w:spacing w:val="1"/>
                <w:w w:val="99"/>
                <w:kern w:val="2"/>
                <w:sz w:val="21"/>
                <w:szCs w:val="21"/>
                <w:highlight w:val="none"/>
              </w:rPr>
              <w:t>1</w:t>
            </w:r>
            <w:r>
              <w:rPr>
                <w:rFonts w:hint="eastAsia" w:ascii="宋体" w:hAnsi="宋体" w:cs="宋体"/>
                <w:color w:val="000000"/>
                <w:w w:val="99"/>
                <w:kern w:val="2"/>
                <w:sz w:val="21"/>
                <w:szCs w:val="21"/>
                <w:highlight w:val="none"/>
              </w:rPr>
              <w:t>900照明设备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79E947B">
            <w:pPr>
              <w:pStyle w:val="114"/>
              <w:spacing w:before="133" w:line="276" w:lineRule="auto"/>
              <w:ind w:left="7" w:right="7"/>
              <w:jc w:val="center"/>
              <w:rPr>
                <w:rFonts w:ascii="宋体" w:hAnsi="宋体" w:cs="宋体"/>
                <w:color w:val="000000"/>
                <w:kern w:val="2"/>
                <w:sz w:val="21"/>
                <w:szCs w:val="21"/>
                <w:highlight w:val="none"/>
                <w:lang w:eastAsia="zh-CN"/>
              </w:rPr>
            </w:pPr>
            <w:r>
              <w:rPr>
                <w:rFonts w:hint="eastAsia" w:ascii="宋体" w:hAnsi="宋体" w:cs="宋体"/>
                <w:color w:val="000000"/>
                <w:w w:val="99"/>
                <w:kern w:val="2"/>
                <w:sz w:val="21"/>
                <w:szCs w:val="21"/>
                <w:highlight w:val="none"/>
                <w:lang w:eastAsia="zh-CN"/>
              </w:rPr>
              <w:t>★普通照明用双端荧光灯</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D4E7455">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4C36F2E0">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《普通照明用双端荧光灯能效限定值及能效等级》（GB19043）</w:t>
            </w:r>
          </w:p>
        </w:tc>
      </w:tr>
      <w:tr w14:paraId="1713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3618545">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AD1A2AF">
            <w:pPr>
              <w:widowControl/>
              <w:jc w:val="left"/>
              <w:rPr>
                <w:rFonts w:ascii="宋体" w:hAnsi="宋体" w:cs="宋体"/>
                <w:color w:val="000000"/>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B6287F1">
            <w:pPr>
              <w:pStyle w:val="114"/>
              <w:spacing w:before="92" w:line="276" w:lineRule="auto"/>
              <w:ind w:left="7" w:right="2"/>
              <w:jc w:val="center"/>
              <w:rPr>
                <w:rFonts w:ascii="宋体" w:hAnsi="宋体" w:cs="宋体"/>
                <w:color w:val="000000"/>
                <w:kern w:val="2"/>
                <w:sz w:val="21"/>
                <w:szCs w:val="21"/>
                <w:highlight w:val="none"/>
              </w:rPr>
            </w:pPr>
            <w:r>
              <w:rPr>
                <w:rFonts w:hint="eastAsia" w:ascii="宋体" w:hAnsi="宋体" w:cs="宋体"/>
                <w:color w:val="000000"/>
                <w:spacing w:val="1"/>
                <w:w w:val="99"/>
                <w:kern w:val="2"/>
                <w:sz w:val="21"/>
                <w:szCs w:val="21"/>
                <w:highlight w:val="none"/>
              </w:rPr>
              <w:t>LE</w:t>
            </w:r>
            <w:r>
              <w:rPr>
                <w:rFonts w:hint="eastAsia" w:ascii="宋体" w:hAnsi="宋体" w:cs="宋体"/>
                <w:color w:val="000000"/>
                <w:w w:val="99"/>
                <w:kern w:val="2"/>
                <w:sz w:val="21"/>
                <w:szCs w:val="21"/>
                <w:highlight w:val="none"/>
              </w:rPr>
              <w:t>D</w:t>
            </w:r>
            <w:r>
              <w:rPr>
                <w:rFonts w:hint="eastAsia" w:ascii="宋体" w:hAnsi="宋体" w:cs="宋体"/>
                <w:color w:val="000000"/>
                <w:spacing w:val="12"/>
                <w:w w:val="99"/>
                <w:kern w:val="2"/>
                <w:sz w:val="21"/>
                <w:szCs w:val="21"/>
                <w:highlight w:val="none"/>
              </w:rPr>
              <w:t>道</w:t>
            </w:r>
            <w:r>
              <w:rPr>
                <w:rFonts w:hint="eastAsia" w:ascii="宋体" w:hAnsi="宋体" w:cs="宋体"/>
                <w:color w:val="000000"/>
                <w:spacing w:val="9"/>
                <w:w w:val="99"/>
                <w:kern w:val="2"/>
                <w:sz w:val="21"/>
                <w:szCs w:val="21"/>
                <w:highlight w:val="none"/>
              </w:rPr>
              <w:t>路</w:t>
            </w:r>
            <w:r>
              <w:rPr>
                <w:rFonts w:hint="eastAsia" w:ascii="宋体" w:hAnsi="宋体" w:cs="宋体"/>
                <w:color w:val="000000"/>
                <w:spacing w:val="13"/>
                <w:w w:val="99"/>
                <w:kern w:val="2"/>
                <w:sz w:val="21"/>
                <w:szCs w:val="21"/>
                <w:highlight w:val="none"/>
              </w:rPr>
              <w:t>/</w:t>
            </w:r>
            <w:r>
              <w:rPr>
                <w:rFonts w:hint="eastAsia" w:ascii="宋体" w:hAnsi="宋体" w:cs="宋体"/>
                <w:color w:val="000000"/>
                <w:spacing w:val="12"/>
                <w:w w:val="99"/>
                <w:kern w:val="2"/>
                <w:sz w:val="21"/>
                <w:szCs w:val="21"/>
                <w:highlight w:val="none"/>
              </w:rPr>
              <w:t>隧道照</w:t>
            </w:r>
            <w:r>
              <w:rPr>
                <w:rFonts w:hint="eastAsia" w:ascii="宋体" w:hAnsi="宋体" w:cs="宋体"/>
                <w:color w:val="000000"/>
                <w:w w:val="99"/>
                <w:kern w:val="2"/>
                <w:sz w:val="21"/>
                <w:szCs w:val="21"/>
                <w:highlight w:val="none"/>
              </w:rPr>
              <w:t>明产品</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E100AB3">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2B5EA243">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《道路和隧道照明用LED灯具能效限定值及能效等级》（GB37478</w:t>
            </w:r>
            <w:r>
              <w:rPr>
                <w:rFonts w:ascii="宋体" w:hAnsi="宋体" w:cs="宋体"/>
                <w:color w:val="000000"/>
                <w:spacing w:val="10"/>
                <w:kern w:val="2"/>
                <w:sz w:val="21"/>
                <w:szCs w:val="21"/>
                <w:highlight w:val="none"/>
                <w:lang w:eastAsia="zh-CN"/>
              </w:rPr>
              <w:t>）</w:t>
            </w:r>
          </w:p>
        </w:tc>
      </w:tr>
      <w:tr w14:paraId="33BD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FAA2B3B">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DCFA3C6">
            <w:pPr>
              <w:widowControl/>
              <w:jc w:val="left"/>
              <w:rPr>
                <w:rFonts w:ascii="宋体" w:hAnsi="宋体" w:cs="宋体"/>
                <w:color w:val="000000"/>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245083E">
            <w:pPr>
              <w:pStyle w:val="114"/>
              <w:jc w:val="center"/>
              <w:rPr>
                <w:rFonts w:ascii="宋体" w:hAnsi="宋体" w:cs="宋体"/>
                <w:color w:val="000000"/>
                <w:kern w:val="2"/>
                <w:sz w:val="21"/>
                <w:szCs w:val="21"/>
                <w:highlight w:val="none"/>
              </w:rPr>
            </w:pPr>
            <w:r>
              <w:rPr>
                <w:rFonts w:hint="eastAsia" w:ascii="宋体" w:hAnsi="宋体" w:cs="宋体"/>
                <w:color w:val="000000"/>
                <w:spacing w:val="1"/>
                <w:w w:val="99"/>
                <w:kern w:val="2"/>
                <w:sz w:val="21"/>
                <w:szCs w:val="21"/>
                <w:highlight w:val="none"/>
              </w:rPr>
              <w:t>LE</w:t>
            </w:r>
            <w:r>
              <w:rPr>
                <w:rFonts w:hint="eastAsia" w:ascii="宋体" w:hAnsi="宋体" w:cs="宋体"/>
                <w:color w:val="000000"/>
                <w:w w:val="99"/>
                <w:kern w:val="2"/>
                <w:sz w:val="21"/>
                <w:szCs w:val="21"/>
                <w:highlight w:val="none"/>
              </w:rPr>
              <w:t>D筒灯</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38D9E94">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6342E11B">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《室内照明用LED产品能效限定值及能效等级》（GB30255）</w:t>
            </w:r>
          </w:p>
        </w:tc>
      </w:tr>
      <w:tr w14:paraId="5D3E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C474C67">
            <w:pPr>
              <w:widowControl/>
              <w:jc w:val="left"/>
              <w:rPr>
                <w:rFonts w:ascii="宋体" w:hAnsi="宋体" w:cs="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4FAA924">
            <w:pPr>
              <w:widowControl/>
              <w:jc w:val="left"/>
              <w:rPr>
                <w:rFonts w:ascii="宋体" w:hAnsi="宋体" w:cs="宋体"/>
                <w:color w:val="000000"/>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46A2FF8">
            <w:pPr>
              <w:pStyle w:val="114"/>
              <w:spacing w:line="276" w:lineRule="auto"/>
              <w:ind w:right="7"/>
              <w:jc w:val="center"/>
              <w:rPr>
                <w:rFonts w:ascii="宋体" w:hAnsi="宋体" w:cs="宋体"/>
                <w:color w:val="000000"/>
                <w:kern w:val="2"/>
                <w:sz w:val="21"/>
                <w:szCs w:val="21"/>
                <w:highlight w:val="none"/>
                <w:lang w:eastAsia="zh-CN"/>
              </w:rPr>
            </w:pPr>
            <w:r>
              <w:rPr>
                <w:rFonts w:hint="eastAsia" w:ascii="宋体" w:hAnsi="宋体" w:cs="宋体"/>
                <w:color w:val="000000"/>
                <w:w w:val="99"/>
                <w:kern w:val="2"/>
                <w:sz w:val="21"/>
                <w:szCs w:val="21"/>
                <w:highlight w:val="none"/>
                <w:lang w:eastAsia="zh-CN"/>
              </w:rPr>
              <w:t>普</w:t>
            </w:r>
            <w:r>
              <w:rPr>
                <w:rFonts w:hint="eastAsia" w:ascii="宋体" w:hAnsi="宋体" w:cs="宋体"/>
                <w:color w:val="000000"/>
                <w:spacing w:val="24"/>
                <w:w w:val="99"/>
                <w:kern w:val="2"/>
                <w:sz w:val="21"/>
                <w:szCs w:val="21"/>
                <w:highlight w:val="none"/>
                <w:lang w:eastAsia="zh-CN"/>
              </w:rPr>
              <w:t>通</w:t>
            </w:r>
            <w:r>
              <w:rPr>
                <w:rFonts w:hint="eastAsia" w:ascii="宋体" w:hAnsi="宋体" w:cs="宋体"/>
                <w:color w:val="000000"/>
                <w:w w:val="99"/>
                <w:kern w:val="2"/>
                <w:sz w:val="21"/>
                <w:szCs w:val="21"/>
                <w:highlight w:val="none"/>
                <w:lang w:eastAsia="zh-CN"/>
              </w:rPr>
              <w:t>照明用非</w:t>
            </w:r>
            <w:r>
              <w:rPr>
                <w:rFonts w:hint="eastAsia" w:ascii="宋体" w:hAnsi="宋体" w:cs="宋体"/>
                <w:color w:val="000000"/>
                <w:spacing w:val="24"/>
                <w:w w:val="99"/>
                <w:kern w:val="2"/>
                <w:sz w:val="21"/>
                <w:szCs w:val="21"/>
                <w:highlight w:val="none"/>
                <w:lang w:eastAsia="zh-CN"/>
              </w:rPr>
              <w:t>定</w:t>
            </w:r>
            <w:r>
              <w:rPr>
                <w:rFonts w:hint="eastAsia" w:ascii="宋体" w:hAnsi="宋体" w:cs="宋体"/>
                <w:color w:val="000000"/>
                <w:w w:val="99"/>
                <w:kern w:val="2"/>
                <w:sz w:val="21"/>
                <w:szCs w:val="21"/>
                <w:highlight w:val="none"/>
                <w:lang w:eastAsia="zh-CN"/>
              </w:rPr>
              <w:t>向自镇流</w:t>
            </w:r>
            <w:r>
              <w:rPr>
                <w:rFonts w:hint="eastAsia" w:ascii="宋体" w:hAnsi="宋体" w:cs="宋体"/>
                <w:color w:val="000000"/>
                <w:spacing w:val="1"/>
                <w:w w:val="99"/>
                <w:kern w:val="2"/>
                <w:sz w:val="21"/>
                <w:szCs w:val="21"/>
                <w:highlight w:val="none"/>
                <w:lang w:eastAsia="zh-CN"/>
              </w:rPr>
              <w:t>LE</w:t>
            </w:r>
            <w:r>
              <w:rPr>
                <w:rFonts w:hint="eastAsia" w:ascii="宋体" w:hAnsi="宋体" w:cs="宋体"/>
                <w:color w:val="000000"/>
                <w:w w:val="99"/>
                <w:kern w:val="2"/>
                <w:sz w:val="21"/>
                <w:szCs w:val="21"/>
                <w:highlight w:val="none"/>
                <w:lang w:eastAsia="zh-CN"/>
              </w:rPr>
              <w:t>D灯</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D7EA810">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6E72B6B7">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《室内照明用LED产品能效限定值及能效等级》（GB30255）</w:t>
            </w:r>
          </w:p>
        </w:tc>
      </w:tr>
      <w:tr w14:paraId="5C49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287F98C8">
            <w:pPr>
              <w:pStyle w:val="114"/>
              <w:jc w:val="center"/>
              <w:rPr>
                <w:rFonts w:ascii="宋体" w:hAnsi="宋体" w:cs="宋体"/>
                <w:color w:val="000000"/>
                <w:kern w:val="2"/>
                <w:sz w:val="21"/>
                <w:szCs w:val="21"/>
                <w:highlight w:val="none"/>
              </w:rPr>
            </w:pPr>
            <w:r>
              <w:rPr>
                <w:rFonts w:hint="eastAsia" w:ascii="宋体" w:hAnsi="宋体"/>
                <w:color w:val="000000"/>
                <w:spacing w:val="1"/>
                <w:w w:val="99"/>
                <w:kern w:val="2"/>
                <w:sz w:val="21"/>
                <w:szCs w:val="21"/>
                <w:highlight w:val="none"/>
              </w:rPr>
              <w:t>1</w:t>
            </w:r>
            <w:r>
              <w:rPr>
                <w:rFonts w:hint="eastAsia" w:ascii="宋体" w:hAnsi="宋体"/>
                <w:color w:val="000000"/>
                <w:w w:val="99"/>
                <w:kern w:val="2"/>
                <w:sz w:val="21"/>
                <w:szCs w:val="21"/>
                <w:highlight w:val="none"/>
              </w:rPr>
              <w:t>2</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0D18A0AD">
            <w:pPr>
              <w:pStyle w:val="114"/>
              <w:spacing w:before="81"/>
              <w:ind w:left="7"/>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w:t>
            </w:r>
            <w:r>
              <w:rPr>
                <w:rFonts w:hint="eastAsia" w:ascii="宋体" w:hAnsi="宋体" w:cs="宋体"/>
                <w:color w:val="000000"/>
                <w:spacing w:val="1"/>
                <w:w w:val="99"/>
                <w:kern w:val="2"/>
                <w:sz w:val="21"/>
                <w:szCs w:val="21"/>
                <w:highlight w:val="none"/>
              </w:rPr>
              <w:t>A020</w:t>
            </w:r>
            <w:r>
              <w:rPr>
                <w:rFonts w:hint="eastAsia" w:ascii="宋体" w:hAnsi="宋体" w:cs="宋体"/>
                <w:color w:val="000000"/>
                <w:w w:val="99"/>
                <w:kern w:val="2"/>
                <w:sz w:val="21"/>
                <w:szCs w:val="21"/>
                <w:highlight w:val="none"/>
              </w:rPr>
              <w:t>91000电视设备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3537B85">
            <w:pPr>
              <w:pStyle w:val="114"/>
              <w:spacing w:before="81" w:line="276" w:lineRule="auto"/>
              <w:ind w:left="7" w:right="5"/>
              <w:jc w:val="center"/>
              <w:rPr>
                <w:rFonts w:ascii="宋体" w:hAnsi="宋体" w:cs="宋体"/>
                <w:color w:val="000000"/>
                <w:kern w:val="2"/>
                <w:sz w:val="21"/>
                <w:szCs w:val="21"/>
                <w:highlight w:val="none"/>
                <w:lang w:eastAsia="zh-CN"/>
              </w:rPr>
            </w:pPr>
            <w:r>
              <w:rPr>
                <w:rFonts w:hint="eastAsia" w:ascii="宋体" w:hAnsi="宋体" w:cs="宋体"/>
                <w:color w:val="000000"/>
                <w:spacing w:val="1"/>
                <w:w w:val="99"/>
                <w:kern w:val="2"/>
                <w:sz w:val="21"/>
                <w:szCs w:val="21"/>
                <w:highlight w:val="none"/>
                <w:lang w:eastAsia="zh-CN"/>
              </w:rPr>
              <w:t>A02</w:t>
            </w:r>
            <w:r>
              <w:rPr>
                <w:rFonts w:hint="eastAsia" w:ascii="宋体" w:hAnsi="宋体" w:cs="宋体"/>
                <w:color w:val="000000"/>
                <w:w w:val="99"/>
                <w:kern w:val="2"/>
                <w:sz w:val="21"/>
                <w:szCs w:val="21"/>
                <w:highlight w:val="none"/>
                <w:lang w:eastAsia="zh-CN"/>
              </w:rPr>
              <w:t>09</w:t>
            </w:r>
            <w:r>
              <w:rPr>
                <w:rFonts w:hint="eastAsia" w:ascii="宋体" w:hAnsi="宋体" w:cs="宋体"/>
                <w:color w:val="000000"/>
                <w:spacing w:val="1"/>
                <w:w w:val="99"/>
                <w:kern w:val="2"/>
                <w:sz w:val="21"/>
                <w:szCs w:val="21"/>
                <w:highlight w:val="none"/>
                <w:lang w:eastAsia="zh-CN"/>
              </w:rPr>
              <w:t>1</w:t>
            </w:r>
            <w:r>
              <w:rPr>
                <w:rFonts w:hint="eastAsia" w:ascii="宋体" w:hAnsi="宋体" w:cs="宋体"/>
                <w:color w:val="000000"/>
                <w:w w:val="99"/>
                <w:kern w:val="2"/>
                <w:sz w:val="21"/>
                <w:szCs w:val="21"/>
                <w:highlight w:val="none"/>
                <w:lang w:eastAsia="zh-CN"/>
              </w:rPr>
              <w:t>001普通电视设备（</w:t>
            </w:r>
            <w:r>
              <w:rPr>
                <w:rFonts w:hint="eastAsia" w:ascii="宋体" w:hAnsi="宋体" w:cs="宋体"/>
                <w:color w:val="000000"/>
                <w:spacing w:val="2"/>
                <w:w w:val="99"/>
                <w:kern w:val="2"/>
                <w:sz w:val="21"/>
                <w:szCs w:val="21"/>
                <w:highlight w:val="none"/>
                <w:lang w:eastAsia="zh-CN"/>
              </w:rPr>
              <w:t>电</w:t>
            </w:r>
            <w:r>
              <w:rPr>
                <w:rFonts w:hint="eastAsia" w:ascii="宋体" w:hAnsi="宋体" w:cs="宋体"/>
                <w:color w:val="000000"/>
                <w:w w:val="99"/>
                <w:kern w:val="2"/>
                <w:sz w:val="21"/>
                <w:szCs w:val="21"/>
                <w:highlight w:val="none"/>
                <w:lang w:eastAsia="zh-CN"/>
              </w:rPr>
              <w:t>视机）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76F95F1">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1213C3FE">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《平板电视能效限定值及能效等级》（GB24850）</w:t>
            </w:r>
          </w:p>
        </w:tc>
      </w:tr>
      <w:tr w14:paraId="6C1B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7826D62B">
            <w:pPr>
              <w:pStyle w:val="114"/>
              <w:jc w:val="center"/>
              <w:rPr>
                <w:rFonts w:ascii="宋体" w:hAnsi="宋体" w:cs="宋体"/>
                <w:color w:val="000000"/>
                <w:kern w:val="2"/>
                <w:sz w:val="21"/>
                <w:szCs w:val="21"/>
                <w:highlight w:val="none"/>
              </w:rPr>
            </w:pPr>
            <w:r>
              <w:rPr>
                <w:rFonts w:hint="eastAsia" w:ascii="宋体" w:hAnsi="宋体"/>
                <w:color w:val="000000"/>
                <w:spacing w:val="1"/>
                <w:w w:val="99"/>
                <w:kern w:val="2"/>
                <w:sz w:val="21"/>
                <w:szCs w:val="21"/>
                <w:highlight w:val="none"/>
              </w:rPr>
              <w:t>1</w:t>
            </w:r>
            <w:r>
              <w:rPr>
                <w:rFonts w:hint="eastAsia" w:ascii="宋体" w:hAnsi="宋体"/>
                <w:color w:val="000000"/>
                <w:w w:val="99"/>
                <w:kern w:val="2"/>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6B5BCA19">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w:t>
            </w:r>
            <w:r>
              <w:rPr>
                <w:rFonts w:hint="eastAsia" w:ascii="宋体" w:hAnsi="宋体" w:cs="宋体"/>
                <w:color w:val="000000"/>
                <w:spacing w:val="1"/>
                <w:w w:val="99"/>
                <w:kern w:val="2"/>
                <w:sz w:val="21"/>
                <w:szCs w:val="21"/>
                <w:highlight w:val="none"/>
              </w:rPr>
              <w:t>A020</w:t>
            </w:r>
            <w:r>
              <w:rPr>
                <w:rFonts w:hint="eastAsia" w:ascii="宋体" w:hAnsi="宋体" w:cs="宋体"/>
                <w:color w:val="000000"/>
                <w:w w:val="99"/>
                <w:kern w:val="2"/>
                <w:sz w:val="21"/>
                <w:szCs w:val="21"/>
                <w:highlight w:val="none"/>
              </w:rPr>
              <w:t>91100视频设备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C47CF65">
            <w:pPr>
              <w:pStyle w:val="114"/>
              <w:spacing w:line="276" w:lineRule="auto"/>
              <w:ind w:right="5"/>
              <w:jc w:val="center"/>
              <w:rPr>
                <w:rFonts w:ascii="宋体" w:hAnsi="宋体" w:cs="宋体"/>
                <w:color w:val="000000"/>
                <w:kern w:val="2"/>
                <w:sz w:val="21"/>
                <w:szCs w:val="21"/>
                <w:highlight w:val="none"/>
              </w:rPr>
            </w:pPr>
            <w:r>
              <w:rPr>
                <w:rFonts w:hint="eastAsia" w:ascii="宋体" w:hAnsi="宋体" w:cs="宋体"/>
                <w:color w:val="000000"/>
                <w:spacing w:val="1"/>
                <w:w w:val="99"/>
                <w:kern w:val="2"/>
                <w:sz w:val="21"/>
                <w:szCs w:val="21"/>
                <w:highlight w:val="none"/>
              </w:rPr>
              <w:t>A02</w:t>
            </w:r>
            <w:r>
              <w:rPr>
                <w:rFonts w:hint="eastAsia" w:ascii="宋体" w:hAnsi="宋体" w:cs="宋体"/>
                <w:color w:val="000000"/>
                <w:w w:val="99"/>
                <w:kern w:val="2"/>
                <w:sz w:val="21"/>
                <w:szCs w:val="21"/>
                <w:highlight w:val="none"/>
              </w:rPr>
              <w:t>09</w:t>
            </w:r>
            <w:r>
              <w:rPr>
                <w:rFonts w:hint="eastAsia" w:ascii="宋体" w:hAnsi="宋体" w:cs="宋体"/>
                <w:color w:val="000000"/>
                <w:spacing w:val="1"/>
                <w:w w:val="99"/>
                <w:kern w:val="2"/>
                <w:sz w:val="21"/>
                <w:szCs w:val="21"/>
                <w:highlight w:val="none"/>
              </w:rPr>
              <w:t>1</w:t>
            </w:r>
            <w:r>
              <w:rPr>
                <w:rFonts w:hint="eastAsia" w:ascii="宋体" w:hAnsi="宋体" w:cs="宋体"/>
                <w:color w:val="000000"/>
                <w:w w:val="99"/>
                <w:kern w:val="2"/>
                <w:sz w:val="21"/>
                <w:szCs w:val="21"/>
                <w:highlight w:val="none"/>
              </w:rPr>
              <w:t>107视频监控设备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5C5034C">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监视器</w:t>
            </w: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3FCB8087">
            <w:pPr>
              <w:pStyle w:val="114"/>
              <w:spacing w:before="131" w:line="276" w:lineRule="auto"/>
              <w:ind w:left="7" w:right="4"/>
              <w:rPr>
                <w:rFonts w:ascii="宋体" w:hAnsi="宋体" w:cs="宋体"/>
                <w:color w:val="000000"/>
                <w:spacing w:val="10"/>
                <w:kern w:val="2"/>
                <w:sz w:val="21"/>
                <w:szCs w:val="21"/>
                <w:highlight w:val="none"/>
                <w:lang w:eastAsia="zh-CN"/>
              </w:rPr>
            </w:pPr>
            <w:r>
              <w:rPr>
                <w:rFonts w:hint="eastAsia" w:ascii="宋体" w:hAnsi="宋体" w:cs="宋体"/>
                <w:color w:val="000000"/>
                <w:spacing w:val="10"/>
                <w:kern w:val="2"/>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4AE2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11EAE7DC">
            <w:pPr>
              <w:pStyle w:val="114"/>
              <w:jc w:val="center"/>
              <w:rPr>
                <w:rFonts w:ascii="宋体" w:hAnsi="宋体" w:cs="宋体"/>
                <w:color w:val="000000"/>
                <w:kern w:val="2"/>
                <w:sz w:val="21"/>
                <w:szCs w:val="21"/>
                <w:highlight w:val="none"/>
              </w:rPr>
            </w:pPr>
            <w:r>
              <w:rPr>
                <w:rFonts w:hint="eastAsia" w:ascii="宋体" w:hAnsi="宋体"/>
                <w:color w:val="000000"/>
                <w:spacing w:val="1"/>
                <w:w w:val="99"/>
                <w:kern w:val="2"/>
                <w:sz w:val="21"/>
                <w:szCs w:val="21"/>
                <w:highlight w:val="none"/>
              </w:rPr>
              <w:t>1</w:t>
            </w:r>
            <w:r>
              <w:rPr>
                <w:rFonts w:hint="eastAsia" w:ascii="宋体" w:hAnsi="宋体"/>
                <w:color w:val="000000"/>
                <w:w w:val="99"/>
                <w:kern w:val="2"/>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06548BA3">
            <w:pPr>
              <w:pStyle w:val="114"/>
              <w:spacing w:before="76"/>
              <w:ind w:left="7"/>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A02241000</w:t>
            </w:r>
            <w:r>
              <w:rPr>
                <w:rFonts w:hint="eastAsia" w:ascii="宋体" w:hAnsi="宋体" w:cs="宋体"/>
                <w:color w:val="000000"/>
                <w:w w:val="99"/>
                <w:kern w:val="2"/>
                <w:sz w:val="21"/>
                <w:szCs w:val="21"/>
                <w:highlight w:val="none"/>
              </w:rPr>
              <w:t>饮食炊事机械</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358A6CF1">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商用燃</w:t>
            </w:r>
            <w:r>
              <w:rPr>
                <w:rFonts w:hint="eastAsia" w:ascii="宋体" w:hAnsi="宋体" w:cs="宋体"/>
                <w:color w:val="000000"/>
                <w:spacing w:val="2"/>
                <w:w w:val="99"/>
                <w:kern w:val="2"/>
                <w:sz w:val="21"/>
                <w:szCs w:val="21"/>
                <w:highlight w:val="none"/>
              </w:rPr>
              <w:t>气</w:t>
            </w:r>
            <w:r>
              <w:rPr>
                <w:rFonts w:hint="eastAsia" w:ascii="宋体" w:hAnsi="宋体" w:cs="宋体"/>
                <w:color w:val="000000"/>
                <w:w w:val="99"/>
                <w:kern w:val="2"/>
                <w:sz w:val="21"/>
                <w:szCs w:val="21"/>
                <w:highlight w:val="none"/>
              </w:rPr>
              <w:t>灶具</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2E55241">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45E446D1">
            <w:pPr>
              <w:pStyle w:val="114"/>
              <w:spacing w:before="131" w:line="276" w:lineRule="auto"/>
              <w:ind w:left="7" w:right="4"/>
              <w:rPr>
                <w:rFonts w:ascii="宋体" w:hAnsi="宋体" w:cs="宋体"/>
                <w:color w:val="000000"/>
                <w:kern w:val="2"/>
                <w:sz w:val="21"/>
                <w:szCs w:val="21"/>
                <w:highlight w:val="none"/>
                <w:lang w:eastAsia="zh-CN"/>
              </w:rPr>
            </w:pPr>
            <w:r>
              <w:rPr>
                <w:rFonts w:hint="eastAsia" w:ascii="宋体" w:hAnsi="宋体" w:cs="宋体"/>
                <w:color w:val="000000"/>
                <w:kern w:val="2"/>
                <w:sz w:val="21"/>
                <w:szCs w:val="21"/>
                <w:highlight w:val="none"/>
                <w:lang w:eastAsia="zh-CN"/>
              </w:rPr>
              <w:t>《商用燃气灶具能效限定值及能效等级》（GB30531）</w:t>
            </w:r>
          </w:p>
        </w:tc>
      </w:tr>
      <w:tr w14:paraId="4468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16A8117E">
            <w:pPr>
              <w:jc w:val="center"/>
              <w:rPr>
                <w:rFonts w:ascii="宋体" w:hAnsi="宋体"/>
                <w:color w:val="000000"/>
                <w:szCs w:val="21"/>
                <w:highlight w:val="none"/>
              </w:rPr>
            </w:pPr>
            <w:r>
              <w:rPr>
                <w:rFonts w:hint="eastAsia" w:ascii="宋体" w:hAnsi="宋体"/>
                <w:color w:val="000000"/>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0CCF3FA9">
            <w:pPr>
              <w:pStyle w:val="114"/>
              <w:jc w:val="center"/>
              <w:rPr>
                <w:rFonts w:ascii="宋体" w:hAnsi="宋体" w:cs="宋体"/>
                <w:color w:val="000000"/>
                <w:w w:val="99"/>
                <w:kern w:val="2"/>
                <w:sz w:val="21"/>
                <w:szCs w:val="21"/>
                <w:highlight w:val="none"/>
              </w:rPr>
            </w:pPr>
            <w:r>
              <w:rPr>
                <w:rFonts w:hint="eastAsia" w:ascii="宋体" w:hAnsi="宋体" w:cs="宋体"/>
                <w:color w:val="000000"/>
                <w:w w:val="99"/>
                <w:kern w:val="2"/>
                <w:sz w:val="21"/>
                <w:szCs w:val="21"/>
                <w:highlight w:val="none"/>
              </w:rPr>
              <w:t>★</w:t>
            </w:r>
            <w:r>
              <w:rPr>
                <w:rFonts w:hint="eastAsia" w:ascii="宋体" w:hAnsi="宋体" w:cs="仿宋_GB2312"/>
                <w:color w:val="000000"/>
                <w:kern w:val="2"/>
                <w:sz w:val="21"/>
                <w:szCs w:val="21"/>
                <w:highlight w:val="none"/>
              </w:rPr>
              <w:t>A05020105</w:t>
            </w:r>
            <w:r>
              <w:rPr>
                <w:rFonts w:hint="eastAsia" w:ascii="宋体" w:hAnsi="宋体" w:cs="宋体"/>
                <w:color w:val="000000"/>
                <w:w w:val="99"/>
                <w:kern w:val="2"/>
                <w:sz w:val="21"/>
                <w:szCs w:val="21"/>
                <w:highlight w:val="none"/>
              </w:rPr>
              <w:t>便器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659D0F8">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坐便器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D15B85E">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5E4AC116">
            <w:pPr>
              <w:pStyle w:val="114"/>
              <w:spacing w:before="131" w:line="276" w:lineRule="auto"/>
              <w:ind w:left="7" w:right="4"/>
              <w:rPr>
                <w:rFonts w:ascii="宋体" w:hAnsi="宋体" w:cs="宋体"/>
                <w:color w:val="000000"/>
                <w:kern w:val="2"/>
                <w:sz w:val="21"/>
                <w:szCs w:val="21"/>
                <w:highlight w:val="none"/>
                <w:lang w:eastAsia="zh-CN"/>
              </w:rPr>
            </w:pPr>
            <w:r>
              <w:rPr>
                <w:rFonts w:hint="eastAsia" w:ascii="宋体" w:hAnsi="宋体" w:cs="宋体"/>
                <w:color w:val="000000"/>
                <w:kern w:val="2"/>
                <w:sz w:val="21"/>
                <w:szCs w:val="21"/>
                <w:highlight w:val="none"/>
                <w:lang w:eastAsia="zh-CN"/>
              </w:rPr>
              <w:t>《坐便器水效限定值及水效等级》</w:t>
            </w:r>
          </w:p>
          <w:p w14:paraId="49B022A2">
            <w:pPr>
              <w:pStyle w:val="114"/>
              <w:spacing w:before="131" w:line="276" w:lineRule="auto"/>
              <w:ind w:left="7" w:right="4"/>
              <w:rPr>
                <w:rFonts w:ascii="宋体" w:hAnsi="宋体" w:cs="宋体"/>
                <w:color w:val="000000"/>
                <w:kern w:val="2"/>
                <w:sz w:val="21"/>
                <w:szCs w:val="21"/>
                <w:highlight w:val="none"/>
                <w:lang w:eastAsia="zh-CN"/>
              </w:rPr>
            </w:pPr>
            <w:r>
              <w:rPr>
                <w:rFonts w:hint="eastAsia" w:ascii="宋体" w:hAnsi="宋体" w:cs="宋体"/>
                <w:color w:val="000000"/>
                <w:kern w:val="2"/>
                <w:sz w:val="21"/>
                <w:szCs w:val="21"/>
                <w:highlight w:val="none"/>
                <w:lang w:eastAsia="zh-CN"/>
              </w:rPr>
              <w:t>（GB25502）</w:t>
            </w:r>
          </w:p>
        </w:tc>
      </w:tr>
      <w:tr w14:paraId="4D9B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F6FF781">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365EC98">
            <w:pPr>
              <w:widowControl/>
              <w:jc w:val="left"/>
              <w:rPr>
                <w:rFonts w:ascii="宋体" w:hAnsi="宋体" w:cs="宋体"/>
                <w:color w:val="000000"/>
                <w:w w:val="99"/>
                <w:szCs w:val="21"/>
                <w:highlight w:val="none"/>
                <w:lang w:eastAsia="en-US"/>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ACBF947">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蹲便器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D161F8D">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120657B6">
            <w:pPr>
              <w:pStyle w:val="114"/>
              <w:spacing w:before="131" w:line="276" w:lineRule="auto"/>
              <w:ind w:left="7" w:right="4"/>
              <w:rPr>
                <w:rFonts w:ascii="宋体" w:hAnsi="宋体" w:cs="宋体"/>
                <w:color w:val="000000"/>
                <w:kern w:val="2"/>
                <w:sz w:val="21"/>
                <w:szCs w:val="21"/>
                <w:highlight w:val="none"/>
                <w:lang w:eastAsia="zh-CN"/>
              </w:rPr>
            </w:pPr>
            <w:r>
              <w:rPr>
                <w:rFonts w:hint="eastAsia" w:ascii="宋体" w:hAnsi="宋体" w:cs="宋体"/>
                <w:color w:val="000000"/>
                <w:kern w:val="2"/>
                <w:sz w:val="21"/>
                <w:szCs w:val="21"/>
                <w:highlight w:val="none"/>
                <w:lang w:eastAsia="zh-CN"/>
              </w:rPr>
              <w:t>《蹲便器用水效率限定值及用水效率等级》（GB30717）</w:t>
            </w:r>
          </w:p>
        </w:tc>
      </w:tr>
      <w:tr w14:paraId="32E5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54AA2FF">
            <w:pPr>
              <w:widowControl/>
              <w:jc w:val="left"/>
              <w:rPr>
                <w:rFonts w:ascii="宋体" w:hAnsi="宋体"/>
                <w:color w:val="000000"/>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A02A5C5">
            <w:pPr>
              <w:widowControl/>
              <w:jc w:val="left"/>
              <w:rPr>
                <w:rFonts w:ascii="宋体" w:hAnsi="宋体" w:cs="宋体"/>
                <w:color w:val="000000"/>
                <w:w w:val="99"/>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32615ADD">
            <w:pPr>
              <w:pStyle w:val="114"/>
              <w:jc w:val="center"/>
              <w:rPr>
                <w:rFonts w:ascii="宋体" w:hAnsi="宋体" w:cs="宋体"/>
                <w:color w:val="000000"/>
                <w:kern w:val="2"/>
                <w:sz w:val="21"/>
                <w:szCs w:val="21"/>
                <w:highlight w:val="none"/>
              </w:rPr>
            </w:pPr>
            <w:r>
              <w:rPr>
                <w:rFonts w:hint="eastAsia" w:ascii="宋体" w:hAnsi="宋体" w:cs="宋体"/>
                <w:color w:val="000000"/>
                <w:w w:val="99"/>
                <w:kern w:val="2"/>
                <w:sz w:val="21"/>
                <w:szCs w:val="21"/>
                <w:highlight w:val="none"/>
              </w:rPr>
              <w:t>小便器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58E8600">
            <w:pPr>
              <w:jc w:val="center"/>
              <w:rPr>
                <w:rFonts w:ascii="宋体" w:hAnsi="宋体"/>
                <w:color w:val="000000"/>
                <w:szCs w:val="21"/>
                <w:highlight w:val="none"/>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4C663C5F">
            <w:pPr>
              <w:pStyle w:val="114"/>
              <w:spacing w:before="131" w:line="276" w:lineRule="auto"/>
              <w:ind w:left="7" w:right="4"/>
              <w:rPr>
                <w:rFonts w:ascii="宋体" w:hAnsi="宋体" w:cs="宋体"/>
                <w:color w:val="000000"/>
                <w:kern w:val="2"/>
                <w:sz w:val="21"/>
                <w:szCs w:val="21"/>
                <w:highlight w:val="none"/>
                <w:lang w:eastAsia="zh-CN"/>
              </w:rPr>
            </w:pPr>
            <w:r>
              <w:rPr>
                <w:rFonts w:hint="eastAsia" w:ascii="宋体" w:hAnsi="宋体" w:cs="宋体"/>
                <w:color w:val="000000"/>
                <w:kern w:val="2"/>
                <w:sz w:val="21"/>
                <w:szCs w:val="21"/>
                <w:highlight w:val="none"/>
                <w:lang w:eastAsia="zh-CN"/>
              </w:rPr>
              <w:t>《小便器用水效率限定值及用水效率等级》（GB28377）</w:t>
            </w:r>
          </w:p>
        </w:tc>
      </w:tr>
      <w:tr w14:paraId="631A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6E2F7862">
            <w:pPr>
              <w:pStyle w:val="114"/>
              <w:jc w:val="center"/>
              <w:rPr>
                <w:rFonts w:ascii="宋体" w:hAnsi="宋体" w:cs="宋体"/>
                <w:color w:val="000000"/>
                <w:kern w:val="2"/>
                <w:sz w:val="21"/>
                <w:szCs w:val="21"/>
                <w:highlight w:val="none"/>
              </w:rPr>
            </w:pPr>
            <w:r>
              <w:rPr>
                <w:rFonts w:hint="eastAsia" w:ascii="宋体" w:hAnsi="宋体"/>
                <w:color w:val="000000"/>
                <w:kern w:val="2"/>
                <w:sz w:val="21"/>
                <w:szCs w:val="21"/>
                <w:highlight w:val="none"/>
              </w:rPr>
              <w:t>16</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3D8FE282">
            <w:pPr>
              <w:pStyle w:val="114"/>
              <w:spacing w:before="153"/>
              <w:ind w:left="7"/>
              <w:jc w:val="center"/>
              <w:rPr>
                <w:rFonts w:ascii="宋体" w:hAnsi="宋体" w:cs="宋体"/>
                <w:color w:val="000000"/>
                <w:kern w:val="2"/>
                <w:sz w:val="21"/>
                <w:szCs w:val="21"/>
                <w:highlight w:val="none"/>
              </w:rPr>
            </w:pPr>
            <w:r>
              <w:rPr>
                <w:rFonts w:hint="eastAsia" w:ascii="宋体" w:hAnsi="宋体" w:cs="宋体"/>
                <w:color w:val="000000"/>
                <w:kern w:val="2"/>
                <w:sz w:val="21"/>
                <w:szCs w:val="21"/>
                <w:highlight w:val="none"/>
              </w:rPr>
              <w:t>★</w:t>
            </w:r>
            <w:r>
              <w:rPr>
                <w:rFonts w:hint="eastAsia" w:ascii="宋体" w:hAnsi="宋体" w:cs="仿宋_GB2312"/>
                <w:color w:val="000000"/>
                <w:kern w:val="2"/>
                <w:sz w:val="21"/>
                <w:szCs w:val="21"/>
                <w:highlight w:val="none"/>
              </w:rPr>
              <w:t>A05020106</w:t>
            </w:r>
            <w:r>
              <w:rPr>
                <w:rFonts w:hint="eastAsia" w:ascii="宋体" w:hAnsi="宋体" w:cs="宋体"/>
                <w:color w:val="000000"/>
                <w:kern w:val="2"/>
                <w:sz w:val="21"/>
                <w:szCs w:val="21"/>
                <w:highlight w:val="none"/>
              </w:rPr>
              <w:t>水</w:t>
            </w:r>
            <w:r>
              <w:rPr>
                <w:rFonts w:hint="eastAsia" w:ascii="宋体" w:hAnsi="宋体" w:cs="宋体"/>
                <w:color w:val="000000"/>
                <w:w w:val="99"/>
                <w:kern w:val="2"/>
                <w:sz w:val="21"/>
                <w:szCs w:val="21"/>
                <w:highlight w:val="none"/>
              </w:rPr>
              <w:t>嘴</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31A114CE">
            <w:pPr>
              <w:jc w:val="center"/>
              <w:rPr>
                <w:rFonts w:ascii="宋体" w:hAnsi="宋体"/>
                <w:color w:val="000000"/>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B1C1AA2">
            <w:pPr>
              <w:jc w:val="center"/>
              <w:rPr>
                <w:rFonts w:ascii="宋体" w:hAnsi="宋体"/>
                <w:color w:val="000000"/>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2D200C04">
            <w:pPr>
              <w:pStyle w:val="114"/>
              <w:spacing w:before="153" w:line="276" w:lineRule="auto"/>
              <w:ind w:left="7" w:right="4"/>
              <w:rPr>
                <w:rFonts w:ascii="宋体" w:hAnsi="宋体" w:cs="宋体"/>
                <w:color w:val="000000"/>
                <w:kern w:val="2"/>
                <w:sz w:val="21"/>
                <w:szCs w:val="21"/>
                <w:highlight w:val="none"/>
                <w:lang w:eastAsia="zh-CN"/>
              </w:rPr>
            </w:pPr>
            <w:r>
              <w:rPr>
                <w:rFonts w:hint="eastAsia" w:ascii="宋体" w:hAnsi="宋体" w:cs="宋体"/>
                <w:color w:val="000000"/>
                <w:spacing w:val="10"/>
                <w:kern w:val="2"/>
                <w:sz w:val="21"/>
                <w:szCs w:val="21"/>
                <w:highlight w:val="none"/>
                <w:lang w:eastAsia="zh-CN"/>
              </w:rPr>
              <w:t>《水嘴用水效率限定值及用水效</w:t>
            </w:r>
            <w:r>
              <w:rPr>
                <w:rFonts w:hint="eastAsia" w:ascii="宋体" w:hAnsi="宋体" w:cs="宋体"/>
                <w:color w:val="000000"/>
                <w:kern w:val="2"/>
                <w:sz w:val="21"/>
                <w:szCs w:val="21"/>
                <w:highlight w:val="none"/>
                <w:lang w:eastAsia="zh-CN"/>
              </w:rPr>
              <w:t>率等级》（GB 25501）</w:t>
            </w:r>
          </w:p>
        </w:tc>
      </w:tr>
      <w:tr w14:paraId="1B60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6E6E6603">
            <w:pPr>
              <w:pStyle w:val="114"/>
              <w:jc w:val="center"/>
              <w:rPr>
                <w:rFonts w:ascii="宋体" w:hAnsi="宋体" w:cs="宋体"/>
                <w:color w:val="000000"/>
                <w:kern w:val="2"/>
                <w:sz w:val="21"/>
                <w:szCs w:val="21"/>
                <w:highlight w:val="none"/>
              </w:rPr>
            </w:pPr>
            <w:r>
              <w:rPr>
                <w:rFonts w:hint="eastAsia" w:ascii="宋体" w:hAnsi="宋体"/>
                <w:color w:val="000000"/>
                <w:kern w:val="2"/>
                <w:sz w:val="21"/>
                <w:szCs w:val="21"/>
                <w:highlight w:val="none"/>
              </w:rPr>
              <w:t>17</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6FA3EFD5">
            <w:pPr>
              <w:pStyle w:val="114"/>
              <w:spacing w:before="112"/>
              <w:ind w:left="7"/>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A05020107</w:t>
            </w:r>
            <w:r>
              <w:rPr>
                <w:rFonts w:hint="eastAsia" w:ascii="宋体" w:hAnsi="宋体" w:cs="宋体"/>
                <w:color w:val="000000"/>
                <w:kern w:val="2"/>
                <w:sz w:val="21"/>
                <w:szCs w:val="21"/>
                <w:highlight w:val="none"/>
              </w:rPr>
              <w:t>便器冲洗阀</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055D0E8">
            <w:pPr>
              <w:jc w:val="center"/>
              <w:rPr>
                <w:rFonts w:ascii="宋体" w:hAnsi="宋体"/>
                <w:color w:val="000000"/>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1A68971">
            <w:pPr>
              <w:jc w:val="center"/>
              <w:rPr>
                <w:rFonts w:ascii="宋体" w:hAnsi="宋体"/>
                <w:color w:val="000000"/>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29C8E4A2">
            <w:pPr>
              <w:pStyle w:val="114"/>
              <w:spacing w:before="112" w:line="276" w:lineRule="auto"/>
              <w:ind w:left="7" w:right="4"/>
              <w:rPr>
                <w:rFonts w:ascii="宋体" w:hAnsi="宋体" w:cs="宋体"/>
                <w:color w:val="000000"/>
                <w:kern w:val="2"/>
                <w:sz w:val="21"/>
                <w:szCs w:val="21"/>
                <w:highlight w:val="none"/>
                <w:lang w:eastAsia="zh-CN"/>
              </w:rPr>
            </w:pPr>
            <w:r>
              <w:rPr>
                <w:rFonts w:hint="eastAsia" w:ascii="宋体" w:hAnsi="宋体" w:cs="宋体"/>
                <w:color w:val="000000"/>
                <w:spacing w:val="10"/>
                <w:kern w:val="2"/>
                <w:sz w:val="21"/>
                <w:szCs w:val="21"/>
                <w:highlight w:val="none"/>
                <w:lang w:eastAsia="zh-CN"/>
              </w:rPr>
              <w:t>《便器冲洗阀用水效率限定值及</w:t>
            </w:r>
            <w:r>
              <w:rPr>
                <w:rFonts w:hint="eastAsia" w:ascii="宋体" w:hAnsi="宋体" w:cs="宋体"/>
                <w:color w:val="000000"/>
                <w:kern w:val="2"/>
                <w:sz w:val="21"/>
                <w:szCs w:val="21"/>
                <w:highlight w:val="none"/>
                <w:lang w:eastAsia="zh-CN"/>
              </w:rPr>
              <w:t>用水效率等级》（GB28379）</w:t>
            </w:r>
          </w:p>
        </w:tc>
      </w:tr>
      <w:tr w14:paraId="7DB7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0"/>
            <w:vAlign w:val="center"/>
          </w:tcPr>
          <w:p w14:paraId="325894A8">
            <w:pPr>
              <w:pStyle w:val="114"/>
              <w:jc w:val="center"/>
              <w:rPr>
                <w:rFonts w:ascii="宋体" w:hAnsi="宋体" w:cs="宋体"/>
                <w:color w:val="000000"/>
                <w:kern w:val="2"/>
                <w:sz w:val="21"/>
                <w:szCs w:val="21"/>
                <w:highlight w:val="none"/>
              </w:rPr>
            </w:pPr>
            <w:r>
              <w:rPr>
                <w:rFonts w:hint="eastAsia" w:ascii="宋体" w:hAnsi="宋体"/>
                <w:color w:val="000000"/>
                <w:kern w:val="2"/>
                <w:sz w:val="21"/>
                <w:szCs w:val="21"/>
                <w:highlight w:val="none"/>
              </w:rPr>
              <w:t>18</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560C0ECF">
            <w:pPr>
              <w:pStyle w:val="114"/>
              <w:spacing w:before="131"/>
              <w:ind w:left="7"/>
              <w:jc w:val="center"/>
              <w:rPr>
                <w:rFonts w:ascii="宋体" w:hAnsi="宋体" w:cs="宋体"/>
                <w:color w:val="000000"/>
                <w:kern w:val="2"/>
                <w:sz w:val="21"/>
                <w:szCs w:val="21"/>
                <w:highlight w:val="none"/>
              </w:rPr>
            </w:pPr>
            <w:r>
              <w:rPr>
                <w:rFonts w:hint="eastAsia" w:ascii="宋体" w:hAnsi="宋体" w:cs="仿宋_GB2312"/>
                <w:color w:val="000000"/>
                <w:kern w:val="2"/>
                <w:sz w:val="21"/>
                <w:szCs w:val="21"/>
                <w:highlight w:val="none"/>
              </w:rPr>
              <w:t>A05020110</w:t>
            </w:r>
            <w:r>
              <w:rPr>
                <w:rFonts w:hint="eastAsia" w:ascii="宋体" w:hAnsi="宋体" w:cs="宋体"/>
                <w:color w:val="000000"/>
                <w:kern w:val="2"/>
                <w:sz w:val="21"/>
                <w:szCs w:val="21"/>
                <w:highlight w:val="none"/>
              </w:rPr>
              <w:t>淋浴</w:t>
            </w:r>
            <w:r>
              <w:rPr>
                <w:rFonts w:hint="eastAsia" w:ascii="宋体" w:hAnsi="宋体" w:cs="宋体"/>
                <w:color w:val="000000"/>
                <w:w w:val="99"/>
                <w:kern w:val="2"/>
                <w:sz w:val="21"/>
                <w:szCs w:val="21"/>
                <w:highlight w:val="none"/>
              </w:rPr>
              <w:t>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DFAB6D2">
            <w:pPr>
              <w:jc w:val="center"/>
              <w:rPr>
                <w:rFonts w:ascii="宋体" w:hAnsi="宋体"/>
                <w:color w:val="000000"/>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CC6A780">
            <w:pPr>
              <w:jc w:val="center"/>
              <w:rPr>
                <w:rFonts w:ascii="宋体" w:hAnsi="宋体"/>
                <w:color w:val="000000"/>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noWrap w:val="0"/>
            <w:vAlign w:val="top"/>
          </w:tcPr>
          <w:p w14:paraId="3BB2B8CE">
            <w:pPr>
              <w:pStyle w:val="114"/>
              <w:spacing w:before="131" w:line="276" w:lineRule="auto"/>
              <w:ind w:left="7" w:right="4"/>
              <w:rPr>
                <w:rFonts w:ascii="宋体" w:hAnsi="宋体" w:cs="宋体"/>
                <w:color w:val="000000"/>
                <w:kern w:val="2"/>
                <w:sz w:val="21"/>
                <w:szCs w:val="21"/>
                <w:highlight w:val="none"/>
                <w:lang w:eastAsia="zh-CN"/>
              </w:rPr>
            </w:pPr>
            <w:r>
              <w:rPr>
                <w:rFonts w:hint="eastAsia" w:ascii="宋体" w:hAnsi="宋体" w:cs="宋体"/>
                <w:color w:val="000000"/>
                <w:spacing w:val="10"/>
                <w:kern w:val="2"/>
                <w:sz w:val="21"/>
                <w:szCs w:val="21"/>
                <w:highlight w:val="none"/>
                <w:lang w:eastAsia="zh-CN"/>
              </w:rPr>
              <w:t>《淋浴器用水效率限定值及用水</w:t>
            </w:r>
            <w:r>
              <w:rPr>
                <w:rFonts w:hint="eastAsia" w:ascii="宋体" w:hAnsi="宋体" w:cs="宋体"/>
                <w:color w:val="000000"/>
                <w:kern w:val="2"/>
                <w:sz w:val="21"/>
                <w:szCs w:val="21"/>
                <w:highlight w:val="none"/>
                <w:lang w:eastAsia="zh-CN"/>
              </w:rPr>
              <w:t>效率等级》（GB28378）</w:t>
            </w:r>
          </w:p>
        </w:tc>
      </w:tr>
    </w:tbl>
    <w:p w14:paraId="275E7F8E">
      <w:pPr>
        <w:pStyle w:val="18"/>
        <w:spacing w:line="360" w:lineRule="auto"/>
        <w:rPr>
          <w:rFonts w:hint="eastAsia" w:ascii="宋体" w:hAnsi="宋体"/>
          <w:color w:val="000000"/>
          <w:kern w:val="2"/>
          <w:sz w:val="21"/>
          <w:szCs w:val="21"/>
          <w:highlight w:val="none"/>
        </w:rPr>
      </w:pPr>
      <w:r>
        <w:rPr>
          <w:rFonts w:hint="eastAsia" w:ascii="宋体" w:hAnsi="宋体"/>
          <w:color w:val="000000"/>
          <w:spacing w:val="-3"/>
          <w:sz w:val="21"/>
          <w:szCs w:val="21"/>
          <w:highlight w:val="none"/>
        </w:rPr>
        <w:t>注：</w:t>
      </w:r>
      <w:r>
        <w:rPr>
          <w:rFonts w:ascii="宋体" w:hAnsi="宋体"/>
          <w:color w:val="000000"/>
          <w:spacing w:val="-3"/>
          <w:sz w:val="21"/>
          <w:szCs w:val="21"/>
          <w:highlight w:val="none"/>
        </w:rPr>
        <w:t>1.</w:t>
      </w:r>
      <w:r>
        <w:rPr>
          <w:rFonts w:hint="eastAsia" w:ascii="宋体" w:hAnsi="宋体"/>
          <w:color w:val="000000"/>
          <w:spacing w:val="-3"/>
          <w:sz w:val="21"/>
          <w:szCs w:val="21"/>
          <w:highlight w:val="none"/>
        </w:rPr>
        <w:t>节能产品认证应依据相关国家标准的最新版本，依据国家标准中二级能效（水效）</w:t>
      </w:r>
      <w:r>
        <w:rPr>
          <w:rFonts w:hint="eastAsia" w:ascii="宋体" w:hAnsi="宋体"/>
          <w:color w:val="000000"/>
          <w:sz w:val="21"/>
          <w:szCs w:val="21"/>
          <w:highlight w:val="none"/>
        </w:rPr>
        <w:t>指标。</w:t>
      </w:r>
    </w:p>
    <w:p w14:paraId="15BAFC73">
      <w:pPr>
        <w:pStyle w:val="18"/>
        <w:spacing w:line="360" w:lineRule="auto"/>
        <w:ind w:firstLine="465"/>
        <w:rPr>
          <w:rFonts w:hint="eastAsia" w:ascii="宋体" w:hAnsi="宋体"/>
          <w:color w:val="000000"/>
          <w:sz w:val="21"/>
          <w:szCs w:val="21"/>
          <w:highlight w:val="none"/>
        </w:rPr>
      </w:pPr>
      <w:r>
        <w:rPr>
          <w:rFonts w:ascii="宋体" w:hAnsi="宋体"/>
          <w:color w:val="000000"/>
          <w:sz w:val="21"/>
          <w:szCs w:val="21"/>
          <w:highlight w:val="none"/>
        </w:rPr>
        <w:t>2</w:t>
      </w:r>
      <w:r>
        <w:rPr>
          <w:rFonts w:hint="eastAsia" w:ascii="宋体" w:hAnsi="宋体"/>
          <w:color w:val="000000"/>
          <w:sz w:val="21"/>
          <w:szCs w:val="21"/>
          <w:highlight w:val="none"/>
        </w:rPr>
        <w:t>.以</w:t>
      </w:r>
      <w:r>
        <w:rPr>
          <w:rFonts w:ascii="宋体" w:hAnsi="宋体"/>
          <w:color w:val="000000"/>
          <w:sz w:val="21"/>
          <w:szCs w:val="21"/>
          <w:highlight w:val="none"/>
        </w:rPr>
        <w:t>“</w:t>
      </w:r>
      <w:r>
        <w:rPr>
          <w:rFonts w:hint="eastAsia" w:ascii="宋体" w:hAnsi="宋体"/>
          <w:color w:val="000000"/>
          <w:sz w:val="21"/>
          <w:szCs w:val="21"/>
          <w:highlight w:val="none"/>
        </w:rPr>
        <w:t>★</w:t>
      </w:r>
      <w:r>
        <w:rPr>
          <w:rFonts w:ascii="宋体" w:hAnsi="宋体"/>
          <w:color w:val="000000"/>
          <w:sz w:val="21"/>
          <w:szCs w:val="21"/>
          <w:highlight w:val="none"/>
        </w:rPr>
        <w:t>”</w:t>
      </w:r>
      <w:r>
        <w:rPr>
          <w:rFonts w:hint="eastAsia" w:ascii="宋体" w:hAnsi="宋体"/>
          <w:color w:val="000000"/>
          <w:sz w:val="21"/>
          <w:szCs w:val="21"/>
          <w:highlight w:val="none"/>
        </w:rPr>
        <w:t>标注的为政府强制采购产品。</w:t>
      </w:r>
    </w:p>
    <w:p w14:paraId="689FB36E">
      <w:pPr>
        <w:pStyle w:val="18"/>
        <w:spacing w:line="360" w:lineRule="auto"/>
        <w:ind w:firstLine="465"/>
        <w:rPr>
          <w:rFonts w:hint="eastAsia" w:ascii="宋体" w:hAnsi="宋体"/>
          <w:color w:val="000000"/>
          <w:sz w:val="21"/>
          <w:szCs w:val="21"/>
          <w:highlight w:val="none"/>
        </w:rPr>
      </w:pPr>
      <w:r>
        <w:rPr>
          <w:rFonts w:hint="eastAsia" w:ascii="宋体" w:hAnsi="宋体"/>
          <w:color w:val="000000"/>
          <w:sz w:val="21"/>
          <w:szCs w:val="21"/>
          <w:highlight w:val="none"/>
        </w:rPr>
        <w:t>3.本表格原为《关于印发节能产品政府采购品目清单的通知》（财库〔2019〕19号）规定的表格附件，其中名称及编码已根据《财政部关于印发〈政府采购品目分类目录〉的通知》（财库〔2022〕31号）修改。</w:t>
      </w:r>
    </w:p>
    <w:p w14:paraId="01185D90">
      <w:pPr>
        <w:widowControl/>
        <w:jc w:val="left"/>
        <w:rPr>
          <w:rFonts w:ascii="宋体" w:hAnsi="宋体" w:cs="宋体"/>
          <w:color w:val="000000"/>
          <w:sz w:val="20"/>
          <w:szCs w:val="20"/>
          <w:highlight w:val="none"/>
        </w:rPr>
      </w:pPr>
    </w:p>
    <w:p w14:paraId="4572F631">
      <w:pPr>
        <w:widowControl/>
        <w:jc w:val="left"/>
        <w:rPr>
          <w:rFonts w:ascii="宋体" w:hAnsi="宋体" w:cs="宋体"/>
          <w:color w:val="000000"/>
          <w:sz w:val="20"/>
          <w:szCs w:val="20"/>
          <w:highlight w:val="none"/>
        </w:rPr>
      </w:pPr>
    </w:p>
    <w:p w14:paraId="4411BBE3">
      <w:pPr>
        <w:widowControl/>
        <w:jc w:val="left"/>
        <w:rPr>
          <w:rFonts w:hint="eastAsia" w:ascii="黑体" w:hAnsi="黑体" w:eastAsia="黑体" w:cs="黑体"/>
          <w:color w:val="000000"/>
          <w:sz w:val="32"/>
          <w:szCs w:val="32"/>
          <w:highlight w:val="none"/>
        </w:rPr>
      </w:pPr>
      <w:r>
        <w:rPr>
          <w:rFonts w:ascii="宋体" w:hAnsi="宋体" w:cs="宋体"/>
          <w:color w:val="000000"/>
          <w:sz w:val="20"/>
          <w:szCs w:val="20"/>
          <w:highlight w:val="none"/>
        </w:rPr>
        <w:br w:type="page"/>
      </w:r>
      <w:r>
        <w:rPr>
          <w:rFonts w:hint="eastAsia" w:ascii="黑体" w:hAnsi="黑体" w:eastAsia="黑体" w:cs="黑体"/>
          <w:color w:val="000000"/>
          <w:sz w:val="32"/>
          <w:szCs w:val="32"/>
          <w:highlight w:val="none"/>
        </w:rPr>
        <w:t>附件2：</w:t>
      </w:r>
    </w:p>
    <w:p w14:paraId="6BBFBE68">
      <w:pPr>
        <w:pStyle w:val="18"/>
        <w:jc w:val="center"/>
        <w:rPr>
          <w:rFonts w:hint="eastAsia"/>
          <w:b/>
          <w:color w:val="000000"/>
          <w:sz w:val="28"/>
          <w:szCs w:val="28"/>
          <w:highlight w:val="none"/>
        </w:rPr>
      </w:pPr>
      <w:r>
        <w:rPr>
          <w:rFonts w:hint="eastAsia"/>
          <w:b/>
          <w:color w:val="000000"/>
          <w:sz w:val="28"/>
          <w:szCs w:val="28"/>
          <w:highlight w:val="none"/>
        </w:rPr>
        <w:t>中小企业划型标准规定</w:t>
      </w:r>
    </w:p>
    <w:p w14:paraId="005FE4E8">
      <w:pPr>
        <w:pStyle w:val="18"/>
        <w:jc w:val="center"/>
        <w:rPr>
          <w:rFonts w:hint="eastAsia" w:ascii="宋体" w:hAnsi="宋体"/>
          <w:color w:val="000000"/>
          <w:sz w:val="21"/>
          <w:szCs w:val="21"/>
          <w:highlight w:val="none"/>
        </w:rPr>
      </w:pPr>
      <w:r>
        <w:rPr>
          <w:rFonts w:hint="eastAsia" w:ascii="宋体" w:hAnsi="宋体"/>
          <w:color w:val="000000"/>
          <w:sz w:val="21"/>
          <w:szCs w:val="21"/>
          <w:highlight w:val="none"/>
        </w:rPr>
        <w:t>工信部联企业[2011]300号</w:t>
      </w:r>
    </w:p>
    <w:p w14:paraId="000617B8">
      <w:pPr>
        <w:pStyle w:val="18"/>
        <w:rPr>
          <w:color w:val="000000"/>
          <w:sz w:val="21"/>
          <w:szCs w:val="21"/>
          <w:highlight w:val="none"/>
        </w:rPr>
      </w:pPr>
    </w:p>
    <w:p w14:paraId="13719A1F">
      <w:pPr>
        <w:pStyle w:val="18"/>
        <w:rPr>
          <w:color w:val="000000"/>
          <w:sz w:val="21"/>
          <w:szCs w:val="21"/>
          <w:highlight w:val="none"/>
        </w:rPr>
      </w:pPr>
      <w:r>
        <w:rPr>
          <w:rFonts w:hint="eastAsia"/>
          <w:color w:val="000000"/>
          <w:sz w:val="21"/>
          <w:szCs w:val="21"/>
          <w:highlight w:val="none"/>
        </w:rPr>
        <w:t>　　一、根据《中华人民共和国中小企业促进法》和《国务院关于进一步促进中小企业发展的若干意见》(国发[2009]36号)，制定本规定。</w:t>
      </w:r>
    </w:p>
    <w:p w14:paraId="385AE7BC">
      <w:pPr>
        <w:pStyle w:val="18"/>
        <w:rPr>
          <w:color w:val="000000"/>
          <w:sz w:val="21"/>
          <w:szCs w:val="21"/>
          <w:highlight w:val="none"/>
        </w:rPr>
      </w:pPr>
      <w:r>
        <w:rPr>
          <w:rFonts w:hint="eastAsia"/>
          <w:color w:val="000000"/>
          <w:sz w:val="21"/>
          <w:szCs w:val="21"/>
          <w:highlight w:val="none"/>
        </w:rPr>
        <w:t>　　二、中小企业划分为中型、小型、微型三种类型，具体标准根据企业从业人员、营业收入、资产总额等指标，结合行业特点制定。</w:t>
      </w:r>
    </w:p>
    <w:p w14:paraId="6CF70D9C">
      <w:pPr>
        <w:pStyle w:val="18"/>
        <w:rPr>
          <w:color w:val="000000"/>
          <w:sz w:val="21"/>
          <w:szCs w:val="21"/>
          <w:highlight w:val="none"/>
        </w:rPr>
      </w:pPr>
      <w:r>
        <w:rPr>
          <w:rFonts w:hint="eastAsia"/>
          <w:color w:val="000000"/>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84E0847">
      <w:pPr>
        <w:pStyle w:val="18"/>
        <w:rPr>
          <w:color w:val="000000"/>
          <w:sz w:val="21"/>
          <w:szCs w:val="21"/>
          <w:highlight w:val="none"/>
        </w:rPr>
      </w:pPr>
      <w:r>
        <w:rPr>
          <w:rFonts w:hint="eastAsia"/>
          <w:color w:val="000000"/>
          <w:sz w:val="21"/>
          <w:szCs w:val="21"/>
          <w:highlight w:val="none"/>
        </w:rPr>
        <w:t>　　四、各行业划型标准为：</w:t>
      </w:r>
    </w:p>
    <w:p w14:paraId="5A74EC21">
      <w:pPr>
        <w:pStyle w:val="18"/>
        <w:rPr>
          <w:color w:val="000000"/>
          <w:sz w:val="21"/>
          <w:szCs w:val="21"/>
          <w:highlight w:val="none"/>
        </w:rPr>
      </w:pPr>
      <w:r>
        <w:rPr>
          <w:rFonts w:hint="eastAsia"/>
          <w:color w:val="000000"/>
          <w:sz w:val="21"/>
          <w:szCs w:val="21"/>
          <w:highlight w:val="none"/>
        </w:rPr>
        <w:t>　　（一）农、林、牧、渔业。营业收入20000万元以下的为中小微型企业。其中，营业收入500万元及以上的为中型企业，营业收入50万元及以上的为小型企业，营业收入50万元以下的为微型企业。</w:t>
      </w:r>
    </w:p>
    <w:p w14:paraId="42206866">
      <w:pPr>
        <w:pStyle w:val="18"/>
        <w:rPr>
          <w:color w:val="000000"/>
          <w:sz w:val="21"/>
          <w:szCs w:val="21"/>
          <w:highlight w:val="none"/>
        </w:rPr>
      </w:pPr>
      <w:r>
        <w:rPr>
          <w:rFonts w:hint="eastAsia"/>
          <w:color w:val="000000"/>
          <w:sz w:val="21"/>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B09B413">
      <w:pPr>
        <w:pStyle w:val="18"/>
        <w:rPr>
          <w:color w:val="000000"/>
          <w:sz w:val="21"/>
          <w:szCs w:val="21"/>
          <w:highlight w:val="none"/>
        </w:rPr>
      </w:pPr>
      <w:r>
        <w:rPr>
          <w:rFonts w:hint="eastAsia"/>
          <w:color w:val="000000"/>
          <w:sz w:val="21"/>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F7911F1">
      <w:pPr>
        <w:pStyle w:val="18"/>
        <w:rPr>
          <w:color w:val="000000"/>
          <w:sz w:val="21"/>
          <w:szCs w:val="21"/>
          <w:highlight w:val="none"/>
        </w:rPr>
      </w:pPr>
      <w:r>
        <w:rPr>
          <w:rFonts w:hint="eastAsia"/>
          <w:color w:val="000000"/>
          <w:sz w:val="21"/>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3C308B">
      <w:pPr>
        <w:pStyle w:val="18"/>
        <w:rPr>
          <w:color w:val="000000"/>
          <w:sz w:val="21"/>
          <w:szCs w:val="21"/>
          <w:highlight w:val="none"/>
        </w:rPr>
      </w:pPr>
      <w:r>
        <w:rPr>
          <w:rFonts w:hint="eastAsia"/>
          <w:color w:val="000000"/>
          <w:sz w:val="21"/>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E9294AB">
      <w:pPr>
        <w:pStyle w:val="18"/>
        <w:rPr>
          <w:color w:val="000000"/>
          <w:sz w:val="21"/>
          <w:szCs w:val="21"/>
          <w:highlight w:val="none"/>
        </w:rPr>
      </w:pPr>
      <w:r>
        <w:rPr>
          <w:rFonts w:hint="eastAsia"/>
          <w:color w:val="000000"/>
          <w:sz w:val="21"/>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C61D5D5">
      <w:pPr>
        <w:pStyle w:val="18"/>
        <w:rPr>
          <w:color w:val="000000"/>
          <w:sz w:val="21"/>
          <w:szCs w:val="21"/>
          <w:highlight w:val="none"/>
        </w:rPr>
      </w:pPr>
      <w:r>
        <w:rPr>
          <w:rFonts w:hint="eastAsia"/>
          <w:color w:val="000000"/>
          <w:sz w:val="21"/>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FAA2220">
      <w:pPr>
        <w:pStyle w:val="18"/>
        <w:rPr>
          <w:color w:val="000000"/>
          <w:sz w:val="21"/>
          <w:szCs w:val="21"/>
          <w:highlight w:val="none"/>
        </w:rPr>
      </w:pPr>
      <w:r>
        <w:rPr>
          <w:rFonts w:hint="eastAsia"/>
          <w:color w:val="000000"/>
          <w:sz w:val="21"/>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99987F0">
      <w:pPr>
        <w:pStyle w:val="18"/>
        <w:rPr>
          <w:color w:val="000000"/>
          <w:sz w:val="21"/>
          <w:szCs w:val="21"/>
          <w:highlight w:val="none"/>
        </w:rPr>
      </w:pPr>
      <w:r>
        <w:rPr>
          <w:rFonts w:hint="eastAsia"/>
          <w:color w:val="000000"/>
          <w:sz w:val="21"/>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C5DEC60">
      <w:pPr>
        <w:pStyle w:val="18"/>
        <w:rPr>
          <w:color w:val="000000"/>
          <w:sz w:val="21"/>
          <w:szCs w:val="21"/>
          <w:highlight w:val="none"/>
        </w:rPr>
      </w:pPr>
      <w:r>
        <w:rPr>
          <w:rFonts w:hint="eastAsia"/>
          <w:color w:val="000000"/>
          <w:sz w:val="21"/>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083EDB8">
      <w:pPr>
        <w:pStyle w:val="18"/>
        <w:rPr>
          <w:color w:val="000000"/>
          <w:sz w:val="21"/>
          <w:szCs w:val="21"/>
          <w:highlight w:val="none"/>
        </w:rPr>
      </w:pPr>
      <w:r>
        <w:rPr>
          <w:rFonts w:hint="eastAsia"/>
          <w:color w:val="000000"/>
          <w:sz w:val="21"/>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E1A7D8C">
      <w:pPr>
        <w:pStyle w:val="18"/>
        <w:rPr>
          <w:color w:val="000000"/>
          <w:sz w:val="21"/>
          <w:szCs w:val="21"/>
          <w:highlight w:val="none"/>
        </w:rPr>
      </w:pPr>
      <w:r>
        <w:rPr>
          <w:rFonts w:hint="eastAsia"/>
          <w:color w:val="000000"/>
          <w:sz w:val="21"/>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DCF8DCC">
      <w:pPr>
        <w:pStyle w:val="18"/>
        <w:rPr>
          <w:color w:val="000000"/>
          <w:sz w:val="21"/>
          <w:szCs w:val="21"/>
          <w:highlight w:val="none"/>
        </w:rPr>
      </w:pPr>
      <w:r>
        <w:rPr>
          <w:rFonts w:hint="eastAsia"/>
          <w:color w:val="000000"/>
          <w:sz w:val="21"/>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CA2BA08">
      <w:pPr>
        <w:pStyle w:val="18"/>
        <w:rPr>
          <w:color w:val="000000"/>
          <w:sz w:val="21"/>
          <w:szCs w:val="21"/>
          <w:highlight w:val="none"/>
        </w:rPr>
      </w:pPr>
      <w:r>
        <w:rPr>
          <w:rFonts w:hint="eastAsia"/>
          <w:color w:val="000000"/>
          <w:sz w:val="21"/>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BC36DA3">
      <w:pPr>
        <w:pStyle w:val="18"/>
        <w:rPr>
          <w:color w:val="000000"/>
          <w:sz w:val="21"/>
          <w:szCs w:val="21"/>
          <w:highlight w:val="none"/>
        </w:rPr>
      </w:pPr>
      <w:r>
        <w:rPr>
          <w:rFonts w:hint="eastAsia"/>
          <w:color w:val="000000"/>
          <w:sz w:val="21"/>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9F9A2CA">
      <w:pPr>
        <w:pStyle w:val="18"/>
        <w:rPr>
          <w:color w:val="000000"/>
          <w:sz w:val="21"/>
          <w:szCs w:val="21"/>
          <w:highlight w:val="none"/>
        </w:rPr>
      </w:pPr>
      <w:r>
        <w:rPr>
          <w:rFonts w:hint="eastAsia"/>
          <w:color w:val="000000"/>
          <w:sz w:val="21"/>
          <w:szCs w:val="21"/>
          <w:highlight w:val="none"/>
        </w:rPr>
        <w:t>　　（十六）其他未列明行业。从业人员300人以下的为中小微型企业。其中，从业人员100人及以上的为中型企业；从业人员10人及以上的为小型企业；从业人员10人以下的为微型企业。</w:t>
      </w:r>
    </w:p>
    <w:p w14:paraId="370C3F26">
      <w:pPr>
        <w:pStyle w:val="18"/>
        <w:rPr>
          <w:color w:val="000000"/>
          <w:sz w:val="21"/>
          <w:szCs w:val="21"/>
          <w:highlight w:val="none"/>
        </w:rPr>
      </w:pPr>
      <w:r>
        <w:rPr>
          <w:rFonts w:hint="eastAsia"/>
          <w:color w:val="000000"/>
          <w:sz w:val="21"/>
          <w:szCs w:val="21"/>
          <w:highlight w:val="none"/>
        </w:rPr>
        <w:t>　　五、企业类型的划分以统计部门的统计数据为依据。</w:t>
      </w:r>
    </w:p>
    <w:p w14:paraId="1324694D">
      <w:pPr>
        <w:pStyle w:val="18"/>
        <w:rPr>
          <w:color w:val="000000"/>
          <w:sz w:val="21"/>
          <w:szCs w:val="21"/>
          <w:highlight w:val="none"/>
        </w:rPr>
      </w:pPr>
      <w:r>
        <w:rPr>
          <w:rFonts w:hint="eastAsia"/>
          <w:color w:val="000000"/>
          <w:sz w:val="21"/>
          <w:szCs w:val="21"/>
          <w:highlight w:val="none"/>
        </w:rPr>
        <w:t>　　六、本规定适用于在中华人民共和国境内依法设立的各类所有制和各种组织形式的企业。个体工商户和本规定以外的行业，参照本规定进行划型。</w:t>
      </w:r>
    </w:p>
    <w:p w14:paraId="73D28ED1">
      <w:pPr>
        <w:pStyle w:val="18"/>
        <w:rPr>
          <w:color w:val="000000"/>
          <w:sz w:val="21"/>
          <w:szCs w:val="21"/>
          <w:highlight w:val="none"/>
        </w:rPr>
      </w:pPr>
      <w:r>
        <w:rPr>
          <w:rFonts w:hint="eastAsia"/>
          <w:color w:val="000000"/>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75479E1">
      <w:pPr>
        <w:pStyle w:val="18"/>
        <w:rPr>
          <w:color w:val="000000"/>
          <w:sz w:val="21"/>
          <w:szCs w:val="21"/>
          <w:highlight w:val="none"/>
        </w:rPr>
      </w:pPr>
      <w:r>
        <w:rPr>
          <w:rFonts w:hint="eastAsia"/>
          <w:color w:val="000000"/>
          <w:sz w:val="21"/>
          <w:szCs w:val="21"/>
          <w:highlight w:val="none"/>
        </w:rPr>
        <w:t>　　八、本规定由工业和信息化部、国家统计局会同有关部门根据《国民经济行业分类》修订情况和企业发展变化情况适时修订。</w:t>
      </w:r>
    </w:p>
    <w:p w14:paraId="173A3D89">
      <w:pPr>
        <w:pStyle w:val="18"/>
        <w:rPr>
          <w:color w:val="000000"/>
          <w:sz w:val="21"/>
          <w:szCs w:val="21"/>
          <w:highlight w:val="none"/>
        </w:rPr>
      </w:pPr>
      <w:r>
        <w:rPr>
          <w:rFonts w:hint="eastAsia"/>
          <w:color w:val="000000"/>
          <w:sz w:val="21"/>
          <w:szCs w:val="21"/>
          <w:highlight w:val="none"/>
        </w:rPr>
        <w:t>　　九、本规定由工业和信息化部、国家统计局会同有关部门负责解释。</w:t>
      </w:r>
    </w:p>
    <w:p w14:paraId="73358B96">
      <w:pPr>
        <w:pStyle w:val="18"/>
        <w:ind w:firstLine="420"/>
        <w:rPr>
          <w:rFonts w:hint="eastAsia"/>
          <w:color w:val="000000"/>
          <w:sz w:val="21"/>
          <w:szCs w:val="21"/>
          <w:highlight w:val="none"/>
        </w:rPr>
      </w:pPr>
      <w:r>
        <w:rPr>
          <w:rFonts w:hint="eastAsia"/>
          <w:color w:val="000000"/>
          <w:sz w:val="21"/>
          <w:szCs w:val="21"/>
          <w:highlight w:val="none"/>
        </w:rPr>
        <w:t>十、本规定自发布之日起执行，原国家经贸委、原国家计委、财政部和国家统计局2003年颁布的《中小企业标准暂行规定》同时废止。</w:t>
      </w:r>
    </w:p>
    <w:p w14:paraId="644F4D10">
      <w:pPr>
        <w:pStyle w:val="18"/>
        <w:ind w:firstLine="420"/>
        <w:rPr>
          <w:rFonts w:hint="eastAsia"/>
          <w:color w:val="000000"/>
          <w:sz w:val="21"/>
          <w:szCs w:val="21"/>
          <w:highlight w:val="none"/>
        </w:rPr>
      </w:pPr>
    </w:p>
    <w:p w14:paraId="2643D26A">
      <w:pPr>
        <w:pStyle w:val="2"/>
        <w:spacing w:before="0" w:after="0" w:line="360" w:lineRule="auto"/>
        <w:jc w:val="center"/>
        <w:rPr>
          <w:rFonts w:hint="eastAsia"/>
          <w:color w:val="000000"/>
          <w:highlight w:val="none"/>
        </w:rPr>
      </w:pPr>
      <w:bookmarkStart w:id="55" w:name="_Toc74320802"/>
      <w:r>
        <w:rPr>
          <w:color w:val="000000"/>
          <w:highlight w:val="none"/>
        </w:rPr>
        <w:br w:type="page"/>
      </w:r>
      <w:r>
        <w:rPr>
          <w:rFonts w:hint="eastAsia"/>
          <w:color w:val="000000"/>
          <w:highlight w:val="none"/>
        </w:rPr>
        <w:t>第三章  投标人须知</w:t>
      </w:r>
      <w:bookmarkEnd w:id="55"/>
    </w:p>
    <w:p w14:paraId="09A5B8CC">
      <w:pPr>
        <w:jc w:val="center"/>
        <w:rPr>
          <w:rFonts w:hint="eastAsia"/>
          <w:color w:val="000000"/>
          <w:sz w:val="36"/>
          <w:szCs w:val="36"/>
          <w:highlight w:val="none"/>
        </w:rPr>
      </w:pPr>
      <w:bookmarkStart w:id="56" w:name="_Toc254970526"/>
      <w:bookmarkStart w:id="57" w:name="_Toc254970667"/>
      <w:r>
        <w:rPr>
          <w:rFonts w:hint="eastAsia"/>
          <w:color w:val="000000"/>
          <w:sz w:val="36"/>
          <w:szCs w:val="36"/>
          <w:highlight w:val="none"/>
        </w:rPr>
        <w:t>投标人须知前附表</w:t>
      </w:r>
      <w:bookmarkEnd w:id="56"/>
      <w:bookmarkEnd w:id="57"/>
    </w:p>
    <w:tbl>
      <w:tblPr>
        <w:tblStyle w:val="45"/>
        <w:tblW w:w="960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11"/>
      </w:tblGrid>
      <w:tr w14:paraId="0CAD54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64628B06">
            <w:pPr>
              <w:snapToGrid w:val="0"/>
              <w:spacing w:line="360" w:lineRule="auto"/>
              <w:jc w:val="left"/>
              <w:rPr>
                <w:rFonts w:hint="eastAsia" w:ascii="宋体" w:hAnsi="宋体"/>
                <w:color w:val="000000"/>
                <w:szCs w:val="21"/>
                <w:highlight w:val="none"/>
              </w:rPr>
            </w:pPr>
            <w:r>
              <w:rPr>
                <w:rFonts w:hint="eastAsia" w:ascii="宋体" w:hAnsi="宋体"/>
                <w:color w:val="000000"/>
                <w:szCs w:val="21"/>
                <w:highlight w:val="none"/>
              </w:rPr>
              <w:t>条款号</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2D2B6A0F">
            <w:pPr>
              <w:snapToGrid w:val="0"/>
              <w:spacing w:line="360" w:lineRule="auto"/>
              <w:jc w:val="center"/>
              <w:rPr>
                <w:rFonts w:hint="eastAsia" w:ascii="宋体" w:hAnsi="宋体"/>
                <w:color w:val="000000"/>
                <w:szCs w:val="21"/>
                <w:highlight w:val="none"/>
              </w:rPr>
            </w:pPr>
            <w:r>
              <w:rPr>
                <w:rFonts w:hint="eastAsia" w:ascii="宋体" w:hAnsi="宋体"/>
                <w:color w:val="000000"/>
                <w:szCs w:val="21"/>
                <w:highlight w:val="none"/>
              </w:rPr>
              <w:t>编列内容</w:t>
            </w:r>
          </w:p>
        </w:tc>
      </w:tr>
      <w:tr w14:paraId="271CB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3F2A4DE6">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3</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2D910C02">
            <w:pPr>
              <w:snapToGrid w:val="0"/>
              <w:spacing w:line="360" w:lineRule="auto"/>
              <w:jc w:val="left"/>
              <w:rPr>
                <w:rFonts w:ascii="宋体" w:hAnsi="宋体"/>
                <w:color w:val="000000"/>
                <w:szCs w:val="21"/>
                <w:highlight w:val="none"/>
              </w:rPr>
            </w:pPr>
            <w:r>
              <w:rPr>
                <w:rFonts w:hint="eastAsia" w:ascii="宋体" w:hAnsi="宋体"/>
                <w:color w:val="000000"/>
                <w:szCs w:val="21"/>
                <w:highlight w:val="none"/>
              </w:rPr>
              <w:t>1</w:t>
            </w:r>
            <w:r>
              <w:rPr>
                <w:rFonts w:ascii="宋体" w:hAnsi="宋体"/>
                <w:color w:val="000000"/>
                <w:szCs w:val="21"/>
                <w:highlight w:val="none"/>
              </w:rPr>
              <w:t>.</w:t>
            </w:r>
            <w:r>
              <w:rPr>
                <w:rFonts w:hint="eastAsia" w:ascii="宋体" w:hAnsi="宋体"/>
                <w:color w:val="000000"/>
                <w:szCs w:val="21"/>
                <w:highlight w:val="none"/>
              </w:rPr>
              <w:t>投标人的资格要求详见招标公告。</w:t>
            </w:r>
          </w:p>
          <w:p w14:paraId="09CD229A">
            <w:pPr>
              <w:snapToGrid w:val="0"/>
              <w:spacing w:line="360" w:lineRule="auto"/>
              <w:jc w:val="left"/>
              <w:rPr>
                <w:rFonts w:hint="eastAsia" w:ascii="宋体" w:hAnsi="宋体"/>
                <w:color w:val="000000"/>
                <w:szCs w:val="21"/>
                <w:highlight w:val="none"/>
              </w:rPr>
            </w:pPr>
            <w:r>
              <w:rPr>
                <w:rFonts w:hint="eastAsia" w:ascii="宋体" w:hAnsi="宋体"/>
                <w:color w:val="000000"/>
                <w:szCs w:val="21"/>
                <w:highlight w:val="none"/>
              </w:rPr>
              <w:t>2</w:t>
            </w:r>
            <w:r>
              <w:rPr>
                <w:rFonts w:ascii="宋体" w:hAnsi="宋体"/>
                <w:color w:val="000000"/>
                <w:szCs w:val="21"/>
                <w:highlight w:val="none"/>
              </w:rPr>
              <w:t>.</w:t>
            </w:r>
            <w:r>
              <w:rPr>
                <w:rFonts w:hint="eastAsia" w:ascii="宋体" w:hAnsi="宋体"/>
                <w:color w:val="000000"/>
                <w:szCs w:val="21"/>
                <w:highlight w:val="none"/>
              </w:rPr>
              <w:t>投标人出现下列情形之一的，不得参加政府采购活动：</w:t>
            </w:r>
          </w:p>
          <w:p w14:paraId="22F14143">
            <w:pPr>
              <w:snapToGrid w:val="0"/>
              <w:spacing w:line="360" w:lineRule="auto"/>
              <w:jc w:val="left"/>
              <w:rPr>
                <w:rFonts w:hint="eastAsia" w:ascii="宋体" w:hAnsi="宋体"/>
                <w:color w:val="000000"/>
                <w:szCs w:val="21"/>
                <w:highlight w:val="none"/>
              </w:rPr>
            </w:pPr>
            <w:r>
              <w:rPr>
                <w:rFonts w:ascii="宋体" w:hAnsi="宋体"/>
                <w:color w:val="000000"/>
                <w:szCs w:val="21"/>
                <w:highlight w:val="none"/>
              </w:rPr>
              <w:t>2.1</w:t>
            </w:r>
            <w:r>
              <w:rPr>
                <w:rFonts w:hint="eastAsia" w:ascii="宋体" w:hAnsi="宋体"/>
                <w:color w:val="00000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417D94A">
            <w:pPr>
              <w:snapToGrid w:val="0"/>
              <w:spacing w:line="360" w:lineRule="auto"/>
              <w:jc w:val="left"/>
              <w:rPr>
                <w:rFonts w:hint="eastAsia" w:ascii="宋体" w:hAnsi="宋体"/>
                <w:color w:val="000000"/>
                <w:szCs w:val="21"/>
                <w:highlight w:val="none"/>
              </w:rPr>
            </w:pPr>
            <w:r>
              <w:rPr>
                <w:rFonts w:ascii="宋体" w:hAnsi="宋体"/>
                <w:color w:val="000000"/>
                <w:szCs w:val="21"/>
                <w:highlight w:val="none"/>
              </w:rPr>
              <w:t>2.2</w:t>
            </w:r>
            <w:r>
              <w:rPr>
                <w:rFonts w:hint="eastAsia" w:ascii="宋体" w:hAnsi="宋体"/>
                <w:color w:val="000000"/>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11EC57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5EA8C61F">
            <w:pPr>
              <w:spacing w:line="360" w:lineRule="auto"/>
              <w:jc w:val="center"/>
              <w:rPr>
                <w:rFonts w:ascii="宋体" w:hAnsi="宋体"/>
                <w:color w:val="000000"/>
                <w:szCs w:val="21"/>
                <w:highlight w:val="none"/>
              </w:rPr>
            </w:pPr>
            <w:bookmarkStart w:id="58" w:name="_8.1"/>
            <w:bookmarkEnd w:id="58"/>
            <w:bookmarkStart w:id="59" w:name="_9.2"/>
            <w:bookmarkEnd w:id="59"/>
            <w:bookmarkStart w:id="60" w:name="_5"/>
            <w:bookmarkEnd w:id="60"/>
            <w:r>
              <w:rPr>
                <w:rFonts w:hint="eastAsia" w:ascii="宋体" w:hAnsi="宋体"/>
                <w:color w:val="000000"/>
                <w:szCs w:val="21"/>
                <w:highlight w:val="none"/>
              </w:rPr>
              <w:t>6.1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1938CF24">
            <w:pPr>
              <w:pStyle w:val="16"/>
              <w:spacing w:line="360" w:lineRule="auto"/>
              <w:rPr>
                <w:rFonts w:hint="eastAsia" w:ascii="宋体" w:hAnsi="宋体"/>
                <w:color w:val="000000"/>
                <w:szCs w:val="21"/>
                <w:highlight w:val="none"/>
                <w:lang w:val="en-US" w:eastAsia="zh-CN"/>
              </w:rPr>
            </w:pPr>
            <w:r>
              <w:rPr>
                <w:rFonts w:hint="eastAsia" w:ascii="宋体" w:hAnsi="宋体"/>
                <w:color w:val="000000"/>
                <w:szCs w:val="21"/>
                <w:highlight w:val="none"/>
                <w:lang w:val="en-US" w:eastAsia="zh-CN"/>
              </w:rPr>
              <w:t>本项目是否接受联合体投标：详见招标公告。</w:t>
            </w:r>
          </w:p>
        </w:tc>
      </w:tr>
      <w:tr w14:paraId="0DB090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047F252D">
            <w:pPr>
              <w:spacing w:line="360" w:lineRule="auto"/>
              <w:jc w:val="center"/>
              <w:rPr>
                <w:rFonts w:ascii="宋体" w:hAnsi="宋体"/>
                <w:color w:val="000000"/>
                <w:szCs w:val="21"/>
                <w:highlight w:val="none"/>
              </w:rPr>
            </w:pPr>
            <w:r>
              <w:rPr>
                <w:rFonts w:hint="eastAsia" w:ascii="宋体" w:hAnsi="宋体"/>
                <w:color w:val="000000"/>
                <w:szCs w:val="21"/>
                <w:highlight w:val="none"/>
              </w:rPr>
              <w:t>7.2</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37B0451A">
            <w:pPr>
              <w:pStyle w:val="16"/>
              <w:spacing w:line="360" w:lineRule="auto"/>
              <w:rPr>
                <w:rFonts w:hint="eastAsia" w:ascii="宋体" w:hAnsi="宋体"/>
                <w:color w:val="000000"/>
                <w:szCs w:val="21"/>
                <w:highlight w:val="none"/>
                <w:lang w:val="en-US" w:eastAsia="zh-CN"/>
              </w:rPr>
            </w:pPr>
            <w:r>
              <w:rPr>
                <w:rFonts w:hint="eastAsia" w:ascii="宋体" w:hAnsi="宋体"/>
                <w:color w:val="000000"/>
                <w:szCs w:val="21"/>
                <w:highlight w:val="none"/>
                <w:lang w:val="en-US" w:eastAsia="zh-CN"/>
              </w:rPr>
              <w:t>本项目不允许分包</w:t>
            </w:r>
          </w:p>
        </w:tc>
      </w:tr>
      <w:tr w14:paraId="1AE2DE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5364956B">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8.1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23AB54FA">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 w:val="22"/>
                <w:szCs w:val="22"/>
                <w:highlight w:val="none"/>
              </w:rPr>
              <w:t>采用综合评分法的采购项目，</w:t>
            </w:r>
            <w:r>
              <w:rPr>
                <w:rFonts w:hint="eastAsia" w:ascii="宋体" w:hAnsi="宋体"/>
                <w:color w:val="000000"/>
                <w:szCs w:val="21"/>
                <w:highlight w:val="none"/>
              </w:rPr>
              <w:t>提供相同品牌产品（非单一产品采购项目的，指核心产品）的不同投标人评审得分相同时，按照下列方式确定一个投标人获得中标人推荐资格：</w:t>
            </w:r>
          </w:p>
          <w:p w14:paraId="139736F9">
            <w:pPr>
              <w:autoSpaceDE w:val="0"/>
              <w:autoSpaceDN w:val="0"/>
              <w:snapToGrid w:val="0"/>
              <w:spacing w:line="360" w:lineRule="auto"/>
              <w:textAlignment w:val="bottom"/>
              <w:rPr>
                <w:rFonts w:hint="eastAsia" w:ascii="宋体" w:hAnsi="宋体"/>
                <w:i/>
                <w:color w:val="000000"/>
                <w:szCs w:val="21"/>
                <w:highlight w:val="none"/>
              </w:rPr>
            </w:pPr>
            <w:r>
              <w:rPr>
                <w:rFonts w:ascii="Wingdings 2" w:hAnsi="Wingdings 2"/>
                <w:color w:val="000000"/>
                <w:szCs w:val="21"/>
                <w:highlight w:val="none"/>
              </w:rPr>
              <w:t></w:t>
            </w:r>
            <w:r>
              <w:rPr>
                <w:rFonts w:hint="eastAsia" w:ascii="宋体" w:hAnsi="宋体"/>
                <w:color w:val="000000"/>
                <w:szCs w:val="21"/>
                <w:highlight w:val="none"/>
              </w:rPr>
              <w:t>依次按投标报价低的优先、政策分得分高的优先、技术评分高的优先、商务评分高的优先、质保期长优先、交货期短优先、故障响应时间短优先的顺序推荐；</w:t>
            </w:r>
          </w:p>
          <w:p w14:paraId="294635D6">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□随机抽取；</w:t>
            </w:r>
          </w:p>
          <w:p w14:paraId="01A19E14">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w:t>
            </w:r>
          </w:p>
        </w:tc>
      </w:tr>
      <w:tr w14:paraId="670273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1" w:hRule="atLeast"/>
        </w:trPr>
        <w:tc>
          <w:tcPr>
            <w:tcW w:w="895" w:type="dxa"/>
            <w:vMerge w:val="restart"/>
            <w:tcBorders>
              <w:top w:val="single" w:color="auto" w:sz="4" w:space="0"/>
              <w:left w:val="single" w:color="auto" w:sz="4" w:space="0"/>
              <w:right w:val="single" w:color="auto" w:sz="4" w:space="0"/>
            </w:tcBorders>
            <w:noWrap w:val="0"/>
            <w:vAlign w:val="center"/>
          </w:tcPr>
          <w:p w14:paraId="0F02064B">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1</w:t>
            </w:r>
            <w:r>
              <w:rPr>
                <w:rFonts w:ascii="宋体" w:hAnsi="宋体"/>
                <w:color w:val="000000"/>
                <w:szCs w:val="21"/>
                <w:highlight w:val="none"/>
              </w:rPr>
              <w:t>1.2</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47D2DAAB">
            <w:pPr>
              <w:snapToGrid w:val="0"/>
              <w:spacing w:line="360" w:lineRule="auto"/>
              <w:rPr>
                <w:rFonts w:ascii="宋体" w:hAnsi="宋体"/>
                <w:color w:val="000000"/>
                <w:szCs w:val="21"/>
                <w:highlight w:val="none"/>
              </w:rPr>
            </w:pPr>
            <w:r>
              <w:rPr>
                <w:rFonts w:ascii="Wingdings 2" w:hAnsi="Wingdings 2"/>
                <w:color w:val="000000"/>
                <w:szCs w:val="21"/>
                <w:highlight w:val="none"/>
              </w:rPr>
              <w:t></w:t>
            </w:r>
            <w:r>
              <w:rPr>
                <w:rFonts w:hint="eastAsia" w:ascii="宋体" w:hAnsi="宋体"/>
                <w:color w:val="000000"/>
                <w:szCs w:val="21"/>
                <w:highlight w:val="none"/>
              </w:rPr>
              <w:t>不组织现场考察</w:t>
            </w:r>
          </w:p>
          <w:p w14:paraId="3797BC24">
            <w:pPr>
              <w:snapToGrid w:val="0"/>
              <w:spacing w:line="360" w:lineRule="auto"/>
              <w:rPr>
                <w:rFonts w:ascii="宋体" w:hAnsi="宋体"/>
                <w:color w:val="000000"/>
                <w:szCs w:val="21"/>
                <w:highlight w:val="none"/>
              </w:rPr>
            </w:pPr>
            <w:r>
              <w:rPr>
                <w:rFonts w:hint="eastAsia" w:ascii="宋体" w:hAnsi="宋体"/>
                <w:color w:val="000000"/>
                <w:szCs w:val="21"/>
                <w:highlight w:val="none"/>
              </w:rPr>
              <w:t>□组织现场考察：</w:t>
            </w:r>
          </w:p>
          <w:p w14:paraId="0F3DAF3F">
            <w:pPr>
              <w:snapToGrid w:val="0"/>
              <w:spacing w:line="360" w:lineRule="auto"/>
              <w:rPr>
                <w:rFonts w:ascii="宋体" w:hAnsi="宋体"/>
                <w:color w:val="000000"/>
                <w:szCs w:val="21"/>
                <w:highlight w:val="none"/>
                <w:u w:val="single"/>
              </w:rPr>
            </w:pPr>
            <w:r>
              <w:rPr>
                <w:rFonts w:hint="eastAsia" w:ascii="宋体" w:hAnsi="宋体"/>
                <w:color w:val="000000"/>
                <w:szCs w:val="21"/>
                <w:highlight w:val="none"/>
              </w:rPr>
              <w:t>集中时间：</w:t>
            </w: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日 </w:t>
            </w:r>
            <w:r>
              <w:rPr>
                <w:rFonts w:hint="eastAsia" w:ascii="宋体" w:hAnsi="宋体"/>
                <w:color w:val="000000"/>
                <w:szCs w:val="21"/>
                <w:highlight w:val="none"/>
                <w:u w:val="single"/>
              </w:rPr>
              <w:t xml:space="preserve">  </w:t>
            </w:r>
            <w:r>
              <w:rPr>
                <w:rFonts w:hint="eastAsia" w:ascii="宋体" w:hAnsi="宋体"/>
                <w:color w:val="000000"/>
                <w:szCs w:val="21"/>
                <w:highlight w:val="none"/>
              </w:rPr>
              <w:t>时</w:t>
            </w:r>
            <w:r>
              <w:rPr>
                <w:rFonts w:hint="eastAsia" w:ascii="宋体" w:hAnsi="宋体"/>
                <w:color w:val="000000"/>
                <w:szCs w:val="21"/>
                <w:highlight w:val="none"/>
                <w:u w:val="single"/>
              </w:rPr>
              <w:t xml:space="preserve">  分</w:t>
            </w:r>
            <w:r>
              <w:rPr>
                <w:rFonts w:hint="eastAsia" w:ascii="宋体" w:hAnsi="宋体"/>
                <w:color w:val="000000"/>
                <w:szCs w:val="21"/>
                <w:highlight w:val="none"/>
              </w:rPr>
              <w:t>，逾期后果自负。集中地点：</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p>
          <w:p w14:paraId="360CB1C3">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联系人：</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rPr>
              <w:t>；联系电话：</w:t>
            </w:r>
            <w:r>
              <w:rPr>
                <w:rFonts w:ascii="宋体" w:hAnsi="宋体"/>
                <w:color w:val="000000"/>
                <w:szCs w:val="21"/>
                <w:highlight w:val="none"/>
                <w:u w:val="single"/>
              </w:rPr>
              <w:t xml:space="preserve">                </w:t>
            </w:r>
          </w:p>
        </w:tc>
      </w:tr>
      <w:tr w14:paraId="6B1B82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895" w:type="dxa"/>
            <w:vMerge w:val="continue"/>
            <w:tcBorders>
              <w:left w:val="single" w:color="auto" w:sz="4" w:space="0"/>
              <w:bottom w:val="single" w:color="auto" w:sz="4" w:space="0"/>
              <w:right w:val="single" w:color="auto" w:sz="4" w:space="0"/>
            </w:tcBorders>
            <w:noWrap w:val="0"/>
            <w:vAlign w:val="center"/>
          </w:tcPr>
          <w:p w14:paraId="226BE01E">
            <w:pPr>
              <w:spacing w:line="360" w:lineRule="auto"/>
              <w:jc w:val="center"/>
              <w:rPr>
                <w:rFonts w:hint="eastAsia" w:ascii="宋体" w:hAnsi="宋体"/>
                <w:color w:val="000000"/>
                <w:szCs w:val="21"/>
                <w:highlight w:val="none"/>
              </w:rPr>
            </w:pPr>
          </w:p>
        </w:tc>
        <w:tc>
          <w:tcPr>
            <w:tcW w:w="8711" w:type="dxa"/>
            <w:tcBorders>
              <w:top w:val="single" w:color="auto" w:sz="4" w:space="0"/>
              <w:left w:val="single" w:color="auto" w:sz="4" w:space="0"/>
              <w:bottom w:val="single" w:color="auto" w:sz="4" w:space="0"/>
              <w:right w:val="single" w:color="auto" w:sz="4" w:space="0"/>
            </w:tcBorders>
            <w:noWrap w:val="0"/>
            <w:vAlign w:val="center"/>
          </w:tcPr>
          <w:p w14:paraId="5420B05E">
            <w:pPr>
              <w:snapToGrid w:val="0"/>
              <w:spacing w:line="360" w:lineRule="auto"/>
              <w:rPr>
                <w:rFonts w:ascii="宋体" w:hAnsi="宋体"/>
                <w:color w:val="000000"/>
                <w:szCs w:val="21"/>
                <w:highlight w:val="none"/>
              </w:rPr>
            </w:pPr>
            <w:r>
              <w:rPr>
                <w:rFonts w:ascii="Wingdings 2" w:hAnsi="Wingdings 2"/>
                <w:color w:val="000000"/>
                <w:szCs w:val="21"/>
                <w:highlight w:val="none"/>
              </w:rPr>
              <w:t></w:t>
            </w:r>
            <w:r>
              <w:rPr>
                <w:rFonts w:hint="eastAsia" w:ascii="宋体" w:hAnsi="宋体"/>
                <w:color w:val="000000"/>
                <w:szCs w:val="21"/>
                <w:highlight w:val="none"/>
              </w:rPr>
              <w:t>不组织召开开标前答疑会</w:t>
            </w:r>
          </w:p>
          <w:p w14:paraId="3355BC79">
            <w:pPr>
              <w:snapToGrid w:val="0"/>
              <w:spacing w:line="360" w:lineRule="auto"/>
              <w:rPr>
                <w:rFonts w:ascii="宋体" w:hAnsi="宋体"/>
                <w:color w:val="000000"/>
                <w:szCs w:val="21"/>
                <w:highlight w:val="none"/>
              </w:rPr>
            </w:pPr>
            <w:r>
              <w:rPr>
                <w:rFonts w:hint="eastAsia" w:ascii="宋体" w:hAnsi="宋体"/>
                <w:color w:val="000000"/>
                <w:szCs w:val="21"/>
                <w:highlight w:val="none"/>
              </w:rPr>
              <w:t>□组织召开开标前答疑会</w:t>
            </w:r>
          </w:p>
          <w:p w14:paraId="6AE58B28">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会议开始时间：</w:t>
            </w: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日 </w:t>
            </w:r>
            <w:r>
              <w:rPr>
                <w:rFonts w:hint="eastAsia" w:ascii="宋体" w:hAnsi="宋体"/>
                <w:color w:val="000000"/>
                <w:szCs w:val="21"/>
                <w:highlight w:val="none"/>
                <w:u w:val="single"/>
              </w:rPr>
              <w:t xml:space="preserve">  </w:t>
            </w:r>
            <w:r>
              <w:rPr>
                <w:rFonts w:hint="eastAsia" w:ascii="宋体" w:hAnsi="宋体"/>
                <w:color w:val="000000"/>
                <w:szCs w:val="21"/>
                <w:highlight w:val="none"/>
              </w:rPr>
              <w:t>时</w:t>
            </w:r>
            <w:r>
              <w:rPr>
                <w:rFonts w:hint="eastAsia" w:ascii="宋体" w:hAnsi="宋体"/>
                <w:color w:val="000000"/>
                <w:szCs w:val="21"/>
                <w:highlight w:val="none"/>
                <w:u w:val="single"/>
              </w:rPr>
              <w:t xml:space="preserve">  分</w:t>
            </w:r>
            <w:r>
              <w:rPr>
                <w:rFonts w:hint="eastAsia" w:ascii="宋体" w:hAnsi="宋体"/>
                <w:color w:val="000000"/>
                <w:szCs w:val="21"/>
                <w:highlight w:val="none"/>
              </w:rPr>
              <w:t>，逾期后果自负。会议地点：</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p>
        </w:tc>
      </w:tr>
      <w:tr w14:paraId="69B8C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restart"/>
            <w:tcBorders>
              <w:top w:val="single" w:color="auto" w:sz="4" w:space="0"/>
              <w:left w:val="single" w:color="auto" w:sz="4" w:space="0"/>
              <w:right w:val="single" w:color="auto" w:sz="4" w:space="0"/>
            </w:tcBorders>
            <w:noWrap w:val="0"/>
            <w:vAlign w:val="center"/>
          </w:tcPr>
          <w:p w14:paraId="6D48B443">
            <w:pPr>
              <w:spacing w:line="360" w:lineRule="auto"/>
              <w:jc w:val="center"/>
              <w:rPr>
                <w:rFonts w:hint="eastAsia" w:ascii="宋体" w:hAnsi="宋体"/>
                <w:color w:val="000000"/>
                <w:szCs w:val="21"/>
                <w:highlight w:val="none"/>
              </w:rPr>
            </w:pPr>
            <w:bookmarkStart w:id="61" w:name="_13.1"/>
            <w:bookmarkEnd w:id="61"/>
            <w:r>
              <w:rPr>
                <w:rFonts w:hint="eastAsia" w:ascii="宋体" w:hAnsi="宋体"/>
                <w:color w:val="000000"/>
                <w:szCs w:val="21"/>
                <w:highlight w:val="none"/>
              </w:rPr>
              <w:t>13</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6CD6D471">
            <w:pPr>
              <w:snapToGrid w:val="0"/>
              <w:spacing w:line="360" w:lineRule="auto"/>
              <w:jc w:val="left"/>
              <w:rPr>
                <w:rFonts w:hint="eastAsia" w:ascii="宋体" w:hAnsi="宋体" w:cs="Courier New"/>
                <w:b/>
                <w:color w:val="000000"/>
                <w:szCs w:val="21"/>
                <w:highlight w:val="none"/>
              </w:rPr>
            </w:pPr>
            <w:r>
              <w:rPr>
                <w:rFonts w:hint="eastAsia" w:ascii="宋体" w:hAnsi="宋体" w:cs="Courier New"/>
                <w:b/>
                <w:color w:val="000000"/>
                <w:szCs w:val="21"/>
                <w:highlight w:val="none"/>
              </w:rPr>
              <w:t>报价文件：</w:t>
            </w:r>
          </w:p>
          <w:p w14:paraId="52B06AB5">
            <w:pPr>
              <w:tabs>
                <w:tab w:val="left" w:pos="459"/>
              </w:tabs>
              <w:snapToGrid w:val="0"/>
              <w:spacing w:line="360" w:lineRule="auto"/>
              <w:ind w:left="420"/>
              <w:jc w:val="left"/>
              <w:rPr>
                <w:rFonts w:hint="eastAsia" w:ascii="宋体" w:hAnsi="宋体"/>
                <w:color w:val="000000"/>
                <w:szCs w:val="21"/>
                <w:highlight w:val="none"/>
              </w:rPr>
            </w:pPr>
            <w:r>
              <w:rPr>
                <w:rFonts w:hint="eastAsia" w:ascii="宋体" w:hAnsi="宋体"/>
                <w:color w:val="000000"/>
                <w:szCs w:val="21"/>
                <w:highlight w:val="none"/>
              </w:rPr>
              <w:t>1.投标函（格式后附）；</w:t>
            </w:r>
            <w:r>
              <w:rPr>
                <w:rFonts w:hint="eastAsia" w:ascii="宋体" w:hAnsi="宋体"/>
                <w:b/>
                <w:color w:val="000000"/>
                <w:szCs w:val="21"/>
                <w:highlight w:val="none"/>
              </w:rPr>
              <w:t>（必须提供，否则按无效投标处理）</w:t>
            </w:r>
          </w:p>
          <w:p w14:paraId="1F6B212D">
            <w:pPr>
              <w:tabs>
                <w:tab w:val="left" w:pos="459"/>
              </w:tabs>
              <w:snapToGrid w:val="0"/>
              <w:spacing w:line="360" w:lineRule="auto"/>
              <w:ind w:left="420"/>
              <w:jc w:val="left"/>
              <w:rPr>
                <w:rFonts w:hint="eastAsia" w:ascii="宋体" w:hAnsi="宋体"/>
                <w:color w:val="000000"/>
                <w:szCs w:val="21"/>
                <w:highlight w:val="none"/>
              </w:rPr>
            </w:pPr>
            <w:bookmarkStart w:id="62" w:name="_Hlk71299233"/>
            <w:r>
              <w:rPr>
                <w:rFonts w:hint="eastAsia" w:ascii="宋体" w:hAnsi="宋体"/>
                <w:color w:val="000000"/>
                <w:szCs w:val="21"/>
                <w:highlight w:val="none"/>
              </w:rPr>
              <w:t>2.开标一览表</w:t>
            </w:r>
            <w:bookmarkEnd w:id="62"/>
            <w:r>
              <w:rPr>
                <w:rFonts w:hint="eastAsia" w:ascii="宋体" w:hAnsi="宋体"/>
                <w:color w:val="000000"/>
                <w:szCs w:val="21"/>
                <w:highlight w:val="none"/>
              </w:rPr>
              <w:t>（格式后附）；投标人在开标一览表中提供医疗器械产品注册证（如有）或产品合格证名称（如有），并如实填写医疗器械产品注册证名称及编号或产品合格证名称，否则，中标后交货时及履约验收时造成的标的名称与注册证上或产品合格证的产品名称不一致的，</w:t>
            </w:r>
            <w:r>
              <w:rPr>
                <w:rFonts w:hint="eastAsia" w:ascii="宋体" w:hAnsi="宋体"/>
                <w:b/>
                <w:color w:val="000000"/>
                <w:szCs w:val="21"/>
                <w:highlight w:val="none"/>
              </w:rPr>
              <w:t>采购人有权拒收货物及给以履约验收不通过，造成的不利后果由投标人负责，</w:t>
            </w:r>
            <w:r>
              <w:rPr>
                <w:rFonts w:hint="eastAsia" w:ascii="宋体" w:hAnsi="宋体"/>
                <w:color w:val="000000"/>
                <w:szCs w:val="21"/>
                <w:highlight w:val="none"/>
              </w:rPr>
              <w:t>投标人</w:t>
            </w:r>
            <w:r>
              <w:rPr>
                <w:rFonts w:hint="eastAsia" w:ascii="宋体" w:hAnsi="宋体" w:cs="宋体"/>
                <w:color w:val="000000"/>
                <w:szCs w:val="21"/>
                <w:highlight w:val="none"/>
              </w:rPr>
              <w:t>提供主要零配件及易耗品供货价格及质保期外零配件优质服务方案及报价</w:t>
            </w:r>
            <w:r>
              <w:rPr>
                <w:rFonts w:hint="eastAsia" w:ascii="宋体" w:hAnsi="宋体"/>
                <w:b/>
                <w:color w:val="000000"/>
                <w:szCs w:val="21"/>
                <w:highlight w:val="none"/>
              </w:rPr>
              <w:t>否则按无效投标处理</w:t>
            </w:r>
            <w:r>
              <w:rPr>
                <w:rFonts w:hint="eastAsia" w:ascii="宋体" w:hAnsi="宋体"/>
                <w:color w:val="000000"/>
                <w:szCs w:val="21"/>
                <w:highlight w:val="none"/>
              </w:rPr>
              <w:t>； （</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 xml:space="preserve">） </w:t>
            </w:r>
          </w:p>
          <w:p w14:paraId="7A4503F5">
            <w:pPr>
              <w:tabs>
                <w:tab w:val="left" w:pos="459"/>
              </w:tabs>
              <w:snapToGrid w:val="0"/>
              <w:spacing w:line="360" w:lineRule="auto"/>
              <w:ind w:left="420"/>
              <w:jc w:val="left"/>
              <w:rPr>
                <w:rFonts w:hint="eastAsia" w:ascii="宋体" w:hAnsi="宋体"/>
                <w:color w:val="000000"/>
                <w:szCs w:val="21"/>
                <w:highlight w:val="none"/>
              </w:rPr>
            </w:pPr>
            <w:r>
              <w:rPr>
                <w:rFonts w:hint="eastAsia" w:ascii="宋体" w:hAnsi="宋体"/>
                <w:color w:val="000000"/>
                <w:szCs w:val="21"/>
                <w:highlight w:val="none"/>
              </w:rPr>
              <w:t>3.投标人针对报价需要说明的其他文件和说明（格式自拟）。</w:t>
            </w:r>
          </w:p>
          <w:p w14:paraId="34781B4E">
            <w:pPr>
              <w:snapToGrid w:val="0"/>
              <w:spacing w:line="360" w:lineRule="auto"/>
              <w:ind w:firstLine="422" w:firstLineChars="200"/>
              <w:jc w:val="left"/>
              <w:rPr>
                <w:rFonts w:hint="eastAsia" w:ascii="宋体" w:hAnsi="宋体" w:cs="宋体"/>
                <w:b/>
                <w:color w:val="000000"/>
                <w:szCs w:val="21"/>
                <w:highlight w:val="none"/>
              </w:rPr>
            </w:pPr>
            <w:r>
              <w:rPr>
                <w:rFonts w:hint="eastAsia" w:ascii="宋体" w:hAnsi="宋体" w:cs="宋体"/>
                <w:b/>
                <w:color w:val="000000"/>
                <w:szCs w:val="21"/>
                <w:highlight w:val="none"/>
              </w:rPr>
              <w:t>注：</w:t>
            </w:r>
            <w:r>
              <w:rPr>
                <w:rFonts w:hint="eastAsia" w:ascii="宋体" w:hAnsi="宋体"/>
                <w:b/>
                <w:bCs/>
                <w:color w:val="000000"/>
                <w:szCs w:val="21"/>
                <w:highlight w:val="none"/>
              </w:rPr>
              <w:t>以上标明“必须提供”的材料，格式</w:t>
            </w:r>
            <w:r>
              <w:rPr>
                <w:rFonts w:hint="eastAsia" w:ascii="宋体" w:hAnsi="宋体" w:cs="宋体"/>
                <w:b/>
                <w:color w:val="000000"/>
                <w:szCs w:val="21"/>
                <w:highlight w:val="none"/>
              </w:rPr>
              <w:t>中有要求法定代表人或者委托代理人签字的，必须按要求签字并加盖投标人电子签章</w:t>
            </w:r>
            <w:r>
              <w:rPr>
                <w:rFonts w:hint="eastAsia" w:ascii="宋体" w:hAnsi="宋体"/>
                <w:b/>
                <w:bCs/>
                <w:color w:val="000000"/>
                <w:szCs w:val="21"/>
                <w:highlight w:val="none"/>
              </w:rPr>
              <w:t>，否则按无效投标</w:t>
            </w:r>
            <w:r>
              <w:rPr>
                <w:rFonts w:hint="eastAsia" w:ascii="宋体" w:hAnsi="宋体" w:cs="Courier New"/>
                <w:b/>
                <w:color w:val="000000"/>
                <w:szCs w:val="21"/>
                <w:highlight w:val="none"/>
              </w:rPr>
              <w:t>处理。</w:t>
            </w:r>
            <w:r>
              <w:rPr>
                <w:rFonts w:hint="eastAsia" w:ascii="宋体" w:hAnsi="宋体" w:cs="宋体"/>
                <w:b/>
                <w:color w:val="000000"/>
                <w:szCs w:val="21"/>
                <w:highlight w:val="none"/>
              </w:rPr>
              <w:t xml:space="preserve"> </w:t>
            </w:r>
          </w:p>
        </w:tc>
      </w:tr>
      <w:tr w14:paraId="1240D3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continue"/>
            <w:tcBorders>
              <w:left w:val="single" w:color="auto" w:sz="4" w:space="0"/>
              <w:right w:val="single" w:color="auto" w:sz="4" w:space="0"/>
            </w:tcBorders>
            <w:noWrap w:val="0"/>
            <w:vAlign w:val="center"/>
          </w:tcPr>
          <w:p w14:paraId="6AE3EB97">
            <w:pPr>
              <w:spacing w:line="360" w:lineRule="auto"/>
              <w:rPr>
                <w:rFonts w:hint="eastAsia" w:ascii="宋体" w:hAnsi="宋体"/>
                <w:color w:val="000000"/>
                <w:szCs w:val="21"/>
                <w:highlight w:val="none"/>
              </w:rPr>
            </w:pPr>
            <w:bookmarkStart w:id="63" w:name="_13.2"/>
            <w:bookmarkEnd w:id="63"/>
          </w:p>
        </w:tc>
        <w:tc>
          <w:tcPr>
            <w:tcW w:w="8711" w:type="dxa"/>
            <w:tcBorders>
              <w:top w:val="single" w:color="auto" w:sz="4" w:space="0"/>
              <w:left w:val="single" w:color="auto" w:sz="4" w:space="0"/>
              <w:bottom w:val="single" w:color="auto" w:sz="4" w:space="0"/>
              <w:right w:val="single" w:color="auto" w:sz="4" w:space="0"/>
            </w:tcBorders>
            <w:noWrap w:val="0"/>
            <w:vAlign w:val="center"/>
          </w:tcPr>
          <w:p w14:paraId="608212D2">
            <w:pPr>
              <w:snapToGrid w:val="0"/>
              <w:spacing w:line="360" w:lineRule="auto"/>
              <w:jc w:val="left"/>
              <w:rPr>
                <w:rFonts w:hint="eastAsia" w:ascii="宋体" w:hAnsi="宋体" w:cs="Courier New"/>
                <w:b/>
                <w:color w:val="000000"/>
                <w:szCs w:val="21"/>
                <w:highlight w:val="none"/>
              </w:rPr>
            </w:pPr>
            <w:r>
              <w:rPr>
                <w:rFonts w:hint="eastAsia" w:ascii="宋体" w:hAnsi="宋体" w:cs="Courier New"/>
                <w:b/>
                <w:color w:val="000000"/>
                <w:szCs w:val="21"/>
                <w:highlight w:val="none"/>
              </w:rPr>
              <w:t>资格证明文件</w:t>
            </w:r>
          </w:p>
          <w:p w14:paraId="477FAC4F">
            <w:pPr>
              <w:snapToGrid w:val="0"/>
              <w:spacing w:line="360" w:lineRule="auto"/>
              <w:ind w:firstLine="420" w:firstLineChars="200"/>
              <w:jc w:val="left"/>
              <w:rPr>
                <w:rFonts w:ascii="宋体" w:hAnsi="宋体" w:cs="Courier New"/>
                <w:b/>
                <w:color w:val="000000"/>
                <w:szCs w:val="21"/>
                <w:highlight w:val="none"/>
              </w:rPr>
            </w:pPr>
            <w:r>
              <w:rPr>
                <w:rFonts w:hint="eastAsia" w:ascii="宋体" w:hAnsi="宋体"/>
                <w:color w:val="000000"/>
                <w:szCs w:val="21"/>
                <w:highlight w:val="none"/>
              </w:rPr>
              <w:t>1.投标人为法人或者其他组织的，提供营业执照等证明文件</w:t>
            </w:r>
            <w:r>
              <w:rPr>
                <w:rFonts w:hint="eastAsia" w:ascii="宋体" w:hAnsi="宋体" w:cs="宋体"/>
                <w:color w:val="000000"/>
                <w:szCs w:val="21"/>
                <w:highlight w:val="none"/>
              </w:rPr>
              <w:t>（如营业执照或者事业单位法人证书或者</w:t>
            </w:r>
            <w:r>
              <w:rPr>
                <w:rStyle w:val="106"/>
                <w:color w:val="000000"/>
                <w:sz w:val="21"/>
                <w:szCs w:val="21"/>
                <w:highlight w:val="none"/>
              </w:rPr>
              <w:t>执业许可证</w:t>
            </w:r>
            <w:r>
              <w:rPr>
                <w:rFonts w:hint="eastAsia" w:ascii="宋体" w:hAnsi="宋体" w:cs="宋体"/>
                <w:color w:val="000000"/>
                <w:szCs w:val="21"/>
                <w:highlight w:val="none"/>
              </w:rPr>
              <w:t>或者登记证书等）</w:t>
            </w:r>
            <w:r>
              <w:rPr>
                <w:rFonts w:hint="eastAsia" w:ascii="宋体" w:hAnsi="宋体"/>
                <w:color w:val="000000"/>
                <w:szCs w:val="21"/>
                <w:highlight w:val="none"/>
              </w:rPr>
              <w:t>，投标人为自然人的，提供身份证</w:t>
            </w:r>
            <w:r>
              <w:rPr>
                <w:rFonts w:hint="eastAsia" w:ascii="宋体" w:hAnsi="宋体" w:cs="宋体"/>
                <w:color w:val="000000"/>
                <w:szCs w:val="21"/>
                <w:highlight w:val="none"/>
              </w:rPr>
              <w:t>复印件</w:t>
            </w:r>
            <w:r>
              <w:rPr>
                <w:rFonts w:hint="eastAsia" w:ascii="宋体" w:hAnsi="宋体"/>
                <w:color w:val="000000"/>
                <w:szCs w:val="21"/>
                <w:highlight w:val="none"/>
              </w:rPr>
              <w:t>；（</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59A0C8EA">
            <w:pPr>
              <w:snapToGrid w:val="0"/>
              <w:spacing w:line="360" w:lineRule="auto"/>
              <w:ind w:firstLine="420" w:firstLineChars="200"/>
              <w:jc w:val="left"/>
              <w:rPr>
                <w:rFonts w:hint="eastAsia" w:ascii="宋体" w:hAnsi="宋体" w:cs="Courier New"/>
                <w:b/>
                <w:color w:val="000000"/>
                <w:szCs w:val="21"/>
                <w:highlight w:val="none"/>
              </w:rPr>
            </w:pPr>
            <w:r>
              <w:rPr>
                <w:rFonts w:hint="eastAsia" w:ascii="宋体" w:hAnsi="宋体" w:cs="宋体"/>
                <w:color w:val="000000"/>
                <w:szCs w:val="21"/>
                <w:highlight w:val="none"/>
              </w:rPr>
              <w:t>2.投标人依法缴纳税收的相关材料（</w:t>
            </w:r>
            <w:r>
              <w:rPr>
                <w:rFonts w:hint="eastAsia" w:ascii="宋体" w:hAnsi="宋体" w:cs="宋体"/>
                <w:color w:val="000000"/>
                <w:szCs w:val="21"/>
                <w:highlight w:val="none"/>
                <w:u w:val="single"/>
              </w:rPr>
              <w:t xml:space="preserve"> 2024</w:t>
            </w:r>
            <w:r>
              <w:rPr>
                <w:rFonts w:hint="eastAsia" w:ascii="宋体" w:hAnsi="宋体" w:cs="宋体"/>
                <w:color w:val="000000"/>
                <w:szCs w:val="21"/>
                <w:highlight w:val="none"/>
              </w:rPr>
              <w:t>年</w:t>
            </w:r>
            <w:r>
              <w:rPr>
                <w:rFonts w:hint="eastAsia" w:ascii="宋体" w:hAnsi="宋体" w:cs="宋体"/>
                <w:color w:val="000000"/>
                <w:szCs w:val="21"/>
                <w:highlight w:val="none"/>
                <w:u w:val="single"/>
              </w:rPr>
              <w:t>8</w:t>
            </w:r>
            <w:r>
              <w:rPr>
                <w:rFonts w:hint="eastAsia" w:ascii="宋体" w:hAnsi="宋体" w:cs="宋体"/>
                <w:color w:val="000000"/>
                <w:szCs w:val="21"/>
                <w:highlight w:val="none"/>
              </w:rPr>
              <w:t>月至</w:t>
            </w:r>
            <w:r>
              <w:rPr>
                <w:rFonts w:hint="eastAsia" w:ascii="宋体" w:hAnsi="宋体" w:cs="宋体"/>
                <w:color w:val="000000"/>
                <w:szCs w:val="21"/>
                <w:highlight w:val="none"/>
                <w:u w:val="single"/>
              </w:rPr>
              <w:t xml:space="preserve"> 2025</w:t>
            </w:r>
            <w:r>
              <w:rPr>
                <w:rFonts w:hint="eastAsia" w:ascii="宋体" w:hAnsi="宋体" w:cs="宋体"/>
                <w:color w:val="000000"/>
                <w:szCs w:val="21"/>
                <w:highlight w:val="none"/>
              </w:rPr>
              <w:t>年</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4</w:t>
            </w:r>
            <w:r>
              <w:rPr>
                <w:rFonts w:hint="eastAsia" w:ascii="宋体" w:hAnsi="宋体" w:cs="宋体"/>
                <w:color w:val="000000"/>
                <w:szCs w:val="21"/>
                <w:highlight w:val="none"/>
              </w:rPr>
              <w:t>月内</w:t>
            </w:r>
            <w:r>
              <w:rPr>
                <w:rFonts w:hint="eastAsia"/>
                <w:color w:val="000000"/>
                <w:highlight w:val="none"/>
                <w:lang w:eastAsia="zh-CN"/>
              </w:rPr>
              <w:t>任意</w:t>
            </w:r>
            <w:r>
              <w:rPr>
                <w:rFonts w:hint="eastAsia" w:ascii="宋体" w:hAnsi="宋体" w:cs="宋体"/>
                <w:color w:val="000000"/>
                <w:szCs w:val="21"/>
                <w:highlight w:val="none"/>
              </w:rPr>
              <w:t>连续</w:t>
            </w:r>
            <w:r>
              <w:rPr>
                <w:rFonts w:hint="eastAsia" w:ascii="宋体" w:hAnsi="宋体" w:cs="宋体"/>
                <w:color w:val="000000"/>
                <w:szCs w:val="21"/>
                <w:highlight w:val="none"/>
                <w:u w:val="single"/>
              </w:rPr>
              <w:t xml:space="preserve"> 3 </w:t>
            </w:r>
            <w:r>
              <w:rPr>
                <w:rFonts w:hint="eastAsia" w:ascii="宋体" w:hAnsi="宋体" w:cs="宋体"/>
                <w:color w:val="000000"/>
                <w:szCs w:val="21"/>
                <w:highlight w:val="none"/>
              </w:rPr>
              <w:t>个月的依法缴纳税收的</w:t>
            </w:r>
            <w:r>
              <w:rPr>
                <w:rFonts w:hint="eastAsia"/>
                <w:color w:val="000000"/>
                <w:highlight w:val="none"/>
              </w:rPr>
              <w:t>证明材料</w:t>
            </w:r>
            <w:r>
              <w:rPr>
                <w:rFonts w:hint="eastAsia" w:ascii="宋体" w:hAnsi="宋体" w:cs="宋体"/>
                <w:color w:val="000000"/>
                <w:szCs w:val="21"/>
                <w:highlight w:val="none"/>
              </w:rPr>
              <w:t>复印件；</w:t>
            </w:r>
            <w:r>
              <w:rPr>
                <w:rFonts w:hint="eastAsia" w:ascii="宋体" w:hAnsi="宋体"/>
                <w:color w:val="000000"/>
                <w:szCs w:val="21"/>
                <w:highlight w:val="none"/>
              </w:rPr>
              <w:t>依法免税的供应商，</w:t>
            </w:r>
            <w:r>
              <w:rPr>
                <w:rFonts w:hint="eastAsia"/>
                <w:color w:val="000000"/>
                <w:highlight w:val="none"/>
              </w:rPr>
              <w:t>必须提供符合免税条件的证明材料</w:t>
            </w:r>
            <w:r>
              <w:rPr>
                <w:rFonts w:hint="eastAsia" w:ascii="宋体" w:hAnsi="宋体"/>
                <w:color w:val="000000"/>
                <w:szCs w:val="21"/>
                <w:highlight w:val="none"/>
              </w:rPr>
              <w:t>。</w:t>
            </w:r>
            <w:r>
              <w:rPr>
                <w:rFonts w:hint="eastAsia" w:ascii="宋体" w:hAnsi="宋体" w:cs="宋体"/>
                <w:color w:val="000000"/>
                <w:szCs w:val="21"/>
                <w:highlight w:val="none"/>
              </w:rPr>
              <w:t>从</w:t>
            </w:r>
            <w:r>
              <w:rPr>
                <w:rFonts w:hint="eastAsia"/>
                <w:color w:val="000000"/>
                <w:szCs w:val="21"/>
                <w:highlight w:val="none"/>
              </w:rPr>
              <w:t>成立之日</w:t>
            </w:r>
            <w:r>
              <w:rPr>
                <w:rFonts w:hint="eastAsia" w:ascii="宋体" w:hAnsi="宋体" w:cs="宋体"/>
                <w:color w:val="000000"/>
                <w:szCs w:val="21"/>
                <w:highlight w:val="none"/>
              </w:rPr>
              <w:t>起到投标文件提交截止时间止不足要求月数的，只需提供从</w:t>
            </w:r>
            <w:r>
              <w:rPr>
                <w:rFonts w:hint="eastAsia"/>
                <w:color w:val="000000"/>
                <w:szCs w:val="21"/>
                <w:highlight w:val="none"/>
              </w:rPr>
              <w:t>成立之日起</w:t>
            </w:r>
            <w:r>
              <w:rPr>
                <w:rFonts w:hint="eastAsia" w:ascii="宋体" w:hAnsi="宋体" w:cs="宋体"/>
                <w:color w:val="000000"/>
                <w:szCs w:val="21"/>
                <w:highlight w:val="none"/>
              </w:rPr>
              <w:t>的依法缴纳税收</w:t>
            </w:r>
            <w:r>
              <w:rPr>
                <w:rFonts w:hint="eastAsia" w:ascii="宋体" w:hAnsi="宋体"/>
                <w:color w:val="000000"/>
                <w:szCs w:val="21"/>
                <w:highlight w:val="none"/>
              </w:rPr>
              <w:t>相应证明文件</w:t>
            </w:r>
            <w:r>
              <w:rPr>
                <w:rFonts w:hint="eastAsia" w:ascii="宋体" w:hAnsi="宋体" w:cs="宋体"/>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525F1067">
            <w:pPr>
              <w:snapToGrid w:val="0"/>
              <w:spacing w:line="360" w:lineRule="auto"/>
              <w:ind w:firstLine="420" w:firstLineChars="200"/>
              <w:jc w:val="left"/>
              <w:rPr>
                <w:rFonts w:hint="eastAsia" w:ascii="宋体" w:hAnsi="宋体" w:cs="Courier New"/>
                <w:b/>
                <w:color w:val="000000"/>
                <w:szCs w:val="21"/>
                <w:highlight w:val="none"/>
              </w:rPr>
            </w:pPr>
            <w:r>
              <w:rPr>
                <w:rFonts w:hint="eastAsia" w:ascii="宋体" w:hAnsi="宋体" w:cs="宋体"/>
                <w:color w:val="000000"/>
                <w:szCs w:val="21"/>
                <w:highlight w:val="none"/>
              </w:rPr>
              <w:t>3.投标人依法缴纳社会保障资金的相关材料[</w:t>
            </w:r>
            <w:r>
              <w:rPr>
                <w:rFonts w:hint="eastAsia" w:ascii="宋体" w:hAnsi="宋体" w:cs="宋体"/>
                <w:color w:val="000000"/>
                <w:szCs w:val="21"/>
                <w:highlight w:val="none"/>
                <w:u w:val="single"/>
              </w:rPr>
              <w:t>2024</w:t>
            </w:r>
            <w:r>
              <w:rPr>
                <w:rFonts w:hint="eastAsia" w:ascii="宋体" w:hAnsi="宋体" w:cs="宋体"/>
                <w:color w:val="000000"/>
                <w:szCs w:val="21"/>
                <w:highlight w:val="none"/>
              </w:rPr>
              <w:t>年</w:t>
            </w:r>
            <w:r>
              <w:rPr>
                <w:rFonts w:hint="eastAsia" w:ascii="宋体" w:hAnsi="宋体" w:cs="宋体"/>
                <w:color w:val="000000"/>
                <w:szCs w:val="21"/>
                <w:highlight w:val="none"/>
                <w:u w:val="single"/>
              </w:rPr>
              <w:t>8</w:t>
            </w:r>
            <w:r>
              <w:rPr>
                <w:rFonts w:hint="eastAsia" w:ascii="宋体" w:hAnsi="宋体" w:cs="宋体"/>
                <w:color w:val="000000"/>
                <w:szCs w:val="21"/>
                <w:highlight w:val="none"/>
              </w:rPr>
              <w:t>月至</w:t>
            </w:r>
            <w:r>
              <w:rPr>
                <w:rFonts w:hint="eastAsia" w:ascii="宋体" w:hAnsi="宋体" w:cs="宋体"/>
                <w:color w:val="000000"/>
                <w:szCs w:val="21"/>
                <w:highlight w:val="none"/>
                <w:u w:val="single"/>
              </w:rPr>
              <w:t xml:space="preserve"> 2025</w:t>
            </w:r>
            <w:r>
              <w:rPr>
                <w:rFonts w:hint="eastAsia" w:ascii="宋体" w:hAnsi="宋体" w:cs="宋体"/>
                <w:color w:val="000000"/>
                <w:szCs w:val="21"/>
                <w:highlight w:val="none"/>
              </w:rPr>
              <w:t>年</w:t>
            </w:r>
            <w:r>
              <w:rPr>
                <w:rFonts w:hint="eastAsia" w:ascii="宋体" w:hAnsi="宋体" w:cs="宋体"/>
                <w:color w:val="000000"/>
                <w:szCs w:val="21"/>
                <w:highlight w:val="none"/>
                <w:u w:val="single"/>
                <w:lang w:val="en-US" w:eastAsia="zh-CN"/>
              </w:rPr>
              <w:t>4</w:t>
            </w:r>
            <w:r>
              <w:rPr>
                <w:rFonts w:hint="eastAsia" w:ascii="宋体" w:hAnsi="宋体" w:cs="宋体"/>
                <w:color w:val="000000"/>
                <w:szCs w:val="21"/>
                <w:highlight w:val="none"/>
              </w:rPr>
              <w:t>月内</w:t>
            </w:r>
            <w:r>
              <w:rPr>
                <w:rFonts w:hint="eastAsia" w:ascii="宋体" w:hAnsi="宋体" w:cs="宋体"/>
                <w:color w:val="000000"/>
                <w:szCs w:val="21"/>
                <w:highlight w:val="none"/>
                <w:lang w:eastAsia="zh-CN"/>
              </w:rPr>
              <w:t>任意</w:t>
            </w:r>
            <w:r>
              <w:rPr>
                <w:rFonts w:hint="eastAsia" w:ascii="宋体" w:hAnsi="宋体" w:cs="宋体"/>
                <w:color w:val="000000"/>
                <w:szCs w:val="21"/>
                <w:highlight w:val="none"/>
              </w:rPr>
              <w:t>连续</w:t>
            </w:r>
            <w:r>
              <w:rPr>
                <w:rFonts w:hint="eastAsia" w:ascii="宋体" w:hAnsi="宋体" w:cs="宋体"/>
                <w:color w:val="000000"/>
                <w:szCs w:val="21"/>
                <w:highlight w:val="none"/>
                <w:u w:val="single"/>
              </w:rPr>
              <w:t xml:space="preserve"> 3  </w:t>
            </w:r>
            <w:r>
              <w:rPr>
                <w:rFonts w:hint="eastAsia" w:ascii="宋体" w:hAnsi="宋体" w:cs="宋体"/>
                <w:color w:val="000000"/>
                <w:szCs w:val="21"/>
                <w:highlight w:val="none"/>
              </w:rPr>
              <w:t>个月的依法缴纳社会保障资金的缴费</w:t>
            </w:r>
            <w:r>
              <w:rPr>
                <w:rFonts w:hint="eastAsia"/>
                <w:color w:val="000000"/>
                <w:highlight w:val="none"/>
              </w:rPr>
              <w:t>证明材料</w:t>
            </w:r>
            <w:r>
              <w:rPr>
                <w:rFonts w:hint="eastAsia" w:ascii="宋体" w:hAnsi="宋体" w:cs="宋体"/>
                <w:color w:val="000000"/>
                <w:szCs w:val="21"/>
                <w:highlight w:val="none"/>
              </w:rPr>
              <w:t>（</w:t>
            </w:r>
            <w:r>
              <w:rPr>
                <w:rFonts w:hint="eastAsia"/>
                <w:color w:val="000000"/>
                <w:highlight w:val="none"/>
              </w:rPr>
              <w:t>如：</w:t>
            </w:r>
            <w:r>
              <w:rPr>
                <w:rFonts w:hint="eastAsia" w:ascii="宋体" w:hAnsi="宋体" w:cs="宋体"/>
                <w:color w:val="000000"/>
                <w:szCs w:val="21"/>
                <w:highlight w:val="none"/>
              </w:rPr>
              <w:t>专用收据、社会保险缴纳清单或者社保部门的证明）复印件；</w:t>
            </w:r>
            <w:r>
              <w:rPr>
                <w:rFonts w:hint="eastAsia" w:ascii="宋体" w:hAnsi="宋体"/>
                <w:color w:val="000000"/>
                <w:szCs w:val="21"/>
                <w:highlight w:val="none"/>
              </w:rPr>
              <w:t>依法不需要缴纳社会保障资金的供应商，必须提供相应文件证明不需要缴纳社会保障资金。</w:t>
            </w:r>
            <w:r>
              <w:rPr>
                <w:rFonts w:hint="eastAsia" w:ascii="宋体" w:hAnsi="宋体" w:cs="宋体"/>
                <w:color w:val="000000"/>
                <w:szCs w:val="21"/>
                <w:highlight w:val="none"/>
              </w:rPr>
              <w:t>从</w:t>
            </w:r>
            <w:r>
              <w:rPr>
                <w:rFonts w:hint="eastAsia"/>
                <w:color w:val="000000"/>
                <w:szCs w:val="21"/>
                <w:highlight w:val="none"/>
              </w:rPr>
              <w:t>成立之日起</w:t>
            </w:r>
            <w:r>
              <w:rPr>
                <w:rFonts w:hint="eastAsia" w:ascii="宋体" w:hAnsi="宋体" w:cs="宋体"/>
                <w:color w:val="000000"/>
                <w:szCs w:val="21"/>
                <w:highlight w:val="none"/>
              </w:rPr>
              <w:t>到投标文件提交截止时间止不足要求月数的只需提供从</w:t>
            </w:r>
            <w:r>
              <w:rPr>
                <w:rFonts w:hint="eastAsia"/>
                <w:color w:val="000000"/>
                <w:szCs w:val="21"/>
                <w:highlight w:val="none"/>
              </w:rPr>
              <w:t>成立之日起</w:t>
            </w:r>
            <w:r>
              <w:rPr>
                <w:rFonts w:hint="eastAsia" w:ascii="宋体" w:hAnsi="宋体" w:cs="宋体"/>
                <w:color w:val="000000"/>
                <w:szCs w:val="21"/>
                <w:highlight w:val="none"/>
              </w:rPr>
              <w:t>的依法缴纳社会保障资金的</w:t>
            </w:r>
            <w:r>
              <w:rPr>
                <w:rFonts w:hint="eastAsia" w:ascii="宋体" w:hAnsi="宋体"/>
                <w:color w:val="000000"/>
                <w:szCs w:val="21"/>
                <w:highlight w:val="none"/>
              </w:rPr>
              <w:t>相应证明文件</w:t>
            </w:r>
            <w:r>
              <w:rPr>
                <w:rFonts w:hint="eastAsia" w:ascii="宋体" w:hAnsi="宋体" w:cs="宋体"/>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62BE27FE">
            <w:pPr>
              <w:snapToGrid w:val="0"/>
              <w:spacing w:line="360" w:lineRule="auto"/>
              <w:ind w:firstLine="420" w:firstLineChars="200"/>
              <w:jc w:val="left"/>
              <w:rPr>
                <w:rFonts w:hint="eastAsia" w:ascii="宋体" w:hAnsi="宋体" w:cs="Courier New"/>
                <w:b/>
                <w:color w:val="000000"/>
                <w:szCs w:val="21"/>
                <w:highlight w:val="none"/>
              </w:rPr>
            </w:pPr>
            <w:r>
              <w:rPr>
                <w:rFonts w:hint="eastAsia" w:ascii="宋体" w:hAnsi="宋体" w:cs="宋体"/>
                <w:color w:val="000000"/>
                <w:szCs w:val="21"/>
                <w:highlight w:val="none"/>
              </w:rPr>
              <w:t>4.投标人</w:t>
            </w:r>
            <w:r>
              <w:rPr>
                <w:rFonts w:hint="eastAsia"/>
                <w:color w:val="000000"/>
                <w:szCs w:val="21"/>
                <w:highlight w:val="none"/>
              </w:rPr>
              <w:t>财务状况报告</w:t>
            </w:r>
            <w:r>
              <w:rPr>
                <w:rFonts w:hint="eastAsia" w:ascii="宋体" w:hAnsi="宋体"/>
                <w:color w:val="000000"/>
                <w:szCs w:val="21"/>
                <w:highlight w:val="none"/>
              </w:rPr>
              <w:t>[</w:t>
            </w:r>
            <w:r>
              <w:rPr>
                <w:rFonts w:ascii="宋体" w:hAnsi="宋体"/>
                <w:color w:val="000000"/>
                <w:szCs w:val="21"/>
                <w:highlight w:val="none"/>
                <w:u w:val="single"/>
              </w:rPr>
              <w:t xml:space="preserve"> </w:t>
            </w:r>
            <w:r>
              <w:rPr>
                <w:rFonts w:hint="eastAsia" w:ascii="宋体" w:hAnsi="宋体"/>
                <w:color w:val="000000"/>
                <w:szCs w:val="21"/>
                <w:highlight w:val="none"/>
                <w:u w:val="single"/>
              </w:rPr>
              <w:t>2024</w:t>
            </w:r>
            <w:r>
              <w:rPr>
                <w:rFonts w:ascii="宋体" w:hAnsi="宋体"/>
                <w:color w:val="000000"/>
                <w:szCs w:val="21"/>
                <w:highlight w:val="none"/>
                <w:u w:val="single"/>
              </w:rPr>
              <w:t xml:space="preserve">  </w:t>
            </w:r>
            <w:r>
              <w:rPr>
                <w:rFonts w:hint="eastAsia" w:ascii="宋体" w:hAnsi="宋体"/>
                <w:color w:val="000000"/>
                <w:szCs w:val="21"/>
                <w:highlight w:val="none"/>
              </w:rPr>
              <w:t>年度财务报表复印件，或者银行出具的资信证明，或者中国人民银行征信中心出具的信用报告（企业投标的提供企业信用报告，自然人投标的提供个人信用报告</w:t>
            </w:r>
            <w:r>
              <w:rPr>
                <w:rFonts w:hint="eastAsia" w:ascii="宋体" w:hAnsi="宋体"/>
                <w:color w:val="000000"/>
                <w:highlight w:val="none"/>
              </w:rPr>
              <w:t>，投标人</w:t>
            </w:r>
            <w:r>
              <w:rPr>
                <w:rFonts w:ascii="宋体" w:hAnsi="宋体"/>
                <w:color w:val="000000"/>
                <w:highlight w:val="none"/>
              </w:rPr>
              <w:t>属于成立时间在规定年度之后的法人或其他组织</w:t>
            </w:r>
            <w:r>
              <w:rPr>
                <w:rFonts w:hint="eastAsia" w:ascii="宋体" w:hAnsi="宋体"/>
                <w:color w:val="000000"/>
                <w:highlight w:val="none"/>
              </w:rPr>
              <w:t>，需提供成立之日起至投标截止时间前的月报表</w:t>
            </w:r>
            <w:r>
              <w:rPr>
                <w:rFonts w:hint="eastAsia" w:ascii="宋体" w:hAnsi="宋体"/>
                <w:color w:val="000000"/>
                <w:szCs w:val="21"/>
                <w:highlight w:val="none"/>
              </w:rPr>
              <w:t>或银行出具的资信证明或者中国人民银行征信中心出具的企业信用报告；资信证明应在有效期内，未注明有效期的，银行出具时间至投标截止时间不超过一年]</w:t>
            </w:r>
            <w:r>
              <w:rPr>
                <w:rFonts w:hint="eastAsia"/>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698BFA32">
            <w:pPr>
              <w:snapToGrid w:val="0"/>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5.投标人直接控股股东信息表（格式后附）；（</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393AAEF2">
            <w:pPr>
              <w:snapToGrid w:val="0"/>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 投标人直接管理关系信息表（格式后附）；（</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389BB1A8">
            <w:pPr>
              <w:snapToGrid w:val="0"/>
              <w:spacing w:line="360" w:lineRule="auto"/>
              <w:ind w:firstLine="420" w:firstLineChars="200"/>
              <w:jc w:val="left"/>
              <w:rPr>
                <w:rFonts w:hint="eastAsia" w:ascii="宋体" w:hAnsi="宋体" w:cs="Courier New"/>
                <w:b/>
                <w:color w:val="000000"/>
                <w:szCs w:val="21"/>
                <w:highlight w:val="none"/>
              </w:rPr>
            </w:pPr>
            <w:r>
              <w:rPr>
                <w:rFonts w:hint="eastAsia" w:ascii="宋体" w:hAnsi="宋体"/>
                <w:color w:val="000000"/>
                <w:szCs w:val="21"/>
                <w:highlight w:val="none"/>
              </w:rPr>
              <w:t>7.投标声明（格式后附）；（</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46F0091B">
            <w:pPr>
              <w:snapToGrid w:val="0"/>
              <w:spacing w:line="360" w:lineRule="auto"/>
              <w:ind w:firstLine="420" w:firstLineChars="200"/>
              <w:jc w:val="left"/>
              <w:rPr>
                <w:rFonts w:ascii="宋体" w:hAnsi="宋体"/>
                <w:color w:val="000000"/>
                <w:szCs w:val="21"/>
                <w:highlight w:val="none"/>
              </w:rPr>
            </w:pPr>
            <w:r>
              <w:rPr>
                <w:rFonts w:hint="eastAsia" w:ascii="宋体" w:hAnsi="宋体"/>
                <w:color w:val="000000"/>
                <w:szCs w:val="21"/>
                <w:highlight w:val="none"/>
              </w:rPr>
              <w:t>8. 投标人</w:t>
            </w:r>
            <w:r>
              <w:rPr>
                <w:rFonts w:ascii="宋体" w:hAnsi="宋体"/>
                <w:color w:val="000000"/>
                <w:szCs w:val="21"/>
                <w:highlight w:val="none"/>
              </w:rPr>
              <w:t>按以下要求提供医疗器械的有关证明材料复印件：</w:t>
            </w:r>
          </w:p>
          <w:p w14:paraId="79C2E127">
            <w:pPr>
              <w:snapToGrid w:val="0"/>
              <w:spacing w:line="360" w:lineRule="auto"/>
              <w:ind w:firstLine="420" w:firstLineChars="200"/>
              <w:jc w:val="left"/>
              <w:rPr>
                <w:rFonts w:ascii="宋体" w:hAnsi="宋体"/>
                <w:color w:val="000000"/>
                <w:szCs w:val="21"/>
                <w:highlight w:val="none"/>
              </w:rPr>
            </w:pPr>
            <w:r>
              <w:rPr>
                <w:rFonts w:hint="eastAsia" w:ascii="宋体" w:hAnsi="宋体"/>
                <w:color w:val="000000"/>
                <w:szCs w:val="21"/>
                <w:highlight w:val="none"/>
              </w:rPr>
              <w:t>（1）</w:t>
            </w:r>
            <w:r>
              <w:rPr>
                <w:rFonts w:ascii="宋体" w:hAnsi="宋体"/>
                <w:color w:val="000000"/>
                <w:szCs w:val="21"/>
                <w:highlight w:val="none"/>
              </w:rPr>
              <w:t>有第二类医疗器械的，应提供有效的医疗器械经营备案凭证（经营范围包含采购的第二类医疗器械），符合《医疗器械监督管理条例》（国务院令第739号）第四十一条第二款规定的除外；如</w:t>
            </w:r>
            <w:r>
              <w:rPr>
                <w:rFonts w:hint="eastAsia" w:ascii="宋体" w:hAnsi="宋体"/>
                <w:color w:val="000000"/>
                <w:szCs w:val="21"/>
                <w:highlight w:val="none"/>
              </w:rPr>
              <w:t>投标人</w:t>
            </w:r>
            <w:r>
              <w:rPr>
                <w:rFonts w:ascii="宋体" w:hAnsi="宋体"/>
                <w:color w:val="000000"/>
                <w:szCs w:val="21"/>
                <w:highlight w:val="none"/>
              </w:rPr>
              <w:t>符合《医疗器械监督管理条例》第四十三条“医疗器械注册人、备案人经营其注册、备案的医疗器械，无需办理医疗器械经营许可或者备案，但应当符合本条例规定的经营条件”规定的，仅需提供该医疗器械注册证（另附表格列明所投标对应产品的名称和规格型号，格式自拟）；</w:t>
            </w:r>
          </w:p>
          <w:p w14:paraId="475FC911">
            <w:pPr>
              <w:snapToGrid w:val="0"/>
              <w:spacing w:line="360" w:lineRule="auto"/>
              <w:ind w:firstLine="420" w:firstLineChars="200"/>
              <w:jc w:val="left"/>
              <w:rPr>
                <w:rFonts w:ascii="宋体" w:hAnsi="宋体"/>
                <w:color w:val="000000"/>
                <w:szCs w:val="21"/>
                <w:highlight w:val="none"/>
              </w:rPr>
            </w:pPr>
            <w:r>
              <w:rPr>
                <w:rFonts w:ascii="宋体" w:hAnsi="宋体"/>
                <w:color w:val="000000"/>
                <w:szCs w:val="21"/>
                <w:highlight w:val="none"/>
              </w:rPr>
              <w:t>（2）有第三类医疗器械的，应提供有效的医疗器械经营许可证（经营范围包含采购的第三类医疗器械）；如</w:t>
            </w:r>
            <w:r>
              <w:rPr>
                <w:rFonts w:hint="eastAsia" w:ascii="宋体" w:hAnsi="宋体"/>
                <w:color w:val="000000"/>
                <w:szCs w:val="21"/>
                <w:highlight w:val="none"/>
              </w:rPr>
              <w:t>投标人</w:t>
            </w:r>
            <w:r>
              <w:rPr>
                <w:rFonts w:ascii="宋体" w:hAnsi="宋体"/>
                <w:color w:val="000000"/>
                <w:szCs w:val="21"/>
                <w:highlight w:val="none"/>
              </w:rPr>
              <w:t>符合《医疗器械监督管理条例》第四十三条“医疗器械注册人、备案人经营其注册、备案的医疗器械，无需办理医疗器械经营许可或者备案，但应当符合本条例规定的经营条件”规定的，仅需提供该医疗器械注册证（另附表格列明所投标对应产品的名称和规格型号，格式自拟）；</w:t>
            </w:r>
          </w:p>
          <w:p w14:paraId="6F9B5936">
            <w:pPr>
              <w:snapToGrid w:val="0"/>
              <w:spacing w:line="360" w:lineRule="auto"/>
              <w:ind w:firstLine="420" w:firstLineChars="200"/>
              <w:jc w:val="left"/>
              <w:rPr>
                <w:rFonts w:ascii="宋体" w:hAnsi="宋体"/>
                <w:color w:val="000000"/>
                <w:szCs w:val="21"/>
                <w:highlight w:val="none"/>
              </w:rPr>
            </w:pPr>
            <w:r>
              <w:rPr>
                <w:rFonts w:ascii="宋体" w:hAnsi="宋体"/>
                <w:color w:val="000000"/>
                <w:szCs w:val="21"/>
                <w:highlight w:val="none"/>
              </w:rPr>
              <w:t>（3）有第二类和第三类医疗器械的，应按上述（1）（2）要求提供。</w:t>
            </w:r>
            <w:r>
              <w:rPr>
                <w:rFonts w:hint="eastAsia" w:ascii="宋体" w:hAnsi="宋体"/>
                <w:color w:val="000000"/>
                <w:szCs w:val="21"/>
                <w:highlight w:val="none"/>
              </w:rPr>
              <w:t>（</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3D0E1C14">
            <w:pPr>
              <w:snapToGrid w:val="0"/>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9.除招标文件规定必须提供以外，投标人认为需要提供的其他证明材料。</w:t>
            </w:r>
          </w:p>
          <w:p w14:paraId="5FE23D6C">
            <w:pPr>
              <w:snapToGrid w:val="0"/>
              <w:spacing w:line="360" w:lineRule="auto"/>
              <w:ind w:left="413"/>
              <w:jc w:val="left"/>
              <w:rPr>
                <w:rFonts w:hint="eastAsia" w:ascii="宋体" w:hAnsi="宋体"/>
                <w:color w:val="000000"/>
                <w:szCs w:val="21"/>
                <w:highlight w:val="none"/>
              </w:rPr>
            </w:pPr>
          </w:p>
          <w:p w14:paraId="42F55BC0">
            <w:pPr>
              <w:snapToGrid w:val="0"/>
              <w:spacing w:line="360" w:lineRule="auto"/>
              <w:jc w:val="left"/>
              <w:rPr>
                <w:rFonts w:hint="eastAsia" w:ascii="宋体" w:hAnsi="宋体" w:cs="Courier New"/>
                <w:b/>
                <w:color w:val="000000"/>
                <w:szCs w:val="21"/>
                <w:highlight w:val="none"/>
              </w:rPr>
            </w:pPr>
            <w:r>
              <w:rPr>
                <w:rFonts w:hint="eastAsia" w:ascii="宋体" w:hAnsi="宋体"/>
                <w:b/>
                <w:bCs/>
                <w:color w:val="000000"/>
                <w:szCs w:val="21"/>
                <w:highlight w:val="none"/>
              </w:rPr>
              <w:t>注：1.</w:t>
            </w:r>
            <w:r>
              <w:rPr>
                <w:rFonts w:hint="eastAsia" w:ascii="宋体" w:hAnsi="宋体"/>
                <w:color w:val="000000"/>
                <w:szCs w:val="21"/>
                <w:highlight w:val="none"/>
              </w:rPr>
              <w:t xml:space="preserve"> </w:t>
            </w:r>
            <w:r>
              <w:rPr>
                <w:rFonts w:hint="eastAsia" w:ascii="宋体" w:hAnsi="宋体"/>
                <w:b/>
                <w:bCs/>
                <w:color w:val="000000"/>
                <w:szCs w:val="21"/>
                <w:highlight w:val="none"/>
              </w:rPr>
              <w:t>以上标明“必须提供”的材料，格式</w:t>
            </w:r>
            <w:r>
              <w:rPr>
                <w:rFonts w:hint="eastAsia" w:ascii="宋体" w:hAnsi="宋体" w:cs="宋体"/>
                <w:b/>
                <w:color w:val="000000"/>
                <w:szCs w:val="21"/>
                <w:highlight w:val="none"/>
              </w:rPr>
              <w:t>中有要求法定代表人或者委托代理人签字的，必须按要求签字并加盖投标人电子签章</w:t>
            </w:r>
            <w:r>
              <w:rPr>
                <w:rFonts w:hint="eastAsia" w:ascii="宋体" w:hAnsi="宋体"/>
                <w:b/>
                <w:bCs/>
                <w:color w:val="000000"/>
                <w:szCs w:val="21"/>
                <w:highlight w:val="none"/>
              </w:rPr>
              <w:t>，否则按无效投标</w:t>
            </w:r>
            <w:r>
              <w:rPr>
                <w:rFonts w:hint="eastAsia" w:ascii="宋体" w:hAnsi="宋体" w:cs="Courier New"/>
                <w:b/>
                <w:color w:val="000000"/>
                <w:szCs w:val="21"/>
                <w:highlight w:val="none"/>
              </w:rPr>
              <w:t>处理。</w:t>
            </w:r>
          </w:p>
          <w:p w14:paraId="7B4C64C3">
            <w:pPr>
              <w:snapToGrid w:val="0"/>
              <w:spacing w:line="360" w:lineRule="auto"/>
              <w:ind w:firstLine="422" w:firstLineChars="200"/>
              <w:jc w:val="left"/>
              <w:rPr>
                <w:rFonts w:ascii="宋体" w:hAnsi="宋体"/>
                <w:b/>
                <w:bCs/>
                <w:color w:val="000000"/>
                <w:szCs w:val="21"/>
                <w:highlight w:val="none"/>
              </w:rPr>
            </w:pPr>
            <w:r>
              <w:rPr>
                <w:rFonts w:hint="eastAsia" w:ascii="宋体" w:hAnsi="宋体"/>
                <w:b/>
                <w:bCs/>
                <w:color w:val="000000"/>
                <w:szCs w:val="21"/>
                <w:highlight w:val="none"/>
              </w:rPr>
              <w:t>2.分公司投标时，须提供总公司授权书，否则按无效投标</w:t>
            </w:r>
            <w:r>
              <w:rPr>
                <w:rFonts w:hint="eastAsia" w:ascii="宋体" w:hAnsi="宋体" w:cs="Courier New"/>
                <w:b/>
                <w:color w:val="000000"/>
                <w:szCs w:val="21"/>
                <w:highlight w:val="none"/>
              </w:rPr>
              <w:t>处理。</w:t>
            </w:r>
          </w:p>
        </w:tc>
      </w:tr>
      <w:tr w14:paraId="5B4395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continue"/>
            <w:tcBorders>
              <w:left w:val="single" w:color="auto" w:sz="4" w:space="0"/>
              <w:right w:val="single" w:color="auto" w:sz="4" w:space="0"/>
            </w:tcBorders>
            <w:noWrap w:val="0"/>
            <w:vAlign w:val="center"/>
          </w:tcPr>
          <w:p w14:paraId="1DB25CE0">
            <w:pPr>
              <w:spacing w:line="360" w:lineRule="auto"/>
              <w:rPr>
                <w:rFonts w:hint="eastAsia" w:ascii="宋体" w:hAnsi="宋体"/>
                <w:color w:val="000000"/>
                <w:szCs w:val="21"/>
                <w:highlight w:val="none"/>
              </w:rPr>
            </w:pPr>
            <w:bookmarkStart w:id="64" w:name="_13.3"/>
            <w:bookmarkEnd w:id="64"/>
          </w:p>
        </w:tc>
        <w:tc>
          <w:tcPr>
            <w:tcW w:w="8711" w:type="dxa"/>
            <w:tcBorders>
              <w:top w:val="single" w:color="auto" w:sz="4" w:space="0"/>
              <w:left w:val="single" w:color="auto" w:sz="4" w:space="0"/>
              <w:bottom w:val="single" w:color="auto" w:sz="4" w:space="0"/>
              <w:right w:val="single" w:color="auto" w:sz="4" w:space="0"/>
            </w:tcBorders>
            <w:noWrap w:val="0"/>
            <w:vAlign w:val="center"/>
          </w:tcPr>
          <w:p w14:paraId="36E1E8A5">
            <w:pPr>
              <w:snapToGrid w:val="0"/>
              <w:spacing w:line="360" w:lineRule="auto"/>
              <w:jc w:val="left"/>
              <w:rPr>
                <w:rFonts w:hint="eastAsia" w:ascii="宋体" w:hAnsi="宋体" w:cs="Courier New"/>
                <w:b/>
                <w:color w:val="000000"/>
                <w:szCs w:val="21"/>
                <w:highlight w:val="none"/>
              </w:rPr>
            </w:pPr>
            <w:r>
              <w:rPr>
                <w:rFonts w:hint="eastAsia"/>
                <w:b/>
                <w:color w:val="000000"/>
                <w:kern w:val="0"/>
                <w:highlight w:val="none"/>
                <w:u w:val="single"/>
              </w:rPr>
              <w:t>商务及技术文件</w:t>
            </w:r>
            <w:r>
              <w:rPr>
                <w:rFonts w:hint="eastAsia" w:ascii="宋体" w:hAnsi="宋体" w:cs="Courier New"/>
                <w:b/>
                <w:color w:val="000000"/>
                <w:szCs w:val="21"/>
                <w:highlight w:val="none"/>
              </w:rPr>
              <w:t>：</w:t>
            </w:r>
          </w:p>
          <w:p w14:paraId="1BC48BCC">
            <w:pPr>
              <w:snapToGrid w:val="0"/>
              <w:spacing w:line="360" w:lineRule="auto"/>
              <w:ind w:left="413"/>
              <w:jc w:val="left"/>
              <w:rPr>
                <w:rFonts w:hint="eastAsia" w:ascii="宋体" w:hAnsi="宋体"/>
                <w:color w:val="000000"/>
                <w:szCs w:val="21"/>
                <w:highlight w:val="none"/>
              </w:rPr>
            </w:pPr>
            <w:r>
              <w:rPr>
                <w:rFonts w:hint="eastAsia" w:ascii="宋体" w:hAnsi="宋体"/>
                <w:color w:val="000000"/>
                <w:szCs w:val="21"/>
                <w:highlight w:val="none"/>
              </w:rPr>
              <w:t>1.无串通投标行为的承诺函（格式后附）；（</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7BEC0414">
            <w:pPr>
              <w:snapToGrid w:val="0"/>
              <w:spacing w:line="360" w:lineRule="auto"/>
              <w:ind w:left="413"/>
              <w:jc w:val="left"/>
              <w:rPr>
                <w:rFonts w:hint="eastAsia" w:ascii="宋体" w:hAnsi="宋体"/>
                <w:color w:val="000000"/>
                <w:szCs w:val="21"/>
                <w:highlight w:val="none"/>
              </w:rPr>
            </w:pPr>
            <w:r>
              <w:rPr>
                <w:rFonts w:hint="eastAsia" w:ascii="宋体" w:hAnsi="宋体"/>
                <w:color w:val="000000"/>
                <w:szCs w:val="21"/>
                <w:highlight w:val="none"/>
              </w:rPr>
              <w:t>2.投标保证金提交凭证；（</w:t>
            </w:r>
            <w:r>
              <w:rPr>
                <w:rFonts w:hint="eastAsia"/>
                <w:b/>
                <w:bCs/>
                <w:color w:val="000000"/>
                <w:highlight w:val="none"/>
              </w:rPr>
              <w:t>如要求提交投标保证金的则必须提供</w:t>
            </w:r>
            <w:r>
              <w:rPr>
                <w:rFonts w:hint="eastAsia" w:ascii="宋体" w:hAnsi="宋体"/>
                <w:b/>
                <w:color w:val="000000"/>
                <w:szCs w:val="21"/>
                <w:highlight w:val="none"/>
              </w:rPr>
              <w:t>，否则按无效投标处理</w:t>
            </w:r>
            <w:r>
              <w:rPr>
                <w:rFonts w:hint="eastAsia" w:ascii="宋体" w:hAnsi="宋体"/>
                <w:color w:val="000000"/>
                <w:szCs w:val="21"/>
                <w:highlight w:val="none"/>
              </w:rPr>
              <w:t>）</w:t>
            </w:r>
          </w:p>
          <w:p w14:paraId="14F9B9B2">
            <w:pPr>
              <w:snapToGrid w:val="0"/>
              <w:spacing w:line="360" w:lineRule="auto"/>
              <w:ind w:left="413"/>
              <w:jc w:val="left"/>
              <w:rPr>
                <w:rFonts w:ascii="宋体" w:hAnsi="宋体"/>
                <w:color w:val="000000"/>
                <w:szCs w:val="21"/>
                <w:highlight w:val="none"/>
              </w:rPr>
            </w:pPr>
            <w:r>
              <w:rPr>
                <w:rFonts w:hint="eastAsia" w:ascii="宋体" w:hAnsi="宋体"/>
                <w:color w:val="000000"/>
                <w:szCs w:val="21"/>
                <w:highlight w:val="none"/>
              </w:rPr>
              <w:t>3.法定代表人身份证明及法定代表人有效身份证正反面复印件（格式后附）；（</w:t>
            </w:r>
            <w:r>
              <w:rPr>
                <w:rFonts w:hint="eastAsia" w:ascii="宋体" w:hAnsi="宋体" w:cs="宋体"/>
                <w:b/>
                <w:bCs/>
                <w:color w:val="000000"/>
                <w:szCs w:val="21"/>
                <w:highlight w:val="none"/>
              </w:rPr>
              <w:t>除自然人投标外</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7F34692F">
            <w:pPr>
              <w:snapToGrid w:val="0"/>
              <w:spacing w:line="360" w:lineRule="auto"/>
              <w:ind w:left="413"/>
              <w:jc w:val="left"/>
              <w:rPr>
                <w:rFonts w:ascii="宋体" w:hAnsi="宋体"/>
                <w:color w:val="000000"/>
                <w:szCs w:val="21"/>
                <w:highlight w:val="none"/>
              </w:rPr>
            </w:pPr>
            <w:r>
              <w:rPr>
                <w:rFonts w:hint="eastAsia" w:ascii="宋体" w:hAnsi="宋体"/>
                <w:color w:val="000000"/>
                <w:szCs w:val="21"/>
                <w:highlight w:val="none"/>
              </w:rPr>
              <w:t>4.授权委托书及委托代理人有效身份证正反面复印件（格式后附）；（</w:t>
            </w:r>
            <w:r>
              <w:rPr>
                <w:rFonts w:hint="eastAsia" w:ascii="宋体" w:hAnsi="宋体"/>
                <w:b/>
                <w:color w:val="000000"/>
                <w:szCs w:val="21"/>
                <w:highlight w:val="none"/>
              </w:rPr>
              <w:t>委托时必须提供，否则按无效投标处理</w:t>
            </w:r>
            <w:r>
              <w:rPr>
                <w:rFonts w:hint="eastAsia" w:ascii="宋体" w:hAnsi="宋体"/>
                <w:color w:val="000000"/>
                <w:szCs w:val="21"/>
                <w:highlight w:val="none"/>
              </w:rPr>
              <w:t>）</w:t>
            </w:r>
          </w:p>
          <w:p w14:paraId="3600799C">
            <w:pPr>
              <w:snapToGrid w:val="0"/>
              <w:spacing w:line="360" w:lineRule="auto"/>
              <w:ind w:left="413"/>
              <w:jc w:val="left"/>
              <w:rPr>
                <w:rFonts w:hint="eastAsia" w:ascii="宋体" w:hAnsi="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w:t>
            </w:r>
            <w:r>
              <w:rPr>
                <w:rFonts w:hint="eastAsia" w:ascii="宋体" w:hAnsi="宋体"/>
                <w:color w:val="000000"/>
                <w:szCs w:val="21"/>
                <w:highlight w:val="none"/>
              </w:rPr>
              <w:t>商务要求偏离表（格式后附）；（</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0CFE5D45">
            <w:pPr>
              <w:snapToGrid w:val="0"/>
              <w:spacing w:line="360" w:lineRule="auto"/>
              <w:ind w:left="413"/>
              <w:jc w:val="left"/>
              <w:rPr>
                <w:rFonts w:hint="eastAsia" w:ascii="宋体" w:hAnsi="宋体"/>
                <w:color w:val="000000"/>
                <w:szCs w:val="21"/>
                <w:highlight w:val="none"/>
              </w:rPr>
            </w:pPr>
            <w:r>
              <w:rPr>
                <w:rFonts w:ascii="宋体" w:hAnsi="宋体"/>
                <w:color w:val="000000"/>
                <w:szCs w:val="21"/>
                <w:highlight w:val="none"/>
              </w:rPr>
              <w:t>6</w:t>
            </w:r>
            <w:r>
              <w:rPr>
                <w:rFonts w:hint="eastAsia" w:ascii="宋体" w:hAnsi="宋体"/>
                <w:color w:val="000000"/>
                <w:szCs w:val="21"/>
                <w:highlight w:val="none"/>
              </w:rPr>
              <w:t>.售后服务承诺（格式自拟）；（</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540F08B7">
            <w:pPr>
              <w:snapToGrid w:val="0"/>
              <w:spacing w:line="360" w:lineRule="auto"/>
              <w:ind w:left="413"/>
              <w:jc w:val="left"/>
              <w:rPr>
                <w:rFonts w:hint="eastAsia" w:ascii="宋体" w:hAnsi="宋体"/>
                <w:color w:val="000000"/>
                <w:szCs w:val="21"/>
                <w:highlight w:val="none"/>
              </w:rPr>
            </w:pPr>
            <w:r>
              <w:rPr>
                <w:rFonts w:hint="eastAsia" w:ascii="宋体" w:hAnsi="宋体"/>
                <w:color w:val="000000"/>
                <w:szCs w:val="21"/>
                <w:highlight w:val="none"/>
              </w:rPr>
              <w:t xml:space="preserve">7.代理服务费承诺书（格式后附）； </w:t>
            </w:r>
          </w:p>
          <w:p w14:paraId="73DB9CA6">
            <w:pPr>
              <w:snapToGrid w:val="0"/>
              <w:spacing w:line="360" w:lineRule="auto"/>
              <w:ind w:left="420"/>
              <w:jc w:val="left"/>
              <w:rPr>
                <w:rFonts w:hint="eastAsia" w:ascii="宋体" w:hAnsi="宋体"/>
                <w:color w:val="000000"/>
                <w:szCs w:val="21"/>
                <w:highlight w:val="none"/>
              </w:rPr>
            </w:pPr>
            <w:r>
              <w:rPr>
                <w:rFonts w:hint="eastAsia" w:ascii="宋体" w:hAnsi="宋体"/>
                <w:color w:val="000000"/>
                <w:szCs w:val="21"/>
                <w:highlight w:val="none"/>
              </w:rPr>
              <w:t>8.设备性能配置清单（格式后附）；（</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4BA860FF">
            <w:pPr>
              <w:snapToGrid w:val="0"/>
              <w:spacing w:line="360" w:lineRule="auto"/>
              <w:ind w:left="420"/>
              <w:jc w:val="left"/>
              <w:rPr>
                <w:rFonts w:hint="eastAsia" w:ascii="宋体" w:hAnsi="宋体"/>
                <w:color w:val="000000"/>
                <w:szCs w:val="21"/>
                <w:highlight w:val="none"/>
              </w:rPr>
            </w:pPr>
            <w:r>
              <w:rPr>
                <w:rFonts w:hint="eastAsia" w:ascii="宋体" w:hAnsi="宋体"/>
                <w:color w:val="000000"/>
                <w:szCs w:val="21"/>
                <w:highlight w:val="none"/>
              </w:rPr>
              <w:t>9.技术要求偏离表（格式后附）；（</w:t>
            </w:r>
            <w:r>
              <w:rPr>
                <w:rFonts w:hint="eastAsia" w:ascii="宋体" w:hAnsi="宋体"/>
                <w:b/>
                <w:color w:val="000000"/>
                <w:szCs w:val="21"/>
                <w:highlight w:val="none"/>
              </w:rPr>
              <w:t>必须提供，否则按无效投标处理</w:t>
            </w:r>
            <w:r>
              <w:rPr>
                <w:rFonts w:hint="eastAsia" w:ascii="宋体" w:hAnsi="宋体"/>
                <w:color w:val="000000"/>
                <w:szCs w:val="21"/>
                <w:highlight w:val="none"/>
              </w:rPr>
              <w:t>）</w:t>
            </w:r>
          </w:p>
          <w:p w14:paraId="302CF36B">
            <w:pPr>
              <w:snapToGrid w:val="0"/>
              <w:spacing w:line="360" w:lineRule="auto"/>
              <w:ind w:left="420"/>
              <w:jc w:val="left"/>
              <w:rPr>
                <w:rFonts w:hint="eastAsia" w:ascii="宋体" w:hAnsi="宋体"/>
                <w:color w:val="000000"/>
                <w:szCs w:val="21"/>
                <w:highlight w:val="none"/>
              </w:rPr>
            </w:pPr>
            <w:r>
              <w:rPr>
                <w:rFonts w:hint="eastAsia" w:ascii="宋体" w:hAnsi="宋体"/>
                <w:color w:val="000000"/>
                <w:szCs w:val="21"/>
                <w:highlight w:val="none"/>
              </w:rPr>
              <w:t>10.项目实施方案（格式自拟）【包含但不限于项目实施方案、质量保证措施、售后服务承诺方案等】；</w:t>
            </w:r>
            <w:r>
              <w:rPr>
                <w:rFonts w:hint="eastAsia" w:ascii="宋体" w:hAnsi="宋体"/>
                <w:i/>
                <w:color w:val="000000"/>
                <w:szCs w:val="21"/>
                <w:highlight w:val="none"/>
              </w:rPr>
              <w:t>（</w:t>
            </w:r>
            <w:r>
              <w:rPr>
                <w:rFonts w:hint="eastAsia" w:ascii="宋体" w:hAnsi="宋体"/>
                <w:b/>
                <w:color w:val="000000"/>
                <w:szCs w:val="21"/>
                <w:highlight w:val="none"/>
              </w:rPr>
              <w:t>必须提供，否则按无效投标处理</w:t>
            </w:r>
            <w:r>
              <w:rPr>
                <w:rFonts w:hint="eastAsia" w:ascii="宋体" w:hAnsi="宋体"/>
                <w:i/>
                <w:color w:val="000000"/>
                <w:szCs w:val="21"/>
                <w:highlight w:val="none"/>
              </w:rPr>
              <w:t>）</w:t>
            </w:r>
          </w:p>
          <w:p w14:paraId="7BF64C57">
            <w:pPr>
              <w:snapToGrid w:val="0"/>
              <w:spacing w:line="360" w:lineRule="auto"/>
              <w:ind w:left="420"/>
              <w:jc w:val="left"/>
              <w:rPr>
                <w:rFonts w:hint="eastAsia" w:ascii="宋体" w:hAnsi="宋体"/>
                <w:color w:val="000000"/>
                <w:szCs w:val="21"/>
                <w:highlight w:val="none"/>
              </w:rPr>
            </w:pPr>
            <w:r>
              <w:rPr>
                <w:rFonts w:hint="eastAsia" w:ascii="宋体" w:hAnsi="宋体"/>
                <w:color w:val="000000"/>
                <w:szCs w:val="21"/>
                <w:highlight w:val="none"/>
              </w:rPr>
              <w:t>11.对本项目系统总体要求的理解。包括：功能说明、性能指标及设备选型说明（质量、性能、价格、外观、体积等方面进行比较和选择的理由及过程，格式自拟）；</w:t>
            </w:r>
          </w:p>
          <w:p w14:paraId="0104B60B">
            <w:pPr>
              <w:snapToGrid w:val="0"/>
              <w:spacing w:line="360" w:lineRule="auto"/>
              <w:ind w:left="420"/>
              <w:jc w:val="left"/>
              <w:rPr>
                <w:rFonts w:hint="eastAsia" w:ascii="宋体" w:hAnsi="宋体"/>
                <w:color w:val="000000"/>
                <w:szCs w:val="21"/>
                <w:highlight w:val="none"/>
              </w:rPr>
            </w:pPr>
            <w:r>
              <w:rPr>
                <w:rFonts w:hint="eastAsia" w:ascii="宋体" w:hAnsi="宋体"/>
                <w:color w:val="000000"/>
                <w:szCs w:val="21"/>
                <w:highlight w:val="none"/>
              </w:rPr>
              <w:t>12.产品出厂标准、质量检测报告【其中有精度要求的仪器设备类政府采购项目，应当要求投标人提供精度数据（</w:t>
            </w:r>
            <w:r>
              <w:rPr>
                <w:color w:val="000000"/>
                <w:highlight w:val="none"/>
              </w:rPr>
              <w:t>国家认可具有资质的有资质的第三方检测机构出具的检测报告复印件</w:t>
            </w:r>
            <w:r>
              <w:rPr>
                <w:rFonts w:hint="eastAsia" w:ascii="宋体" w:hAnsi="宋体"/>
                <w:color w:val="000000"/>
                <w:szCs w:val="21"/>
                <w:highlight w:val="none"/>
              </w:rPr>
              <w:t>或者由采购人在投标前组织的实测获得）】</w:t>
            </w:r>
            <w:r>
              <w:rPr>
                <w:rFonts w:hint="eastAsia" w:ascii="宋体" w:hAnsi="宋体"/>
                <w:i/>
                <w:color w:val="000000"/>
                <w:szCs w:val="21"/>
                <w:highlight w:val="none"/>
              </w:rPr>
              <w:t>（视项目情况设置是否必须提供）</w:t>
            </w:r>
          </w:p>
          <w:p w14:paraId="652ED254">
            <w:pPr>
              <w:snapToGrid w:val="0"/>
              <w:spacing w:line="360" w:lineRule="auto"/>
              <w:ind w:left="420"/>
              <w:jc w:val="left"/>
              <w:rPr>
                <w:rFonts w:hint="eastAsia" w:ascii="宋体" w:hAnsi="宋体"/>
                <w:color w:val="000000"/>
                <w:szCs w:val="21"/>
                <w:highlight w:val="none"/>
              </w:rPr>
            </w:pPr>
            <w:r>
              <w:rPr>
                <w:rFonts w:hint="eastAsia" w:ascii="宋体" w:hAnsi="宋体"/>
                <w:color w:val="000000"/>
                <w:szCs w:val="21"/>
                <w:highlight w:val="none"/>
              </w:rPr>
              <w:t>13.优惠条件：投标人承诺给予招标人的各种优惠条件，包括售后服务、备品备件、专用耗材等方面的优惠；投标人不得给予赠品或者与采购无关的其他商品、服务；</w:t>
            </w:r>
          </w:p>
          <w:p w14:paraId="5E51B4FF">
            <w:pPr>
              <w:snapToGrid w:val="0"/>
              <w:spacing w:line="360" w:lineRule="auto"/>
              <w:ind w:left="420"/>
              <w:jc w:val="left"/>
              <w:rPr>
                <w:rFonts w:hint="eastAsia" w:ascii="宋体" w:hAnsi="宋体"/>
                <w:color w:val="000000"/>
                <w:szCs w:val="21"/>
                <w:highlight w:val="none"/>
              </w:rPr>
            </w:pPr>
            <w:r>
              <w:rPr>
                <w:rFonts w:hint="eastAsia" w:ascii="宋体" w:hAnsi="宋体"/>
                <w:color w:val="000000"/>
                <w:szCs w:val="21"/>
                <w:highlight w:val="none"/>
              </w:rPr>
              <w:t>14.投标人对本项目的合理化建议和改进措施（格式自拟）；</w:t>
            </w:r>
          </w:p>
          <w:p w14:paraId="1DDD7D03">
            <w:pPr>
              <w:snapToGrid w:val="0"/>
              <w:spacing w:line="360" w:lineRule="auto"/>
              <w:ind w:left="420"/>
              <w:jc w:val="left"/>
              <w:rPr>
                <w:rFonts w:hint="eastAsia" w:ascii="宋体" w:hAnsi="宋体"/>
                <w:bCs/>
                <w:color w:val="000000"/>
                <w:szCs w:val="21"/>
                <w:highlight w:val="none"/>
              </w:rPr>
            </w:pPr>
            <w:r>
              <w:rPr>
                <w:rFonts w:hint="eastAsia" w:ascii="宋体" w:hAnsi="宋体"/>
                <w:color w:val="000000"/>
                <w:szCs w:val="21"/>
                <w:highlight w:val="none"/>
              </w:rPr>
              <w:t>15.除招标文件规定必须提供以外，投标人认为需要提供的其他证明材料（格式自拟）。</w:t>
            </w:r>
          </w:p>
          <w:p w14:paraId="5035164C">
            <w:pPr>
              <w:snapToGrid w:val="0"/>
              <w:spacing w:line="360" w:lineRule="auto"/>
              <w:ind w:left="413"/>
              <w:jc w:val="left"/>
              <w:rPr>
                <w:rFonts w:hint="eastAsia" w:ascii="宋体" w:hAnsi="宋体"/>
                <w:color w:val="000000"/>
                <w:szCs w:val="21"/>
                <w:highlight w:val="none"/>
              </w:rPr>
            </w:pPr>
            <w:r>
              <w:rPr>
                <w:rFonts w:hint="eastAsia" w:ascii="宋体" w:hAnsi="宋体"/>
                <w:color w:val="000000"/>
                <w:szCs w:val="21"/>
                <w:highlight w:val="none"/>
              </w:rPr>
              <w:t>（投标人根据“第二章 采购需求”及“第四章 评标方法及评标标准”提供有关证明材料）。</w:t>
            </w:r>
          </w:p>
          <w:p w14:paraId="10696F2B">
            <w:pPr>
              <w:snapToGrid w:val="0"/>
              <w:spacing w:line="360" w:lineRule="auto"/>
              <w:jc w:val="left"/>
              <w:rPr>
                <w:rFonts w:hint="eastAsia" w:ascii="宋体" w:hAnsi="宋体"/>
                <w:color w:val="000000"/>
                <w:szCs w:val="21"/>
                <w:highlight w:val="none"/>
              </w:rPr>
            </w:pPr>
            <w:r>
              <w:rPr>
                <w:rFonts w:hint="eastAsia" w:ascii="宋体" w:hAnsi="宋体"/>
                <w:b/>
                <w:bCs/>
                <w:color w:val="000000"/>
                <w:szCs w:val="21"/>
                <w:highlight w:val="none"/>
              </w:rPr>
              <w:t>注：以上标明“必须提供”的材料，格式</w:t>
            </w:r>
            <w:r>
              <w:rPr>
                <w:rFonts w:hint="eastAsia" w:ascii="宋体" w:hAnsi="宋体" w:cs="宋体"/>
                <w:b/>
                <w:color w:val="000000"/>
                <w:szCs w:val="21"/>
                <w:highlight w:val="none"/>
              </w:rPr>
              <w:t>中有要求法定代表人或者委托代理人签字的，必须按要求签字并加盖投标人电子签章</w:t>
            </w:r>
            <w:r>
              <w:rPr>
                <w:rFonts w:hint="eastAsia" w:ascii="宋体" w:hAnsi="宋体"/>
                <w:b/>
                <w:bCs/>
                <w:color w:val="000000"/>
                <w:szCs w:val="21"/>
                <w:highlight w:val="none"/>
              </w:rPr>
              <w:t>，否则按无效投标</w:t>
            </w:r>
            <w:r>
              <w:rPr>
                <w:rFonts w:hint="eastAsia" w:ascii="宋体" w:hAnsi="宋体" w:cs="Courier New"/>
                <w:b/>
                <w:color w:val="000000"/>
                <w:szCs w:val="21"/>
                <w:highlight w:val="none"/>
              </w:rPr>
              <w:t>处理。</w:t>
            </w:r>
          </w:p>
        </w:tc>
      </w:tr>
      <w:tr w14:paraId="6F202F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0B416DA7">
            <w:pPr>
              <w:spacing w:line="360" w:lineRule="auto"/>
              <w:jc w:val="center"/>
              <w:rPr>
                <w:rFonts w:hint="eastAsia" w:ascii="宋体" w:hAnsi="宋体"/>
                <w:color w:val="000000"/>
                <w:szCs w:val="21"/>
                <w:highlight w:val="none"/>
              </w:rPr>
            </w:pPr>
            <w:bookmarkStart w:id="65" w:name="_13.5"/>
            <w:bookmarkEnd w:id="65"/>
            <w:bookmarkStart w:id="66" w:name="_16.2"/>
            <w:bookmarkEnd w:id="66"/>
            <w:bookmarkStart w:id="67" w:name="_13.4"/>
            <w:bookmarkEnd w:id="67"/>
            <w:r>
              <w:rPr>
                <w:rFonts w:hint="eastAsia" w:ascii="宋体" w:hAnsi="宋体"/>
                <w:color w:val="000000"/>
                <w:szCs w:val="21"/>
                <w:highlight w:val="none"/>
              </w:rPr>
              <w:t>16</w:t>
            </w:r>
            <w:bookmarkStart w:id="68" w:name="_Hlt19194066"/>
            <w:bookmarkStart w:id="69" w:name="_Hlt19693759"/>
            <w:bookmarkStart w:id="70" w:name="_Hlt19693758"/>
            <w:bookmarkStart w:id="71" w:name="_Hlt19194067"/>
            <w:r>
              <w:rPr>
                <w:rFonts w:hint="eastAsia" w:ascii="宋体" w:hAnsi="宋体"/>
                <w:color w:val="000000"/>
                <w:szCs w:val="21"/>
                <w:highlight w:val="none"/>
              </w:rPr>
              <w:t>.</w:t>
            </w:r>
            <w:bookmarkEnd w:id="68"/>
            <w:bookmarkEnd w:id="69"/>
            <w:bookmarkEnd w:id="70"/>
            <w:bookmarkEnd w:id="71"/>
            <w:r>
              <w:rPr>
                <w:rFonts w:hint="eastAsia" w:ascii="宋体" w:hAnsi="宋体"/>
                <w:color w:val="000000"/>
                <w:szCs w:val="21"/>
                <w:highlight w:val="none"/>
              </w:rPr>
              <w:t>2</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5947EC94">
            <w:pPr>
              <w:snapToGrid w:val="0"/>
              <w:spacing w:line="360" w:lineRule="auto"/>
              <w:rPr>
                <w:rFonts w:hint="eastAsia" w:ascii="宋体" w:hAnsi="宋体"/>
                <w:b/>
                <w:color w:val="000000"/>
                <w:szCs w:val="21"/>
                <w:highlight w:val="none"/>
              </w:rPr>
            </w:pPr>
            <w:r>
              <w:rPr>
                <w:rFonts w:hint="eastAsia" w:ascii="宋体" w:hAnsi="宋体"/>
                <w:color w:val="000000"/>
                <w:szCs w:val="21"/>
                <w:highlight w:val="none"/>
              </w:rPr>
              <w:t>投标报价是履行合同的最终价格，</w:t>
            </w:r>
            <w:r>
              <w:rPr>
                <w:rFonts w:hint="eastAsia"/>
                <w:color w:val="000000"/>
                <w:szCs w:val="21"/>
                <w:highlight w:val="none"/>
              </w:rPr>
              <w:t>包括但不限于货款、标准附件、备品备件、专用工具、包装、运输、装卸、保险、税金、货到就位以及安装、调试、培训、保修、验收等一切税金和费用。投标人在固定总价中必须考虑各种风险费用。在合同履行过程中，采购人不予支付合同以外的其他费用。投标人负责工人人身、设备安全责任，验收前，设备丢失自行负责。</w:t>
            </w:r>
          </w:p>
        </w:tc>
      </w:tr>
      <w:tr w14:paraId="2F728B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321EFB4D">
            <w:pPr>
              <w:spacing w:line="360" w:lineRule="auto"/>
              <w:jc w:val="center"/>
              <w:rPr>
                <w:rFonts w:hint="eastAsia" w:ascii="宋体" w:hAnsi="宋体"/>
                <w:color w:val="000000"/>
                <w:szCs w:val="21"/>
                <w:highlight w:val="none"/>
              </w:rPr>
            </w:pPr>
            <w:bookmarkStart w:id="72" w:name="_17.1"/>
            <w:bookmarkEnd w:id="72"/>
            <w:r>
              <w:rPr>
                <w:rFonts w:hint="eastAsia" w:ascii="宋体" w:hAnsi="宋体"/>
                <w:color w:val="000000"/>
                <w:szCs w:val="21"/>
                <w:highlight w:val="none"/>
              </w:rPr>
              <w:t>17.</w:t>
            </w:r>
            <w:r>
              <w:rPr>
                <w:rFonts w:ascii="宋体" w:hAnsi="宋体"/>
                <w:color w:val="000000"/>
                <w:szCs w:val="21"/>
                <w:highlight w:val="none"/>
              </w:rPr>
              <w:t>2</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2E01FDE1">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投标有效期：自投标截止之日起</w:t>
            </w:r>
            <w:r>
              <w:rPr>
                <w:rFonts w:ascii="宋体" w:hAnsi="宋体"/>
                <w:color w:val="000000"/>
                <w:szCs w:val="21"/>
                <w:highlight w:val="none"/>
                <w:u w:val="single"/>
              </w:rPr>
              <w:t xml:space="preserve">  </w:t>
            </w:r>
            <w:r>
              <w:rPr>
                <w:rFonts w:hint="eastAsia" w:ascii="宋体" w:hAnsi="宋体"/>
                <w:color w:val="000000"/>
                <w:szCs w:val="21"/>
                <w:highlight w:val="none"/>
                <w:u w:val="single"/>
              </w:rPr>
              <w:t>60</w:t>
            </w:r>
            <w:r>
              <w:rPr>
                <w:rFonts w:ascii="宋体" w:hAnsi="宋体"/>
                <w:color w:val="000000"/>
                <w:szCs w:val="21"/>
                <w:highlight w:val="none"/>
                <w:u w:val="single"/>
              </w:rPr>
              <w:t xml:space="preserve">  </w:t>
            </w:r>
            <w:r>
              <w:rPr>
                <w:rFonts w:hint="eastAsia" w:ascii="宋体" w:hAnsi="宋体"/>
                <w:color w:val="000000"/>
                <w:szCs w:val="21"/>
                <w:highlight w:val="none"/>
              </w:rPr>
              <w:t>日。</w:t>
            </w:r>
          </w:p>
        </w:tc>
      </w:tr>
      <w:tr w14:paraId="2BDD8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5D4ED427">
            <w:pPr>
              <w:spacing w:line="360" w:lineRule="auto"/>
              <w:jc w:val="center"/>
              <w:rPr>
                <w:rFonts w:hint="eastAsia" w:ascii="宋体" w:hAnsi="宋体"/>
                <w:color w:val="000000"/>
                <w:szCs w:val="21"/>
                <w:highlight w:val="none"/>
              </w:rPr>
            </w:pPr>
            <w:bookmarkStart w:id="73" w:name="_18"/>
            <w:bookmarkEnd w:id="73"/>
            <w:r>
              <w:rPr>
                <w:rFonts w:hint="eastAsia" w:ascii="宋体" w:hAnsi="宋体"/>
                <w:color w:val="000000"/>
                <w:szCs w:val="21"/>
                <w:highlight w:val="none"/>
              </w:rPr>
              <w:t>18</w:t>
            </w:r>
            <w:r>
              <w:rPr>
                <w:rFonts w:ascii="宋体" w:hAnsi="宋体"/>
                <w:color w:val="000000"/>
                <w:szCs w:val="21"/>
                <w:highlight w:val="none"/>
              </w:rPr>
              <w:t>.1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65BA4BC3">
            <w:pPr>
              <w:autoSpaceDE w:val="0"/>
              <w:autoSpaceDN w:val="0"/>
              <w:snapToGrid w:val="0"/>
              <w:spacing w:line="360" w:lineRule="auto"/>
              <w:textAlignment w:val="bottom"/>
              <w:rPr>
                <w:rFonts w:ascii="宋体" w:hAnsi="宋体"/>
                <w:color w:val="000000"/>
                <w:szCs w:val="21"/>
                <w:highlight w:val="none"/>
              </w:rPr>
            </w:pPr>
            <w:r>
              <w:rPr>
                <w:rFonts w:hint="eastAsia" w:ascii="宋体" w:hAnsi="宋体"/>
                <w:color w:val="000000"/>
                <w:szCs w:val="21"/>
                <w:highlight w:val="none"/>
              </w:rPr>
              <w:t>□本项目不收取投标保证金。</w:t>
            </w:r>
          </w:p>
          <w:p w14:paraId="49704BA4">
            <w:pPr>
              <w:snapToGrid w:val="0"/>
              <w:spacing w:line="360" w:lineRule="auto"/>
              <w:rPr>
                <w:rFonts w:hint="eastAsia" w:ascii="宋体" w:hAnsi="宋体"/>
                <w:color w:val="000000"/>
                <w:szCs w:val="21"/>
                <w:highlight w:val="none"/>
              </w:rPr>
            </w:pPr>
            <w:r>
              <w:rPr>
                <w:rFonts w:ascii="Wingdings 2" w:hAnsi="Wingdings 2"/>
                <w:color w:val="000000"/>
                <w:szCs w:val="21"/>
                <w:highlight w:val="none"/>
              </w:rPr>
              <w:t></w:t>
            </w:r>
            <w:r>
              <w:rPr>
                <w:rFonts w:hint="eastAsia" w:ascii="宋体" w:hAnsi="宋体"/>
                <w:color w:val="000000"/>
                <w:szCs w:val="21"/>
                <w:highlight w:val="none"/>
              </w:rPr>
              <w:t xml:space="preserve">本项目收取投标保证金，具体规定如下： </w:t>
            </w:r>
            <w:r>
              <w:rPr>
                <w:rFonts w:hint="eastAsia" w:ascii="宋体" w:hAnsi="宋体"/>
                <w:color w:val="000000"/>
                <w:szCs w:val="21"/>
                <w:highlight w:val="none"/>
                <w:u w:val="single"/>
              </w:rPr>
              <w:t>A分标</w:t>
            </w:r>
            <w:r>
              <w:rPr>
                <w:rFonts w:hint="eastAsia" w:ascii="宋体" w:hAnsi="宋体" w:cs="宋体"/>
                <w:color w:val="000000"/>
                <w:kern w:val="0"/>
                <w:szCs w:val="21"/>
                <w:highlight w:val="none"/>
                <w:u w:val="single"/>
              </w:rPr>
              <w:t>人民币</w:t>
            </w:r>
            <w:r>
              <w:rPr>
                <w:rFonts w:hint="eastAsia" w:ascii="宋体" w:hAnsi="宋体" w:cs="宋体"/>
                <w:color w:val="000000"/>
                <w:kern w:val="0"/>
                <w:szCs w:val="21"/>
                <w:highlight w:val="none"/>
                <w:u w:val="single"/>
                <w:lang w:eastAsia="zh-CN"/>
              </w:rPr>
              <w:t>贰万元整</w:t>
            </w:r>
            <w:r>
              <w:rPr>
                <w:rFonts w:hint="eastAsia" w:ascii="宋体" w:hAnsi="宋体" w:cs="宋体"/>
                <w:color w:val="000000"/>
                <w:kern w:val="0"/>
                <w:szCs w:val="21"/>
                <w:highlight w:val="none"/>
                <w:u w:val="single"/>
              </w:rPr>
              <w:t>（¥</w:t>
            </w:r>
            <w:r>
              <w:rPr>
                <w:rFonts w:hint="eastAsia" w:ascii="宋体" w:hAnsi="宋体" w:cs="宋体"/>
                <w:color w:val="000000"/>
                <w:kern w:val="0"/>
                <w:szCs w:val="21"/>
                <w:highlight w:val="none"/>
                <w:u w:val="single"/>
                <w:lang w:val="en-US" w:eastAsia="zh-CN"/>
              </w:rPr>
              <w:t>20000</w:t>
            </w:r>
            <w:r>
              <w:rPr>
                <w:rFonts w:hint="eastAsia" w:ascii="宋体" w:hAnsi="宋体" w:cs="宋体"/>
                <w:color w:val="000000"/>
                <w:kern w:val="0"/>
                <w:szCs w:val="21"/>
                <w:highlight w:val="none"/>
                <w:u w:val="single"/>
              </w:rPr>
              <w:t>.00）、</w:t>
            </w:r>
            <w:r>
              <w:rPr>
                <w:rFonts w:hint="eastAsia" w:ascii="宋体" w:hAnsi="宋体"/>
                <w:color w:val="000000"/>
                <w:szCs w:val="21"/>
                <w:highlight w:val="none"/>
                <w:u w:val="single"/>
              </w:rPr>
              <w:t>B分标</w:t>
            </w:r>
            <w:r>
              <w:rPr>
                <w:rFonts w:hint="eastAsia" w:ascii="宋体" w:hAnsi="宋体" w:cs="宋体"/>
                <w:color w:val="000000"/>
                <w:kern w:val="0"/>
                <w:szCs w:val="21"/>
                <w:highlight w:val="none"/>
                <w:u w:val="single"/>
              </w:rPr>
              <w:t>人民币</w:t>
            </w:r>
            <w:r>
              <w:rPr>
                <w:rFonts w:hint="eastAsia" w:ascii="宋体" w:hAnsi="宋体" w:cs="宋体"/>
                <w:color w:val="000000"/>
                <w:kern w:val="0"/>
                <w:szCs w:val="21"/>
                <w:highlight w:val="none"/>
                <w:u w:val="single"/>
                <w:lang w:val="en-US" w:eastAsia="zh-CN"/>
              </w:rPr>
              <w:t>壹万捌仟元整</w:t>
            </w:r>
            <w:r>
              <w:rPr>
                <w:rFonts w:hint="eastAsia" w:ascii="宋体" w:hAnsi="宋体" w:cs="宋体"/>
                <w:color w:val="000000"/>
                <w:kern w:val="0"/>
                <w:szCs w:val="21"/>
                <w:highlight w:val="none"/>
                <w:u w:val="single"/>
              </w:rPr>
              <w:t>（¥</w:t>
            </w:r>
            <w:r>
              <w:rPr>
                <w:rFonts w:hint="eastAsia" w:ascii="宋体" w:hAnsi="宋体" w:cs="宋体"/>
                <w:color w:val="000000"/>
                <w:kern w:val="0"/>
                <w:szCs w:val="21"/>
                <w:highlight w:val="none"/>
                <w:u w:val="single"/>
                <w:lang w:val="en-US" w:eastAsia="zh-CN"/>
              </w:rPr>
              <w:t>18000</w:t>
            </w:r>
            <w:r>
              <w:rPr>
                <w:rFonts w:hint="eastAsia" w:ascii="宋体" w:hAnsi="宋体" w:cs="宋体"/>
                <w:color w:val="000000"/>
                <w:kern w:val="0"/>
                <w:szCs w:val="21"/>
                <w:highlight w:val="none"/>
                <w:u w:val="single"/>
              </w:rPr>
              <w:t>.00）</w:t>
            </w:r>
            <w:r>
              <w:rPr>
                <w:rFonts w:hint="eastAsia" w:ascii="宋体" w:hAnsi="宋体" w:cs="宋体"/>
                <w:color w:val="000000"/>
                <w:kern w:val="0"/>
                <w:szCs w:val="21"/>
                <w:highlight w:val="none"/>
              </w:rPr>
              <w:t>。</w:t>
            </w:r>
          </w:p>
          <w:p w14:paraId="2AD4F357">
            <w:pPr>
              <w:snapToGrid w:val="0"/>
              <w:spacing w:line="360" w:lineRule="auto"/>
              <w:rPr>
                <w:rFonts w:hint="eastAsia" w:ascii="宋体" w:hAnsi="宋体"/>
                <w:b/>
                <w:color w:val="000000"/>
                <w:szCs w:val="21"/>
                <w:highlight w:val="none"/>
              </w:rPr>
            </w:pPr>
            <w:r>
              <w:rPr>
                <w:rFonts w:hint="eastAsia" w:ascii="宋体" w:hAnsi="宋体" w:cs="宋体"/>
                <w:color w:val="000000"/>
                <w:kern w:val="0"/>
                <w:szCs w:val="21"/>
                <w:highlight w:val="none"/>
              </w:rPr>
              <w:t>投标保证金的交纳方式：银行转账、支票、汇票、本票或者银行、保险机构出具的保函，禁止采用现钞方式。采用银行转账方式的，在投标截止时间前</w:t>
            </w:r>
            <w:r>
              <w:rPr>
                <w:rFonts w:hint="eastAsia"/>
                <w:color w:val="000000"/>
                <w:highlight w:val="none"/>
              </w:rPr>
              <w:t>从投标人账户</w:t>
            </w:r>
            <w:r>
              <w:rPr>
                <w:rFonts w:hint="eastAsia" w:ascii="宋体" w:hAnsi="宋体" w:cs="宋体"/>
                <w:color w:val="000000"/>
                <w:kern w:val="0"/>
                <w:szCs w:val="21"/>
                <w:highlight w:val="none"/>
              </w:rPr>
              <w:t>交至指定账户并且到账（A分标：</w:t>
            </w:r>
            <w:r>
              <w:rPr>
                <w:rFonts w:hint="eastAsia" w:ascii="宋体" w:hAnsi="宋体"/>
                <w:color w:val="000000"/>
                <w:szCs w:val="21"/>
                <w:highlight w:val="none"/>
                <w:u w:val="single"/>
              </w:rPr>
              <w:t>开户银行：钦州市区农村信用合作联社政务服务中心分社，开户名称：钦州市公共资源交易中心，银行账号：20298994252002307；</w:t>
            </w:r>
            <w:r>
              <w:rPr>
                <w:rFonts w:hint="eastAsia" w:ascii="宋体" w:hAnsi="宋体" w:cs="宋体"/>
                <w:color w:val="000000"/>
                <w:kern w:val="0"/>
                <w:szCs w:val="21"/>
                <w:highlight w:val="none"/>
              </w:rPr>
              <w:t>B分标：</w:t>
            </w:r>
            <w:r>
              <w:rPr>
                <w:rFonts w:hint="eastAsia" w:ascii="宋体" w:hAnsi="宋体"/>
                <w:color w:val="000000"/>
                <w:szCs w:val="21"/>
                <w:highlight w:val="none"/>
                <w:u w:val="single"/>
              </w:rPr>
              <w:t>开户银行：钦州市区农村信用合作联社政务服务中心分社，开户名称：钦州市公共资源交易中心，银行账号：20298994252002306;</w:t>
            </w:r>
            <w:r>
              <w:rPr>
                <w:rFonts w:hint="eastAsia" w:ascii="宋体" w:hAnsi="宋体" w:cs="宋体"/>
                <w:color w:val="000000"/>
                <w:kern w:val="0"/>
                <w:szCs w:val="21"/>
                <w:highlight w:val="none"/>
              </w:rPr>
              <w:t>）；采用支票、汇票、本票或者保函等方式的，在投标截止时间前，投标人必须递交单独密封的支票、汇票、本票或者保函原件。</w:t>
            </w:r>
            <w:r>
              <w:rPr>
                <w:rFonts w:hint="eastAsia" w:ascii="宋体" w:hAnsi="宋体" w:cs="宋体"/>
                <w:b/>
                <w:color w:val="000000"/>
                <w:kern w:val="0"/>
                <w:szCs w:val="21"/>
                <w:highlight w:val="none"/>
              </w:rPr>
              <w:t>否则视为无效投标保证金。</w:t>
            </w:r>
          </w:p>
          <w:p w14:paraId="35E053FC">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相关要求：</w:t>
            </w:r>
          </w:p>
          <w:p w14:paraId="576B8DDE">
            <w:pPr>
              <w:pStyle w:val="16"/>
              <w:spacing w:line="360" w:lineRule="auto"/>
              <w:rPr>
                <w:rFonts w:hint="eastAsia" w:ascii="宋体" w:hAnsi="宋体"/>
                <w:color w:val="000000"/>
                <w:szCs w:val="21"/>
                <w:highlight w:val="none"/>
                <w:lang w:val="en-US" w:eastAsia="zh-CN"/>
              </w:rPr>
            </w:pPr>
            <w:r>
              <w:rPr>
                <w:rFonts w:hint="eastAsia" w:ascii="宋体" w:hAnsi="宋体"/>
                <w:color w:val="000000"/>
                <w:szCs w:val="21"/>
                <w:highlight w:val="none"/>
                <w:lang w:val="en-US" w:eastAsia="zh-CN"/>
              </w:rPr>
              <w:t>1.投标保证金采用银行转账交纳方式，在投标截止时间前交至指定账户并且到账，投标人应将银行转账底单的复印件作为投标保证金提交凭证，放置于商务及技术文件中，</w:t>
            </w:r>
            <w:r>
              <w:rPr>
                <w:rFonts w:hint="eastAsia" w:ascii="宋体" w:hAnsi="宋体"/>
                <w:b/>
                <w:color w:val="000000"/>
                <w:szCs w:val="21"/>
                <w:highlight w:val="none"/>
                <w:lang w:val="en-US" w:eastAsia="zh-CN"/>
              </w:rPr>
              <w:t>否则投标无效</w:t>
            </w:r>
            <w:r>
              <w:rPr>
                <w:rFonts w:hint="eastAsia" w:ascii="宋体" w:hAnsi="宋体"/>
                <w:color w:val="000000"/>
                <w:szCs w:val="21"/>
                <w:highlight w:val="none"/>
                <w:lang w:val="en-US" w:eastAsia="zh-CN"/>
              </w:rPr>
              <w:t>。</w:t>
            </w:r>
          </w:p>
          <w:p w14:paraId="6516C000">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2.投标保证金采用支票、汇票、本票或者银行、保险机构出具的保函</w:t>
            </w:r>
            <w:r>
              <w:rPr>
                <w:rFonts w:hint="eastAsia"/>
                <w:color w:val="000000"/>
                <w:highlight w:val="none"/>
              </w:rPr>
              <w:t>（包含电子保函）</w:t>
            </w:r>
            <w:r>
              <w:rPr>
                <w:rFonts w:hint="eastAsia" w:ascii="宋体" w:hAnsi="宋体"/>
                <w:color w:val="000000"/>
                <w:szCs w:val="21"/>
                <w:highlight w:val="none"/>
              </w:rPr>
              <w:t>交纳方式的，投标人应将支票、汇票、本票或者银行、保险机构出具的保函</w:t>
            </w:r>
            <w:r>
              <w:rPr>
                <w:rFonts w:hint="eastAsia"/>
                <w:color w:val="000000"/>
                <w:highlight w:val="none"/>
              </w:rPr>
              <w:t>（包含电子保函）</w:t>
            </w:r>
            <w:r>
              <w:rPr>
                <w:rFonts w:hint="eastAsia" w:ascii="宋体" w:hAnsi="宋体"/>
                <w:color w:val="000000"/>
                <w:szCs w:val="21"/>
                <w:highlight w:val="none"/>
              </w:rPr>
              <w:t>的复印件作为投标保证金提交凭证，放置于商务及技术文件中，</w:t>
            </w:r>
            <w:r>
              <w:rPr>
                <w:rFonts w:hint="eastAsia" w:ascii="宋体" w:hAnsi="宋体"/>
                <w:b/>
                <w:color w:val="000000"/>
                <w:szCs w:val="21"/>
                <w:highlight w:val="none"/>
              </w:rPr>
              <w:t>否则投标无效</w:t>
            </w:r>
            <w:r>
              <w:rPr>
                <w:rFonts w:hint="eastAsia" w:ascii="宋体" w:hAnsi="宋体"/>
                <w:color w:val="000000"/>
                <w:szCs w:val="21"/>
                <w:highlight w:val="none"/>
              </w:rPr>
              <w:t>。投标人必须</w:t>
            </w:r>
            <w:r>
              <w:rPr>
                <w:rFonts w:hint="eastAsia"/>
                <w:color w:val="000000"/>
                <w:highlight w:val="none"/>
              </w:rPr>
              <w:t>在投标截止时间前采用现场或邮寄方式（</w:t>
            </w:r>
            <w:r>
              <w:rPr>
                <w:rFonts w:hint="eastAsia" w:ascii="宋体" w:hAnsi="宋体"/>
                <w:color w:val="000000"/>
                <w:szCs w:val="21"/>
                <w:highlight w:val="none"/>
              </w:rPr>
              <w:t>现场提交地址：</w:t>
            </w:r>
            <w:r>
              <w:rPr>
                <w:rFonts w:hint="eastAsia" w:ascii="宋体" w:hAnsi="宋体"/>
                <w:color w:val="000000"/>
                <w:szCs w:val="21"/>
                <w:highlight w:val="none"/>
                <w:u w:val="single"/>
              </w:rPr>
              <w:t>钦州市公共资源交易中心电子显示屏所安排的开标室</w:t>
            </w:r>
            <w:r>
              <w:rPr>
                <w:rFonts w:hint="eastAsia" w:ascii="宋体" w:hAnsi="宋体"/>
                <w:color w:val="000000"/>
                <w:szCs w:val="21"/>
                <w:highlight w:val="none"/>
              </w:rPr>
              <w:t>；邮寄地址：</w:t>
            </w:r>
            <w:r>
              <w:rPr>
                <w:rFonts w:hint="eastAsia" w:ascii="宋体" w:hAnsi="宋体"/>
                <w:color w:val="000000"/>
                <w:szCs w:val="21"/>
                <w:highlight w:val="none"/>
                <w:u w:val="single"/>
              </w:rPr>
              <w:t>广西钦州市子材东大街19号奥林名城8号楼8层云之龙咨询集团有限公司，联系人：秦绍袁，电话：0777-5619399。</w:t>
            </w:r>
            <w:r>
              <w:rPr>
                <w:rFonts w:hint="eastAsia"/>
                <w:color w:val="000000"/>
                <w:highlight w:val="none"/>
              </w:rPr>
              <w:t>）</w:t>
            </w:r>
            <w:r>
              <w:rPr>
                <w:rFonts w:hint="eastAsia" w:ascii="宋体" w:hAnsi="宋体"/>
                <w:color w:val="000000"/>
                <w:szCs w:val="21"/>
                <w:highlight w:val="none"/>
              </w:rPr>
              <w:t>将</w:t>
            </w:r>
            <w:r>
              <w:rPr>
                <w:rFonts w:hint="eastAsia" w:ascii="宋体" w:hAnsi="宋体" w:cs="宋体"/>
                <w:color w:val="000000"/>
                <w:kern w:val="0"/>
                <w:szCs w:val="21"/>
                <w:highlight w:val="none"/>
              </w:rPr>
              <w:t>单独密封的</w:t>
            </w:r>
            <w:r>
              <w:rPr>
                <w:rFonts w:hint="eastAsia" w:ascii="宋体" w:hAnsi="宋体"/>
                <w:color w:val="000000"/>
                <w:szCs w:val="21"/>
                <w:highlight w:val="none"/>
              </w:rPr>
              <w:t>支票、汇票、本票或者银行、保险机构出具的保函原件提交给采购人或者采购代理机构，未按时提交的</w:t>
            </w:r>
            <w:r>
              <w:rPr>
                <w:rFonts w:hint="eastAsia" w:ascii="宋体" w:hAnsi="宋体"/>
                <w:b/>
                <w:color w:val="000000"/>
                <w:szCs w:val="21"/>
                <w:highlight w:val="none"/>
              </w:rPr>
              <w:t>，投标无效</w:t>
            </w:r>
            <w:r>
              <w:rPr>
                <w:rFonts w:hint="eastAsia" w:ascii="宋体" w:hAnsi="宋体"/>
                <w:color w:val="000000"/>
                <w:szCs w:val="21"/>
                <w:highlight w:val="none"/>
              </w:rPr>
              <w:t>，由采购人或者采购代理机构向投标人出具回执（邮寄方式的除外），并妥善保管。</w:t>
            </w:r>
          </w:p>
          <w:p w14:paraId="21BF092C">
            <w:pPr>
              <w:snapToGrid w:val="0"/>
              <w:spacing w:line="360" w:lineRule="auto"/>
              <w:rPr>
                <w:rFonts w:hint="eastAsia" w:ascii="宋体" w:hAnsi="宋体" w:cs="宋体"/>
                <w:color w:val="000000"/>
                <w:szCs w:val="21"/>
                <w:highlight w:val="none"/>
              </w:rPr>
            </w:pPr>
            <w:r>
              <w:rPr>
                <w:rFonts w:hint="eastAsia" w:ascii="宋体" w:hAnsi="宋体"/>
                <w:color w:val="000000"/>
                <w:szCs w:val="21"/>
                <w:highlight w:val="none"/>
              </w:rPr>
              <w:t>3</w:t>
            </w:r>
            <w:r>
              <w:rPr>
                <w:rFonts w:hint="eastAsia" w:ascii="宋体" w:hAnsi="宋体" w:cs="宋体"/>
                <w:color w:val="000000"/>
                <w:szCs w:val="21"/>
                <w:highlight w:val="none"/>
              </w:rPr>
              <w:t>.投标人为联合体的，可以由联合体中的一方或者多方共同交纳投标保证金，其交纳的保证金对联合体各方均具有约束力。</w:t>
            </w:r>
          </w:p>
          <w:p w14:paraId="5BDDD8EF">
            <w:pPr>
              <w:snapToGrid w:val="0"/>
              <w:spacing w:line="360" w:lineRule="auto"/>
              <w:rPr>
                <w:rFonts w:hint="eastAsia" w:ascii="宋体" w:hAnsi="宋体"/>
                <w:b/>
                <w:color w:val="000000"/>
                <w:szCs w:val="21"/>
                <w:highlight w:val="none"/>
              </w:rPr>
            </w:pPr>
            <w:r>
              <w:rPr>
                <w:rFonts w:hint="eastAsia" w:ascii="宋体" w:hAnsi="宋体"/>
                <w:b/>
                <w:color w:val="000000"/>
                <w:szCs w:val="21"/>
                <w:highlight w:val="none"/>
              </w:rPr>
              <w:t xml:space="preserve">备注： </w:t>
            </w:r>
          </w:p>
          <w:p w14:paraId="263B7599">
            <w:pPr>
              <w:snapToGrid w:val="0"/>
              <w:spacing w:line="360" w:lineRule="auto"/>
              <w:rPr>
                <w:rFonts w:hint="eastAsia" w:ascii="宋体" w:hAnsi="宋体"/>
                <w:b/>
                <w:color w:val="000000"/>
                <w:szCs w:val="21"/>
                <w:highlight w:val="none"/>
              </w:rPr>
            </w:pPr>
            <w:r>
              <w:rPr>
                <w:rFonts w:hint="eastAsia" w:ascii="宋体" w:hAnsi="宋体"/>
                <w:b/>
                <w:color w:val="000000"/>
                <w:szCs w:val="21"/>
                <w:highlight w:val="none"/>
              </w:rPr>
              <w:t>1. 投标保证金在投标截止时间后提交的，或者不按规定交纳方式交纳的，或者未足额交纳的（包含保函额度不足的），视为无效投标保证金。</w:t>
            </w:r>
          </w:p>
          <w:p w14:paraId="36CBAD7B">
            <w:pPr>
              <w:snapToGrid w:val="0"/>
              <w:spacing w:line="360" w:lineRule="auto"/>
              <w:rPr>
                <w:rFonts w:hint="eastAsia" w:ascii="宋体" w:hAnsi="宋体"/>
                <w:b/>
                <w:color w:val="000000"/>
                <w:szCs w:val="21"/>
                <w:highlight w:val="none"/>
              </w:rPr>
            </w:pPr>
            <w:r>
              <w:rPr>
                <w:rFonts w:hint="eastAsia" w:ascii="宋体" w:hAnsi="宋体"/>
                <w:b/>
                <w:color w:val="000000"/>
                <w:szCs w:val="21"/>
                <w:highlight w:val="none"/>
              </w:rPr>
              <w:t>2.投标人采用现钞方式或者从个人账户（自然人投标除外）转出的投标保证金，视为无效投标保证金。</w:t>
            </w:r>
          </w:p>
          <w:p w14:paraId="22DC99DE">
            <w:pPr>
              <w:snapToGrid w:val="0"/>
              <w:spacing w:line="360" w:lineRule="auto"/>
              <w:rPr>
                <w:rFonts w:hint="eastAsia" w:ascii="宋体" w:hAnsi="宋体"/>
                <w:b/>
                <w:color w:val="000000"/>
                <w:szCs w:val="21"/>
                <w:highlight w:val="none"/>
              </w:rPr>
            </w:pPr>
            <w:r>
              <w:rPr>
                <w:rFonts w:hint="eastAsia" w:ascii="宋体" w:hAnsi="宋体"/>
                <w:b/>
                <w:color w:val="000000"/>
                <w:szCs w:val="21"/>
                <w:highlight w:val="none"/>
              </w:rPr>
              <w:t>3.支票、汇票或者本票出现无效或者背书情形的，视为无效投标保证金。</w:t>
            </w:r>
          </w:p>
          <w:p w14:paraId="628D3517">
            <w:pPr>
              <w:snapToGrid w:val="0"/>
              <w:spacing w:line="360" w:lineRule="auto"/>
              <w:rPr>
                <w:rFonts w:hint="eastAsia" w:ascii="宋体" w:hAnsi="宋体"/>
                <w:b/>
                <w:color w:val="000000"/>
                <w:szCs w:val="21"/>
                <w:highlight w:val="none"/>
              </w:rPr>
            </w:pPr>
            <w:r>
              <w:rPr>
                <w:rFonts w:hint="eastAsia" w:ascii="宋体" w:hAnsi="宋体"/>
                <w:b/>
                <w:color w:val="000000"/>
                <w:szCs w:val="21"/>
                <w:highlight w:val="none"/>
              </w:rPr>
              <w:t>4.保函有效期低于投标有效期的，视为无效投标保证金。</w:t>
            </w:r>
          </w:p>
          <w:p w14:paraId="36ABBE2B">
            <w:pPr>
              <w:snapToGrid w:val="0"/>
              <w:spacing w:line="360" w:lineRule="auto"/>
              <w:rPr>
                <w:rFonts w:hint="eastAsia"/>
                <w:color w:val="000000"/>
                <w:highlight w:val="none"/>
              </w:rPr>
            </w:pPr>
            <w:r>
              <w:rPr>
                <w:rFonts w:hint="eastAsia" w:ascii="宋体" w:hAnsi="宋体"/>
                <w:b/>
                <w:color w:val="000000"/>
                <w:szCs w:val="21"/>
                <w:highlight w:val="none"/>
              </w:rPr>
              <w:t>5.采用银行、保险机构出具保函的，必须为无条件保函，否则视为无效投标保证金。</w:t>
            </w:r>
          </w:p>
        </w:tc>
      </w:tr>
      <w:tr w14:paraId="15E6E5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0F4C74FC">
            <w:pPr>
              <w:spacing w:line="360" w:lineRule="auto"/>
              <w:jc w:val="center"/>
              <w:rPr>
                <w:rFonts w:hint="eastAsia" w:ascii="宋体" w:hAnsi="宋体"/>
                <w:color w:val="000000"/>
                <w:szCs w:val="21"/>
                <w:highlight w:val="none"/>
              </w:rPr>
            </w:pPr>
            <w:bookmarkStart w:id="74" w:name="_19.2"/>
            <w:bookmarkEnd w:id="74"/>
            <w:r>
              <w:rPr>
                <w:rFonts w:hint="eastAsia" w:ascii="宋体" w:hAnsi="宋体"/>
                <w:color w:val="000000"/>
                <w:szCs w:val="21"/>
                <w:highlight w:val="none"/>
              </w:rPr>
              <w:t>20</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382922BE">
            <w:pPr>
              <w:autoSpaceDE w:val="0"/>
              <w:autoSpaceDN w:val="0"/>
              <w:adjustRightIn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本项目不接受</w:t>
            </w:r>
            <w:r>
              <w:rPr>
                <w:rFonts w:hint="eastAsia"/>
                <w:color w:val="000000"/>
                <w:highlight w:val="none"/>
              </w:rPr>
              <w:t>电子</w:t>
            </w:r>
            <w:r>
              <w:rPr>
                <w:rFonts w:hint="eastAsia" w:ascii="宋体" w:hAnsi="宋体"/>
                <w:color w:val="000000"/>
                <w:szCs w:val="21"/>
                <w:highlight w:val="none"/>
              </w:rPr>
              <w:t>备份投标文件；</w:t>
            </w:r>
          </w:p>
        </w:tc>
      </w:tr>
      <w:tr w14:paraId="1B9D1F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895" w:type="dxa"/>
            <w:tcBorders>
              <w:top w:val="single" w:color="auto" w:sz="4" w:space="0"/>
              <w:left w:val="single" w:color="auto" w:sz="4" w:space="0"/>
              <w:bottom w:val="single" w:color="auto" w:sz="4" w:space="0"/>
              <w:right w:val="single" w:color="auto" w:sz="4" w:space="0"/>
            </w:tcBorders>
            <w:noWrap w:val="0"/>
            <w:vAlign w:val="center"/>
          </w:tcPr>
          <w:p w14:paraId="5A1367B5">
            <w:pPr>
              <w:spacing w:line="360" w:lineRule="auto"/>
              <w:jc w:val="center"/>
              <w:rPr>
                <w:rFonts w:hint="eastAsia" w:ascii="宋体" w:hAnsi="宋体"/>
                <w:color w:val="000000"/>
                <w:szCs w:val="21"/>
                <w:highlight w:val="none"/>
              </w:rPr>
            </w:pPr>
            <w:bookmarkStart w:id="75" w:name="_21.1"/>
            <w:bookmarkEnd w:id="75"/>
            <w:r>
              <w:rPr>
                <w:rFonts w:hint="eastAsia" w:ascii="宋体" w:hAnsi="宋体"/>
                <w:color w:val="000000"/>
                <w:szCs w:val="21"/>
                <w:highlight w:val="none"/>
              </w:rPr>
              <w:t>21.1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6DE2787B">
            <w:pPr>
              <w:snapToGrid w:val="0"/>
              <w:spacing w:line="360" w:lineRule="auto"/>
              <w:rPr>
                <w:rFonts w:hint="eastAsia" w:ascii="宋体" w:hAnsi="宋体"/>
                <w:color w:val="000000"/>
                <w:szCs w:val="21"/>
                <w:highlight w:val="none"/>
                <w:u w:val="single"/>
              </w:rPr>
            </w:pPr>
            <w:r>
              <w:rPr>
                <w:rFonts w:hint="eastAsia" w:ascii="宋体" w:hAnsi="宋体"/>
                <w:color w:val="000000"/>
                <w:szCs w:val="21"/>
                <w:highlight w:val="none"/>
              </w:rPr>
              <w:t>1. 提交投标文件截止时间：详见招标公告</w:t>
            </w:r>
          </w:p>
          <w:p w14:paraId="4340A2E8">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2.投标地点：详见招标公告</w:t>
            </w:r>
          </w:p>
        </w:tc>
      </w:tr>
      <w:tr w14:paraId="4DD1B7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0AAE9331">
            <w:pPr>
              <w:spacing w:line="360" w:lineRule="auto"/>
              <w:jc w:val="center"/>
              <w:rPr>
                <w:rFonts w:hint="eastAsia" w:ascii="宋体" w:hAnsi="宋体"/>
                <w:color w:val="000000"/>
                <w:szCs w:val="21"/>
                <w:highlight w:val="none"/>
              </w:rPr>
            </w:pPr>
            <w:bookmarkStart w:id="76" w:name="_23"/>
            <w:bookmarkEnd w:id="76"/>
            <w:r>
              <w:rPr>
                <w:rFonts w:hint="eastAsia" w:ascii="宋体" w:hAnsi="宋体"/>
                <w:color w:val="000000"/>
                <w:szCs w:val="21"/>
                <w:highlight w:val="none"/>
              </w:rPr>
              <w:t>23</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41314933">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1.开标时间：详见招标公告</w:t>
            </w:r>
          </w:p>
          <w:p w14:paraId="1D433CCE">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2.开标地点：详见招标公告</w:t>
            </w:r>
          </w:p>
        </w:tc>
      </w:tr>
      <w:tr w14:paraId="11A64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5D0E1902">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24.3（1）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3ED8DBA0">
            <w:pPr>
              <w:snapToGrid w:val="0"/>
              <w:spacing w:line="360" w:lineRule="auto"/>
              <w:rPr>
                <w:rFonts w:hint="eastAsia" w:hAnsi="宋体"/>
                <w:color w:val="000000"/>
                <w:highlight w:val="none"/>
                <w:u w:val="single"/>
              </w:rPr>
            </w:pPr>
            <w:r>
              <w:rPr>
                <w:rFonts w:hint="eastAsia" w:hAnsi="宋体"/>
                <w:color w:val="000000"/>
                <w:highlight w:val="none"/>
              </w:rPr>
              <w:t>电子投标文件解密时间：</w:t>
            </w:r>
            <w:r>
              <w:rPr>
                <w:rFonts w:hint="eastAsia" w:hAnsi="宋体"/>
                <w:color w:val="000000"/>
                <w:highlight w:val="none"/>
                <w:u w:val="single"/>
              </w:rPr>
              <w:t xml:space="preserve">  30   </w:t>
            </w:r>
            <w:r>
              <w:rPr>
                <w:rFonts w:hint="eastAsia" w:hAnsi="宋体"/>
                <w:color w:val="000000"/>
                <w:highlight w:val="none"/>
              </w:rPr>
              <w:t>分钟</w:t>
            </w:r>
          </w:p>
        </w:tc>
      </w:tr>
      <w:tr w14:paraId="0B0DC4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26747D2C">
            <w:pPr>
              <w:spacing w:line="360" w:lineRule="auto"/>
              <w:jc w:val="center"/>
              <w:rPr>
                <w:rFonts w:ascii="宋体" w:hAnsi="宋体"/>
                <w:color w:val="000000"/>
                <w:szCs w:val="21"/>
                <w:highlight w:val="none"/>
              </w:rPr>
            </w:pPr>
            <w:r>
              <w:rPr>
                <w:rFonts w:hint="eastAsia" w:ascii="宋体" w:hAnsi="宋体"/>
                <w:color w:val="000000"/>
                <w:szCs w:val="21"/>
                <w:highlight w:val="none"/>
              </w:rPr>
              <w:t>24</w:t>
            </w:r>
            <w:r>
              <w:rPr>
                <w:rFonts w:ascii="宋体" w:hAnsi="宋体"/>
                <w:color w:val="000000"/>
                <w:szCs w:val="21"/>
                <w:highlight w:val="none"/>
              </w:rPr>
              <w:t>.3</w:t>
            </w:r>
            <w:r>
              <w:rPr>
                <w:rFonts w:hint="eastAsia" w:ascii="宋体" w:hAnsi="宋体"/>
                <w:color w:val="000000"/>
                <w:szCs w:val="21"/>
                <w:highlight w:val="none"/>
              </w:rPr>
              <w:t>（</w:t>
            </w:r>
            <w:r>
              <w:rPr>
                <w:rFonts w:ascii="宋体" w:hAnsi="宋体"/>
                <w:color w:val="000000"/>
                <w:szCs w:val="21"/>
                <w:highlight w:val="none"/>
              </w:rPr>
              <w:t>2</w:t>
            </w:r>
            <w:r>
              <w:rPr>
                <w:rFonts w:hint="eastAsia" w:ascii="宋体" w:hAnsi="宋体"/>
                <w:color w:val="000000"/>
                <w:szCs w:val="21"/>
                <w:highlight w:val="none"/>
              </w:rPr>
              <w:t>）</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50252E15">
            <w:pPr>
              <w:snapToGrid w:val="0"/>
              <w:spacing w:line="360" w:lineRule="auto"/>
              <w:rPr>
                <w:rFonts w:ascii="宋体" w:hAnsi="宋体"/>
                <w:color w:val="000000"/>
                <w:szCs w:val="21"/>
                <w:highlight w:val="none"/>
              </w:rPr>
            </w:pPr>
            <w:r>
              <w:rPr>
                <w:rFonts w:hint="eastAsia"/>
                <w:color w:val="000000"/>
                <w:highlight w:val="none"/>
              </w:rPr>
              <w:t>宣布的内容</w:t>
            </w:r>
            <w:r>
              <w:rPr>
                <w:rFonts w:hint="eastAsia" w:hAnsi="宋体"/>
                <w:color w:val="000000"/>
                <w:highlight w:val="none"/>
              </w:rPr>
              <w:t>：投标人名称、投标价格、</w:t>
            </w:r>
            <w:r>
              <w:rPr>
                <w:rFonts w:hAnsi="宋体"/>
                <w:color w:val="000000"/>
                <w:highlight w:val="none"/>
                <w:u w:val="single"/>
              </w:rPr>
              <w:t xml:space="preserve">  </w:t>
            </w:r>
            <w:r>
              <w:rPr>
                <w:rFonts w:hint="eastAsia" w:hAnsi="宋体"/>
                <w:color w:val="000000"/>
                <w:highlight w:val="none"/>
                <w:u w:val="single"/>
              </w:rPr>
              <w:t>交货期</w:t>
            </w:r>
            <w:r>
              <w:rPr>
                <w:rFonts w:hAnsi="宋体"/>
                <w:color w:val="000000"/>
                <w:highlight w:val="none"/>
                <w:u w:val="single"/>
              </w:rPr>
              <w:t xml:space="preserve">     </w:t>
            </w:r>
          </w:p>
        </w:tc>
      </w:tr>
      <w:tr w14:paraId="6A7CE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4EF79F0E">
            <w:pPr>
              <w:spacing w:line="360" w:lineRule="auto"/>
              <w:jc w:val="center"/>
              <w:rPr>
                <w:rFonts w:hint="eastAsia" w:ascii="宋体" w:hAnsi="宋体"/>
                <w:color w:val="000000"/>
                <w:szCs w:val="21"/>
                <w:highlight w:val="none"/>
              </w:rPr>
            </w:pPr>
            <w:bookmarkStart w:id="77" w:name="_25.3"/>
            <w:bookmarkEnd w:id="77"/>
            <w:r>
              <w:rPr>
                <w:rFonts w:hint="eastAsia" w:ascii="宋体" w:hAnsi="宋体"/>
                <w:color w:val="000000"/>
                <w:szCs w:val="21"/>
                <w:highlight w:val="none"/>
              </w:rPr>
              <w:t>25.3（</w:t>
            </w:r>
            <w:r>
              <w:rPr>
                <w:rFonts w:ascii="宋体" w:hAnsi="宋体"/>
                <w:color w:val="000000"/>
                <w:szCs w:val="21"/>
                <w:highlight w:val="none"/>
              </w:rPr>
              <w:t>2</w:t>
            </w:r>
            <w:r>
              <w:rPr>
                <w:rFonts w:hint="eastAsia" w:ascii="宋体" w:hAnsi="宋体"/>
                <w:color w:val="000000"/>
                <w:szCs w:val="21"/>
                <w:highlight w:val="none"/>
              </w:rPr>
              <w:t>）</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52355D89">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采购人或者采购代理机构在资格审查结束前，对投标人进行信用查询。</w:t>
            </w:r>
          </w:p>
          <w:p w14:paraId="45434958">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查询渠道：“信用中国”网站（www.creditchina.gov.cn） 、中国政府采购网（www.ccgp.gov.cn）。</w:t>
            </w:r>
          </w:p>
          <w:p w14:paraId="4C3568F0">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信用查询截止时点：资格审查结束前</w:t>
            </w:r>
          </w:p>
          <w:p w14:paraId="0CCE16A3">
            <w:pPr>
              <w:snapToGrid w:val="0"/>
              <w:spacing w:line="360" w:lineRule="auto"/>
              <w:rPr>
                <w:rFonts w:ascii="宋体" w:hAnsi="宋体"/>
                <w:color w:val="000000"/>
                <w:szCs w:val="21"/>
                <w:highlight w:val="none"/>
              </w:rPr>
            </w:pPr>
            <w:r>
              <w:rPr>
                <w:rFonts w:hint="eastAsia" w:ascii="宋体" w:hAnsi="宋体"/>
                <w:color w:val="000000"/>
                <w:szCs w:val="21"/>
                <w:highlight w:val="none"/>
              </w:rPr>
              <w:t>查询记录和证据留存方式：在查询网站中直接截图查询记录，截图作为在广西政府采购云平台（</w:t>
            </w:r>
            <w:r>
              <w:rPr>
                <w:rFonts w:hint="eastAsia" w:ascii="宋体" w:hAnsi="宋体"/>
                <w:bCs/>
                <w:color w:val="000000"/>
                <w:szCs w:val="21"/>
                <w:highlight w:val="none"/>
              </w:rPr>
              <w:t>https：//www.gcy.zfcg.gxzf.gov.cn/</w:t>
            </w:r>
            <w:r>
              <w:rPr>
                <w:rFonts w:hint="eastAsia" w:ascii="宋体" w:hAnsi="宋体"/>
                <w:color w:val="000000"/>
                <w:szCs w:val="21"/>
                <w:highlight w:val="none"/>
              </w:rPr>
              <w:t>）作为附件上传保存。</w:t>
            </w:r>
          </w:p>
          <w:p w14:paraId="0383058D">
            <w:pPr>
              <w:snapToGrid w:val="0"/>
              <w:spacing w:line="360" w:lineRule="auto"/>
              <w:rPr>
                <w:rFonts w:hint="eastAsia" w:ascii="宋体" w:hAnsi="宋体"/>
                <w:b/>
                <w:color w:val="000000"/>
                <w:szCs w:val="21"/>
                <w:highlight w:val="none"/>
              </w:rPr>
            </w:pPr>
            <w:r>
              <w:rPr>
                <w:rFonts w:hint="eastAsia" w:ascii="宋体" w:hAnsi="宋体"/>
                <w:color w:val="000000"/>
                <w:szCs w:val="21"/>
                <w:highlight w:val="none"/>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421A27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01E3ACA9">
            <w:pPr>
              <w:spacing w:line="360" w:lineRule="auto"/>
              <w:jc w:val="center"/>
              <w:rPr>
                <w:rFonts w:hint="eastAsia" w:ascii="宋体" w:hAnsi="宋体"/>
                <w:color w:val="000000"/>
                <w:szCs w:val="21"/>
                <w:highlight w:val="none"/>
              </w:rPr>
            </w:pPr>
            <w:bookmarkStart w:id="78" w:name="_26"/>
            <w:bookmarkEnd w:id="78"/>
            <w:r>
              <w:rPr>
                <w:rFonts w:hint="eastAsia" w:ascii="宋体" w:hAnsi="宋体"/>
                <w:color w:val="000000"/>
                <w:szCs w:val="21"/>
                <w:highlight w:val="none"/>
              </w:rPr>
              <w:t>26</w:t>
            </w:r>
            <w:r>
              <w:rPr>
                <w:rFonts w:ascii="宋体" w:hAnsi="宋体"/>
                <w:color w:val="000000"/>
                <w:szCs w:val="21"/>
                <w:highlight w:val="none"/>
              </w:rPr>
              <w:t>.1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0F0FD58C">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评标委员会的人数：</w:t>
            </w:r>
            <w:r>
              <w:rPr>
                <w:rFonts w:hint="eastAsia" w:ascii="宋体" w:hAnsi="宋体"/>
                <w:color w:val="000000"/>
                <w:szCs w:val="21"/>
                <w:highlight w:val="none"/>
                <w:u w:val="single"/>
              </w:rPr>
              <w:t xml:space="preserve">  5  </w:t>
            </w:r>
            <w:r>
              <w:rPr>
                <w:rFonts w:hint="eastAsia" w:ascii="宋体" w:hAnsi="宋体"/>
                <w:color w:val="000000"/>
                <w:szCs w:val="21"/>
                <w:highlight w:val="none"/>
              </w:rPr>
              <w:t>人</w:t>
            </w:r>
          </w:p>
        </w:tc>
      </w:tr>
      <w:tr w14:paraId="24AB0C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0CF8F3D4">
            <w:pPr>
              <w:spacing w:line="360" w:lineRule="auto"/>
              <w:jc w:val="center"/>
              <w:rPr>
                <w:rFonts w:hint="eastAsia" w:ascii="宋体" w:hAnsi="宋体"/>
                <w:color w:val="000000"/>
                <w:szCs w:val="21"/>
                <w:highlight w:val="none"/>
              </w:rPr>
            </w:pPr>
            <w:bookmarkStart w:id="79" w:name="_28.3"/>
            <w:bookmarkEnd w:id="79"/>
            <w:r>
              <w:rPr>
                <w:rFonts w:ascii="宋体" w:hAnsi="宋体"/>
                <w:color w:val="000000"/>
                <w:szCs w:val="21"/>
                <w:highlight w:val="none"/>
              </w:rPr>
              <w:t>29.1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16A5D0AE">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评标方法：综合评分法</w:t>
            </w:r>
          </w:p>
        </w:tc>
      </w:tr>
      <w:tr w14:paraId="76F415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95" w:type="dxa"/>
            <w:tcBorders>
              <w:top w:val="single" w:color="auto" w:sz="4" w:space="0"/>
              <w:left w:val="single" w:color="auto" w:sz="4" w:space="0"/>
              <w:bottom w:val="single" w:color="auto" w:sz="4" w:space="0"/>
              <w:right w:val="single" w:color="auto" w:sz="4" w:space="0"/>
            </w:tcBorders>
            <w:noWrap w:val="0"/>
            <w:vAlign w:val="center"/>
          </w:tcPr>
          <w:p w14:paraId="6624EAA1">
            <w:pPr>
              <w:spacing w:line="360" w:lineRule="auto"/>
              <w:jc w:val="center"/>
              <w:rPr>
                <w:rFonts w:hint="eastAsia" w:ascii="宋体" w:hAnsi="宋体"/>
                <w:color w:val="000000"/>
                <w:szCs w:val="21"/>
                <w:highlight w:val="none"/>
              </w:rPr>
            </w:pPr>
            <w:bookmarkStart w:id="80" w:name="_29.2.2（2）"/>
            <w:bookmarkEnd w:id="80"/>
            <w:r>
              <w:rPr>
                <w:rFonts w:hint="eastAsia" w:ascii="宋体" w:hAnsi="宋体"/>
                <w:color w:val="000000"/>
                <w:szCs w:val="21"/>
                <w:highlight w:val="none"/>
              </w:rPr>
              <w:t>2</w:t>
            </w:r>
            <w:r>
              <w:rPr>
                <w:rFonts w:ascii="宋体" w:hAnsi="宋体"/>
                <w:color w:val="000000"/>
                <w:szCs w:val="21"/>
                <w:highlight w:val="none"/>
              </w:rPr>
              <w:t>9.2</w:t>
            </w:r>
          </w:p>
        </w:tc>
        <w:tc>
          <w:tcPr>
            <w:tcW w:w="8711" w:type="dxa"/>
            <w:tcBorders>
              <w:top w:val="single" w:color="auto" w:sz="4" w:space="0"/>
              <w:left w:val="single" w:color="auto" w:sz="4" w:space="0"/>
              <w:right w:val="single" w:color="auto" w:sz="4" w:space="0"/>
            </w:tcBorders>
            <w:noWrap w:val="0"/>
            <w:vAlign w:val="center"/>
          </w:tcPr>
          <w:p w14:paraId="5217E251">
            <w:pPr>
              <w:snapToGrid w:val="0"/>
              <w:spacing w:line="360" w:lineRule="auto"/>
              <w:rPr>
                <w:rFonts w:ascii="宋体" w:hAnsi="宋体"/>
                <w:color w:val="000000"/>
                <w:szCs w:val="21"/>
                <w:highlight w:val="none"/>
              </w:rPr>
            </w:pPr>
            <w:r>
              <w:rPr>
                <w:rFonts w:hint="eastAsia" w:ascii="宋体" w:hAnsi="宋体" w:cs="宋体"/>
                <w:color w:val="000000"/>
                <w:szCs w:val="21"/>
                <w:highlight w:val="none"/>
              </w:rPr>
              <w:t>商务要求</w:t>
            </w:r>
            <w:r>
              <w:rPr>
                <w:rFonts w:hint="eastAsia" w:ascii="宋体" w:hAnsi="宋体"/>
                <w:color w:val="000000"/>
                <w:szCs w:val="21"/>
                <w:highlight w:val="none"/>
              </w:rPr>
              <w:t>评审中允许负偏离的条款数为</w:t>
            </w:r>
            <w:r>
              <w:rPr>
                <w:rFonts w:hint="eastAsia" w:ascii="宋体" w:hAnsi="宋体"/>
                <w:color w:val="000000"/>
                <w:szCs w:val="21"/>
                <w:highlight w:val="none"/>
                <w:u w:val="single"/>
              </w:rPr>
              <w:t xml:space="preserve">  0 </w:t>
            </w:r>
            <w:r>
              <w:rPr>
                <w:rFonts w:hint="eastAsia" w:ascii="宋体" w:hAnsi="宋体"/>
                <w:color w:val="000000"/>
                <w:szCs w:val="21"/>
                <w:highlight w:val="none"/>
              </w:rPr>
              <w:t>项。</w:t>
            </w:r>
          </w:p>
          <w:p w14:paraId="5AB2FBA7">
            <w:pPr>
              <w:snapToGrid w:val="0"/>
              <w:spacing w:line="360" w:lineRule="auto"/>
              <w:rPr>
                <w:rFonts w:hint="eastAsia" w:ascii="宋体" w:hAnsi="宋体"/>
                <w:color w:val="000000"/>
                <w:szCs w:val="21"/>
                <w:highlight w:val="none"/>
              </w:rPr>
            </w:pPr>
            <w:r>
              <w:rPr>
                <w:rFonts w:hint="eastAsia" w:ascii="宋体" w:hAnsi="宋体" w:cs="宋体"/>
                <w:color w:val="000000"/>
                <w:szCs w:val="21"/>
                <w:highlight w:val="none"/>
              </w:rPr>
              <w:t>技术要求</w:t>
            </w:r>
            <w:r>
              <w:rPr>
                <w:rFonts w:hint="eastAsia" w:ascii="宋体" w:hAnsi="宋体"/>
                <w:color w:val="000000"/>
                <w:szCs w:val="21"/>
                <w:highlight w:val="none"/>
              </w:rPr>
              <w:t>评审中允许负偏离的条款数为</w:t>
            </w:r>
            <w:r>
              <w:rPr>
                <w:rFonts w:hint="eastAsia" w:ascii="宋体" w:hAnsi="宋体"/>
                <w:color w:val="000000"/>
                <w:szCs w:val="21"/>
                <w:highlight w:val="none"/>
                <w:u w:val="single"/>
              </w:rPr>
              <w:t xml:space="preserve">  5 </w:t>
            </w:r>
            <w:r>
              <w:rPr>
                <w:rFonts w:hint="eastAsia" w:ascii="宋体" w:hAnsi="宋体"/>
                <w:color w:val="000000"/>
                <w:szCs w:val="21"/>
                <w:highlight w:val="none"/>
              </w:rPr>
              <w:t>项。</w:t>
            </w:r>
          </w:p>
        </w:tc>
      </w:tr>
      <w:tr w14:paraId="2EE2E5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95" w:type="dxa"/>
            <w:tcBorders>
              <w:top w:val="single" w:color="auto" w:sz="4" w:space="0"/>
              <w:left w:val="single" w:color="auto" w:sz="4" w:space="0"/>
              <w:bottom w:val="single" w:color="auto" w:sz="4" w:space="0"/>
              <w:right w:val="single" w:color="auto" w:sz="4" w:space="0"/>
            </w:tcBorders>
            <w:noWrap w:val="0"/>
            <w:vAlign w:val="center"/>
          </w:tcPr>
          <w:p w14:paraId="17D09F95">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2</w:t>
            </w:r>
            <w:r>
              <w:rPr>
                <w:rFonts w:ascii="宋体" w:hAnsi="宋体"/>
                <w:color w:val="000000"/>
                <w:szCs w:val="21"/>
                <w:highlight w:val="none"/>
              </w:rPr>
              <w:t>9.3</w:t>
            </w:r>
          </w:p>
        </w:tc>
        <w:tc>
          <w:tcPr>
            <w:tcW w:w="8711" w:type="dxa"/>
            <w:tcBorders>
              <w:top w:val="single" w:color="auto" w:sz="4" w:space="0"/>
              <w:left w:val="single" w:color="auto" w:sz="4" w:space="0"/>
              <w:right w:val="single" w:color="auto" w:sz="4" w:space="0"/>
            </w:tcBorders>
            <w:noWrap w:val="0"/>
            <w:vAlign w:val="center"/>
          </w:tcPr>
          <w:p w14:paraId="3064DCCF">
            <w:pPr>
              <w:snapToGrid w:val="0"/>
              <w:spacing w:line="360" w:lineRule="auto"/>
              <w:rPr>
                <w:rFonts w:hint="eastAsia" w:ascii="宋体" w:hAnsi="宋体" w:cs="宋体"/>
                <w:color w:val="000000"/>
                <w:szCs w:val="21"/>
                <w:highlight w:val="none"/>
                <w:u w:val="single"/>
              </w:rPr>
            </w:pPr>
            <w:r>
              <w:rPr>
                <w:rFonts w:hAnsi="宋体"/>
                <w:color w:val="000000"/>
                <w:highlight w:val="none"/>
              </w:rPr>
              <w:t>中标候选人推荐数量</w:t>
            </w:r>
            <w:r>
              <w:rPr>
                <w:rFonts w:hint="eastAsia" w:hAnsi="宋体"/>
                <w:color w:val="000000"/>
                <w:highlight w:val="none"/>
              </w:rPr>
              <w:t>：</w:t>
            </w:r>
            <w:r>
              <w:rPr>
                <w:rFonts w:hint="eastAsia" w:hAnsi="宋体"/>
                <w:color w:val="000000"/>
                <w:highlight w:val="none"/>
                <w:u w:val="single"/>
              </w:rPr>
              <w:t xml:space="preserve"> </w:t>
            </w:r>
            <w:r>
              <w:rPr>
                <w:rFonts w:hAnsi="宋体"/>
                <w:color w:val="000000"/>
                <w:highlight w:val="none"/>
                <w:u w:val="single"/>
              </w:rPr>
              <w:t xml:space="preserve"> </w:t>
            </w:r>
            <w:r>
              <w:rPr>
                <w:rFonts w:hint="eastAsia" w:hAnsi="宋体"/>
                <w:color w:val="000000"/>
                <w:highlight w:val="none"/>
                <w:u w:val="single"/>
              </w:rPr>
              <w:t>3</w:t>
            </w:r>
            <w:r>
              <w:rPr>
                <w:rFonts w:hAnsi="宋体"/>
                <w:color w:val="000000"/>
                <w:highlight w:val="none"/>
                <w:u w:val="single"/>
              </w:rPr>
              <w:t xml:space="preserve">  </w:t>
            </w:r>
            <w:r>
              <w:rPr>
                <w:rFonts w:hAnsi="宋体"/>
                <w:color w:val="000000"/>
                <w:highlight w:val="none"/>
              </w:rPr>
              <w:t>名</w:t>
            </w:r>
          </w:p>
        </w:tc>
      </w:tr>
      <w:tr w14:paraId="39B4E0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1076725D">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30</w:t>
            </w:r>
            <w:r>
              <w:rPr>
                <w:rFonts w:ascii="宋体" w:hAnsi="宋体"/>
                <w:color w:val="000000"/>
                <w:szCs w:val="21"/>
                <w:highlight w:val="none"/>
              </w:rPr>
              <w:t>.1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0C78B385">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采用综合评分法的采购项目，采购人确定中标人时，出现中标候选人并列的情形，采购人按以下的方式确定中标人：</w:t>
            </w:r>
          </w:p>
          <w:p w14:paraId="74953CE9">
            <w:pPr>
              <w:autoSpaceDE w:val="0"/>
              <w:autoSpaceDN w:val="0"/>
              <w:snapToGrid w:val="0"/>
              <w:spacing w:line="360" w:lineRule="auto"/>
              <w:textAlignment w:val="bottom"/>
              <w:rPr>
                <w:rFonts w:hint="eastAsia" w:ascii="宋体" w:hAnsi="宋体"/>
                <w:color w:val="000000"/>
                <w:szCs w:val="21"/>
                <w:highlight w:val="none"/>
              </w:rPr>
            </w:pPr>
            <w:r>
              <w:rPr>
                <w:rFonts w:ascii="Wingdings 2" w:hAnsi="Wingdings 2"/>
                <w:color w:val="000000"/>
                <w:szCs w:val="21"/>
                <w:highlight w:val="none"/>
              </w:rPr>
              <w:t></w:t>
            </w:r>
            <w:r>
              <w:rPr>
                <w:rFonts w:hint="eastAsia" w:ascii="宋体" w:hAnsi="宋体"/>
                <w:color w:val="000000"/>
                <w:szCs w:val="21"/>
                <w:highlight w:val="none"/>
              </w:rPr>
              <w:t>依次按投标报价低的优先、政策分得分高的优先、技术评分高的优先、商务评分高的优先、质保期长优先、交货期短优先、故障响应时间短优先的顺序确定；</w:t>
            </w:r>
          </w:p>
          <w:p w14:paraId="1F434C85">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□随机抽取；</w:t>
            </w:r>
          </w:p>
        </w:tc>
      </w:tr>
      <w:tr w14:paraId="68BCF6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5" w:type="dxa"/>
            <w:tcBorders>
              <w:top w:val="single" w:color="auto" w:sz="4" w:space="0"/>
              <w:left w:val="single" w:color="auto" w:sz="4" w:space="0"/>
              <w:bottom w:val="single" w:color="auto" w:sz="4" w:space="0"/>
              <w:right w:val="single" w:color="auto" w:sz="4" w:space="0"/>
            </w:tcBorders>
            <w:noWrap w:val="0"/>
            <w:vAlign w:val="center"/>
          </w:tcPr>
          <w:p w14:paraId="6CA79564">
            <w:pPr>
              <w:spacing w:line="360" w:lineRule="auto"/>
              <w:jc w:val="center"/>
              <w:rPr>
                <w:rFonts w:hint="eastAsia" w:ascii="宋体" w:hAnsi="宋体"/>
                <w:color w:val="000000"/>
                <w:szCs w:val="21"/>
                <w:highlight w:val="none"/>
              </w:rPr>
            </w:pPr>
            <w:bookmarkStart w:id="81" w:name="_39.1"/>
            <w:bookmarkEnd w:id="81"/>
            <w:r>
              <w:rPr>
                <w:rFonts w:hint="eastAsia" w:ascii="宋体" w:hAnsi="宋体"/>
                <w:color w:val="000000"/>
                <w:szCs w:val="21"/>
                <w:highlight w:val="none"/>
              </w:rPr>
              <w:t>35</w:t>
            </w:r>
            <w:r>
              <w:rPr>
                <w:rFonts w:ascii="宋体" w:hAnsi="宋体"/>
                <w:color w:val="000000"/>
                <w:szCs w:val="21"/>
                <w:highlight w:val="none"/>
              </w:rPr>
              <w:t>.1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30691D34">
            <w:pPr>
              <w:autoSpaceDE w:val="0"/>
              <w:autoSpaceDN w:val="0"/>
              <w:snapToGrid w:val="0"/>
              <w:spacing w:line="360" w:lineRule="auto"/>
              <w:textAlignment w:val="bottom"/>
              <w:rPr>
                <w:rFonts w:ascii="宋体" w:hAnsi="宋体"/>
                <w:color w:val="000000"/>
                <w:szCs w:val="21"/>
                <w:highlight w:val="none"/>
              </w:rPr>
            </w:pPr>
            <w:r>
              <w:rPr>
                <w:rFonts w:ascii="Wingdings 2" w:hAnsi="Wingdings 2"/>
                <w:color w:val="000000"/>
                <w:szCs w:val="21"/>
                <w:highlight w:val="none"/>
              </w:rPr>
              <w:t></w:t>
            </w:r>
            <w:r>
              <w:rPr>
                <w:rFonts w:hint="eastAsia" w:ascii="宋体" w:hAnsi="宋体"/>
                <w:color w:val="000000"/>
                <w:szCs w:val="21"/>
                <w:highlight w:val="none"/>
              </w:rPr>
              <w:t>本项目不收取履约保证金。</w:t>
            </w:r>
          </w:p>
          <w:p w14:paraId="1924774C">
            <w:pPr>
              <w:autoSpaceDE w:val="0"/>
              <w:autoSpaceDN w:val="0"/>
              <w:snapToGrid w:val="0"/>
              <w:spacing w:line="360" w:lineRule="auto"/>
              <w:textAlignment w:val="bottom"/>
              <w:rPr>
                <w:rFonts w:ascii="宋体" w:hAnsi="宋体"/>
                <w:color w:val="000000"/>
                <w:szCs w:val="21"/>
                <w:highlight w:val="none"/>
              </w:rPr>
            </w:pPr>
            <w:r>
              <w:rPr>
                <w:rFonts w:hint="eastAsia" w:ascii="宋体" w:hAnsi="宋体"/>
                <w:color w:val="000000"/>
                <w:szCs w:val="21"/>
                <w:highlight w:val="none"/>
              </w:rPr>
              <w:t>□本项目收取履约保证金，具体规定如下：</w:t>
            </w:r>
          </w:p>
          <w:p w14:paraId="6B268A6A">
            <w:pPr>
              <w:pStyle w:val="16"/>
              <w:spacing w:line="360" w:lineRule="auto"/>
              <w:rPr>
                <w:rFonts w:hint="eastAsia" w:ascii="宋体" w:hAnsi="宋体"/>
                <w:color w:val="000000"/>
                <w:szCs w:val="21"/>
                <w:highlight w:val="none"/>
                <w:lang w:val="en-US" w:eastAsia="zh-CN"/>
              </w:rPr>
            </w:pPr>
            <w:r>
              <w:rPr>
                <w:rFonts w:hint="eastAsia" w:ascii="宋体" w:hAnsi="宋体"/>
                <w:color w:val="000000"/>
                <w:szCs w:val="21"/>
                <w:highlight w:val="none"/>
                <w:lang w:val="en-US" w:eastAsia="zh-CN"/>
              </w:rPr>
              <w:t>履约保证金金额：每分标按中标金额的</w:t>
            </w:r>
            <w:r>
              <w:rPr>
                <w:rFonts w:hint="eastAsia" w:ascii="宋体" w:hAnsi="宋体" w:cs="Arial"/>
                <w:color w:val="000000"/>
                <w:szCs w:val="21"/>
                <w:highlight w:val="none"/>
                <w:u w:val="single"/>
                <w:lang w:val="en-US" w:eastAsia="zh-CN"/>
              </w:rPr>
              <w:t xml:space="preserve">   </w:t>
            </w:r>
            <w:r>
              <w:rPr>
                <w:rFonts w:hint="eastAsia" w:ascii="宋体" w:hAnsi="宋体"/>
                <w:color w:val="000000"/>
                <w:szCs w:val="21"/>
                <w:highlight w:val="none"/>
                <w:lang w:val="en-US" w:eastAsia="zh-CN"/>
              </w:rPr>
              <w:t>%</w:t>
            </w:r>
            <w:r>
              <w:rPr>
                <w:rFonts w:hint="eastAsia" w:ascii="宋体" w:hAnsi="宋体"/>
                <w:i/>
                <w:color w:val="000000"/>
                <w:szCs w:val="21"/>
                <w:highlight w:val="none"/>
                <w:lang w:val="en-US" w:eastAsia="zh-CN"/>
              </w:rPr>
              <w:t>（注：履约保证金不超过</w:t>
            </w:r>
            <w:r>
              <w:rPr>
                <w:rFonts w:hint="eastAsia"/>
                <w:i/>
                <w:color w:val="000000"/>
                <w:highlight w:val="none"/>
                <w:lang w:val="en-US" w:eastAsia="zh-CN"/>
              </w:rPr>
              <w:t>政府采购合同金额的</w:t>
            </w:r>
            <w:r>
              <w:rPr>
                <w:rFonts w:hint="eastAsia" w:ascii="宋体" w:hAnsi="宋体"/>
                <w:i/>
                <w:color w:val="000000"/>
                <w:szCs w:val="21"/>
                <w:highlight w:val="none"/>
                <w:lang w:val="en-US" w:eastAsia="zh-CN"/>
              </w:rPr>
              <w:t>5%，对中小企业收取的履约保证金数额不得超过政府采购合同金额的2%）</w:t>
            </w:r>
            <w:r>
              <w:rPr>
                <w:rFonts w:hint="eastAsia" w:ascii="宋体" w:hAnsi="宋体"/>
                <w:color w:val="000000"/>
                <w:szCs w:val="21"/>
                <w:highlight w:val="none"/>
                <w:lang w:val="en-US" w:eastAsia="zh-CN"/>
              </w:rPr>
              <w:t>。</w:t>
            </w:r>
          </w:p>
          <w:p w14:paraId="342661AA">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履约保证金递交方式：银行转账、支票、汇票、本票或者银行、保险机构出具的保函等非现金方式（参照投标保证金）</w:t>
            </w:r>
          </w:p>
          <w:p w14:paraId="43A6FB73">
            <w:pPr>
              <w:autoSpaceDE w:val="0"/>
              <w:autoSpaceDN w:val="0"/>
              <w:snapToGrid w:val="0"/>
              <w:spacing w:line="360" w:lineRule="auto"/>
              <w:textAlignment w:val="bottom"/>
              <w:rPr>
                <w:rFonts w:hint="eastAsia" w:ascii="宋体" w:hAnsi="宋体"/>
                <w:color w:val="000000"/>
                <w:szCs w:val="21"/>
                <w:highlight w:val="none"/>
              </w:rPr>
            </w:pPr>
            <w:r>
              <w:rPr>
                <w:rFonts w:ascii="宋体" w:hAnsi="宋体"/>
                <w:color w:val="000000"/>
                <w:szCs w:val="21"/>
                <w:highlight w:val="none"/>
              </w:rPr>
              <w:t>履约保证金缴纳期限</w:t>
            </w:r>
            <w:r>
              <w:rPr>
                <w:rFonts w:hint="eastAsia" w:ascii="宋体" w:hAnsi="宋体"/>
                <w:color w:val="000000"/>
                <w:szCs w:val="21"/>
                <w:highlight w:val="none"/>
              </w:rPr>
              <w:t>：</w:t>
            </w:r>
            <w:r>
              <w:rPr>
                <w:rFonts w:hint="eastAsia"/>
                <w:color w:val="000000"/>
                <w:highlight w:val="none"/>
              </w:rPr>
              <w:t xml:space="preserve"> </w:t>
            </w:r>
            <w:r>
              <w:rPr>
                <w:rFonts w:hint="eastAsia" w:ascii="宋体" w:hAnsi="宋体"/>
                <w:i/>
                <w:color w:val="000000"/>
                <w:szCs w:val="21"/>
                <w:highlight w:val="none"/>
                <w:u w:val="single"/>
              </w:rPr>
              <w:t>自中标通知书发出之日起     日内(注意请勿超过采购需求中规定的签订合同时限)</w:t>
            </w:r>
            <w:r>
              <w:rPr>
                <w:rFonts w:hint="eastAsia" w:ascii="宋体" w:hAnsi="宋体"/>
                <w:color w:val="000000"/>
                <w:szCs w:val="21"/>
                <w:highlight w:val="none"/>
              </w:rPr>
              <w:t>。</w:t>
            </w:r>
          </w:p>
          <w:p w14:paraId="06556456">
            <w:pPr>
              <w:autoSpaceDE w:val="0"/>
              <w:autoSpaceDN w:val="0"/>
              <w:snapToGrid w:val="0"/>
              <w:spacing w:line="360" w:lineRule="auto"/>
              <w:textAlignment w:val="bottom"/>
              <w:rPr>
                <w:rFonts w:hint="eastAsia" w:ascii="宋体" w:hAnsi="宋体"/>
                <w:color w:val="000000"/>
                <w:szCs w:val="21"/>
                <w:highlight w:val="none"/>
                <w:u w:val="single"/>
              </w:rPr>
            </w:pPr>
            <w:r>
              <w:rPr>
                <w:rFonts w:hint="eastAsia" w:ascii="宋体" w:hAnsi="宋体"/>
                <w:color w:val="000000"/>
                <w:szCs w:val="21"/>
                <w:highlight w:val="none"/>
              </w:rPr>
              <w:t>履约保证金退付方式、时间及条件：</w:t>
            </w:r>
            <w:r>
              <w:rPr>
                <w:rFonts w:hint="eastAsia" w:ascii="宋体" w:hAnsi="宋体"/>
                <w:color w:val="000000"/>
                <w:szCs w:val="21"/>
                <w:highlight w:val="none"/>
                <w:u w:val="single"/>
              </w:rPr>
              <w:t xml:space="preserve">                    /                       。</w:t>
            </w:r>
          </w:p>
          <w:p w14:paraId="4B175C5B">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履约保证金指定账户：</w:t>
            </w:r>
          </w:p>
          <w:p w14:paraId="06E9419A">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开户名称：</w:t>
            </w:r>
            <w:r>
              <w:rPr>
                <w:rFonts w:hint="eastAsia" w:ascii="宋体" w:hAnsi="宋体" w:cs="Arial"/>
                <w:color w:val="000000"/>
                <w:szCs w:val="21"/>
                <w:highlight w:val="none"/>
                <w:u w:val="single"/>
              </w:rPr>
              <w:t xml:space="preserve">       /         </w:t>
            </w:r>
          </w:p>
          <w:p w14:paraId="7A606BF8">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开户银行：</w:t>
            </w:r>
            <w:r>
              <w:rPr>
                <w:rFonts w:hint="eastAsia" w:ascii="宋体" w:hAnsi="宋体" w:cs="Arial"/>
                <w:color w:val="000000"/>
                <w:szCs w:val="21"/>
                <w:highlight w:val="none"/>
                <w:u w:val="single"/>
              </w:rPr>
              <w:t xml:space="preserve">       /         </w:t>
            </w:r>
          </w:p>
          <w:p w14:paraId="4A3134B4">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银行账号：</w:t>
            </w:r>
            <w:r>
              <w:rPr>
                <w:rFonts w:hint="eastAsia" w:ascii="宋体" w:hAnsi="宋体" w:cs="Arial"/>
                <w:color w:val="000000"/>
                <w:szCs w:val="21"/>
                <w:highlight w:val="none"/>
                <w:u w:val="single"/>
              </w:rPr>
              <w:t xml:space="preserve">        /        </w:t>
            </w:r>
          </w:p>
          <w:p w14:paraId="5CFD5649">
            <w:pPr>
              <w:spacing w:line="360" w:lineRule="auto"/>
              <w:jc w:val="left"/>
              <w:rPr>
                <w:rFonts w:ascii="宋体" w:hAnsi="宋体" w:cs="Courier New"/>
                <w:color w:val="000000"/>
                <w:szCs w:val="21"/>
                <w:highlight w:val="none"/>
              </w:rPr>
            </w:pPr>
            <w:r>
              <w:rPr>
                <w:rFonts w:ascii="宋体" w:hAnsi="宋体" w:cs="Courier New"/>
                <w:color w:val="000000"/>
                <w:szCs w:val="21"/>
                <w:highlight w:val="none"/>
              </w:rPr>
              <w:t>备注：</w:t>
            </w:r>
          </w:p>
          <w:p w14:paraId="2826D44A">
            <w:pPr>
              <w:spacing w:line="360" w:lineRule="auto"/>
              <w:jc w:val="left"/>
              <w:rPr>
                <w:rFonts w:hint="eastAsia" w:ascii="宋体" w:hAnsi="宋体"/>
                <w:b/>
                <w:color w:val="000000"/>
                <w:szCs w:val="21"/>
                <w:highlight w:val="none"/>
              </w:rPr>
            </w:pPr>
            <w:r>
              <w:rPr>
                <w:rFonts w:ascii="宋体" w:hAnsi="宋体"/>
                <w:b/>
                <w:color w:val="000000"/>
                <w:szCs w:val="21"/>
                <w:highlight w:val="none"/>
              </w:rPr>
              <w:t>1.</w:t>
            </w:r>
            <w:r>
              <w:rPr>
                <w:rFonts w:hint="eastAsia" w:ascii="宋体" w:hAnsi="宋体"/>
                <w:b/>
                <w:color w:val="000000"/>
                <w:szCs w:val="21"/>
                <w:highlight w:val="none"/>
              </w:rPr>
              <w:t xml:space="preserve"> </w:t>
            </w:r>
            <w:bookmarkStart w:id="82" w:name="_Hlk54170335"/>
            <w:r>
              <w:rPr>
                <w:rFonts w:hint="eastAsia" w:ascii="宋体" w:hAnsi="宋体"/>
                <w:b/>
                <w:color w:val="000000"/>
                <w:szCs w:val="21"/>
                <w:highlight w:val="none"/>
              </w:rPr>
              <w:t>根据《广西壮族自治区财政厅关于持续优化政府采购营商环境推动高质量发展的通知》（桂财采〔2024〕55号）的规定，履约保证金数额不得超过政府采购合同金额的5%；对中小企业收取的履约保证金数额不得超过政府采购合同金额的2%</w:t>
            </w:r>
            <w:r>
              <w:rPr>
                <w:rFonts w:hint="eastAsia" w:ascii="宋体" w:hAnsi="宋体" w:cs="宋体"/>
                <w:b/>
                <w:color w:val="000000"/>
                <w:kern w:val="0"/>
                <w:sz w:val="24"/>
                <w:highlight w:val="none"/>
              </w:rPr>
              <w:t>。</w:t>
            </w:r>
            <w:bookmarkEnd w:id="82"/>
          </w:p>
          <w:p w14:paraId="52ED8E55">
            <w:pPr>
              <w:spacing w:line="360" w:lineRule="auto"/>
              <w:jc w:val="left"/>
              <w:rPr>
                <w:rFonts w:hint="eastAsia" w:ascii="宋体" w:hAnsi="宋体"/>
                <w:b/>
                <w:color w:val="000000"/>
                <w:szCs w:val="21"/>
                <w:highlight w:val="none"/>
              </w:rPr>
            </w:pPr>
            <w:r>
              <w:rPr>
                <w:rFonts w:ascii="宋体" w:hAnsi="宋体"/>
                <w:b/>
                <w:color w:val="000000"/>
                <w:szCs w:val="21"/>
                <w:highlight w:val="none"/>
              </w:rPr>
              <w:t>2.</w:t>
            </w:r>
            <w:r>
              <w:rPr>
                <w:rFonts w:hint="eastAsia" w:ascii="宋体" w:hAnsi="宋体"/>
                <w:color w:val="000000"/>
                <w:szCs w:val="21"/>
                <w:highlight w:val="none"/>
              </w:rPr>
              <w:t xml:space="preserve"> </w:t>
            </w:r>
            <w:r>
              <w:rPr>
                <w:rFonts w:hint="eastAsia" w:ascii="宋体" w:hAnsi="宋体"/>
                <w:b/>
                <w:color w:val="000000"/>
                <w:szCs w:val="21"/>
                <w:highlight w:val="none"/>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0BAAF080">
            <w:pPr>
              <w:spacing w:line="360" w:lineRule="auto"/>
              <w:jc w:val="left"/>
              <w:rPr>
                <w:rFonts w:hint="eastAsia" w:ascii="宋体" w:hAnsi="宋体"/>
                <w:b/>
                <w:color w:val="000000"/>
                <w:szCs w:val="21"/>
                <w:highlight w:val="none"/>
              </w:rPr>
            </w:pPr>
            <w:r>
              <w:rPr>
                <w:rFonts w:ascii="宋体" w:hAnsi="宋体"/>
                <w:b/>
                <w:color w:val="000000"/>
                <w:szCs w:val="21"/>
                <w:highlight w:val="none"/>
              </w:rPr>
              <w:t>3.采用银行、保险机构出具的保函的，必须为无条件保函，否则不予签订合同。</w:t>
            </w:r>
          </w:p>
          <w:p w14:paraId="7ED54C1D">
            <w:pPr>
              <w:spacing w:line="360" w:lineRule="auto"/>
              <w:jc w:val="left"/>
              <w:rPr>
                <w:rFonts w:hint="eastAsia" w:ascii="宋体" w:hAnsi="宋体" w:cs="宋体"/>
                <w:color w:val="000000"/>
                <w:kern w:val="0"/>
                <w:szCs w:val="21"/>
                <w:highlight w:val="none"/>
              </w:rPr>
            </w:pPr>
            <w:r>
              <w:rPr>
                <w:rFonts w:ascii="宋体" w:hAnsi="宋体"/>
                <w:b/>
                <w:color w:val="000000"/>
                <w:szCs w:val="21"/>
                <w:highlight w:val="none"/>
              </w:rPr>
              <w:t>4.</w:t>
            </w:r>
            <w:r>
              <w:rPr>
                <w:rFonts w:hint="eastAsia" w:ascii="宋体" w:hAnsi="宋体"/>
                <w:b/>
                <w:color w:val="000000"/>
                <w:szCs w:val="21"/>
                <w:highlight w:val="none"/>
              </w:rPr>
              <w:t>投标人为联合体的，由联合体其中一方按规定提交的履约保证金，视为有效履约保证金。</w:t>
            </w:r>
          </w:p>
        </w:tc>
      </w:tr>
      <w:tr w14:paraId="7CE205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71C52D29">
            <w:pPr>
              <w:spacing w:line="360" w:lineRule="auto"/>
              <w:jc w:val="center"/>
              <w:rPr>
                <w:rFonts w:hint="eastAsia" w:ascii="宋体" w:hAnsi="宋体"/>
                <w:color w:val="000000"/>
                <w:szCs w:val="21"/>
                <w:highlight w:val="none"/>
              </w:rPr>
            </w:pPr>
            <w:bookmarkStart w:id="83" w:name="_40.1"/>
            <w:bookmarkEnd w:id="83"/>
            <w:r>
              <w:rPr>
                <w:rFonts w:hint="eastAsia" w:ascii="宋体" w:hAnsi="宋体"/>
                <w:color w:val="000000"/>
                <w:szCs w:val="21"/>
                <w:highlight w:val="none"/>
              </w:rPr>
              <w:t>36.1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38CA4A17">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 xml:space="preserve">签订合同携带的证明材料： </w:t>
            </w:r>
          </w:p>
          <w:p w14:paraId="1F1B0561">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委托代理人负责签订合同的，须携带授权委托书及委托代理人身份证原件等其他资格证件。</w:t>
            </w:r>
          </w:p>
          <w:p w14:paraId="02A0E962">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法定代表人负责签订合同的，须携带法定代表人</w:t>
            </w:r>
            <w:r>
              <w:rPr>
                <w:rFonts w:ascii="宋体" w:hAnsi="宋体"/>
                <w:color w:val="000000"/>
                <w:szCs w:val="21"/>
                <w:highlight w:val="none"/>
              </w:rPr>
              <w:t>身份证明原件</w:t>
            </w:r>
            <w:r>
              <w:rPr>
                <w:rFonts w:hint="eastAsia" w:ascii="宋体" w:hAnsi="宋体"/>
                <w:color w:val="000000"/>
                <w:szCs w:val="21"/>
                <w:highlight w:val="none"/>
              </w:rPr>
              <w:t>及</w:t>
            </w:r>
            <w:r>
              <w:rPr>
                <w:rFonts w:ascii="宋体" w:hAnsi="宋体"/>
                <w:color w:val="000000"/>
                <w:szCs w:val="21"/>
                <w:highlight w:val="none"/>
              </w:rPr>
              <w:t>身份证原件</w:t>
            </w:r>
            <w:r>
              <w:rPr>
                <w:rFonts w:hint="eastAsia" w:ascii="宋体" w:hAnsi="宋体"/>
                <w:color w:val="000000"/>
                <w:szCs w:val="21"/>
                <w:highlight w:val="none"/>
              </w:rPr>
              <w:t>等其他证明材料。</w:t>
            </w:r>
          </w:p>
        </w:tc>
      </w:tr>
      <w:tr w14:paraId="39D803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0024573F">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3</w:t>
            </w:r>
            <w:r>
              <w:rPr>
                <w:rFonts w:ascii="宋体" w:hAnsi="宋体"/>
                <w:color w:val="000000"/>
                <w:szCs w:val="21"/>
                <w:highlight w:val="none"/>
              </w:rPr>
              <w:t>8.2</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5AFC321B">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接收质疑函方式：以书面形式</w:t>
            </w:r>
          </w:p>
          <w:p w14:paraId="375B2026">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质疑联系部门及联系方式：云之龙咨询集团有限公司钦州分公司项目部</w:t>
            </w:r>
          </w:p>
          <w:p w14:paraId="619B206A">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联系电话：0777-5619366</w:t>
            </w:r>
          </w:p>
          <w:p w14:paraId="31E9F231">
            <w:pPr>
              <w:snapToGrid w:val="0"/>
              <w:spacing w:line="360" w:lineRule="auto"/>
              <w:rPr>
                <w:rFonts w:ascii="宋体" w:hAnsi="宋体"/>
                <w:color w:val="000000"/>
                <w:szCs w:val="21"/>
                <w:highlight w:val="none"/>
                <w:u w:val="single"/>
              </w:rPr>
            </w:pPr>
            <w:r>
              <w:rPr>
                <w:rFonts w:hint="eastAsia" w:ascii="宋体" w:hAnsi="宋体"/>
                <w:color w:val="000000"/>
                <w:szCs w:val="21"/>
                <w:highlight w:val="none"/>
              </w:rPr>
              <w:t>通讯地址：云之龙咨询集团有限公司钦州分公司（广西钦州市子材东大街19号奥林名城8号楼8层）</w:t>
            </w:r>
          </w:p>
          <w:p w14:paraId="206FED7E">
            <w:pPr>
              <w:autoSpaceDE w:val="0"/>
              <w:autoSpaceDN w:val="0"/>
              <w:snapToGrid w:val="0"/>
              <w:spacing w:line="360" w:lineRule="auto"/>
              <w:textAlignment w:val="bottom"/>
              <w:rPr>
                <w:rFonts w:hint="eastAsia" w:ascii="宋体" w:hAnsi="宋体"/>
                <w:color w:val="000000"/>
                <w:szCs w:val="21"/>
                <w:highlight w:val="none"/>
              </w:rPr>
            </w:pPr>
            <w:r>
              <w:rPr>
                <w:rFonts w:hint="eastAsia" w:ascii="宋体" w:hAnsi="宋体"/>
                <w:color w:val="000000"/>
                <w:szCs w:val="21"/>
                <w:highlight w:val="none"/>
              </w:rPr>
              <w:t>现场提交质疑办理业务时间：工作日8时00分到12时00分，15时00分到18时 00分，业务时间以外、双休日和法定节假日不办理业务。</w:t>
            </w:r>
          </w:p>
        </w:tc>
      </w:tr>
      <w:tr w14:paraId="31593E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5DF5D819">
            <w:pPr>
              <w:spacing w:line="360" w:lineRule="auto"/>
              <w:jc w:val="center"/>
              <w:rPr>
                <w:rFonts w:hint="eastAsia" w:ascii="宋体" w:hAnsi="宋体"/>
                <w:color w:val="000000"/>
                <w:szCs w:val="21"/>
                <w:highlight w:val="none"/>
              </w:rPr>
            </w:pPr>
            <w:bookmarkStart w:id="84" w:name="_42"/>
            <w:bookmarkEnd w:id="84"/>
            <w:bookmarkStart w:id="85" w:name="_41"/>
            <w:bookmarkEnd w:id="85"/>
            <w:bookmarkStart w:id="86" w:name="_Hlt17709148"/>
            <w:r>
              <w:rPr>
                <w:rFonts w:hint="eastAsia" w:ascii="宋体" w:hAnsi="宋体"/>
                <w:color w:val="000000"/>
                <w:szCs w:val="21"/>
                <w:highlight w:val="none"/>
              </w:rPr>
              <w:t>3</w:t>
            </w:r>
            <w:bookmarkEnd w:id="86"/>
            <w:r>
              <w:rPr>
                <w:rFonts w:ascii="宋体" w:hAnsi="宋体"/>
                <w:color w:val="000000"/>
                <w:szCs w:val="21"/>
                <w:highlight w:val="none"/>
              </w:rPr>
              <w:t>9.1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491352B1">
            <w:pPr>
              <w:pStyle w:val="24"/>
              <w:snapToGrid w:val="0"/>
              <w:spacing w:line="360" w:lineRule="auto"/>
              <w:rPr>
                <w:rFonts w:hint="eastAsia" w:hAnsi="宋体" w:cs="宋体"/>
                <w:color w:val="000000"/>
                <w:sz w:val="21"/>
                <w:highlight w:val="none"/>
                <w:lang w:val="en-US" w:eastAsia="zh-CN"/>
              </w:rPr>
            </w:pPr>
            <w:r>
              <w:rPr>
                <w:rFonts w:hint="eastAsia" w:hAnsi="宋体" w:cs="宋体"/>
                <w:color w:val="000000"/>
                <w:sz w:val="21"/>
                <w:highlight w:val="none"/>
                <w:lang w:val="en-US" w:eastAsia="zh-CN"/>
              </w:rPr>
              <w:t>1.采购代理费支付方式：</w:t>
            </w:r>
          </w:p>
          <w:p w14:paraId="27CE3D40">
            <w:pPr>
              <w:pStyle w:val="24"/>
              <w:snapToGrid w:val="0"/>
              <w:spacing w:line="360" w:lineRule="auto"/>
              <w:rPr>
                <w:rFonts w:hint="eastAsia" w:hAnsi="宋体" w:cs="宋体"/>
                <w:color w:val="000000"/>
                <w:sz w:val="21"/>
                <w:highlight w:val="none"/>
                <w:lang w:val="en-US" w:eastAsia="zh-CN"/>
              </w:rPr>
            </w:pPr>
            <w:r>
              <w:rPr>
                <w:rFonts w:hint="eastAsia" w:hAnsi="宋体" w:cs="宋体"/>
                <w:color w:val="000000"/>
                <w:sz w:val="21"/>
                <w:highlight w:val="none"/>
                <w:lang w:val="en-US" w:eastAsia="zh-CN"/>
              </w:rPr>
              <w:t>本项目代理服务费由各分标</w:t>
            </w:r>
            <w:r>
              <w:rPr>
                <w:rFonts w:hint="eastAsia" w:hAnsi="宋体" w:cs="宋体"/>
                <w:color w:val="000000"/>
                <w:sz w:val="21"/>
                <w:highlight w:val="none"/>
                <w:u w:val="single"/>
                <w:lang w:val="en-US" w:eastAsia="zh-CN"/>
              </w:rPr>
              <w:t>中标人</w:t>
            </w:r>
            <w:r>
              <w:rPr>
                <w:rFonts w:hint="eastAsia" w:hAnsi="宋体" w:cs="宋体"/>
                <w:color w:val="000000"/>
                <w:sz w:val="21"/>
                <w:highlight w:val="none"/>
                <w:lang w:val="en-US" w:eastAsia="zh-CN"/>
              </w:rPr>
              <w:t>一次性向采购代理机构支付。</w:t>
            </w:r>
          </w:p>
          <w:p w14:paraId="47A0D0A9">
            <w:pPr>
              <w:pStyle w:val="24"/>
              <w:snapToGrid w:val="0"/>
              <w:spacing w:line="360" w:lineRule="auto"/>
              <w:rPr>
                <w:rFonts w:hint="eastAsia" w:hAnsi="宋体" w:cs="宋体"/>
                <w:color w:val="000000"/>
                <w:sz w:val="21"/>
                <w:highlight w:val="none"/>
                <w:lang w:val="en-US" w:eastAsia="zh-CN"/>
              </w:rPr>
            </w:pPr>
            <w:r>
              <w:rPr>
                <w:rFonts w:hint="eastAsia" w:hAnsi="宋体" w:cs="宋体"/>
                <w:color w:val="000000"/>
                <w:sz w:val="21"/>
                <w:highlight w:val="none"/>
                <w:lang w:val="en-US" w:eastAsia="zh-CN"/>
              </w:rPr>
              <w:t>2.采购代理费收取标准：</w:t>
            </w:r>
          </w:p>
          <w:p w14:paraId="2BB74705">
            <w:pPr>
              <w:pStyle w:val="24"/>
              <w:snapToGrid w:val="0"/>
              <w:spacing w:line="360" w:lineRule="auto"/>
              <w:rPr>
                <w:rFonts w:hint="eastAsia" w:hAnsi="宋体" w:cs="宋体"/>
                <w:color w:val="000000"/>
                <w:sz w:val="21"/>
                <w:highlight w:val="none"/>
                <w:lang w:val="en-US" w:eastAsia="zh-CN"/>
              </w:rPr>
            </w:pPr>
            <w:r>
              <w:rPr>
                <w:rFonts w:hint="eastAsia" w:hAnsi="宋体" w:cs="宋体"/>
                <w:color w:val="000000"/>
                <w:sz w:val="21"/>
                <w:highlight w:val="none"/>
                <w:lang w:val="en-US" w:eastAsia="zh-CN"/>
              </w:rPr>
              <w:t>以各分标中标金额为计费额，按本须知正文第</w:t>
            </w:r>
            <w:r>
              <w:rPr>
                <w:rFonts w:hAnsi="宋体" w:cs="宋体"/>
                <w:color w:val="000000"/>
                <w:sz w:val="21"/>
                <w:highlight w:val="none"/>
                <w:lang w:val="en-US" w:eastAsia="zh-CN"/>
              </w:rPr>
              <w:t>39</w:t>
            </w:r>
            <w:r>
              <w:rPr>
                <w:rFonts w:hint="eastAsia" w:hAnsi="宋体" w:cs="宋体"/>
                <w:color w:val="000000"/>
                <w:sz w:val="21"/>
                <w:highlight w:val="none"/>
                <w:lang w:val="en-US" w:eastAsia="zh-CN"/>
              </w:rPr>
              <w:t>.</w:t>
            </w:r>
            <w:r>
              <w:rPr>
                <w:rFonts w:hAnsi="宋体" w:cs="宋体"/>
                <w:color w:val="000000"/>
                <w:sz w:val="21"/>
                <w:highlight w:val="none"/>
                <w:lang w:val="en-US" w:eastAsia="zh-CN"/>
              </w:rPr>
              <w:t>2</w:t>
            </w:r>
            <w:r>
              <w:rPr>
                <w:rFonts w:hint="eastAsia" w:hAnsi="宋体" w:cs="宋体"/>
                <w:color w:val="000000"/>
                <w:sz w:val="21"/>
                <w:highlight w:val="none"/>
                <w:lang w:val="en-US" w:eastAsia="zh-CN"/>
              </w:rPr>
              <w:t>条规定的收费计算标准货物招标采用差额定率累进法计算出收费基准价格，采购代理收费以收费基准价格下浮</w:t>
            </w:r>
            <w:r>
              <w:rPr>
                <w:rFonts w:hint="eastAsia" w:hAnsi="宋体" w:cs="宋体"/>
                <w:color w:val="000000"/>
                <w:sz w:val="21"/>
                <w:highlight w:val="none"/>
                <w:u w:val="single"/>
                <w:lang w:val="en-US" w:eastAsia="zh-CN"/>
              </w:rPr>
              <w:t xml:space="preserve"> 10%</w:t>
            </w:r>
            <w:r>
              <w:rPr>
                <w:rFonts w:hint="eastAsia" w:hAnsi="宋体" w:cs="宋体"/>
                <w:color w:val="000000"/>
                <w:sz w:val="21"/>
                <w:highlight w:val="none"/>
                <w:lang w:val="en-US" w:eastAsia="zh-CN"/>
              </w:rPr>
              <w:t>收取。</w:t>
            </w:r>
          </w:p>
          <w:p w14:paraId="11A35E17">
            <w:pPr>
              <w:pStyle w:val="24"/>
              <w:snapToGrid w:val="0"/>
              <w:spacing w:line="360" w:lineRule="auto"/>
              <w:rPr>
                <w:rFonts w:hint="eastAsia" w:hAnsi="宋体" w:cs="宋体"/>
                <w:color w:val="000000"/>
                <w:sz w:val="21"/>
                <w:highlight w:val="none"/>
                <w:lang w:val="en-US" w:eastAsia="zh-CN"/>
              </w:rPr>
            </w:pPr>
            <w:r>
              <w:rPr>
                <w:rFonts w:hint="eastAsia" w:hAnsi="宋体" w:cs="宋体"/>
                <w:color w:val="000000"/>
                <w:sz w:val="21"/>
                <w:highlight w:val="none"/>
                <w:lang w:val="en-US" w:eastAsia="zh-CN"/>
              </w:rPr>
              <w:t>3</w:t>
            </w:r>
            <w:r>
              <w:rPr>
                <w:rFonts w:hAnsi="宋体" w:cs="宋体"/>
                <w:color w:val="000000"/>
                <w:sz w:val="21"/>
                <w:highlight w:val="none"/>
                <w:lang w:val="en-US" w:eastAsia="zh-CN"/>
              </w:rPr>
              <w:t>.</w:t>
            </w:r>
            <w:r>
              <w:rPr>
                <w:rFonts w:hint="eastAsia" w:hAnsi="宋体" w:cs="宋体"/>
                <w:color w:val="000000"/>
                <w:sz w:val="21"/>
                <w:highlight w:val="none"/>
                <w:lang w:val="en-US" w:eastAsia="zh-CN"/>
              </w:rPr>
              <w:t xml:space="preserve"> 账户名称：云之龙咨询集团有限公司钦州分公司</w:t>
            </w:r>
          </w:p>
          <w:p w14:paraId="2EEBD6CC">
            <w:pPr>
              <w:snapToGrid w:val="0"/>
              <w:spacing w:line="360" w:lineRule="auto"/>
              <w:rPr>
                <w:rFonts w:hint="eastAsia" w:ascii="宋体" w:hAnsi="宋体" w:cs="宋体"/>
                <w:color w:val="000000"/>
                <w:kern w:val="0"/>
                <w:szCs w:val="21"/>
                <w:highlight w:val="none"/>
              </w:rPr>
            </w:pPr>
            <w:r>
              <w:rPr>
                <w:rFonts w:hint="eastAsia" w:ascii="宋体" w:hAnsi="宋体" w:cs="宋体"/>
                <w:color w:val="000000"/>
                <w:kern w:val="0"/>
                <w:szCs w:val="21"/>
                <w:highlight w:val="none"/>
              </w:rPr>
              <w:t xml:space="preserve">  开户银行：中信银行南宁东葛支行；</w:t>
            </w:r>
          </w:p>
          <w:p w14:paraId="189F0EE8">
            <w:pPr>
              <w:snapToGrid w:val="0"/>
              <w:spacing w:line="360" w:lineRule="auto"/>
              <w:rPr>
                <w:rFonts w:hint="eastAsia" w:ascii="宋体" w:hAnsi="宋体" w:cs="宋体"/>
                <w:color w:val="000000"/>
                <w:kern w:val="0"/>
                <w:szCs w:val="21"/>
                <w:highlight w:val="none"/>
              </w:rPr>
            </w:pPr>
            <w:r>
              <w:rPr>
                <w:rFonts w:hint="eastAsia" w:ascii="宋体" w:hAnsi="宋体" w:cs="宋体"/>
                <w:color w:val="000000"/>
                <w:kern w:val="0"/>
                <w:szCs w:val="21"/>
                <w:highlight w:val="none"/>
              </w:rPr>
              <w:t xml:space="preserve">  银行账号：8113 0010 1330 0157 979；</w:t>
            </w:r>
          </w:p>
          <w:p w14:paraId="2DA4E43C">
            <w:pPr>
              <w:pStyle w:val="24"/>
              <w:snapToGrid w:val="0"/>
              <w:spacing w:line="360" w:lineRule="auto"/>
              <w:ind w:firstLine="105" w:firstLineChars="50"/>
              <w:rPr>
                <w:rFonts w:hint="eastAsia" w:hAnsi="宋体" w:cs="宋体"/>
                <w:color w:val="000000"/>
                <w:sz w:val="21"/>
                <w:highlight w:val="none"/>
                <w:lang w:val="en-US" w:eastAsia="zh-CN"/>
              </w:rPr>
            </w:pPr>
            <w:r>
              <w:rPr>
                <w:rFonts w:hint="eastAsia" w:ascii="Times New Roman" w:hAnsi="宋体" w:cs="宋体"/>
                <w:color w:val="000000"/>
                <w:kern w:val="2"/>
                <w:sz w:val="21"/>
                <w:szCs w:val="24"/>
                <w:highlight w:val="none"/>
                <w:lang w:val="en-US" w:eastAsia="zh-CN"/>
              </w:rPr>
              <w:t>行号：3026 1102 9137</w:t>
            </w:r>
          </w:p>
        </w:tc>
      </w:tr>
      <w:tr w14:paraId="79A4F0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316914DF">
            <w:pPr>
              <w:snapToGrid w:val="0"/>
              <w:spacing w:line="360" w:lineRule="auto"/>
              <w:jc w:val="center"/>
              <w:rPr>
                <w:rFonts w:hint="eastAsia" w:ascii="宋体" w:hAnsi="宋体"/>
                <w:color w:val="000000"/>
                <w:szCs w:val="21"/>
                <w:highlight w:val="none"/>
              </w:rPr>
            </w:pPr>
            <w:r>
              <w:rPr>
                <w:rFonts w:ascii="宋体" w:hAnsi="宋体"/>
                <w:color w:val="000000"/>
                <w:szCs w:val="21"/>
                <w:highlight w:val="none"/>
              </w:rPr>
              <w:t>40.1</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4B1F1CB3">
            <w:pPr>
              <w:snapToGrid w:val="0"/>
              <w:spacing w:line="360" w:lineRule="auto"/>
              <w:rPr>
                <w:rFonts w:hint="eastAsia" w:ascii="宋体" w:hAnsi="宋体"/>
                <w:color w:val="000000"/>
                <w:szCs w:val="21"/>
                <w:highlight w:val="none"/>
              </w:rPr>
            </w:pPr>
            <w:r>
              <w:rPr>
                <w:rFonts w:hint="eastAsia" w:ascii="宋体" w:hAnsi="宋体"/>
                <w:color w:val="000000"/>
                <w:szCs w:val="21"/>
                <w:highlight w:val="none"/>
              </w:rPr>
              <w:t>解释：</w:t>
            </w:r>
            <w:r>
              <w:rPr>
                <w:rFonts w:ascii="宋体" w:hAnsi="宋体"/>
                <w:color w:val="000000"/>
                <w:szCs w:val="21"/>
                <w:highlight w:val="none"/>
              </w:rPr>
              <w:t>构成本招标文件的各个组成文件应互为解释，互为说明；除招标文件中有特别规定外，仅适用于招标投标阶段的规定，按</w:t>
            </w:r>
            <w:r>
              <w:rPr>
                <w:rFonts w:hint="eastAsia" w:ascii="宋体" w:hAnsi="宋体"/>
                <w:color w:val="000000"/>
                <w:szCs w:val="21"/>
                <w:highlight w:val="none"/>
              </w:rPr>
              <w:t>更正公告（澄清公告）</w:t>
            </w:r>
            <w:r>
              <w:rPr>
                <w:rFonts w:ascii="宋体" w:hAnsi="宋体"/>
                <w:color w:val="000000"/>
                <w:szCs w:val="21"/>
                <w:highlight w:val="none"/>
              </w:rPr>
              <w:t>、招标公告、</w:t>
            </w:r>
            <w:r>
              <w:rPr>
                <w:rFonts w:hint="eastAsia" w:ascii="宋体" w:hAnsi="宋体"/>
                <w:color w:val="000000"/>
                <w:szCs w:val="21"/>
                <w:highlight w:val="none"/>
              </w:rPr>
              <w:t>采购需求、</w:t>
            </w:r>
            <w:r>
              <w:rPr>
                <w:rFonts w:ascii="宋体" w:hAnsi="宋体"/>
                <w:color w:val="000000"/>
                <w:szCs w:val="21"/>
                <w:highlight w:val="none"/>
              </w:rPr>
              <w:t>投标人须知、</w:t>
            </w:r>
            <w:r>
              <w:rPr>
                <w:rFonts w:hint="eastAsia" w:ascii="宋体" w:hAnsi="宋体"/>
                <w:color w:val="000000"/>
                <w:szCs w:val="21"/>
                <w:highlight w:val="none"/>
              </w:rPr>
              <w:t>评标方法及评标标准</w:t>
            </w:r>
            <w:r>
              <w:rPr>
                <w:rFonts w:ascii="宋体" w:hAnsi="宋体"/>
                <w:color w:val="000000"/>
                <w:szCs w:val="21"/>
                <w:highlight w:val="none"/>
              </w:rPr>
              <w:t>、</w:t>
            </w:r>
            <w:r>
              <w:rPr>
                <w:rFonts w:hint="eastAsia" w:ascii="宋体" w:hAnsi="宋体"/>
                <w:color w:val="000000"/>
                <w:szCs w:val="21"/>
                <w:highlight w:val="none"/>
              </w:rPr>
              <w:t>拟签订的合同文本、</w:t>
            </w:r>
            <w:r>
              <w:rPr>
                <w:rFonts w:ascii="宋体" w:hAnsi="宋体"/>
                <w:color w:val="000000"/>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000000"/>
                <w:szCs w:val="21"/>
                <w:highlight w:val="none"/>
              </w:rPr>
              <w:t>更正公告（澄清公告）</w:t>
            </w:r>
            <w:r>
              <w:rPr>
                <w:rFonts w:ascii="宋体" w:hAnsi="宋体"/>
                <w:color w:val="000000"/>
                <w:szCs w:val="21"/>
                <w:highlight w:val="none"/>
              </w:rPr>
              <w:t>与同步更新的招标文件不一致时以</w:t>
            </w:r>
            <w:r>
              <w:rPr>
                <w:rFonts w:hint="eastAsia" w:ascii="宋体" w:hAnsi="宋体"/>
                <w:color w:val="000000"/>
                <w:szCs w:val="21"/>
                <w:highlight w:val="none"/>
              </w:rPr>
              <w:t>更正公告（澄清公告）</w:t>
            </w:r>
            <w:r>
              <w:rPr>
                <w:rFonts w:ascii="宋体" w:hAnsi="宋体"/>
                <w:color w:val="000000"/>
                <w:szCs w:val="21"/>
                <w:highlight w:val="none"/>
              </w:rPr>
              <w:t>为准。按本款前述规定仍不能形成结论的，由</w:t>
            </w:r>
            <w:r>
              <w:rPr>
                <w:rFonts w:hint="eastAsia" w:ascii="宋体" w:hAnsi="宋体"/>
                <w:color w:val="000000"/>
                <w:szCs w:val="21"/>
                <w:highlight w:val="none"/>
              </w:rPr>
              <w:t>采购</w:t>
            </w:r>
            <w:r>
              <w:rPr>
                <w:rFonts w:ascii="宋体" w:hAnsi="宋体"/>
                <w:color w:val="000000"/>
                <w:szCs w:val="21"/>
                <w:highlight w:val="none"/>
              </w:rPr>
              <w:t>人</w:t>
            </w:r>
            <w:r>
              <w:rPr>
                <w:rFonts w:hint="eastAsia" w:ascii="宋体" w:hAnsi="宋体"/>
                <w:color w:val="000000"/>
                <w:szCs w:val="21"/>
                <w:highlight w:val="none"/>
              </w:rPr>
              <w:t>或者采购代理机构</w:t>
            </w:r>
            <w:r>
              <w:rPr>
                <w:rFonts w:ascii="宋体" w:hAnsi="宋体"/>
                <w:color w:val="000000"/>
                <w:szCs w:val="21"/>
                <w:highlight w:val="none"/>
              </w:rPr>
              <w:t>负责解释。</w:t>
            </w:r>
          </w:p>
        </w:tc>
      </w:tr>
      <w:tr w14:paraId="7EA7A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14:paraId="49F1CE83">
            <w:pPr>
              <w:snapToGrid w:val="0"/>
              <w:spacing w:line="360" w:lineRule="auto"/>
              <w:jc w:val="center"/>
              <w:rPr>
                <w:rFonts w:hint="eastAsia" w:ascii="宋体" w:hAnsi="宋体"/>
                <w:color w:val="000000"/>
                <w:szCs w:val="21"/>
                <w:highlight w:val="none"/>
              </w:rPr>
            </w:pPr>
            <w:r>
              <w:rPr>
                <w:rFonts w:ascii="宋体" w:hAnsi="宋体"/>
                <w:color w:val="000000"/>
                <w:szCs w:val="21"/>
                <w:highlight w:val="none"/>
              </w:rPr>
              <w:t>40.2</w:t>
            </w:r>
          </w:p>
        </w:tc>
        <w:tc>
          <w:tcPr>
            <w:tcW w:w="8711" w:type="dxa"/>
            <w:tcBorders>
              <w:top w:val="single" w:color="auto" w:sz="4" w:space="0"/>
              <w:left w:val="single" w:color="auto" w:sz="4" w:space="0"/>
              <w:bottom w:val="single" w:color="auto" w:sz="4" w:space="0"/>
              <w:right w:val="single" w:color="auto" w:sz="4" w:space="0"/>
            </w:tcBorders>
            <w:noWrap w:val="0"/>
            <w:vAlign w:val="center"/>
          </w:tcPr>
          <w:p w14:paraId="5F7FD288">
            <w:pPr>
              <w:pStyle w:val="24"/>
              <w:snapToGrid w:val="0"/>
              <w:spacing w:line="360" w:lineRule="auto"/>
              <w:rPr>
                <w:rFonts w:hint="eastAsia" w:hAnsi="宋体" w:cs="宋体"/>
                <w:bCs/>
                <w:color w:val="000000"/>
                <w:sz w:val="21"/>
                <w:highlight w:val="none"/>
                <w:lang w:val="en-US" w:eastAsia="zh-CN"/>
              </w:rPr>
            </w:pPr>
            <w:r>
              <w:rPr>
                <w:rFonts w:hint="eastAsia" w:hAnsi="宋体" w:cs="宋体"/>
                <w:bCs/>
                <w:color w:val="000000"/>
                <w:sz w:val="21"/>
                <w:highlight w:val="none"/>
                <w:lang w:val="en-US" w:eastAsia="zh-CN"/>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5AADE45F">
            <w:pPr>
              <w:pStyle w:val="24"/>
              <w:snapToGrid w:val="0"/>
              <w:spacing w:line="360" w:lineRule="auto"/>
              <w:rPr>
                <w:rFonts w:hAnsi="宋体" w:cs="宋体"/>
                <w:bCs/>
                <w:color w:val="000000"/>
                <w:sz w:val="21"/>
                <w:highlight w:val="none"/>
                <w:lang w:val="en-US" w:eastAsia="zh-CN"/>
              </w:rPr>
            </w:pPr>
            <w:r>
              <w:rPr>
                <w:rFonts w:hint="eastAsia" w:hAnsi="宋体" w:cs="宋体"/>
                <w:bCs/>
                <w:color w:val="000000"/>
                <w:sz w:val="21"/>
                <w:highlight w:val="none"/>
                <w:lang w:val="en-US" w:eastAsia="zh-CN"/>
              </w:rPr>
              <w:t>2.本招标文件所称的“</w:t>
            </w:r>
            <w:r>
              <w:rPr>
                <w:rFonts w:hint="eastAsia" w:hAnsi="宋体"/>
                <w:color w:val="000000"/>
                <w:sz w:val="21"/>
                <w:highlight w:val="none"/>
                <w:lang w:val="en-US" w:eastAsia="zh-CN"/>
              </w:rPr>
              <w:t>电子签章</w:t>
            </w:r>
            <w:r>
              <w:rPr>
                <w:rFonts w:hint="eastAsia" w:hAnsi="宋体" w:cs="宋体"/>
                <w:bCs/>
                <w:color w:val="000000"/>
                <w:sz w:val="21"/>
                <w:highlight w:val="none"/>
                <w:lang w:val="en-US" w:eastAsia="zh-CN"/>
              </w:rPr>
              <w:t>”、“电子签名”</w:t>
            </w:r>
            <w:r>
              <w:rPr>
                <w:rFonts w:hint="eastAsia" w:hAnsi="宋体"/>
                <w:color w:val="000000"/>
                <w:sz w:val="21"/>
                <w:highlight w:val="none"/>
                <w:lang w:val="en-US" w:eastAsia="zh-CN"/>
              </w:rPr>
              <w:t>，是指经广西政府采购云平台认可的CA认证的电子签名数据为表现形式的印章，可用于签署电子投标文件，电子印章与实物印章具有同等法律效力，不因其采用电子化表现形式而否定其法律效力。</w:t>
            </w:r>
          </w:p>
          <w:p w14:paraId="425A6786">
            <w:pPr>
              <w:pStyle w:val="24"/>
              <w:snapToGrid w:val="0"/>
              <w:spacing w:line="360" w:lineRule="auto"/>
              <w:rPr>
                <w:rFonts w:hint="eastAsia" w:hAnsi="宋体" w:cs="宋体"/>
                <w:bCs/>
                <w:color w:val="000000"/>
                <w:sz w:val="21"/>
                <w:highlight w:val="none"/>
                <w:lang w:val="en-US" w:eastAsia="zh-CN"/>
              </w:rPr>
            </w:pPr>
            <w:r>
              <w:rPr>
                <w:rFonts w:hint="eastAsia" w:hAnsi="宋体" w:cs="宋体"/>
                <w:bCs/>
                <w:color w:val="000000"/>
                <w:sz w:val="21"/>
                <w:highlight w:val="none"/>
                <w:lang w:val="en-US" w:eastAsia="zh-CN"/>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1317DFDE">
            <w:pPr>
              <w:pStyle w:val="24"/>
              <w:snapToGrid w:val="0"/>
              <w:spacing w:line="360" w:lineRule="auto"/>
              <w:rPr>
                <w:rFonts w:hint="eastAsia" w:hAnsi="宋体" w:cs="宋体"/>
                <w:bCs/>
                <w:color w:val="000000"/>
                <w:sz w:val="21"/>
                <w:highlight w:val="none"/>
                <w:lang w:val="en-US" w:eastAsia="zh-CN"/>
              </w:rPr>
            </w:pPr>
            <w:r>
              <w:rPr>
                <w:rFonts w:hint="eastAsia" w:hAnsi="宋体" w:cs="宋体"/>
                <w:bCs/>
                <w:color w:val="000000"/>
                <w:sz w:val="21"/>
                <w:highlight w:val="none"/>
                <w:lang w:val="en-US" w:eastAsia="zh-CN"/>
              </w:rPr>
              <w:t>4.本招标文件中描述投标人的“签字”是指投标人的法定代表人或者委托代理人亲自在文件规定签字处亲笔写上个人的名字的行为，私章、签字章、印鉴、影印等其他形式均不能代替亲笔签字。</w:t>
            </w:r>
          </w:p>
          <w:p w14:paraId="1C841604">
            <w:pPr>
              <w:pStyle w:val="24"/>
              <w:snapToGrid w:val="0"/>
              <w:spacing w:line="360" w:lineRule="auto"/>
              <w:rPr>
                <w:rFonts w:hint="eastAsia"/>
                <w:color w:val="000000"/>
                <w:sz w:val="21"/>
                <w:highlight w:val="none"/>
                <w:lang w:val="en-US" w:eastAsia="zh-CN"/>
              </w:rPr>
            </w:pPr>
            <w:r>
              <w:rPr>
                <w:rFonts w:hint="eastAsia" w:hAnsi="宋体" w:cs="宋体"/>
                <w:bCs/>
                <w:color w:val="000000"/>
                <w:sz w:val="21"/>
                <w:highlight w:val="none"/>
                <w:lang w:val="en-US" w:eastAsia="zh-CN"/>
              </w:rPr>
              <w:t>5.本招标文件所称的“以上”“以下”“以内”“届满”，包括本数；所称的“不满”“超过”“以外”，不包括本数。</w:t>
            </w:r>
          </w:p>
        </w:tc>
      </w:tr>
    </w:tbl>
    <w:p w14:paraId="55AAFDBC">
      <w:pPr>
        <w:snapToGrid w:val="0"/>
        <w:rPr>
          <w:rFonts w:hint="eastAsia" w:ascii="宋体" w:hAnsi="宋体"/>
          <w:color w:val="000000"/>
          <w:sz w:val="24"/>
          <w:szCs w:val="20"/>
          <w:highlight w:val="none"/>
        </w:rPr>
      </w:pPr>
    </w:p>
    <w:p w14:paraId="4A8AB727">
      <w:pPr>
        <w:snapToGrid w:val="0"/>
        <w:rPr>
          <w:rFonts w:hint="eastAsia" w:ascii="宋体" w:hAnsi="宋体"/>
          <w:color w:val="000000"/>
          <w:sz w:val="24"/>
          <w:szCs w:val="20"/>
          <w:highlight w:val="none"/>
        </w:rPr>
      </w:pPr>
    </w:p>
    <w:p w14:paraId="50E568B9">
      <w:pPr>
        <w:pStyle w:val="4"/>
        <w:keepNext w:val="0"/>
        <w:keepLines w:val="0"/>
        <w:jc w:val="center"/>
        <w:rPr>
          <w:rFonts w:hint="eastAsia"/>
          <w:color w:val="000000"/>
          <w:highlight w:val="none"/>
        </w:rPr>
      </w:pPr>
      <w:r>
        <w:rPr>
          <w:color w:val="000000"/>
          <w:highlight w:val="none"/>
        </w:rPr>
        <w:br w:type="page"/>
      </w:r>
      <w:r>
        <w:rPr>
          <w:rFonts w:hint="eastAsia"/>
          <w:color w:val="000000"/>
          <w:highlight w:val="none"/>
        </w:rPr>
        <w:t>投标人须知正文</w:t>
      </w:r>
    </w:p>
    <w:p w14:paraId="70D164E3">
      <w:pPr>
        <w:pStyle w:val="4"/>
        <w:keepNext w:val="0"/>
        <w:keepLines w:val="0"/>
        <w:jc w:val="center"/>
        <w:rPr>
          <w:rFonts w:hint="eastAsia"/>
          <w:color w:val="000000"/>
          <w:highlight w:val="none"/>
        </w:rPr>
      </w:pPr>
      <w:r>
        <w:rPr>
          <w:rFonts w:hint="eastAsia"/>
          <w:color w:val="000000"/>
          <w:highlight w:val="none"/>
        </w:rPr>
        <w:t>一、总  则</w:t>
      </w:r>
    </w:p>
    <w:p w14:paraId="42F095A1">
      <w:pPr>
        <w:pStyle w:val="6"/>
        <w:keepNext w:val="0"/>
        <w:keepLines w:val="0"/>
        <w:spacing w:before="0" w:after="0" w:line="360" w:lineRule="auto"/>
        <w:ind w:left="420" w:leftChars="200"/>
        <w:rPr>
          <w:rFonts w:hint="eastAsia" w:ascii="黑体" w:hAnsi="黑体" w:eastAsia="黑体"/>
          <w:color w:val="000000"/>
          <w:sz w:val="24"/>
          <w:highlight w:val="none"/>
        </w:rPr>
      </w:pPr>
      <w:bookmarkStart w:id="87" w:name="_Toc254970527"/>
      <w:bookmarkStart w:id="88" w:name="_Toc254970668"/>
      <w:r>
        <w:rPr>
          <w:rFonts w:hint="eastAsia" w:ascii="黑体" w:hAnsi="黑体" w:eastAsia="黑体"/>
          <w:color w:val="000000"/>
          <w:sz w:val="24"/>
          <w:highlight w:val="none"/>
        </w:rPr>
        <w:t>1.适用范围</w:t>
      </w:r>
      <w:bookmarkEnd w:id="87"/>
      <w:bookmarkEnd w:id="88"/>
    </w:p>
    <w:p w14:paraId="275F466E">
      <w:pPr>
        <w:snapToGrid w:val="0"/>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5123CA0F">
      <w:pPr>
        <w:snapToGrid w:val="0"/>
        <w:spacing w:line="360" w:lineRule="auto"/>
        <w:ind w:firstLine="420" w:firstLineChars="200"/>
        <w:jc w:val="left"/>
        <w:rPr>
          <w:rFonts w:ascii="宋体" w:hAnsi="宋体" w:cs="宋体"/>
          <w:color w:val="000000"/>
          <w:spacing w:val="-6"/>
          <w:szCs w:val="21"/>
          <w:highlight w:val="none"/>
        </w:rPr>
      </w:pPr>
      <w:r>
        <w:rPr>
          <w:rFonts w:hint="eastAsia" w:ascii="宋体" w:hAnsi="宋体"/>
          <w:color w:val="000000"/>
          <w:szCs w:val="21"/>
          <w:highlight w:val="none"/>
        </w:rPr>
        <w:t>1.2本招标文件</w:t>
      </w:r>
      <w:r>
        <w:rPr>
          <w:rFonts w:hint="eastAsia" w:ascii="宋体" w:hAnsi="宋体" w:cs="宋体"/>
          <w:color w:val="000000"/>
          <w:spacing w:val="-6"/>
          <w:szCs w:val="21"/>
          <w:highlight w:val="none"/>
        </w:rPr>
        <w:t>适用于本项目的所有采购程序和环节（法律、法规另有规定的，从其规定）。</w:t>
      </w:r>
    </w:p>
    <w:p w14:paraId="705B7F83">
      <w:pPr>
        <w:pStyle w:val="6"/>
        <w:keepNext w:val="0"/>
        <w:keepLines w:val="0"/>
        <w:spacing w:before="0" w:after="0" w:line="360" w:lineRule="auto"/>
        <w:ind w:left="420" w:leftChars="200"/>
        <w:rPr>
          <w:rFonts w:hint="eastAsia" w:ascii="黑体" w:hAnsi="黑体" w:eastAsia="黑体"/>
          <w:color w:val="000000"/>
          <w:sz w:val="24"/>
          <w:highlight w:val="none"/>
        </w:rPr>
      </w:pPr>
      <w:bookmarkStart w:id="89" w:name="_Toc254970669"/>
      <w:bookmarkStart w:id="90" w:name="_Toc254970528"/>
      <w:r>
        <w:rPr>
          <w:rFonts w:hint="eastAsia" w:ascii="黑体" w:hAnsi="黑体" w:eastAsia="黑体"/>
          <w:color w:val="000000"/>
          <w:sz w:val="24"/>
          <w:highlight w:val="none"/>
        </w:rPr>
        <w:t>2.定义</w:t>
      </w:r>
      <w:bookmarkEnd w:id="89"/>
      <w:bookmarkEnd w:id="90"/>
    </w:p>
    <w:p w14:paraId="4C25CF9A">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2.1“采购人”是指依法进行政府采购的国家机关、事业单位、团体组织。</w:t>
      </w:r>
    </w:p>
    <w:p w14:paraId="01A35749">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2.2“采购代理机构”是指政府采购集中采购机构和集中采购机构以外的采购代理机构。</w:t>
      </w:r>
    </w:p>
    <w:p w14:paraId="3961710D">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2.3“供应商”是指向采购人提供货物、工程或者服务的法人、其他组织或者自然人。</w:t>
      </w:r>
    </w:p>
    <w:p w14:paraId="4602446F">
      <w:pPr>
        <w:pStyle w:val="7"/>
        <w:spacing w:line="360" w:lineRule="auto"/>
        <w:rPr>
          <w:rFonts w:hint="eastAsia" w:ascii="宋体" w:hAnsi="宋体"/>
          <w:color w:val="000000"/>
          <w:szCs w:val="21"/>
          <w:highlight w:val="none"/>
        </w:rPr>
      </w:pPr>
      <w:r>
        <w:rPr>
          <w:rFonts w:hint="eastAsia" w:ascii="宋体" w:hAnsi="宋体"/>
          <w:color w:val="000000"/>
          <w:szCs w:val="21"/>
          <w:highlight w:val="none"/>
        </w:rPr>
        <w:t>2.4“投标人”是指响应招标、参加投标竞争的法人、其他组织或者自然人。</w:t>
      </w:r>
    </w:p>
    <w:p w14:paraId="508AA8AF">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2.5“货物”是指各种形态和种类的物品，包括原材料、燃料、设备、产品等。</w:t>
      </w:r>
    </w:p>
    <w:p w14:paraId="7FAD22DD">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2.6“售后服务” 是指商品出售以后所提供的各种服务，包含但不限于投标人须承担的备品备件、包装、运输、装卸、保险、货到就位以及安装、调试、培训、质保以及其他各种服务。</w:t>
      </w:r>
    </w:p>
    <w:p w14:paraId="346B4F7B">
      <w:pPr>
        <w:pStyle w:val="6"/>
        <w:keepNext w:val="0"/>
        <w:keepLines w:val="0"/>
        <w:spacing w:before="0" w:after="0" w:line="360" w:lineRule="auto"/>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2.7“书面形式”是指合同书、信件和数据电文（包括电报、电传、传真、电子数据交换和电子邮件）等可以有形地表现所载内容的形式。</w:t>
      </w:r>
    </w:p>
    <w:p w14:paraId="565E5934">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2.8“实质性要求”是指招标文件中已经指明不满足则投标无效的条款，或者不能负偏离的条款，或者采购需求中带“▲”的条款。</w:t>
      </w:r>
    </w:p>
    <w:p w14:paraId="67CC357A">
      <w:pPr>
        <w:snapToGrid w:val="0"/>
        <w:spacing w:line="360" w:lineRule="auto"/>
        <w:ind w:firstLine="420" w:firstLineChars="200"/>
        <w:jc w:val="left"/>
        <w:rPr>
          <w:rFonts w:ascii="宋体" w:hAnsi="宋体" w:cs="宋体"/>
          <w:color w:val="000000"/>
          <w:szCs w:val="21"/>
          <w:highlight w:val="none"/>
        </w:rPr>
      </w:pPr>
      <w:r>
        <w:rPr>
          <w:rFonts w:hint="eastAsia" w:ascii="宋体" w:hAnsi="宋体"/>
          <w:color w:val="000000"/>
          <w:szCs w:val="21"/>
          <w:highlight w:val="none"/>
        </w:rPr>
        <w:t xml:space="preserve">2.9 </w:t>
      </w:r>
      <w:r>
        <w:rPr>
          <w:rFonts w:hint="eastAsia" w:ascii="宋体" w:hAnsi="宋体" w:cs="宋体"/>
          <w:color w:val="000000"/>
          <w:szCs w:val="21"/>
          <w:highlight w:val="none"/>
        </w:rPr>
        <w:t>“正偏离”，是指投标文件对招标文件“采购需求”中有关条款作出的响应优于条款要求并有利于采购人的情形。</w:t>
      </w:r>
    </w:p>
    <w:p w14:paraId="648F83B1">
      <w:pPr>
        <w:snapToGrid w:val="0"/>
        <w:spacing w:line="360" w:lineRule="auto"/>
        <w:ind w:firstLine="420" w:firstLineChars="200"/>
        <w:jc w:val="left"/>
        <w:rPr>
          <w:rFonts w:ascii="宋体" w:hAnsi="宋体" w:cs="宋体"/>
          <w:color w:val="000000"/>
          <w:szCs w:val="21"/>
          <w:highlight w:val="none"/>
        </w:rPr>
      </w:pPr>
      <w:r>
        <w:rPr>
          <w:rFonts w:ascii="宋体" w:hAnsi="宋体" w:cs="宋体"/>
          <w:color w:val="000000"/>
          <w:szCs w:val="21"/>
          <w:highlight w:val="none"/>
        </w:rPr>
        <w:t>2.10</w:t>
      </w:r>
      <w:r>
        <w:rPr>
          <w:rFonts w:hint="eastAsia" w:ascii="宋体" w:hAnsi="宋体" w:cs="宋体"/>
          <w:color w:val="000000"/>
          <w:szCs w:val="21"/>
          <w:highlight w:val="none"/>
        </w:rPr>
        <w:t>“负偏离”，是指投标文件对招标文件“采购需求”中有关条款作出的响应不满足条款要求，导致采购人要求不能得到满足的情形。</w:t>
      </w:r>
    </w:p>
    <w:p w14:paraId="6896F27D">
      <w:pPr>
        <w:snapToGrid w:val="0"/>
        <w:spacing w:line="360" w:lineRule="auto"/>
        <w:ind w:firstLine="420" w:firstLineChars="200"/>
        <w:jc w:val="left"/>
        <w:rPr>
          <w:rFonts w:ascii="宋体" w:hAnsi="宋体" w:cs="宋体"/>
          <w:color w:val="000000"/>
          <w:szCs w:val="21"/>
          <w:highlight w:val="none"/>
        </w:rPr>
      </w:pPr>
      <w:r>
        <w:rPr>
          <w:rFonts w:hint="eastAsia" w:ascii="宋体" w:hAnsi="宋体"/>
          <w:color w:val="000000"/>
          <w:szCs w:val="21"/>
          <w:highlight w:val="none"/>
        </w:rPr>
        <w:t>2.1</w:t>
      </w:r>
      <w:r>
        <w:rPr>
          <w:rFonts w:ascii="宋体" w:hAnsi="宋体"/>
          <w:color w:val="000000"/>
          <w:szCs w:val="21"/>
          <w:highlight w:val="none"/>
        </w:rPr>
        <w:t>1</w:t>
      </w:r>
      <w:r>
        <w:rPr>
          <w:rFonts w:hint="eastAsia" w:ascii="宋体" w:hAnsi="宋体" w:cs="宋体"/>
          <w:color w:val="000000"/>
          <w:szCs w:val="21"/>
          <w:highlight w:val="none"/>
        </w:rPr>
        <w:t>“允许负偏离的条款”是指采购需求中的不属于“实质性要求”的条款。</w:t>
      </w:r>
      <w:bookmarkStart w:id="91" w:name="_Toc254970670"/>
      <w:bookmarkStart w:id="92" w:name="_Toc254970529"/>
    </w:p>
    <w:p w14:paraId="511E59B1">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3.</w:t>
      </w:r>
      <w:bookmarkEnd w:id="91"/>
      <w:bookmarkEnd w:id="92"/>
      <w:r>
        <w:rPr>
          <w:rFonts w:hint="eastAsia" w:ascii="黑体" w:hAnsi="黑体" w:eastAsia="黑体"/>
          <w:color w:val="000000"/>
          <w:sz w:val="24"/>
          <w:highlight w:val="none"/>
        </w:rPr>
        <w:t>投标人的资格要求</w:t>
      </w:r>
    </w:p>
    <w:p w14:paraId="7D226482">
      <w:pPr>
        <w:snapToGrid w:val="0"/>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投标人的资格要求详见“投标人须知前附表”。</w:t>
      </w:r>
    </w:p>
    <w:p w14:paraId="249B1CE6">
      <w:pPr>
        <w:pStyle w:val="6"/>
        <w:keepNext w:val="0"/>
        <w:keepLines w:val="0"/>
        <w:spacing w:before="0" w:after="0" w:line="360" w:lineRule="auto"/>
        <w:ind w:left="420" w:leftChars="200"/>
        <w:rPr>
          <w:rFonts w:hint="eastAsia" w:ascii="黑体" w:hAnsi="黑体" w:eastAsia="黑体"/>
          <w:color w:val="000000"/>
          <w:sz w:val="24"/>
          <w:highlight w:val="none"/>
        </w:rPr>
      </w:pPr>
      <w:bookmarkStart w:id="93" w:name="_Toc254970530"/>
      <w:bookmarkStart w:id="94" w:name="_Toc254970671"/>
      <w:r>
        <w:rPr>
          <w:rFonts w:hint="eastAsia" w:ascii="黑体" w:hAnsi="黑体" w:eastAsia="黑体"/>
          <w:color w:val="000000"/>
          <w:sz w:val="24"/>
          <w:highlight w:val="none"/>
        </w:rPr>
        <w:t>4.投标委托</w:t>
      </w:r>
      <w:bookmarkEnd w:id="93"/>
      <w:bookmarkEnd w:id="94"/>
    </w:p>
    <w:p w14:paraId="4CB9F423">
      <w:pPr>
        <w:snapToGrid w:val="0"/>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投标人代表参加投标活动过程中必须携带个人有效身份证件。如投标人代表不是法定代表人，须持有授权委托书（按第六章要求格式填写）。</w:t>
      </w:r>
    </w:p>
    <w:p w14:paraId="0BEF37E7">
      <w:pPr>
        <w:pStyle w:val="6"/>
        <w:keepNext w:val="0"/>
        <w:keepLines w:val="0"/>
        <w:spacing w:before="0" w:after="0" w:line="360" w:lineRule="auto"/>
        <w:ind w:left="420" w:leftChars="200"/>
        <w:rPr>
          <w:rFonts w:hint="eastAsia" w:ascii="黑体" w:hAnsi="黑体" w:eastAsia="黑体"/>
          <w:color w:val="000000"/>
          <w:sz w:val="24"/>
          <w:highlight w:val="none"/>
        </w:rPr>
      </w:pPr>
      <w:bookmarkStart w:id="95" w:name="_5.投标费用"/>
      <w:bookmarkEnd w:id="95"/>
      <w:bookmarkStart w:id="96" w:name="_Toc254970672"/>
      <w:bookmarkStart w:id="97" w:name="_Toc254970531"/>
      <w:r>
        <w:rPr>
          <w:rFonts w:hint="eastAsia" w:ascii="黑体" w:hAnsi="黑体" w:eastAsia="黑体"/>
          <w:color w:val="000000"/>
          <w:sz w:val="24"/>
          <w:highlight w:val="none"/>
        </w:rPr>
        <w:t>5.投标费用</w:t>
      </w:r>
      <w:bookmarkEnd w:id="96"/>
      <w:bookmarkEnd w:id="97"/>
    </w:p>
    <w:p w14:paraId="262E56C4">
      <w:pPr>
        <w:snapToGrid w:val="0"/>
        <w:spacing w:line="360" w:lineRule="auto"/>
        <w:ind w:firstLine="420" w:firstLineChars="200"/>
        <w:jc w:val="left"/>
        <w:rPr>
          <w:rFonts w:hint="eastAsia" w:ascii="宋体" w:hAnsi="宋体"/>
          <w:color w:val="000000"/>
          <w:szCs w:val="21"/>
          <w:highlight w:val="none"/>
        </w:rPr>
      </w:pPr>
      <w:r>
        <w:rPr>
          <w:rFonts w:hint="eastAsia" w:ascii="宋体" w:hAnsi="宋体" w:cs="宋体"/>
          <w:color w:val="000000"/>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649AAE0C">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6.联合体投标</w:t>
      </w:r>
    </w:p>
    <w:p w14:paraId="0ABBC8D9">
      <w:pPr>
        <w:snapToGrid w:val="0"/>
        <w:spacing w:line="360" w:lineRule="auto"/>
        <w:ind w:firstLine="420" w:firstLineChars="200"/>
        <w:jc w:val="left"/>
        <w:rPr>
          <w:rFonts w:ascii="宋体" w:hAnsi="宋体"/>
          <w:color w:val="000000"/>
          <w:szCs w:val="21"/>
          <w:highlight w:val="none"/>
        </w:rPr>
      </w:pPr>
      <w:r>
        <w:rPr>
          <w:rFonts w:hint="eastAsia" w:ascii="宋体" w:hAnsi="宋体"/>
          <w:color w:val="000000"/>
          <w:szCs w:val="21"/>
          <w:highlight w:val="none"/>
        </w:rPr>
        <w:t>6.1本项目是否接受联合体投标，详见“投标人须知前附表”。</w:t>
      </w:r>
    </w:p>
    <w:p w14:paraId="0008878C">
      <w:pPr>
        <w:snapToGrid w:val="0"/>
        <w:spacing w:line="360" w:lineRule="auto"/>
        <w:ind w:firstLine="420" w:firstLineChars="200"/>
        <w:jc w:val="left"/>
        <w:rPr>
          <w:rFonts w:ascii="宋体" w:hAnsi="宋体"/>
          <w:bCs/>
          <w:color w:val="000000"/>
          <w:szCs w:val="21"/>
          <w:highlight w:val="none"/>
        </w:rPr>
      </w:pPr>
      <w:r>
        <w:rPr>
          <w:rFonts w:hint="eastAsia" w:ascii="宋体" w:hAnsi="宋体"/>
          <w:bCs/>
          <w:color w:val="000000"/>
          <w:szCs w:val="21"/>
          <w:highlight w:val="none"/>
        </w:rPr>
        <w:t>6.2如接受联合体投标，联合体投标要求详见“投标人须知前附表”。</w:t>
      </w:r>
    </w:p>
    <w:p w14:paraId="672AFFC5">
      <w:pPr>
        <w:pStyle w:val="6"/>
        <w:keepNext w:val="0"/>
        <w:keepLines w:val="0"/>
        <w:spacing w:before="0" w:after="0" w:line="360" w:lineRule="auto"/>
        <w:ind w:firstLine="424" w:firstLineChars="202"/>
        <w:rPr>
          <w:rFonts w:hint="eastAsia" w:ascii="黑体" w:hAnsi="黑体" w:eastAsia="黑体"/>
          <w:color w:val="000000"/>
          <w:sz w:val="24"/>
          <w:highlight w:val="none"/>
        </w:rPr>
      </w:pPr>
      <w:r>
        <w:rPr>
          <w:rFonts w:hint="eastAsia" w:ascii="宋体" w:hAnsi="宋体"/>
          <w:b w:val="0"/>
          <w:bCs/>
          <w:color w:val="000000"/>
          <w:sz w:val="21"/>
          <w:szCs w:val="21"/>
          <w:highlight w:val="none"/>
        </w:rPr>
        <w:t>6.3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14:paraId="34C581D8">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 xml:space="preserve">7.转包与分包             </w:t>
      </w:r>
    </w:p>
    <w:p w14:paraId="291F1E28">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7.1本项目不允许转包。</w:t>
      </w:r>
    </w:p>
    <w:p w14:paraId="79E22A6F">
      <w:pPr>
        <w:pStyle w:val="6"/>
        <w:keepNext w:val="0"/>
        <w:keepLines w:val="0"/>
        <w:spacing w:before="0" w:after="0" w:line="360" w:lineRule="auto"/>
        <w:ind w:firstLine="315" w:firstLineChars="15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2BFFA155">
      <w:pPr>
        <w:pStyle w:val="6"/>
        <w:keepNext w:val="0"/>
        <w:keepLines w:val="0"/>
        <w:spacing w:before="0" w:after="0" w:line="360" w:lineRule="auto"/>
        <w:ind w:firstLine="315" w:firstLineChars="15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529DFE9F">
      <w:pPr>
        <w:pStyle w:val="6"/>
        <w:keepNext w:val="0"/>
        <w:keepLines w:val="0"/>
        <w:spacing w:before="0" w:after="0" w:line="360" w:lineRule="auto"/>
        <w:ind w:left="420" w:leftChars="200"/>
        <w:rPr>
          <w:rFonts w:hint="eastAsia" w:ascii="黑体" w:hAnsi="黑体" w:eastAsia="黑体"/>
          <w:color w:val="000000"/>
          <w:sz w:val="24"/>
          <w:highlight w:val="none"/>
        </w:rPr>
      </w:pPr>
      <w:bookmarkStart w:id="98" w:name="_Toc254970532"/>
      <w:bookmarkStart w:id="99" w:name="_Toc254970673"/>
      <w:r>
        <w:rPr>
          <w:rFonts w:hint="eastAsia" w:ascii="黑体" w:hAnsi="黑体" w:eastAsia="黑体"/>
          <w:color w:val="000000"/>
          <w:sz w:val="24"/>
          <w:highlight w:val="none"/>
        </w:rPr>
        <w:t>8.特别说明</w:t>
      </w:r>
      <w:bookmarkEnd w:id="98"/>
      <w:bookmarkEnd w:id="99"/>
    </w:p>
    <w:p w14:paraId="2DC88CD2">
      <w:pPr>
        <w:pStyle w:val="6"/>
        <w:keepNext w:val="0"/>
        <w:keepLines w:val="0"/>
        <w:spacing w:before="0" w:after="0" w:line="360" w:lineRule="auto"/>
        <w:ind w:firstLine="420" w:firstLineChars="200"/>
        <w:rPr>
          <w:rFonts w:hint="eastAsia" w:ascii="宋体" w:hAnsi="宋体"/>
          <w:b w:val="0"/>
          <w:color w:val="000000"/>
          <w:sz w:val="21"/>
          <w:szCs w:val="21"/>
          <w:highlight w:val="none"/>
        </w:rPr>
      </w:pPr>
      <w:bookmarkStart w:id="100" w:name="_8.1提供相同品牌产品且通过资格审查、符合性审查的不同投标人参加同一合"/>
      <w:bookmarkEnd w:id="100"/>
      <w:r>
        <w:rPr>
          <w:rFonts w:ascii="宋体" w:hAnsi="宋体"/>
          <w:b w:val="0"/>
          <w:color w:val="000000"/>
          <w:sz w:val="21"/>
          <w:szCs w:val="21"/>
          <w:highlight w:val="none"/>
        </w:rPr>
        <w:fldChar w:fldCharType="begin"/>
      </w:r>
      <w:r>
        <w:rPr>
          <w:rFonts w:ascii="宋体" w:hAnsi="宋体"/>
          <w:b w:val="0"/>
          <w:color w:val="000000"/>
          <w:sz w:val="21"/>
          <w:szCs w:val="21"/>
          <w:highlight w:val="none"/>
        </w:rPr>
        <w:instrText xml:space="preserve"> HYPERLINK  \l "_8.1" </w:instrText>
      </w:r>
      <w:r>
        <w:rPr>
          <w:rFonts w:ascii="宋体" w:hAnsi="宋体"/>
          <w:b w:val="0"/>
          <w:color w:val="000000"/>
          <w:sz w:val="21"/>
          <w:szCs w:val="21"/>
          <w:highlight w:val="none"/>
        </w:rPr>
        <w:fldChar w:fldCharType="separate"/>
      </w:r>
      <w:r>
        <w:rPr>
          <w:rFonts w:hint="eastAsia" w:ascii="宋体" w:hAnsi="宋体"/>
          <w:b w:val="0"/>
          <w:color w:val="000000"/>
          <w:sz w:val="21"/>
          <w:szCs w:val="21"/>
          <w:highlight w:val="none"/>
        </w:rPr>
        <w:t>8.1</w:t>
      </w:r>
      <w:r>
        <w:rPr>
          <w:rFonts w:ascii="宋体" w:hAnsi="宋体"/>
          <w:b w:val="0"/>
          <w:color w:val="000000"/>
          <w:sz w:val="21"/>
          <w:szCs w:val="21"/>
          <w:highlight w:val="none"/>
        </w:rPr>
        <w:fldChar w:fldCharType="end"/>
      </w:r>
      <w:r>
        <w:rPr>
          <w:rFonts w:hint="eastAsia" w:ascii="宋体" w:hAnsi="宋体"/>
          <w:b w:val="0"/>
          <w:color w:val="000000"/>
          <w:sz w:val="21"/>
          <w:szCs w:val="21"/>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color w:val="000000"/>
          <w:sz w:val="22"/>
          <w:szCs w:val="22"/>
          <w:highlight w:val="none"/>
        </w:rPr>
        <w:t>其他投标无效。</w:t>
      </w:r>
    </w:p>
    <w:p w14:paraId="7B82D770">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12A8C914">
      <w:pPr>
        <w:pStyle w:val="24"/>
        <w:snapToGrid w:val="0"/>
        <w:spacing w:line="360" w:lineRule="auto"/>
        <w:ind w:left="2" w:leftChars="1" w:firstLine="420" w:firstLineChars="200"/>
        <w:rPr>
          <w:rFonts w:hint="eastAsia" w:hAnsi="宋体"/>
          <w:color w:val="000000"/>
          <w:kern w:val="2"/>
          <w:sz w:val="21"/>
          <w:highlight w:val="none"/>
        </w:rPr>
      </w:pPr>
      <w:r>
        <w:rPr>
          <w:rFonts w:hint="eastAsia" w:hAnsi="宋体"/>
          <w:color w:val="000000"/>
          <w:kern w:val="2"/>
          <w:sz w:val="21"/>
          <w:highlight w:val="none"/>
        </w:rPr>
        <w:t>非单一产品采购项目，多家投标人提供的核心产品品牌相同的，</w:t>
      </w:r>
      <w:r>
        <w:rPr>
          <w:rFonts w:hint="eastAsia" w:hAnsi="宋体"/>
          <w:color w:val="000000"/>
          <w:sz w:val="22"/>
          <w:szCs w:val="22"/>
          <w:highlight w:val="none"/>
        </w:rPr>
        <w:t>按前两款规定处理</w:t>
      </w:r>
      <w:r>
        <w:rPr>
          <w:rFonts w:hint="eastAsia" w:hAnsi="宋体"/>
          <w:color w:val="000000"/>
          <w:kern w:val="2"/>
          <w:sz w:val="21"/>
          <w:highlight w:val="none"/>
        </w:rPr>
        <w:t>。</w:t>
      </w:r>
    </w:p>
    <w:p w14:paraId="20A4634F">
      <w:pPr>
        <w:pStyle w:val="6"/>
        <w:keepNext w:val="0"/>
        <w:keepLines w:val="0"/>
        <w:spacing w:before="0" w:after="0" w:line="360" w:lineRule="auto"/>
        <w:ind w:firstLine="367" w:firstLineChars="175"/>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14:paraId="048D3EB8">
      <w:pPr>
        <w:pStyle w:val="6"/>
        <w:keepNext w:val="0"/>
        <w:keepLines w:val="0"/>
        <w:spacing w:before="0" w:after="0" w:line="360" w:lineRule="auto"/>
        <w:ind w:firstLine="367" w:firstLineChars="175"/>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8.3投标人应仔细阅读招标文件的所有内容，按照招标文件的要求提交投标文件，并对所提供的全部资料的真实性承担法律责任。</w:t>
      </w:r>
    </w:p>
    <w:p w14:paraId="1ECA9AE8">
      <w:pPr>
        <w:pStyle w:val="6"/>
        <w:keepNext w:val="0"/>
        <w:keepLines w:val="0"/>
        <w:spacing w:before="0" w:after="0" w:line="360" w:lineRule="auto"/>
        <w:ind w:firstLine="367" w:firstLineChars="175"/>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14:paraId="07FCD45E">
      <w:pPr>
        <w:pStyle w:val="6"/>
        <w:keepNext w:val="0"/>
        <w:keepLines w:val="0"/>
        <w:spacing w:before="0" w:after="0" w:line="360" w:lineRule="auto"/>
        <w:ind w:left="420" w:leftChars="200"/>
        <w:rPr>
          <w:rFonts w:ascii="黑体" w:hAnsi="黑体" w:eastAsia="黑体"/>
          <w:color w:val="000000"/>
          <w:sz w:val="24"/>
          <w:highlight w:val="none"/>
        </w:rPr>
      </w:pPr>
      <w:r>
        <w:rPr>
          <w:rFonts w:ascii="黑体" w:hAnsi="黑体" w:eastAsia="黑体"/>
          <w:color w:val="000000"/>
          <w:sz w:val="24"/>
          <w:highlight w:val="none"/>
        </w:rPr>
        <w:t>9.</w:t>
      </w:r>
      <w:r>
        <w:rPr>
          <w:rFonts w:hint="eastAsia" w:ascii="黑体" w:hAnsi="黑体" w:eastAsia="黑体"/>
          <w:color w:val="000000"/>
          <w:sz w:val="24"/>
          <w:highlight w:val="none"/>
        </w:rPr>
        <w:t>回避与串通投标</w:t>
      </w:r>
    </w:p>
    <w:p w14:paraId="06061DDC">
      <w:pPr>
        <w:pStyle w:val="6"/>
        <w:keepNext w:val="0"/>
        <w:keepLines w:val="0"/>
        <w:spacing w:before="0" w:after="0" w:line="360" w:lineRule="auto"/>
        <w:ind w:firstLine="367" w:firstLineChars="175"/>
        <w:rPr>
          <w:rFonts w:ascii="宋体" w:hAnsi="宋体"/>
          <w:b w:val="0"/>
          <w:color w:val="000000"/>
          <w:sz w:val="21"/>
          <w:szCs w:val="21"/>
          <w:highlight w:val="none"/>
        </w:rPr>
      </w:pPr>
      <w:r>
        <w:rPr>
          <w:rFonts w:hint="eastAsia" w:ascii="宋体" w:hAnsi="宋体"/>
          <w:b w:val="0"/>
          <w:color w:val="000000"/>
          <w:sz w:val="21"/>
          <w:szCs w:val="21"/>
          <w:highlight w:val="none"/>
        </w:rPr>
        <w:t>9</w:t>
      </w:r>
      <w:r>
        <w:rPr>
          <w:rFonts w:ascii="宋体" w:hAnsi="宋体"/>
          <w:b w:val="0"/>
          <w:color w:val="000000"/>
          <w:sz w:val="21"/>
          <w:szCs w:val="21"/>
          <w:highlight w:val="none"/>
        </w:rPr>
        <w:t>.1在政府采购活动中，采购人员及相关人员与</w:t>
      </w:r>
      <w:r>
        <w:rPr>
          <w:rFonts w:hint="eastAsia" w:ascii="宋体" w:hAnsi="宋体"/>
          <w:b w:val="0"/>
          <w:color w:val="000000"/>
          <w:sz w:val="21"/>
          <w:szCs w:val="21"/>
          <w:highlight w:val="none"/>
        </w:rPr>
        <w:t>供应商</w:t>
      </w:r>
      <w:r>
        <w:rPr>
          <w:rFonts w:ascii="宋体" w:hAnsi="宋体"/>
          <w:b w:val="0"/>
          <w:color w:val="000000"/>
          <w:sz w:val="21"/>
          <w:szCs w:val="21"/>
          <w:highlight w:val="none"/>
        </w:rPr>
        <w:t>有下列利害关系之一的，应当回避：</w:t>
      </w:r>
    </w:p>
    <w:p w14:paraId="7A4EA467">
      <w:pPr>
        <w:pStyle w:val="24"/>
        <w:snapToGrid w:val="0"/>
        <w:spacing w:line="360" w:lineRule="auto"/>
        <w:ind w:left="2" w:leftChars="1" w:firstLine="420" w:firstLineChars="200"/>
        <w:rPr>
          <w:rFonts w:hAnsi="宋体"/>
          <w:color w:val="000000"/>
          <w:kern w:val="2"/>
          <w:sz w:val="21"/>
          <w:highlight w:val="none"/>
        </w:rPr>
      </w:pPr>
      <w:r>
        <w:rPr>
          <w:rFonts w:hAnsi="宋体"/>
          <w:color w:val="000000"/>
          <w:kern w:val="2"/>
          <w:sz w:val="21"/>
          <w:highlight w:val="none"/>
        </w:rPr>
        <w:t>（</w:t>
      </w:r>
      <w:r>
        <w:rPr>
          <w:rFonts w:hint="eastAsia" w:hAnsi="宋体"/>
          <w:color w:val="000000"/>
          <w:kern w:val="2"/>
          <w:sz w:val="21"/>
          <w:highlight w:val="none"/>
        </w:rPr>
        <w:t>1</w:t>
      </w:r>
      <w:r>
        <w:rPr>
          <w:rFonts w:hAnsi="宋体"/>
          <w:color w:val="000000"/>
          <w:kern w:val="2"/>
          <w:sz w:val="21"/>
          <w:highlight w:val="none"/>
        </w:rPr>
        <w:t>）参加采购活动前3年内与</w:t>
      </w:r>
      <w:r>
        <w:rPr>
          <w:rFonts w:hint="eastAsia" w:hAnsi="宋体"/>
          <w:color w:val="000000"/>
          <w:kern w:val="2"/>
          <w:sz w:val="21"/>
          <w:highlight w:val="none"/>
        </w:rPr>
        <w:t>供应商</w:t>
      </w:r>
      <w:r>
        <w:rPr>
          <w:rFonts w:hAnsi="宋体"/>
          <w:color w:val="000000"/>
          <w:kern w:val="2"/>
          <w:sz w:val="21"/>
          <w:highlight w:val="none"/>
        </w:rPr>
        <w:t>存在劳动关系；</w:t>
      </w:r>
    </w:p>
    <w:p w14:paraId="31AC354C">
      <w:pPr>
        <w:pStyle w:val="24"/>
        <w:snapToGrid w:val="0"/>
        <w:spacing w:line="360" w:lineRule="auto"/>
        <w:ind w:left="2" w:leftChars="1" w:firstLine="420" w:firstLineChars="200"/>
        <w:rPr>
          <w:rFonts w:hAnsi="宋体"/>
          <w:color w:val="000000"/>
          <w:kern w:val="2"/>
          <w:sz w:val="21"/>
          <w:highlight w:val="none"/>
        </w:rPr>
      </w:pPr>
      <w:r>
        <w:rPr>
          <w:rFonts w:hAnsi="宋体"/>
          <w:color w:val="000000"/>
          <w:kern w:val="2"/>
          <w:sz w:val="21"/>
          <w:highlight w:val="none"/>
        </w:rPr>
        <w:t>（</w:t>
      </w:r>
      <w:r>
        <w:rPr>
          <w:rFonts w:hint="eastAsia" w:hAnsi="宋体"/>
          <w:color w:val="000000"/>
          <w:kern w:val="2"/>
          <w:sz w:val="21"/>
          <w:highlight w:val="none"/>
        </w:rPr>
        <w:t>2</w:t>
      </w:r>
      <w:r>
        <w:rPr>
          <w:rFonts w:hAnsi="宋体"/>
          <w:color w:val="000000"/>
          <w:kern w:val="2"/>
          <w:sz w:val="21"/>
          <w:highlight w:val="none"/>
        </w:rPr>
        <w:t>）参加采购活动前3年内担任</w:t>
      </w:r>
      <w:r>
        <w:rPr>
          <w:rFonts w:hint="eastAsia" w:hAnsi="宋体"/>
          <w:color w:val="000000"/>
          <w:kern w:val="2"/>
          <w:sz w:val="21"/>
          <w:highlight w:val="none"/>
        </w:rPr>
        <w:t>供应商</w:t>
      </w:r>
      <w:r>
        <w:rPr>
          <w:rFonts w:hAnsi="宋体"/>
          <w:color w:val="000000"/>
          <w:kern w:val="2"/>
          <w:sz w:val="21"/>
          <w:highlight w:val="none"/>
        </w:rPr>
        <w:t>的董事、监事；</w:t>
      </w:r>
    </w:p>
    <w:p w14:paraId="5C34FF66">
      <w:pPr>
        <w:pStyle w:val="24"/>
        <w:snapToGrid w:val="0"/>
        <w:spacing w:line="360" w:lineRule="auto"/>
        <w:ind w:left="2" w:leftChars="1" w:firstLine="420" w:firstLineChars="200"/>
        <w:rPr>
          <w:rFonts w:hAnsi="宋体"/>
          <w:color w:val="000000"/>
          <w:kern w:val="2"/>
          <w:sz w:val="21"/>
          <w:highlight w:val="none"/>
        </w:rPr>
      </w:pPr>
      <w:r>
        <w:rPr>
          <w:rFonts w:hAnsi="宋体"/>
          <w:color w:val="000000"/>
          <w:kern w:val="2"/>
          <w:sz w:val="21"/>
          <w:highlight w:val="none"/>
        </w:rPr>
        <w:t>（</w:t>
      </w:r>
      <w:r>
        <w:rPr>
          <w:rFonts w:hint="eastAsia" w:hAnsi="宋体"/>
          <w:color w:val="000000"/>
          <w:kern w:val="2"/>
          <w:sz w:val="21"/>
          <w:highlight w:val="none"/>
        </w:rPr>
        <w:t>3</w:t>
      </w:r>
      <w:r>
        <w:rPr>
          <w:rFonts w:hAnsi="宋体"/>
          <w:color w:val="000000"/>
          <w:kern w:val="2"/>
          <w:sz w:val="21"/>
          <w:highlight w:val="none"/>
        </w:rPr>
        <w:t>）参加采购活动前3年内是</w:t>
      </w:r>
      <w:r>
        <w:rPr>
          <w:rFonts w:hint="eastAsia" w:hAnsi="宋体"/>
          <w:color w:val="000000"/>
          <w:kern w:val="2"/>
          <w:sz w:val="21"/>
          <w:highlight w:val="none"/>
        </w:rPr>
        <w:t>供应商</w:t>
      </w:r>
      <w:r>
        <w:rPr>
          <w:rFonts w:hAnsi="宋体"/>
          <w:color w:val="000000"/>
          <w:kern w:val="2"/>
          <w:sz w:val="21"/>
          <w:highlight w:val="none"/>
        </w:rPr>
        <w:t>的控股股东或者实际控制人；</w:t>
      </w:r>
    </w:p>
    <w:p w14:paraId="31C80CD8">
      <w:pPr>
        <w:pStyle w:val="24"/>
        <w:snapToGrid w:val="0"/>
        <w:spacing w:line="360" w:lineRule="auto"/>
        <w:ind w:left="2" w:leftChars="1" w:firstLine="420" w:firstLineChars="200"/>
        <w:rPr>
          <w:rFonts w:hAnsi="宋体"/>
          <w:color w:val="000000"/>
          <w:kern w:val="2"/>
          <w:sz w:val="21"/>
          <w:highlight w:val="none"/>
        </w:rPr>
      </w:pPr>
      <w:r>
        <w:rPr>
          <w:rFonts w:hAnsi="宋体"/>
          <w:color w:val="000000"/>
          <w:kern w:val="2"/>
          <w:sz w:val="21"/>
          <w:highlight w:val="none"/>
        </w:rPr>
        <w:t>（</w:t>
      </w:r>
      <w:r>
        <w:rPr>
          <w:rFonts w:hint="eastAsia" w:hAnsi="宋体"/>
          <w:color w:val="000000"/>
          <w:kern w:val="2"/>
          <w:sz w:val="21"/>
          <w:highlight w:val="none"/>
        </w:rPr>
        <w:t>4</w:t>
      </w:r>
      <w:r>
        <w:rPr>
          <w:rFonts w:hAnsi="宋体"/>
          <w:color w:val="000000"/>
          <w:kern w:val="2"/>
          <w:sz w:val="21"/>
          <w:highlight w:val="none"/>
        </w:rPr>
        <w:t>）与</w:t>
      </w:r>
      <w:r>
        <w:rPr>
          <w:rFonts w:hint="eastAsia" w:hAnsi="宋体"/>
          <w:color w:val="000000"/>
          <w:kern w:val="2"/>
          <w:sz w:val="21"/>
          <w:highlight w:val="none"/>
        </w:rPr>
        <w:t>供应商</w:t>
      </w:r>
      <w:r>
        <w:rPr>
          <w:rFonts w:hAnsi="宋体"/>
          <w:color w:val="000000"/>
          <w:kern w:val="2"/>
          <w:sz w:val="21"/>
          <w:highlight w:val="none"/>
        </w:rPr>
        <w:t>的法定代表人或者负责人有夫妻、直系血亲、三代以内旁系血亲或者近姻亲关系；</w:t>
      </w:r>
    </w:p>
    <w:p w14:paraId="23470B77">
      <w:pPr>
        <w:pStyle w:val="24"/>
        <w:snapToGrid w:val="0"/>
        <w:spacing w:line="360" w:lineRule="auto"/>
        <w:ind w:left="2" w:leftChars="1" w:firstLine="420" w:firstLineChars="200"/>
        <w:rPr>
          <w:rFonts w:hAnsi="宋体"/>
          <w:color w:val="000000"/>
          <w:kern w:val="2"/>
          <w:sz w:val="21"/>
          <w:highlight w:val="none"/>
        </w:rPr>
      </w:pPr>
      <w:r>
        <w:rPr>
          <w:rFonts w:hAnsi="宋体"/>
          <w:color w:val="000000"/>
          <w:kern w:val="2"/>
          <w:sz w:val="21"/>
          <w:highlight w:val="none"/>
        </w:rPr>
        <w:t>（</w:t>
      </w:r>
      <w:r>
        <w:rPr>
          <w:rFonts w:hint="eastAsia" w:hAnsi="宋体"/>
          <w:color w:val="000000"/>
          <w:kern w:val="2"/>
          <w:sz w:val="21"/>
          <w:highlight w:val="none"/>
        </w:rPr>
        <w:t>5</w:t>
      </w:r>
      <w:r>
        <w:rPr>
          <w:rFonts w:hAnsi="宋体"/>
          <w:color w:val="000000"/>
          <w:kern w:val="2"/>
          <w:sz w:val="21"/>
          <w:highlight w:val="none"/>
        </w:rPr>
        <w:t>）与</w:t>
      </w:r>
      <w:r>
        <w:rPr>
          <w:rFonts w:hint="eastAsia" w:hAnsi="宋体"/>
          <w:color w:val="000000"/>
          <w:kern w:val="2"/>
          <w:sz w:val="21"/>
          <w:highlight w:val="none"/>
        </w:rPr>
        <w:t>供应商</w:t>
      </w:r>
      <w:r>
        <w:rPr>
          <w:rFonts w:hAnsi="宋体"/>
          <w:color w:val="000000"/>
          <w:kern w:val="2"/>
          <w:sz w:val="21"/>
          <w:highlight w:val="none"/>
        </w:rPr>
        <w:t>有其他可能影响政府采购活动公平、公正进行的关系。</w:t>
      </w:r>
    </w:p>
    <w:p w14:paraId="66C59FEC">
      <w:pPr>
        <w:pStyle w:val="24"/>
        <w:snapToGrid w:val="0"/>
        <w:spacing w:line="360" w:lineRule="auto"/>
        <w:ind w:left="2" w:leftChars="1" w:firstLine="420" w:firstLineChars="200"/>
        <w:rPr>
          <w:rFonts w:hint="eastAsia" w:hAnsi="宋体"/>
          <w:color w:val="000000"/>
          <w:kern w:val="2"/>
          <w:sz w:val="21"/>
          <w:highlight w:val="none"/>
        </w:rPr>
      </w:pPr>
      <w:r>
        <w:rPr>
          <w:rFonts w:hint="eastAsia" w:hAnsi="宋体"/>
          <w:color w:val="000000"/>
          <w:kern w:val="2"/>
          <w:sz w:val="21"/>
          <w:highlight w:val="none"/>
        </w:rPr>
        <w:t>供应商</w:t>
      </w:r>
      <w:r>
        <w:rPr>
          <w:rFonts w:hAnsi="宋体"/>
          <w:color w:val="000000"/>
          <w:kern w:val="2"/>
          <w:sz w:val="21"/>
          <w:highlight w:val="none"/>
        </w:rPr>
        <w:t>认为采购人员及相关人员与其他</w:t>
      </w:r>
      <w:r>
        <w:rPr>
          <w:rFonts w:hint="eastAsia" w:hAnsi="宋体"/>
          <w:color w:val="000000"/>
          <w:kern w:val="2"/>
          <w:sz w:val="21"/>
          <w:highlight w:val="none"/>
        </w:rPr>
        <w:t>供应商</w:t>
      </w:r>
      <w:r>
        <w:rPr>
          <w:rFonts w:hAnsi="宋体"/>
          <w:color w:val="000000"/>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69094A09">
      <w:pPr>
        <w:pStyle w:val="6"/>
        <w:keepNext w:val="0"/>
        <w:keepLines w:val="0"/>
        <w:spacing w:before="0" w:after="0" w:line="360" w:lineRule="auto"/>
        <w:ind w:left="420" w:leftChars="200"/>
        <w:rPr>
          <w:rFonts w:hint="eastAsia" w:ascii="宋体" w:hAnsi="宋体"/>
          <w:color w:val="000000"/>
          <w:sz w:val="21"/>
          <w:szCs w:val="21"/>
          <w:highlight w:val="none"/>
        </w:rPr>
      </w:pPr>
      <w:r>
        <w:rPr>
          <w:rFonts w:ascii="宋体" w:hAnsi="宋体"/>
          <w:color w:val="000000"/>
          <w:sz w:val="21"/>
          <w:szCs w:val="21"/>
          <w:highlight w:val="none"/>
        </w:rPr>
        <w:t>9.2</w:t>
      </w:r>
      <w:r>
        <w:rPr>
          <w:rFonts w:hint="eastAsia" w:ascii="宋体" w:hAnsi="宋体"/>
          <w:color w:val="000000"/>
          <w:sz w:val="21"/>
          <w:szCs w:val="21"/>
          <w:highlight w:val="none"/>
        </w:rPr>
        <w:t>有下列情形之一的视为投标人相互串通投标，投标文件将被视为无效：</w:t>
      </w:r>
    </w:p>
    <w:p w14:paraId="3A1DDA2E">
      <w:pPr>
        <w:pStyle w:val="24"/>
        <w:snapToGrid w:val="0"/>
        <w:spacing w:line="360" w:lineRule="auto"/>
        <w:ind w:left="2" w:leftChars="1" w:firstLine="422" w:firstLineChars="200"/>
        <w:rPr>
          <w:rFonts w:hint="eastAsia" w:hAnsi="宋体"/>
          <w:b/>
          <w:color w:val="000000"/>
          <w:kern w:val="2"/>
          <w:sz w:val="21"/>
          <w:highlight w:val="none"/>
        </w:rPr>
      </w:pPr>
      <w:r>
        <w:rPr>
          <w:rFonts w:hint="eastAsia" w:hAnsi="宋体"/>
          <w:b/>
          <w:color w:val="000000"/>
          <w:kern w:val="2"/>
          <w:sz w:val="21"/>
          <w:highlight w:val="none"/>
        </w:rPr>
        <w:t xml:space="preserve">（1）不同投标人的投标文件由同一单位或者个人编制； </w:t>
      </w:r>
    </w:p>
    <w:p w14:paraId="0C067634">
      <w:pPr>
        <w:pStyle w:val="24"/>
        <w:snapToGrid w:val="0"/>
        <w:spacing w:line="360" w:lineRule="auto"/>
        <w:ind w:left="2" w:leftChars="1" w:firstLine="422" w:firstLineChars="200"/>
        <w:rPr>
          <w:rFonts w:hint="eastAsia" w:hAnsi="宋体"/>
          <w:b/>
          <w:color w:val="000000"/>
          <w:kern w:val="2"/>
          <w:sz w:val="21"/>
          <w:highlight w:val="none"/>
        </w:rPr>
      </w:pPr>
      <w:r>
        <w:rPr>
          <w:rFonts w:hint="eastAsia" w:hAnsi="宋体"/>
          <w:b/>
          <w:color w:val="000000"/>
          <w:kern w:val="2"/>
          <w:sz w:val="21"/>
          <w:highlight w:val="none"/>
        </w:rPr>
        <w:t>（2）不同投标人委托同一单位或者个人办理投标事宜；</w:t>
      </w:r>
    </w:p>
    <w:p w14:paraId="03BBC97A">
      <w:pPr>
        <w:pStyle w:val="24"/>
        <w:snapToGrid w:val="0"/>
        <w:spacing w:line="360" w:lineRule="auto"/>
        <w:ind w:left="2" w:leftChars="1" w:firstLine="422" w:firstLineChars="200"/>
        <w:rPr>
          <w:rFonts w:hint="eastAsia" w:hAnsi="宋体"/>
          <w:b/>
          <w:color w:val="000000"/>
          <w:kern w:val="2"/>
          <w:sz w:val="21"/>
          <w:highlight w:val="none"/>
        </w:rPr>
      </w:pPr>
      <w:r>
        <w:rPr>
          <w:rFonts w:hint="eastAsia" w:hAnsi="宋体"/>
          <w:b/>
          <w:color w:val="000000"/>
          <w:kern w:val="2"/>
          <w:sz w:val="21"/>
          <w:highlight w:val="none"/>
        </w:rPr>
        <w:t>（3）不同的投标人的投标文件载明的项目管理员为同一个人；</w:t>
      </w:r>
    </w:p>
    <w:p w14:paraId="5F351151">
      <w:pPr>
        <w:pStyle w:val="24"/>
        <w:snapToGrid w:val="0"/>
        <w:spacing w:line="360" w:lineRule="auto"/>
        <w:ind w:left="2" w:leftChars="1" w:firstLine="422" w:firstLineChars="200"/>
        <w:rPr>
          <w:rFonts w:hint="eastAsia" w:hAnsi="宋体"/>
          <w:b/>
          <w:color w:val="000000"/>
          <w:kern w:val="2"/>
          <w:sz w:val="21"/>
          <w:highlight w:val="none"/>
        </w:rPr>
      </w:pPr>
      <w:r>
        <w:rPr>
          <w:rFonts w:hint="eastAsia" w:hAnsi="宋体"/>
          <w:b/>
          <w:color w:val="000000"/>
          <w:kern w:val="2"/>
          <w:sz w:val="21"/>
          <w:highlight w:val="none"/>
        </w:rPr>
        <w:t>（4）不同投标人的投标文件异常一致或者投标报价呈规律性差异；</w:t>
      </w:r>
    </w:p>
    <w:p w14:paraId="2190C78B">
      <w:pPr>
        <w:pStyle w:val="24"/>
        <w:snapToGrid w:val="0"/>
        <w:spacing w:line="360" w:lineRule="auto"/>
        <w:ind w:left="2" w:leftChars="1" w:firstLine="422" w:firstLineChars="200"/>
        <w:rPr>
          <w:rFonts w:hint="eastAsia" w:hAnsi="宋体"/>
          <w:b/>
          <w:color w:val="000000"/>
          <w:kern w:val="2"/>
          <w:sz w:val="21"/>
          <w:highlight w:val="none"/>
        </w:rPr>
      </w:pPr>
      <w:r>
        <w:rPr>
          <w:rFonts w:hint="eastAsia" w:hAnsi="宋体"/>
          <w:b/>
          <w:color w:val="000000"/>
          <w:kern w:val="2"/>
          <w:sz w:val="21"/>
          <w:highlight w:val="none"/>
        </w:rPr>
        <w:t>（5）不同投标人的投标文件相互混装；</w:t>
      </w:r>
    </w:p>
    <w:p w14:paraId="23260960">
      <w:pPr>
        <w:pStyle w:val="24"/>
        <w:snapToGrid w:val="0"/>
        <w:spacing w:line="360" w:lineRule="auto"/>
        <w:ind w:left="2" w:leftChars="1" w:firstLine="422" w:firstLineChars="200"/>
        <w:rPr>
          <w:rFonts w:hint="eastAsia" w:hAnsi="宋体"/>
          <w:b/>
          <w:color w:val="000000"/>
          <w:kern w:val="2"/>
          <w:sz w:val="21"/>
          <w:highlight w:val="none"/>
        </w:rPr>
      </w:pPr>
      <w:r>
        <w:rPr>
          <w:rFonts w:hint="eastAsia" w:hAnsi="宋体"/>
          <w:b/>
          <w:color w:val="000000"/>
          <w:kern w:val="2"/>
          <w:sz w:val="21"/>
          <w:highlight w:val="none"/>
        </w:rPr>
        <w:t>（6）不同投标人的投标保证金从同一单位或者个人账户转出。</w:t>
      </w:r>
    </w:p>
    <w:p w14:paraId="0347BCE1">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ascii="宋体" w:hAnsi="宋体"/>
          <w:b w:val="0"/>
          <w:color w:val="000000"/>
          <w:sz w:val="21"/>
          <w:szCs w:val="21"/>
          <w:highlight w:val="none"/>
        </w:rPr>
        <w:t>9.3</w:t>
      </w:r>
      <w:r>
        <w:rPr>
          <w:rFonts w:hint="eastAsia" w:ascii="宋体" w:hAnsi="宋体"/>
          <w:b w:val="0"/>
          <w:color w:val="000000"/>
          <w:sz w:val="21"/>
          <w:szCs w:val="21"/>
          <w:highlight w:val="none"/>
        </w:rPr>
        <w:t>供应商有下列情形之一的，属于恶意串通行为，将报同级监督管理部门：</w:t>
      </w:r>
    </w:p>
    <w:p w14:paraId="28F49C0B">
      <w:pPr>
        <w:pStyle w:val="24"/>
        <w:snapToGrid w:val="0"/>
        <w:spacing w:line="360" w:lineRule="auto"/>
        <w:ind w:left="2" w:leftChars="1" w:firstLine="420" w:firstLineChars="200"/>
        <w:rPr>
          <w:rFonts w:hint="eastAsia" w:hAnsi="宋体"/>
          <w:color w:val="000000"/>
          <w:kern w:val="2"/>
          <w:sz w:val="21"/>
          <w:highlight w:val="none"/>
        </w:rPr>
      </w:pPr>
      <w:r>
        <w:rPr>
          <w:rFonts w:hint="eastAsia" w:hAnsi="宋体"/>
          <w:color w:val="000000"/>
          <w:kern w:val="2"/>
          <w:sz w:val="21"/>
          <w:highlight w:val="none"/>
        </w:rPr>
        <w:t>（1）供应商直接或者间接从采购人或者采购代理机构处获得其他供应商的相关信息并修改其投标文件或者响应文件；</w:t>
      </w:r>
    </w:p>
    <w:p w14:paraId="6416FD05">
      <w:pPr>
        <w:pStyle w:val="24"/>
        <w:snapToGrid w:val="0"/>
        <w:spacing w:line="360" w:lineRule="auto"/>
        <w:ind w:left="2" w:leftChars="1" w:firstLine="420" w:firstLineChars="200"/>
        <w:rPr>
          <w:rFonts w:hint="eastAsia" w:hAnsi="宋体"/>
          <w:color w:val="000000"/>
          <w:kern w:val="2"/>
          <w:sz w:val="21"/>
          <w:highlight w:val="none"/>
        </w:rPr>
      </w:pPr>
      <w:r>
        <w:rPr>
          <w:rFonts w:hint="eastAsia" w:hAnsi="宋体"/>
          <w:color w:val="000000"/>
          <w:kern w:val="2"/>
          <w:sz w:val="21"/>
          <w:highlight w:val="none"/>
        </w:rPr>
        <w:t>（2）供应商按照采购人或者采购代理机构的授意撤换、修改投标文件或者响应文件；</w:t>
      </w:r>
    </w:p>
    <w:p w14:paraId="3D438BA0">
      <w:pPr>
        <w:pStyle w:val="24"/>
        <w:snapToGrid w:val="0"/>
        <w:spacing w:line="360" w:lineRule="auto"/>
        <w:ind w:left="2" w:leftChars="1" w:firstLine="420" w:firstLineChars="200"/>
        <w:rPr>
          <w:rFonts w:hint="eastAsia" w:hAnsi="宋体"/>
          <w:color w:val="000000"/>
          <w:kern w:val="2"/>
          <w:sz w:val="21"/>
          <w:highlight w:val="none"/>
        </w:rPr>
      </w:pPr>
      <w:r>
        <w:rPr>
          <w:rFonts w:hint="eastAsia" w:hAnsi="宋体"/>
          <w:color w:val="000000"/>
          <w:kern w:val="2"/>
          <w:sz w:val="21"/>
          <w:highlight w:val="none"/>
        </w:rPr>
        <w:t>（3）供应商之间协商报价、技术方案等投标文件或者响应文件的实质性内容；</w:t>
      </w:r>
    </w:p>
    <w:p w14:paraId="517EB8F6">
      <w:pPr>
        <w:pStyle w:val="24"/>
        <w:snapToGrid w:val="0"/>
        <w:spacing w:line="360" w:lineRule="auto"/>
        <w:ind w:left="2" w:leftChars="1" w:firstLine="420" w:firstLineChars="200"/>
        <w:rPr>
          <w:rFonts w:hint="eastAsia" w:hAnsi="宋体"/>
          <w:color w:val="000000"/>
          <w:kern w:val="2"/>
          <w:sz w:val="21"/>
          <w:highlight w:val="none"/>
        </w:rPr>
      </w:pPr>
      <w:r>
        <w:rPr>
          <w:rFonts w:hint="eastAsia" w:hAnsi="宋体"/>
          <w:color w:val="000000"/>
          <w:kern w:val="2"/>
          <w:sz w:val="21"/>
          <w:highlight w:val="none"/>
        </w:rPr>
        <w:t>（4）属于同一集团、协会、商会等组织成员的供应商按照该组织要求协同参加政府采购活动；</w:t>
      </w:r>
    </w:p>
    <w:p w14:paraId="4EC79A72">
      <w:pPr>
        <w:pStyle w:val="24"/>
        <w:snapToGrid w:val="0"/>
        <w:spacing w:line="360" w:lineRule="auto"/>
        <w:ind w:left="2" w:leftChars="1" w:firstLine="420" w:firstLineChars="200"/>
        <w:rPr>
          <w:rFonts w:hint="eastAsia" w:hAnsi="宋体"/>
          <w:color w:val="000000"/>
          <w:kern w:val="2"/>
          <w:sz w:val="21"/>
          <w:highlight w:val="none"/>
        </w:rPr>
      </w:pPr>
      <w:r>
        <w:rPr>
          <w:rFonts w:hint="eastAsia" w:hAnsi="宋体"/>
          <w:color w:val="000000"/>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17446E98">
      <w:pPr>
        <w:pStyle w:val="24"/>
        <w:snapToGrid w:val="0"/>
        <w:spacing w:line="360" w:lineRule="auto"/>
        <w:ind w:left="2" w:leftChars="1" w:firstLine="420" w:firstLineChars="200"/>
        <w:rPr>
          <w:rFonts w:hint="eastAsia" w:hAnsi="宋体"/>
          <w:color w:val="000000"/>
          <w:kern w:val="2"/>
          <w:sz w:val="21"/>
          <w:highlight w:val="none"/>
        </w:rPr>
      </w:pPr>
      <w:r>
        <w:rPr>
          <w:rFonts w:hint="eastAsia" w:hAnsi="宋体"/>
          <w:color w:val="000000"/>
          <w:kern w:val="2"/>
          <w:sz w:val="21"/>
          <w:highlight w:val="none"/>
        </w:rPr>
        <w:t>（6）供应商之间商定部分供应商放弃参加政府采购活动或者放弃中标；</w:t>
      </w:r>
    </w:p>
    <w:p w14:paraId="14D3A894">
      <w:pPr>
        <w:pStyle w:val="24"/>
        <w:snapToGrid w:val="0"/>
        <w:spacing w:line="360" w:lineRule="auto"/>
        <w:ind w:left="2" w:leftChars="1" w:firstLine="420" w:firstLineChars="200"/>
        <w:rPr>
          <w:rFonts w:hAnsi="宋体"/>
          <w:color w:val="000000"/>
          <w:kern w:val="2"/>
          <w:sz w:val="21"/>
          <w:highlight w:val="none"/>
        </w:rPr>
      </w:pPr>
      <w:r>
        <w:rPr>
          <w:rFonts w:hint="eastAsia" w:hAnsi="宋体"/>
          <w:color w:val="000000"/>
          <w:kern w:val="2"/>
          <w:sz w:val="21"/>
          <w:highlight w:val="none"/>
        </w:rPr>
        <w:t>（7）供应商与采购人或者采购代理机构之间、供应商相互之间，为谋求特定供应商中标或者排斥其他供应商的其他串通行为。</w:t>
      </w:r>
    </w:p>
    <w:p w14:paraId="1006FCAD">
      <w:pPr>
        <w:pStyle w:val="24"/>
        <w:snapToGrid w:val="0"/>
        <w:spacing w:line="360" w:lineRule="auto"/>
        <w:ind w:left="2" w:leftChars="1" w:firstLine="422" w:firstLineChars="200"/>
        <w:rPr>
          <w:rFonts w:hint="eastAsia" w:hAnsi="宋体"/>
          <w:b/>
          <w:color w:val="000000"/>
          <w:kern w:val="2"/>
          <w:sz w:val="21"/>
          <w:highlight w:val="none"/>
        </w:rPr>
      </w:pPr>
    </w:p>
    <w:p w14:paraId="2C3082F3">
      <w:pPr>
        <w:pStyle w:val="4"/>
        <w:keepNext w:val="0"/>
        <w:keepLines w:val="0"/>
        <w:jc w:val="center"/>
        <w:rPr>
          <w:rFonts w:hint="eastAsia"/>
          <w:color w:val="000000"/>
          <w:highlight w:val="none"/>
        </w:rPr>
      </w:pPr>
      <w:bookmarkStart w:id="101" w:name="_Toc254970534"/>
      <w:bookmarkStart w:id="102" w:name="_Toc254970675"/>
      <w:r>
        <w:rPr>
          <w:rFonts w:hint="eastAsia"/>
          <w:color w:val="000000"/>
          <w:highlight w:val="none"/>
        </w:rPr>
        <w:t>二、招标文件</w:t>
      </w:r>
      <w:bookmarkEnd w:id="101"/>
      <w:bookmarkEnd w:id="102"/>
    </w:p>
    <w:p w14:paraId="67ABB154">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10.招标文件的组成</w:t>
      </w:r>
    </w:p>
    <w:p w14:paraId="68CD733A">
      <w:pPr>
        <w:snapToGrid w:val="0"/>
        <w:spacing w:line="360" w:lineRule="auto"/>
        <w:ind w:firstLine="420"/>
        <w:jc w:val="left"/>
        <w:rPr>
          <w:rFonts w:hint="eastAsia" w:ascii="宋体" w:hAnsi="宋体"/>
          <w:color w:val="000000"/>
          <w:szCs w:val="21"/>
          <w:highlight w:val="none"/>
        </w:rPr>
      </w:pPr>
      <w:r>
        <w:rPr>
          <w:rFonts w:hint="eastAsia" w:ascii="宋体" w:hAnsi="宋体"/>
          <w:color w:val="000000"/>
          <w:szCs w:val="21"/>
          <w:highlight w:val="none"/>
        </w:rPr>
        <w:t>（1）招标公告；</w:t>
      </w:r>
    </w:p>
    <w:p w14:paraId="01418187">
      <w:pPr>
        <w:snapToGrid w:val="0"/>
        <w:spacing w:line="360" w:lineRule="auto"/>
        <w:ind w:firstLine="420"/>
        <w:jc w:val="left"/>
        <w:rPr>
          <w:rFonts w:hint="eastAsia" w:ascii="宋体" w:hAnsi="宋体"/>
          <w:color w:val="000000"/>
          <w:szCs w:val="21"/>
          <w:highlight w:val="none"/>
        </w:rPr>
      </w:pPr>
      <w:r>
        <w:rPr>
          <w:rFonts w:hint="eastAsia" w:ascii="宋体" w:hAnsi="宋体"/>
          <w:color w:val="000000"/>
          <w:szCs w:val="21"/>
          <w:highlight w:val="none"/>
        </w:rPr>
        <w:t xml:space="preserve">（2）采购需求； </w:t>
      </w:r>
    </w:p>
    <w:p w14:paraId="67CB8E39">
      <w:pPr>
        <w:snapToGrid w:val="0"/>
        <w:spacing w:line="360" w:lineRule="auto"/>
        <w:ind w:firstLine="420"/>
        <w:jc w:val="left"/>
        <w:rPr>
          <w:rFonts w:hint="eastAsia" w:ascii="宋体" w:hAnsi="宋体"/>
          <w:color w:val="000000"/>
          <w:szCs w:val="21"/>
          <w:highlight w:val="none"/>
        </w:rPr>
      </w:pPr>
      <w:r>
        <w:rPr>
          <w:rFonts w:hint="eastAsia" w:ascii="宋体" w:hAnsi="宋体"/>
          <w:color w:val="000000"/>
          <w:szCs w:val="21"/>
          <w:highlight w:val="none"/>
        </w:rPr>
        <w:t>（3）投标人须知；</w:t>
      </w:r>
    </w:p>
    <w:p w14:paraId="3868E46A">
      <w:pPr>
        <w:snapToGrid w:val="0"/>
        <w:spacing w:line="360" w:lineRule="auto"/>
        <w:ind w:firstLine="420"/>
        <w:jc w:val="left"/>
        <w:rPr>
          <w:rFonts w:hint="eastAsia" w:ascii="宋体" w:hAnsi="宋体"/>
          <w:color w:val="000000"/>
          <w:szCs w:val="21"/>
          <w:highlight w:val="none"/>
        </w:rPr>
      </w:pPr>
      <w:r>
        <w:rPr>
          <w:rFonts w:hint="eastAsia" w:ascii="宋体" w:hAnsi="宋体"/>
          <w:color w:val="000000"/>
          <w:szCs w:val="21"/>
          <w:highlight w:val="none"/>
        </w:rPr>
        <w:t>（4）评标方法及评标标准；</w:t>
      </w:r>
    </w:p>
    <w:p w14:paraId="5EA46E9E">
      <w:pPr>
        <w:snapToGrid w:val="0"/>
        <w:spacing w:line="360" w:lineRule="auto"/>
        <w:ind w:firstLine="420"/>
        <w:jc w:val="left"/>
        <w:rPr>
          <w:rFonts w:hint="eastAsia" w:ascii="宋体" w:hAnsi="宋体"/>
          <w:color w:val="000000"/>
          <w:szCs w:val="21"/>
          <w:highlight w:val="none"/>
        </w:rPr>
      </w:pPr>
      <w:r>
        <w:rPr>
          <w:rFonts w:hint="eastAsia" w:ascii="宋体" w:hAnsi="宋体"/>
          <w:color w:val="000000"/>
          <w:szCs w:val="21"/>
          <w:highlight w:val="none"/>
        </w:rPr>
        <w:t>（5）拟签订的合同文本；</w:t>
      </w:r>
    </w:p>
    <w:p w14:paraId="35E51157">
      <w:pPr>
        <w:snapToGrid w:val="0"/>
        <w:spacing w:line="360" w:lineRule="auto"/>
        <w:ind w:firstLine="420"/>
        <w:jc w:val="left"/>
        <w:rPr>
          <w:rFonts w:hint="eastAsia" w:ascii="宋体" w:hAnsi="宋体"/>
          <w:color w:val="000000"/>
          <w:szCs w:val="21"/>
          <w:highlight w:val="none"/>
        </w:rPr>
      </w:pPr>
      <w:r>
        <w:rPr>
          <w:rFonts w:hint="eastAsia" w:ascii="宋体" w:hAnsi="宋体"/>
          <w:color w:val="000000"/>
          <w:szCs w:val="21"/>
          <w:highlight w:val="none"/>
        </w:rPr>
        <w:t>（6）投标文件格式。</w:t>
      </w:r>
    </w:p>
    <w:p w14:paraId="07217A0E">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11.招标文件的澄清、修改 、现场考察和答疑会</w:t>
      </w:r>
    </w:p>
    <w:p w14:paraId="76BDDDFD">
      <w:pPr>
        <w:pStyle w:val="6"/>
        <w:keepNext w:val="0"/>
        <w:keepLines w:val="0"/>
        <w:spacing w:before="0" w:after="0" w:line="360" w:lineRule="auto"/>
        <w:ind w:firstLine="315" w:firstLineChars="15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47CFDC90">
      <w:pPr>
        <w:pStyle w:val="24"/>
        <w:snapToGrid w:val="0"/>
        <w:spacing w:line="360" w:lineRule="auto"/>
        <w:ind w:firstLine="420" w:firstLineChars="200"/>
        <w:rPr>
          <w:rFonts w:hint="eastAsia" w:hAnsi="宋体"/>
          <w:color w:val="000000"/>
          <w:sz w:val="21"/>
          <w:highlight w:val="none"/>
        </w:rPr>
      </w:pPr>
      <w:r>
        <w:rPr>
          <w:rFonts w:hint="eastAsia" w:hAnsi="宋体"/>
          <w:color w:val="000000"/>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EAB4AF0">
      <w:pPr>
        <w:pStyle w:val="24"/>
        <w:snapToGrid w:val="0"/>
        <w:spacing w:line="360" w:lineRule="auto"/>
        <w:ind w:firstLine="420" w:firstLineChars="200"/>
        <w:rPr>
          <w:rFonts w:hint="eastAsia" w:hAnsi="宋体"/>
          <w:color w:val="000000"/>
          <w:sz w:val="21"/>
          <w:highlight w:val="none"/>
        </w:rPr>
      </w:pPr>
      <w:r>
        <w:rPr>
          <w:rFonts w:hint="eastAsia" w:hAnsi="宋体"/>
          <w:color w:val="000000"/>
          <w:sz w:val="21"/>
          <w:highlight w:val="none"/>
        </w:rPr>
        <w:t>1</w:t>
      </w:r>
      <w:r>
        <w:rPr>
          <w:rFonts w:hAnsi="宋体"/>
          <w:color w:val="000000"/>
          <w:sz w:val="21"/>
          <w:highlight w:val="none"/>
        </w:rPr>
        <w:t>1.2</w:t>
      </w:r>
      <w:bookmarkStart w:id="103" w:name="_Hlk53134511"/>
      <w:r>
        <w:rPr>
          <w:rFonts w:hint="eastAsia" w:hAnsi="宋体"/>
          <w:color w:val="000000"/>
          <w:sz w:val="21"/>
          <w:highlight w:val="none"/>
        </w:rPr>
        <w:t>采购人或者采购代理机构可以在招标文件提供期限截止后，组织已获取招标文件的潜在投标人现场考察或者召开开标前答疑会，具体详见“投标人须知前附表”。</w:t>
      </w:r>
    </w:p>
    <w:bookmarkEnd w:id="103"/>
    <w:p w14:paraId="3A4CFC26">
      <w:pPr>
        <w:pStyle w:val="4"/>
        <w:keepNext w:val="0"/>
        <w:keepLines w:val="0"/>
        <w:jc w:val="center"/>
        <w:rPr>
          <w:rFonts w:hint="eastAsia"/>
          <w:color w:val="000000"/>
          <w:highlight w:val="none"/>
        </w:rPr>
      </w:pPr>
      <w:bookmarkStart w:id="104" w:name="_Toc254970676"/>
      <w:bookmarkStart w:id="105" w:name="_Toc254970535"/>
      <w:r>
        <w:rPr>
          <w:rFonts w:hint="eastAsia"/>
          <w:color w:val="000000"/>
          <w:highlight w:val="none"/>
        </w:rPr>
        <w:t>三、投标文件的编制</w:t>
      </w:r>
      <w:bookmarkEnd w:id="104"/>
      <w:bookmarkEnd w:id="105"/>
    </w:p>
    <w:p w14:paraId="205165AB">
      <w:pPr>
        <w:pStyle w:val="6"/>
        <w:keepNext w:val="0"/>
        <w:keepLines w:val="0"/>
        <w:spacing w:before="0" w:after="0" w:line="360" w:lineRule="auto"/>
        <w:ind w:left="420" w:leftChars="200"/>
        <w:rPr>
          <w:rFonts w:hint="eastAsia" w:ascii="黑体" w:hAnsi="黑体" w:eastAsia="黑体"/>
          <w:color w:val="000000"/>
          <w:sz w:val="24"/>
          <w:highlight w:val="none"/>
        </w:rPr>
      </w:pPr>
      <w:bookmarkStart w:id="106" w:name="_Toc254970677"/>
      <w:bookmarkStart w:id="107" w:name="_Toc254970536"/>
      <w:r>
        <w:rPr>
          <w:rFonts w:hint="eastAsia" w:ascii="黑体" w:hAnsi="黑体" w:eastAsia="黑体"/>
          <w:color w:val="000000"/>
          <w:sz w:val="24"/>
          <w:highlight w:val="none"/>
        </w:rPr>
        <w:t>12.投标文件的编制原则</w:t>
      </w:r>
    </w:p>
    <w:p w14:paraId="4955325C">
      <w:pPr>
        <w:snapToGrid w:val="0"/>
        <w:spacing w:line="360" w:lineRule="auto"/>
        <w:ind w:firstLine="420"/>
        <w:jc w:val="left"/>
        <w:rPr>
          <w:rFonts w:hint="eastAsia" w:ascii="宋体" w:hAnsi="宋体" w:cs="Courier New"/>
          <w:color w:val="000000"/>
          <w:szCs w:val="21"/>
          <w:highlight w:val="none"/>
        </w:rPr>
      </w:pPr>
      <w:r>
        <w:rPr>
          <w:rFonts w:ascii="宋体" w:hAnsi="宋体"/>
          <w:color w:val="000000"/>
          <w:szCs w:val="21"/>
          <w:highlight w:val="none"/>
        </w:rPr>
        <w:t>投标人必须按照招标文件的要求编制投标文件。投标文件必须对招标文件提出的要求和条件作出明确响应。</w:t>
      </w:r>
    </w:p>
    <w:p w14:paraId="01876DB3">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13.投标文件的组成</w:t>
      </w:r>
      <w:bookmarkEnd w:id="106"/>
      <w:bookmarkEnd w:id="107"/>
    </w:p>
    <w:p w14:paraId="04273279">
      <w:pPr>
        <w:snapToGrid w:val="0"/>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投标文件由报价文件、资格证明文件、商务及技术文件三部分组成。</w:t>
      </w:r>
    </w:p>
    <w:p w14:paraId="30CF91FD">
      <w:pPr>
        <w:pStyle w:val="6"/>
        <w:keepNext w:val="0"/>
        <w:keepLines w:val="0"/>
        <w:spacing w:before="0" w:after="0" w:line="360" w:lineRule="auto"/>
        <w:ind w:left="420" w:leftChars="200"/>
        <w:rPr>
          <w:rFonts w:hint="eastAsia" w:ascii="宋体" w:hAnsi="宋体"/>
          <w:b w:val="0"/>
          <w:color w:val="000000"/>
          <w:sz w:val="21"/>
          <w:szCs w:val="21"/>
          <w:highlight w:val="none"/>
        </w:rPr>
      </w:pPr>
      <w:bookmarkStart w:id="108" w:name="_13.1报价文件:_具体材料见“投标人须知前附表”。"/>
      <w:bookmarkEnd w:id="108"/>
      <w:r>
        <w:rPr>
          <w:rFonts w:hint="eastAsia" w:ascii="宋体" w:hAnsi="宋体"/>
          <w:b w:val="0"/>
          <w:color w:val="000000"/>
          <w:sz w:val="21"/>
          <w:szCs w:val="21"/>
          <w:highlight w:val="none"/>
        </w:rPr>
        <w:t>（1）报价文件：</w:t>
      </w:r>
      <w:r>
        <w:rPr>
          <w:rFonts w:ascii="宋体" w:hAnsi="宋体"/>
          <w:b w:val="0"/>
          <w:color w:val="000000"/>
          <w:sz w:val="21"/>
          <w:szCs w:val="21"/>
          <w:highlight w:val="none"/>
        </w:rPr>
        <w:t>具体材料见“投标人须知前附表”</w:t>
      </w:r>
      <w:r>
        <w:rPr>
          <w:rFonts w:hint="eastAsia" w:ascii="宋体" w:hAnsi="宋体"/>
          <w:b w:val="0"/>
          <w:color w:val="000000"/>
          <w:sz w:val="21"/>
          <w:szCs w:val="21"/>
          <w:highlight w:val="none"/>
        </w:rPr>
        <w:t>。</w:t>
      </w:r>
    </w:p>
    <w:p w14:paraId="7424F5C8">
      <w:pPr>
        <w:pStyle w:val="6"/>
        <w:keepNext w:val="0"/>
        <w:keepLines w:val="0"/>
        <w:spacing w:before="0" w:after="0" w:line="360" w:lineRule="auto"/>
        <w:ind w:left="420" w:leftChars="200"/>
        <w:rPr>
          <w:rFonts w:hint="eastAsia" w:ascii="宋体" w:hAnsi="宋体"/>
          <w:b w:val="0"/>
          <w:color w:val="000000"/>
          <w:sz w:val="21"/>
          <w:szCs w:val="21"/>
          <w:highlight w:val="none"/>
        </w:rPr>
      </w:pPr>
      <w:bookmarkStart w:id="109" w:name="_13.2资格证明文件：具体材料见“投标人须知前附表”。"/>
      <w:bookmarkEnd w:id="109"/>
      <w:r>
        <w:rPr>
          <w:rFonts w:hint="eastAsia" w:ascii="宋体" w:hAnsi="宋体"/>
          <w:b w:val="0"/>
          <w:color w:val="000000"/>
          <w:sz w:val="21"/>
          <w:szCs w:val="21"/>
          <w:highlight w:val="none"/>
        </w:rPr>
        <w:t>（</w:t>
      </w:r>
      <w:r>
        <w:rPr>
          <w:rFonts w:ascii="宋体" w:hAnsi="宋体"/>
          <w:b w:val="0"/>
          <w:color w:val="000000"/>
          <w:sz w:val="21"/>
          <w:szCs w:val="21"/>
          <w:highlight w:val="none"/>
        </w:rPr>
        <w:t>2</w:t>
      </w:r>
      <w:r>
        <w:rPr>
          <w:rFonts w:hint="eastAsia" w:ascii="宋体" w:hAnsi="宋体"/>
          <w:b w:val="0"/>
          <w:color w:val="000000"/>
          <w:sz w:val="21"/>
          <w:szCs w:val="21"/>
          <w:highlight w:val="none"/>
        </w:rPr>
        <w:t>）资格证明文件：</w:t>
      </w:r>
      <w:r>
        <w:rPr>
          <w:rFonts w:ascii="宋体" w:hAnsi="宋体"/>
          <w:b w:val="0"/>
          <w:color w:val="000000"/>
          <w:sz w:val="21"/>
          <w:szCs w:val="21"/>
          <w:highlight w:val="none"/>
        </w:rPr>
        <w:t>具体材料见“投标人须知前附表”</w:t>
      </w:r>
      <w:r>
        <w:rPr>
          <w:rFonts w:hint="eastAsia" w:ascii="宋体" w:hAnsi="宋体"/>
          <w:b w:val="0"/>
          <w:color w:val="000000"/>
          <w:sz w:val="21"/>
          <w:szCs w:val="21"/>
          <w:highlight w:val="none"/>
        </w:rPr>
        <w:t>。</w:t>
      </w:r>
    </w:p>
    <w:p w14:paraId="5A5C01B1">
      <w:pPr>
        <w:pStyle w:val="6"/>
        <w:keepNext w:val="0"/>
        <w:keepLines w:val="0"/>
        <w:spacing w:before="0" w:after="0" w:line="360" w:lineRule="auto"/>
        <w:ind w:left="420" w:leftChars="200"/>
        <w:rPr>
          <w:rFonts w:hint="eastAsia" w:ascii="宋体" w:hAnsi="宋体"/>
          <w:b w:val="0"/>
          <w:color w:val="000000"/>
          <w:sz w:val="21"/>
          <w:szCs w:val="21"/>
          <w:highlight w:val="none"/>
        </w:rPr>
      </w:pPr>
      <w:bookmarkStart w:id="110" w:name="_13.3商务文件:_具体材料见“投标人须知前附表”。"/>
      <w:bookmarkEnd w:id="110"/>
      <w:r>
        <w:rPr>
          <w:rFonts w:hint="eastAsia" w:ascii="宋体" w:hAnsi="宋体"/>
          <w:b w:val="0"/>
          <w:color w:val="000000"/>
          <w:sz w:val="21"/>
          <w:szCs w:val="21"/>
          <w:highlight w:val="none"/>
        </w:rPr>
        <w:t>（</w:t>
      </w:r>
      <w:r>
        <w:rPr>
          <w:rFonts w:ascii="宋体" w:hAnsi="宋体"/>
          <w:b w:val="0"/>
          <w:color w:val="000000"/>
          <w:sz w:val="21"/>
          <w:szCs w:val="21"/>
          <w:highlight w:val="none"/>
        </w:rPr>
        <w:t>3</w:t>
      </w:r>
      <w:r>
        <w:rPr>
          <w:rFonts w:hint="eastAsia" w:ascii="宋体" w:hAnsi="宋体"/>
          <w:b w:val="0"/>
          <w:color w:val="000000"/>
          <w:sz w:val="21"/>
          <w:szCs w:val="21"/>
          <w:highlight w:val="none"/>
        </w:rPr>
        <w:t>）商务及技术文件：</w:t>
      </w:r>
      <w:r>
        <w:rPr>
          <w:rFonts w:ascii="宋体" w:hAnsi="宋体"/>
          <w:b w:val="0"/>
          <w:color w:val="000000"/>
          <w:sz w:val="21"/>
          <w:szCs w:val="21"/>
          <w:highlight w:val="none"/>
        </w:rPr>
        <w:t>具体材料见“投标人须知前附表”</w:t>
      </w:r>
      <w:r>
        <w:rPr>
          <w:rFonts w:hint="eastAsia" w:ascii="宋体" w:hAnsi="宋体"/>
          <w:b w:val="0"/>
          <w:color w:val="000000"/>
          <w:sz w:val="21"/>
          <w:szCs w:val="21"/>
          <w:highlight w:val="none"/>
        </w:rPr>
        <w:t>。</w:t>
      </w:r>
    </w:p>
    <w:p w14:paraId="4CF1B354">
      <w:pPr>
        <w:pStyle w:val="6"/>
        <w:keepNext w:val="0"/>
        <w:keepLines w:val="0"/>
        <w:spacing w:before="0" w:after="0" w:line="360" w:lineRule="auto"/>
        <w:ind w:left="420" w:leftChars="200"/>
        <w:rPr>
          <w:rFonts w:hint="eastAsia" w:ascii="黑体" w:hAnsi="黑体" w:eastAsia="黑体"/>
          <w:color w:val="000000"/>
          <w:sz w:val="24"/>
          <w:highlight w:val="none"/>
        </w:rPr>
      </w:pPr>
      <w:bookmarkStart w:id="111" w:name="_13.5投标文件电子版：具体材料见“投标人须知前附表”。"/>
      <w:bookmarkEnd w:id="111"/>
      <w:bookmarkStart w:id="112" w:name="_13.4技术文件：具体材料见“投标人须知前附表”。"/>
      <w:bookmarkEnd w:id="112"/>
      <w:bookmarkStart w:id="113" w:name="_Toc254970678"/>
      <w:bookmarkStart w:id="114" w:name="_Toc254970537"/>
      <w:r>
        <w:rPr>
          <w:rFonts w:hint="eastAsia" w:ascii="黑体" w:hAnsi="黑体" w:eastAsia="黑体"/>
          <w:color w:val="000000"/>
          <w:sz w:val="24"/>
          <w:highlight w:val="none"/>
        </w:rPr>
        <w:t>14.投标文件的语言及计量</w:t>
      </w:r>
      <w:bookmarkEnd w:id="113"/>
      <w:bookmarkEnd w:id="114"/>
    </w:p>
    <w:p w14:paraId="2C08BD0D">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14.1语言文字</w:t>
      </w:r>
    </w:p>
    <w:p w14:paraId="32663760">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CD73C1F">
      <w:pPr>
        <w:pStyle w:val="6"/>
        <w:keepNext w:val="0"/>
        <w:keepLines w:val="0"/>
        <w:spacing w:before="0" w:after="0" w:line="360" w:lineRule="auto"/>
        <w:ind w:firstLine="420" w:firstLineChars="200"/>
        <w:rPr>
          <w:rFonts w:ascii="宋体" w:hAnsi="宋体"/>
          <w:b w:val="0"/>
          <w:color w:val="000000"/>
          <w:sz w:val="21"/>
          <w:szCs w:val="21"/>
          <w:highlight w:val="none"/>
        </w:rPr>
      </w:pPr>
      <w:r>
        <w:rPr>
          <w:rFonts w:hint="eastAsia" w:ascii="宋体" w:hAnsi="宋体"/>
          <w:b w:val="0"/>
          <w:color w:val="000000"/>
          <w:sz w:val="21"/>
          <w:szCs w:val="21"/>
          <w:highlight w:val="none"/>
        </w:rPr>
        <w:t>14.2投标计量单位</w:t>
      </w:r>
    </w:p>
    <w:p w14:paraId="7A4B58C4">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招标文件已有明确规定的，使用招标文件规定的计量单位；招标文件没有规定的，应采用中华人民共和国法定计量单位，货币种类为人民币，</w:t>
      </w:r>
      <w:r>
        <w:rPr>
          <w:rFonts w:hint="eastAsia" w:ascii="宋体" w:hAnsi="宋体"/>
          <w:color w:val="000000"/>
          <w:sz w:val="21"/>
          <w:szCs w:val="21"/>
          <w:highlight w:val="none"/>
        </w:rPr>
        <w:t>否则视同未响应。</w:t>
      </w:r>
    </w:p>
    <w:p w14:paraId="3582A7B0">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15.投标的风险</w:t>
      </w:r>
    </w:p>
    <w:p w14:paraId="3CF6DBEC">
      <w:pPr>
        <w:pStyle w:val="24"/>
        <w:snapToGrid w:val="0"/>
        <w:spacing w:line="360" w:lineRule="auto"/>
        <w:ind w:firstLine="420" w:firstLineChars="200"/>
        <w:jc w:val="left"/>
        <w:rPr>
          <w:rFonts w:hint="eastAsia" w:hAnsi="宋体"/>
          <w:color w:val="000000"/>
          <w:sz w:val="21"/>
          <w:highlight w:val="none"/>
        </w:rPr>
      </w:pPr>
      <w:r>
        <w:rPr>
          <w:rFonts w:hint="eastAsia" w:hAnsi="宋体"/>
          <w:color w:val="000000"/>
          <w:sz w:val="21"/>
          <w:highlight w:val="none"/>
        </w:rPr>
        <w:t>投标人没有按照招标文件要求提供全部资料，或者投标人没有对招标文件作出实质性响应是投标人的风险，并可能导致其投标被拒绝。</w:t>
      </w:r>
    </w:p>
    <w:p w14:paraId="667D6DDF">
      <w:pPr>
        <w:pStyle w:val="6"/>
        <w:keepNext w:val="0"/>
        <w:keepLines w:val="0"/>
        <w:spacing w:before="0" w:after="0" w:line="360" w:lineRule="auto"/>
        <w:ind w:left="420" w:leftChars="200"/>
        <w:rPr>
          <w:rFonts w:hint="eastAsia" w:ascii="黑体" w:hAnsi="黑体" w:eastAsia="黑体"/>
          <w:color w:val="000000"/>
          <w:sz w:val="24"/>
          <w:highlight w:val="none"/>
        </w:rPr>
      </w:pPr>
      <w:bookmarkStart w:id="115" w:name="_Toc254970679"/>
      <w:bookmarkStart w:id="116" w:name="_Toc254970538"/>
      <w:r>
        <w:rPr>
          <w:rFonts w:hint="eastAsia" w:ascii="黑体" w:hAnsi="黑体" w:eastAsia="黑体"/>
          <w:color w:val="000000"/>
          <w:sz w:val="24"/>
          <w:highlight w:val="none"/>
        </w:rPr>
        <w:t>16.投标报价</w:t>
      </w:r>
      <w:bookmarkEnd w:id="115"/>
      <w:bookmarkEnd w:id="116"/>
    </w:p>
    <w:p w14:paraId="62D97B9B">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16.1投标报价应按“第六章　投标文件格式”中“开标一览表”格式填写。</w:t>
      </w:r>
    </w:p>
    <w:p w14:paraId="6CB23997">
      <w:pPr>
        <w:pStyle w:val="6"/>
        <w:keepNext w:val="0"/>
        <w:keepLines w:val="0"/>
        <w:spacing w:before="0" w:after="0" w:line="360" w:lineRule="auto"/>
        <w:ind w:left="420" w:leftChars="200"/>
        <w:rPr>
          <w:rFonts w:hint="eastAsia" w:ascii="宋体" w:hAnsi="宋体"/>
          <w:b w:val="0"/>
          <w:color w:val="000000"/>
          <w:sz w:val="21"/>
          <w:szCs w:val="21"/>
          <w:highlight w:val="none"/>
        </w:rPr>
      </w:pPr>
      <w:bookmarkStart w:id="117" w:name="_16.2投标报价具体定义见投标人须知前附表。"/>
      <w:bookmarkEnd w:id="117"/>
      <w:r>
        <w:rPr>
          <w:rFonts w:hint="eastAsia" w:ascii="宋体" w:hAnsi="宋体"/>
          <w:b w:val="0"/>
          <w:color w:val="000000"/>
          <w:sz w:val="21"/>
          <w:szCs w:val="21"/>
          <w:highlight w:val="none"/>
        </w:rPr>
        <w:t>16.2投标报价具体包括内容详见“投标人须知前附表”。</w:t>
      </w:r>
    </w:p>
    <w:p w14:paraId="4C45B4DE">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16.3投标人必须就所投每个分标的全部内容分别作完整唯一总价报价，不得存在漏项报价；投标人必须就所投分标的单项内容作唯一报价。</w:t>
      </w:r>
    </w:p>
    <w:p w14:paraId="154D5D5F">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17.投标有效期</w:t>
      </w:r>
    </w:p>
    <w:p w14:paraId="0E5BD58E">
      <w:pPr>
        <w:pStyle w:val="6"/>
        <w:keepNext w:val="0"/>
        <w:keepLines w:val="0"/>
        <w:spacing w:before="0" w:after="0" w:line="360" w:lineRule="auto"/>
        <w:ind w:firstLine="420" w:firstLineChars="200"/>
        <w:rPr>
          <w:rFonts w:hint="eastAsia" w:ascii="宋体" w:hAnsi="宋体"/>
          <w:b w:val="0"/>
          <w:color w:val="000000"/>
          <w:sz w:val="21"/>
          <w:szCs w:val="21"/>
          <w:highlight w:val="none"/>
        </w:rPr>
      </w:pPr>
      <w:bookmarkStart w:id="118" w:name="_17.1投标有效期应按“投标人须知中的前附表”规定的期限。"/>
      <w:bookmarkEnd w:id="118"/>
      <w:r>
        <w:rPr>
          <w:rFonts w:hint="eastAsia" w:ascii="宋体" w:hAnsi="宋体"/>
          <w:b w:val="0"/>
          <w:color w:val="000000"/>
          <w:sz w:val="21"/>
          <w:szCs w:val="21"/>
          <w:highlight w:val="none"/>
        </w:rPr>
        <w:t>17.1投标有效期是指为保证采购人有足够的时间在开标后完成评标、定标、合同签订等工作而要求投标人提交的投标文件在一定时间内保持有效的期限。</w:t>
      </w:r>
    </w:p>
    <w:p w14:paraId="6F95714F">
      <w:pPr>
        <w:pStyle w:val="6"/>
        <w:keepNext w:val="0"/>
        <w:keepLines w:val="0"/>
        <w:spacing w:before="0" w:after="0" w:line="360" w:lineRule="auto"/>
        <w:ind w:firstLine="424" w:firstLineChars="202"/>
        <w:rPr>
          <w:rFonts w:hint="eastAsia" w:ascii="宋体" w:hAnsi="宋体"/>
          <w:b w:val="0"/>
          <w:color w:val="000000"/>
          <w:sz w:val="21"/>
          <w:szCs w:val="21"/>
          <w:highlight w:val="none"/>
        </w:rPr>
      </w:pPr>
      <w:r>
        <w:rPr>
          <w:rFonts w:hint="eastAsia" w:ascii="宋体" w:hAnsi="宋体"/>
          <w:b w:val="0"/>
          <w:color w:val="000000"/>
          <w:sz w:val="21"/>
          <w:szCs w:val="21"/>
          <w:highlight w:val="none"/>
        </w:rPr>
        <w:t>17.2</w:t>
      </w:r>
      <w:bookmarkStart w:id="119" w:name="_Toc254970540"/>
      <w:bookmarkStart w:id="120" w:name="_Toc254970681"/>
      <w:r>
        <w:rPr>
          <w:rFonts w:hint="eastAsia" w:ascii="宋体" w:hAnsi="宋体"/>
          <w:b w:val="0"/>
          <w:color w:val="000000"/>
          <w:sz w:val="21"/>
          <w:szCs w:val="21"/>
          <w:highlight w:val="none"/>
        </w:rPr>
        <w:t xml:space="preserve"> 投标有效期应按招标文件规定的期限作出承诺，具体详见“投标人须知前附表”。</w:t>
      </w:r>
      <w:r>
        <w:rPr>
          <w:rFonts w:hint="eastAsia" w:ascii="宋体" w:hAnsi="宋体"/>
          <w:color w:val="000000"/>
          <w:sz w:val="21"/>
          <w:szCs w:val="21"/>
          <w:highlight w:val="none"/>
        </w:rPr>
        <w:t>承诺的投标有效期低于招标文件规定期限的，按无效投标处理</w:t>
      </w:r>
      <w:r>
        <w:rPr>
          <w:rFonts w:hint="eastAsia" w:ascii="宋体" w:hAnsi="宋体"/>
          <w:b w:val="0"/>
          <w:color w:val="000000"/>
          <w:sz w:val="21"/>
          <w:szCs w:val="21"/>
          <w:highlight w:val="none"/>
        </w:rPr>
        <w:t>。</w:t>
      </w:r>
    </w:p>
    <w:p w14:paraId="1A68ABAF">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17.3投标人的投标文件在投标有效期内均保持有效。</w:t>
      </w:r>
      <w:bookmarkEnd w:id="119"/>
      <w:bookmarkEnd w:id="120"/>
    </w:p>
    <w:p w14:paraId="49103668">
      <w:pPr>
        <w:pStyle w:val="6"/>
        <w:keepNext w:val="0"/>
        <w:keepLines w:val="0"/>
        <w:spacing w:before="0" w:after="0" w:line="360" w:lineRule="auto"/>
        <w:ind w:left="420" w:leftChars="200"/>
        <w:rPr>
          <w:rFonts w:hint="eastAsia" w:ascii="宋体" w:hAnsi="宋体"/>
          <w:b w:val="0"/>
          <w:color w:val="000000"/>
          <w:sz w:val="21"/>
          <w:szCs w:val="21"/>
          <w:highlight w:val="none"/>
        </w:rPr>
      </w:pPr>
    </w:p>
    <w:p w14:paraId="7235F09B">
      <w:pPr>
        <w:pStyle w:val="6"/>
        <w:keepNext w:val="0"/>
        <w:keepLines w:val="0"/>
        <w:spacing w:before="0" w:after="0" w:line="360" w:lineRule="auto"/>
        <w:ind w:left="420" w:leftChars="200"/>
        <w:rPr>
          <w:rFonts w:hint="eastAsia" w:ascii="黑体" w:hAnsi="黑体" w:eastAsia="黑体"/>
          <w:color w:val="000000"/>
          <w:sz w:val="24"/>
          <w:highlight w:val="none"/>
        </w:rPr>
      </w:pPr>
      <w:bookmarkStart w:id="121" w:name="_18.投标保证金"/>
      <w:bookmarkEnd w:id="121"/>
      <w:bookmarkStart w:id="122" w:name="_Toc254970541"/>
      <w:bookmarkStart w:id="123" w:name="_Toc254970682"/>
      <w:r>
        <w:rPr>
          <w:rFonts w:hint="eastAsia" w:ascii="黑体" w:hAnsi="黑体" w:eastAsia="黑体"/>
          <w:color w:val="000000"/>
          <w:sz w:val="24"/>
          <w:highlight w:val="none"/>
        </w:rPr>
        <w:t>18.投标保证金</w:t>
      </w:r>
      <w:bookmarkEnd w:id="122"/>
      <w:bookmarkEnd w:id="123"/>
    </w:p>
    <w:p w14:paraId="7C0041D9">
      <w:pPr>
        <w:pStyle w:val="6"/>
        <w:keepNext w:val="0"/>
        <w:keepLines w:val="0"/>
        <w:spacing w:before="0" w:after="0" w:line="360" w:lineRule="auto"/>
        <w:ind w:left="420" w:leftChars="200"/>
        <w:rPr>
          <w:rFonts w:ascii="宋体" w:hAnsi="宋体"/>
          <w:b w:val="0"/>
          <w:color w:val="000000"/>
          <w:sz w:val="21"/>
          <w:szCs w:val="21"/>
          <w:highlight w:val="none"/>
        </w:rPr>
      </w:pPr>
      <w:r>
        <w:rPr>
          <w:rFonts w:hint="eastAsia" w:ascii="宋体" w:hAnsi="宋体"/>
          <w:b w:val="0"/>
          <w:color w:val="000000"/>
          <w:sz w:val="21"/>
          <w:szCs w:val="21"/>
          <w:highlight w:val="none"/>
        </w:rPr>
        <w:t>18.1投标人须按“投标人须知前附表” 的规定提交投标保证金。</w:t>
      </w:r>
    </w:p>
    <w:p w14:paraId="603941B8">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18.2投标保证金的退还</w:t>
      </w:r>
    </w:p>
    <w:p w14:paraId="6B5B1EB7">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未中标人的投标保证金自中标通知书发出之日起5个工作日内退还；中标人的投标保证金自政府采购合同签订之日起5个工作日内退还。 </w:t>
      </w:r>
    </w:p>
    <w:p w14:paraId="7C4FCC9B">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18.3除逾期退还投标保证金和终止招标的情形以外，投标保证金不计息。</w:t>
      </w:r>
    </w:p>
    <w:p w14:paraId="624FD8B0">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18.4投标人有下列情形之一的，投标保证金将不予退还： </w:t>
      </w:r>
    </w:p>
    <w:p w14:paraId="414D7040">
      <w:pPr>
        <w:snapToGrid w:val="0"/>
        <w:spacing w:line="360" w:lineRule="auto"/>
        <w:ind w:firstLine="411" w:firstLineChars="196"/>
        <w:jc w:val="left"/>
        <w:rPr>
          <w:rFonts w:hint="eastAsia" w:ascii="宋体" w:hAnsi="宋体"/>
          <w:color w:val="000000"/>
          <w:szCs w:val="21"/>
          <w:highlight w:val="none"/>
        </w:rPr>
      </w:pPr>
      <w:r>
        <w:rPr>
          <w:rFonts w:hint="eastAsia" w:ascii="宋体" w:hAnsi="宋体"/>
          <w:color w:val="000000"/>
          <w:szCs w:val="21"/>
          <w:highlight w:val="none"/>
        </w:rPr>
        <w:t>（1）投标人在投标有效期内撤销投标文件的；</w:t>
      </w:r>
    </w:p>
    <w:p w14:paraId="3A5D09EB">
      <w:pPr>
        <w:snapToGrid w:val="0"/>
        <w:spacing w:line="360" w:lineRule="auto"/>
        <w:ind w:firstLine="411" w:firstLineChars="196"/>
        <w:jc w:val="left"/>
        <w:rPr>
          <w:rFonts w:hint="eastAsia" w:ascii="宋体" w:hAnsi="宋体"/>
          <w:color w:val="000000"/>
          <w:szCs w:val="21"/>
          <w:highlight w:val="none"/>
        </w:rPr>
      </w:pPr>
      <w:r>
        <w:rPr>
          <w:rFonts w:hint="eastAsia" w:ascii="宋体" w:hAnsi="宋体"/>
          <w:color w:val="000000"/>
          <w:szCs w:val="21"/>
          <w:highlight w:val="none"/>
        </w:rPr>
        <w:t>（2）未按规定提交履约保证金的；</w:t>
      </w:r>
    </w:p>
    <w:p w14:paraId="0E959D5A">
      <w:pPr>
        <w:snapToGrid w:val="0"/>
        <w:spacing w:line="360" w:lineRule="auto"/>
        <w:ind w:firstLine="411" w:firstLineChars="196"/>
        <w:jc w:val="left"/>
        <w:rPr>
          <w:rFonts w:hint="eastAsia" w:ascii="宋体" w:hAnsi="宋体"/>
          <w:color w:val="000000"/>
          <w:szCs w:val="21"/>
          <w:highlight w:val="none"/>
        </w:rPr>
      </w:pPr>
      <w:r>
        <w:rPr>
          <w:rFonts w:hint="eastAsia" w:ascii="宋体" w:hAnsi="宋体"/>
          <w:color w:val="000000"/>
          <w:szCs w:val="21"/>
          <w:highlight w:val="none"/>
        </w:rPr>
        <w:t>（3）投标人在投标过程中弄虚作假，提供虚假材料的；</w:t>
      </w:r>
    </w:p>
    <w:p w14:paraId="0770E621">
      <w:pPr>
        <w:snapToGrid w:val="0"/>
        <w:spacing w:line="360" w:lineRule="auto"/>
        <w:ind w:firstLine="411" w:firstLineChars="196"/>
        <w:rPr>
          <w:rFonts w:hint="eastAsia" w:ascii="宋体" w:hAnsi="宋体"/>
          <w:color w:val="000000"/>
          <w:szCs w:val="21"/>
          <w:highlight w:val="none"/>
        </w:rPr>
      </w:pPr>
      <w:r>
        <w:rPr>
          <w:rFonts w:hint="eastAsia" w:ascii="宋体" w:hAnsi="宋体"/>
          <w:color w:val="000000"/>
          <w:szCs w:val="21"/>
          <w:highlight w:val="none"/>
        </w:rPr>
        <w:t>（4）中标人无正当理由不与采购人签订合同的；</w:t>
      </w:r>
    </w:p>
    <w:p w14:paraId="248ECE17">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（5）投标人出现本章第9.2、9.3情形的；</w:t>
      </w:r>
    </w:p>
    <w:p w14:paraId="633BA216">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（6）</w:t>
      </w:r>
      <w:r>
        <w:rPr>
          <w:rFonts w:hint="eastAsia" w:ascii="宋体" w:hAnsi="宋体" w:cs="宋体"/>
          <w:color w:val="000000"/>
          <w:szCs w:val="21"/>
          <w:highlight w:val="none"/>
        </w:rPr>
        <w:t>法律法规规定的其他情形</w:t>
      </w:r>
      <w:r>
        <w:rPr>
          <w:rFonts w:hint="eastAsia" w:ascii="宋体" w:hAnsi="宋体"/>
          <w:color w:val="000000"/>
          <w:szCs w:val="21"/>
          <w:highlight w:val="none"/>
        </w:rPr>
        <w:t>。</w:t>
      </w:r>
    </w:p>
    <w:p w14:paraId="6996BA8F">
      <w:pPr>
        <w:pStyle w:val="6"/>
        <w:keepNext w:val="0"/>
        <w:keepLines w:val="0"/>
        <w:spacing w:before="0" w:after="0" w:line="360" w:lineRule="auto"/>
        <w:ind w:left="420" w:leftChars="200"/>
        <w:rPr>
          <w:rFonts w:hint="eastAsia" w:ascii="黑体" w:hAnsi="黑体" w:eastAsia="黑体"/>
          <w:color w:val="000000"/>
          <w:sz w:val="24"/>
          <w:highlight w:val="none"/>
        </w:rPr>
      </w:pPr>
      <w:bookmarkStart w:id="124" w:name="_Toc254970542"/>
      <w:bookmarkStart w:id="125" w:name="_Toc254970683"/>
      <w:r>
        <w:rPr>
          <w:rFonts w:hint="eastAsia" w:ascii="黑体" w:hAnsi="黑体" w:eastAsia="黑体"/>
          <w:color w:val="000000"/>
          <w:sz w:val="24"/>
          <w:highlight w:val="none"/>
        </w:rPr>
        <w:t>19.投标文件的</w:t>
      </w:r>
      <w:bookmarkEnd w:id="124"/>
      <w:bookmarkEnd w:id="125"/>
      <w:r>
        <w:rPr>
          <w:rFonts w:hint="eastAsia" w:ascii="黑体" w:hAnsi="黑体" w:eastAsia="黑体"/>
          <w:color w:val="000000"/>
          <w:sz w:val="24"/>
          <w:highlight w:val="none"/>
        </w:rPr>
        <w:t>编制</w:t>
      </w:r>
    </w:p>
    <w:p w14:paraId="175DBC13">
      <w:pPr>
        <w:pStyle w:val="6"/>
        <w:keepNext w:val="0"/>
        <w:keepLines w:val="0"/>
        <w:numPr>
          <w:ilvl w:val="4"/>
          <w:numId w:val="6"/>
        </w:numPr>
        <w:spacing w:before="0" w:after="0" w:line="360" w:lineRule="auto"/>
        <w:ind w:firstLine="315" w:firstLineChars="150"/>
        <w:rPr>
          <w:rFonts w:ascii="宋体" w:hAnsi="宋体"/>
          <w:b w:val="0"/>
          <w:color w:val="000000"/>
          <w:sz w:val="21"/>
          <w:szCs w:val="21"/>
          <w:highlight w:val="none"/>
        </w:rPr>
      </w:pPr>
      <w:r>
        <w:rPr>
          <w:rFonts w:hint="eastAsia" w:ascii="宋体" w:hAnsi="宋体"/>
          <w:b w:val="0"/>
          <w:color w:val="000000"/>
          <w:sz w:val="21"/>
          <w:szCs w:val="21"/>
          <w:highlight w:val="none"/>
        </w:rPr>
        <w:t xml:space="preserve"> </w:t>
      </w:r>
      <w:bookmarkStart w:id="126" w:name="_Toc254970544"/>
      <w:bookmarkStart w:id="127" w:name="_Toc254970685"/>
      <w:r>
        <w:rPr>
          <w:rFonts w:hint="eastAsia" w:ascii="宋体" w:hAnsi="宋体"/>
          <w:b w:val="0"/>
          <w:color w:val="000000"/>
          <w:sz w:val="21"/>
          <w:szCs w:val="21"/>
          <w:highlight w:val="none"/>
        </w:rPr>
        <w:t xml:space="preserve"> 19.1投标人应按照本项目招标文件规定的格式和顺序和广西政府采购云平台的要求编制投标文件并加密。投标文件内容不完整、编排混乱导致投标文件被误读、漏读或者查找不到相关内容的，由此引发的后果由投标人承担。</w:t>
      </w:r>
    </w:p>
    <w:p w14:paraId="3A06F4F9">
      <w:pPr>
        <w:pStyle w:val="6"/>
        <w:keepNext w:val="0"/>
        <w:keepLines w:val="0"/>
        <w:numPr>
          <w:ilvl w:val="4"/>
          <w:numId w:val="6"/>
        </w:numPr>
        <w:spacing w:before="0" w:after="0" w:line="360" w:lineRule="auto"/>
        <w:ind w:firstLine="315" w:firstLineChars="150"/>
        <w:rPr>
          <w:rFonts w:hint="eastAsia" w:ascii="宋体" w:hAnsi="宋体"/>
          <w:b w:val="0"/>
          <w:color w:val="000000"/>
          <w:sz w:val="21"/>
          <w:szCs w:val="21"/>
          <w:highlight w:val="none"/>
        </w:rPr>
      </w:pPr>
      <w:bookmarkStart w:id="128" w:name="_19.2投标文件应按报价文件、资格证明文件、商务文件、技术文件分别编制"/>
      <w:bookmarkEnd w:id="128"/>
      <w:r>
        <w:rPr>
          <w:rFonts w:hint="eastAsia" w:ascii="宋体" w:hAnsi="宋体"/>
          <w:b w:val="0"/>
          <w:color w:val="000000"/>
          <w:sz w:val="21"/>
          <w:szCs w:val="21"/>
          <w:highlight w:val="none"/>
        </w:rPr>
        <w:t xml:space="preserve"> 19.2为确保网上操作合法、有效和安全，投标人应当在投标截止时间前完成在广西政府采购云平台的身份认证，确保在电子投标过程中能够对相关数据电文进行加密和使用电子签章。</w:t>
      </w:r>
    </w:p>
    <w:p w14:paraId="7DC53F72">
      <w:pPr>
        <w:pStyle w:val="6"/>
        <w:keepNext w:val="0"/>
        <w:keepLines w:val="0"/>
        <w:numPr>
          <w:ilvl w:val="4"/>
          <w:numId w:val="6"/>
        </w:numPr>
        <w:spacing w:before="0" w:after="0" w:line="360" w:lineRule="auto"/>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19.3投标文件须由投标人在规定位置签字（或者电子签名）、盖章（具体以投标人须知前附表或投标文件格式规定为准），</w:t>
      </w:r>
      <w:r>
        <w:rPr>
          <w:rFonts w:hint="eastAsia" w:ascii="宋体" w:hAnsi="宋体"/>
          <w:bCs/>
          <w:color w:val="000000"/>
          <w:sz w:val="21"/>
          <w:szCs w:val="21"/>
          <w:highlight w:val="none"/>
        </w:rPr>
        <w:t>否则按无效投标处理</w:t>
      </w:r>
      <w:r>
        <w:rPr>
          <w:rFonts w:hint="eastAsia" w:ascii="宋体" w:hAnsi="宋体"/>
          <w:b w:val="0"/>
          <w:color w:val="000000"/>
          <w:sz w:val="21"/>
          <w:szCs w:val="21"/>
          <w:highlight w:val="none"/>
        </w:rPr>
        <w:t>。</w:t>
      </w:r>
    </w:p>
    <w:p w14:paraId="0305B75E">
      <w:pPr>
        <w:pStyle w:val="6"/>
        <w:keepNext w:val="0"/>
        <w:keepLines w:val="0"/>
        <w:numPr>
          <w:ilvl w:val="4"/>
          <w:numId w:val="6"/>
        </w:numPr>
        <w:spacing w:before="0" w:after="0" w:line="360" w:lineRule="auto"/>
        <w:ind w:firstLine="315" w:firstLineChars="15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color w:val="000000"/>
          <w:sz w:val="21"/>
          <w:szCs w:val="21"/>
          <w:highlight w:val="none"/>
        </w:rPr>
        <w:t>否则按无效投标处理</w:t>
      </w:r>
      <w:r>
        <w:rPr>
          <w:rFonts w:hint="eastAsia" w:ascii="宋体" w:hAnsi="宋体"/>
          <w:b w:val="0"/>
          <w:color w:val="000000"/>
          <w:sz w:val="21"/>
          <w:szCs w:val="21"/>
          <w:highlight w:val="none"/>
        </w:rPr>
        <w:t>。</w:t>
      </w:r>
    </w:p>
    <w:p w14:paraId="1783C2B5">
      <w:pPr>
        <w:pStyle w:val="6"/>
        <w:keepNext w:val="0"/>
        <w:keepLines w:val="0"/>
        <w:numPr>
          <w:ilvl w:val="4"/>
          <w:numId w:val="6"/>
        </w:numPr>
        <w:spacing w:before="0" w:after="0" w:line="360" w:lineRule="auto"/>
        <w:ind w:firstLine="315" w:firstLineChars="15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015580F6">
      <w:pPr>
        <w:spacing w:line="360" w:lineRule="auto"/>
        <w:ind w:firstLine="480" w:firstLineChars="200"/>
        <w:rPr>
          <w:rFonts w:hint="eastAsia" w:ascii="黑体" w:hAnsi="黑体" w:eastAsia="黑体"/>
          <w:color w:val="000000"/>
          <w:sz w:val="24"/>
          <w:highlight w:val="none"/>
        </w:rPr>
      </w:pPr>
      <w:r>
        <w:rPr>
          <w:rFonts w:hint="eastAsia" w:ascii="黑体" w:hAnsi="黑体" w:eastAsia="黑体"/>
          <w:color w:val="000000"/>
          <w:sz w:val="24"/>
          <w:highlight w:val="none"/>
        </w:rPr>
        <w:t>20.电子备份投标文件</w:t>
      </w:r>
    </w:p>
    <w:p w14:paraId="2161AD42">
      <w:pPr>
        <w:spacing w:line="360" w:lineRule="auto"/>
        <w:ind w:firstLine="420" w:firstLineChars="200"/>
        <w:rPr>
          <w:rFonts w:hint="eastAsia" w:ascii="黑体" w:hAnsi="黑体" w:eastAsia="黑体"/>
          <w:color w:val="000000"/>
          <w:sz w:val="24"/>
          <w:highlight w:val="none"/>
        </w:rPr>
      </w:pPr>
      <w:r>
        <w:rPr>
          <w:rFonts w:hint="eastAsia"/>
          <w:color w:val="000000"/>
          <w:highlight w:val="none"/>
        </w:rPr>
        <w:t>电子备份投标文件是指通过在线编制生成且后缀名为“</w:t>
      </w:r>
      <w:r>
        <w:rPr>
          <w:color w:val="000000"/>
          <w:highlight w:val="none"/>
        </w:rPr>
        <w:t>bfbs</w:t>
      </w:r>
      <w:r>
        <w:rPr>
          <w:rFonts w:hint="eastAsia"/>
          <w:color w:val="000000"/>
          <w:highlight w:val="none"/>
        </w:rPr>
        <w:t>”的文件，是否接受电子备份投标文件</w:t>
      </w:r>
      <w:r>
        <w:rPr>
          <w:rFonts w:hint="eastAsia" w:hAnsi="宋体"/>
          <w:bCs/>
          <w:color w:val="000000"/>
          <w:szCs w:val="21"/>
          <w:highlight w:val="none"/>
        </w:rPr>
        <w:t>详见在“投标人须知前附表”。</w:t>
      </w:r>
    </w:p>
    <w:p w14:paraId="39CE5C36">
      <w:pPr>
        <w:pStyle w:val="6"/>
        <w:keepNext w:val="0"/>
        <w:keepLines w:val="0"/>
        <w:numPr>
          <w:ilvl w:val="4"/>
          <w:numId w:val="6"/>
        </w:numPr>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21.投标文件的提交</w:t>
      </w:r>
    </w:p>
    <w:p w14:paraId="41088DE1">
      <w:pPr>
        <w:spacing w:line="360" w:lineRule="auto"/>
        <w:ind w:firstLine="420" w:firstLineChars="200"/>
        <w:rPr>
          <w:rFonts w:hint="eastAsia" w:hAnsi="宋体"/>
          <w:b/>
          <w:color w:val="000000"/>
          <w:highlight w:val="none"/>
        </w:rPr>
      </w:pPr>
      <w:bookmarkStart w:id="129" w:name="_21.1投标人必须在“投标人须知中的前附表”规定的投标文件接收时间和投"/>
      <w:bookmarkEnd w:id="129"/>
      <w:r>
        <w:rPr>
          <w:rFonts w:hAnsi="宋体"/>
          <w:bCs/>
          <w:color w:val="000000"/>
          <w:szCs w:val="21"/>
          <w:highlight w:val="none"/>
        </w:rPr>
        <w:t>21.1</w:t>
      </w:r>
      <w:r>
        <w:rPr>
          <w:rFonts w:hint="eastAsia" w:hAnsi="宋体"/>
          <w:bCs/>
          <w:color w:val="000000"/>
          <w:szCs w:val="21"/>
          <w:highlight w:val="none"/>
        </w:rPr>
        <w:t>投标人必须在“投标人须知前附表”规定的</w:t>
      </w:r>
      <w:r>
        <w:rPr>
          <w:rFonts w:hint="eastAsia" w:ascii="宋体" w:hAnsi="宋体"/>
          <w:color w:val="000000"/>
          <w:szCs w:val="21"/>
          <w:highlight w:val="none"/>
        </w:rPr>
        <w:t>提交投标文件截止时间前将</w:t>
      </w:r>
      <w:r>
        <w:rPr>
          <w:rFonts w:hint="eastAsia" w:hAnsi="宋体"/>
          <w:bCs/>
          <w:color w:val="000000"/>
          <w:szCs w:val="21"/>
          <w:highlight w:val="none"/>
        </w:rPr>
        <w:t>电子投标文件提交至投标地点。电子投标文件应在制作完成后，在投标截止时间前通过有效数字证书（</w:t>
      </w:r>
      <w:r>
        <w:rPr>
          <w:rFonts w:hAnsi="宋体"/>
          <w:bCs/>
          <w:color w:val="000000"/>
          <w:szCs w:val="21"/>
          <w:highlight w:val="none"/>
        </w:rPr>
        <w:t>CA</w:t>
      </w:r>
      <w:r>
        <w:rPr>
          <w:rFonts w:hint="eastAsia" w:hAnsi="宋体"/>
          <w:bCs/>
          <w:color w:val="000000"/>
          <w:szCs w:val="21"/>
          <w:highlight w:val="none"/>
        </w:rPr>
        <w:t>认证锁）进行电子签章、加密，然后通过网络将加密的电子投标文件递交至</w:t>
      </w:r>
      <w:r>
        <w:rPr>
          <w:rFonts w:hint="eastAsia" w:ascii="宋体" w:hAnsi="宋体"/>
          <w:b/>
          <w:color w:val="000000"/>
          <w:szCs w:val="21"/>
          <w:highlight w:val="none"/>
        </w:rPr>
        <w:t>广西政府采购云平台</w:t>
      </w:r>
      <w:r>
        <w:rPr>
          <w:rFonts w:hint="eastAsia" w:hAnsi="宋体"/>
          <w:bCs/>
          <w:color w:val="000000"/>
          <w:szCs w:val="21"/>
          <w:highlight w:val="none"/>
        </w:rPr>
        <w:t>。</w:t>
      </w:r>
      <w:r>
        <w:rPr>
          <w:rFonts w:hAnsi="宋体"/>
          <w:bCs/>
          <w:color w:val="000000"/>
          <w:szCs w:val="21"/>
          <w:highlight w:val="none"/>
        </w:rPr>
        <w:t xml:space="preserve"> </w:t>
      </w:r>
      <w:r>
        <w:rPr>
          <w:rFonts w:hAnsi="宋体"/>
          <w:b/>
          <w:color w:val="000000"/>
          <w:highlight w:val="none"/>
        </w:rPr>
        <w:t xml:space="preserve"> </w:t>
      </w:r>
    </w:p>
    <w:p w14:paraId="0361D529">
      <w:pPr>
        <w:spacing w:line="360" w:lineRule="auto"/>
        <w:ind w:firstLine="422" w:firstLineChars="200"/>
        <w:rPr>
          <w:rFonts w:ascii="宋体" w:hAnsi="宋体"/>
          <w:b/>
          <w:color w:val="000000"/>
          <w:szCs w:val="20"/>
          <w:highlight w:val="none"/>
        </w:rPr>
      </w:pPr>
      <w:r>
        <w:rPr>
          <w:rFonts w:hint="eastAsia" w:ascii="宋体" w:hAnsi="宋体"/>
          <w:b/>
          <w:color w:val="000000"/>
          <w:szCs w:val="21"/>
          <w:highlight w:val="none"/>
        </w:rPr>
        <w:t>21.2未在规定时间内提交或者未按照招标文件要求加密的电子投标文件，广西政府采购云平台将拒收。</w:t>
      </w:r>
    </w:p>
    <w:p w14:paraId="672163AC">
      <w:pPr>
        <w:pStyle w:val="6"/>
        <w:keepNext w:val="0"/>
        <w:keepLines w:val="0"/>
        <w:numPr>
          <w:ilvl w:val="4"/>
          <w:numId w:val="6"/>
        </w:numPr>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22. 投标文件的补充、修改、撤回与退回</w:t>
      </w:r>
    </w:p>
    <w:p w14:paraId="3CA40077">
      <w:pPr>
        <w:snapToGrid w:val="0"/>
        <w:spacing w:line="360" w:lineRule="auto"/>
        <w:ind w:firstLine="420"/>
        <w:jc w:val="left"/>
        <w:rPr>
          <w:rFonts w:hint="eastAsia" w:ascii="宋体" w:hAnsi="宋体"/>
          <w:color w:val="000000"/>
          <w:szCs w:val="21"/>
          <w:highlight w:val="none"/>
        </w:rPr>
      </w:pPr>
      <w:bookmarkStart w:id="130" w:name="_Toc254970684"/>
      <w:bookmarkStart w:id="131" w:name="_Toc254970543"/>
      <w:r>
        <w:rPr>
          <w:rFonts w:hint="eastAsia" w:ascii="宋体" w:hAnsi="宋体" w:cs="宋体"/>
          <w:color w:val="000000"/>
          <w:szCs w:val="21"/>
          <w:highlight w:val="none"/>
        </w:rPr>
        <w:t>22.1</w:t>
      </w:r>
      <w:r>
        <w:rPr>
          <w:rFonts w:hint="eastAsia" w:ascii="宋体" w:hAnsi="宋体"/>
          <w:bCs/>
          <w:color w:val="000000"/>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000000"/>
          <w:szCs w:val="21"/>
          <w:highlight w:val="none"/>
        </w:rPr>
        <w:t>（补充、修改或者撤回方式可</w:t>
      </w:r>
      <w:r>
        <w:rPr>
          <w:rFonts w:hint="eastAsia" w:ascii="宋体" w:hAnsi="宋体"/>
          <w:color w:val="000000"/>
          <w:szCs w:val="21"/>
          <w:highlight w:val="none"/>
        </w:rPr>
        <w:t>登录</w:t>
      </w:r>
      <w:r>
        <w:rPr>
          <w:rFonts w:hint="eastAsia" w:ascii="宋体" w:hAnsi="宋体" w:cs="宋体"/>
          <w:color w:val="000000"/>
          <w:kern w:val="0"/>
          <w:szCs w:val="21"/>
          <w:highlight w:val="none"/>
        </w:rPr>
        <w:t>广西政府采购云平台，</w:t>
      </w:r>
      <w:r>
        <w:rPr>
          <w:rFonts w:hint="eastAsia" w:ascii="宋体" w:hAnsi="宋体"/>
          <w:color w:val="000000"/>
          <w:szCs w:val="21"/>
          <w:highlight w:val="none"/>
        </w:rPr>
        <w:t>依次进入“服务中心”中查看</w:t>
      </w:r>
      <w:r>
        <w:rPr>
          <w:rFonts w:hint="eastAsia" w:ascii="宋体" w:hAnsi="宋体" w:cs="宋体"/>
          <w:color w:val="000000"/>
          <w:szCs w:val="21"/>
          <w:highlight w:val="none"/>
        </w:rPr>
        <w:t xml:space="preserve"> “电子投标文件制作与投送教程”）</w:t>
      </w:r>
    </w:p>
    <w:bookmarkEnd w:id="130"/>
    <w:bookmarkEnd w:id="131"/>
    <w:p w14:paraId="50F37F21">
      <w:pPr>
        <w:pStyle w:val="125"/>
        <w:spacing w:before="0"/>
        <w:ind w:firstLine="420"/>
        <w:rPr>
          <w:rFonts w:hint="eastAsia" w:ascii="宋体" w:hAnsi="宋体" w:cs="宋体"/>
          <w:color w:val="000000"/>
          <w:sz w:val="21"/>
          <w:szCs w:val="21"/>
          <w:highlight w:val="none"/>
        </w:rPr>
      </w:pPr>
      <w:r>
        <w:rPr>
          <w:rFonts w:hint="eastAsia" w:ascii="宋体" w:hAnsi="宋体" w:cs="宋体"/>
          <w:color w:val="000000"/>
          <w:sz w:val="21"/>
          <w:szCs w:val="21"/>
          <w:highlight w:val="none"/>
        </w:rPr>
        <w:t>22.2“广西政府采购云平台收到投标文件后向供应商发出确认回执通知。在投标截止时间前，除供应商补充、修改或者撤回投标文件外，任何单位和个人不得解密或提取投标文件。</w:t>
      </w:r>
    </w:p>
    <w:p w14:paraId="75CF29B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22.3在投标截止时间后，采购人和采购代理机构对已提交的投标文件概不退回。</w:t>
      </w:r>
    </w:p>
    <w:p w14:paraId="04D2B201">
      <w:pPr>
        <w:pStyle w:val="4"/>
        <w:keepNext w:val="0"/>
        <w:keepLines w:val="0"/>
        <w:jc w:val="center"/>
        <w:rPr>
          <w:rFonts w:hint="eastAsia"/>
          <w:color w:val="000000"/>
          <w:highlight w:val="none"/>
        </w:rPr>
      </w:pPr>
      <w:r>
        <w:rPr>
          <w:rFonts w:hint="eastAsia"/>
          <w:color w:val="000000"/>
          <w:highlight w:val="none"/>
        </w:rPr>
        <w:t>四、开    标</w:t>
      </w:r>
      <w:bookmarkEnd w:id="126"/>
      <w:bookmarkEnd w:id="127"/>
    </w:p>
    <w:p w14:paraId="6CB91AAC">
      <w:pPr>
        <w:pStyle w:val="6"/>
        <w:keepNext w:val="0"/>
        <w:keepLines w:val="0"/>
        <w:spacing w:before="0" w:after="0" w:line="360" w:lineRule="auto"/>
        <w:ind w:left="420" w:leftChars="200"/>
        <w:rPr>
          <w:rFonts w:hint="eastAsia" w:ascii="黑体" w:hAnsi="黑体" w:eastAsia="黑体"/>
          <w:color w:val="000000"/>
          <w:sz w:val="24"/>
          <w:highlight w:val="none"/>
        </w:rPr>
      </w:pPr>
      <w:bookmarkStart w:id="132" w:name="_23.开标时间和地点"/>
      <w:bookmarkEnd w:id="132"/>
      <w:r>
        <w:rPr>
          <w:rFonts w:hint="eastAsia" w:ascii="黑体" w:hAnsi="黑体" w:eastAsia="黑体"/>
          <w:color w:val="000000"/>
          <w:sz w:val="24"/>
          <w:highlight w:val="none"/>
        </w:rPr>
        <w:t>23.开标时间和地点</w:t>
      </w:r>
    </w:p>
    <w:p w14:paraId="6052578A">
      <w:pPr>
        <w:spacing w:line="360" w:lineRule="auto"/>
        <w:ind w:firstLine="420" w:firstLineChars="200"/>
        <w:rPr>
          <w:rFonts w:hint="eastAsia" w:hAnsi="宋体"/>
          <w:bCs/>
          <w:color w:val="000000"/>
          <w:highlight w:val="none"/>
        </w:rPr>
      </w:pPr>
      <w:r>
        <w:rPr>
          <w:rFonts w:hint="eastAsia" w:hAnsi="宋体"/>
          <w:bCs/>
          <w:color w:val="000000"/>
          <w:highlight w:val="none"/>
        </w:rPr>
        <w:t>开标时间及地点详见“投标人须知前附表”</w:t>
      </w:r>
    </w:p>
    <w:p w14:paraId="2460CF97">
      <w:pPr>
        <w:pStyle w:val="6"/>
        <w:keepNext w:val="0"/>
        <w:keepLines w:val="0"/>
        <w:spacing w:before="0" w:after="0" w:line="360" w:lineRule="auto"/>
        <w:ind w:left="420" w:leftChars="200"/>
        <w:rPr>
          <w:rFonts w:ascii="黑体" w:hAnsi="黑体" w:eastAsia="黑体"/>
          <w:color w:val="000000"/>
          <w:sz w:val="24"/>
          <w:highlight w:val="none"/>
        </w:rPr>
      </w:pPr>
      <w:r>
        <w:rPr>
          <w:rFonts w:hint="eastAsia" w:ascii="黑体" w:hAnsi="黑体" w:eastAsia="黑体"/>
          <w:color w:val="000000"/>
          <w:sz w:val="24"/>
          <w:highlight w:val="none"/>
        </w:rPr>
        <w:t>24.开标程序</w:t>
      </w:r>
    </w:p>
    <w:p w14:paraId="2EF55ED2">
      <w:pPr>
        <w:pStyle w:val="7"/>
        <w:spacing w:line="360" w:lineRule="auto"/>
        <w:rPr>
          <w:color w:val="000000"/>
          <w:highlight w:val="none"/>
        </w:rPr>
      </w:pPr>
      <w:r>
        <w:rPr>
          <w:color w:val="000000"/>
          <w:highlight w:val="none"/>
        </w:rPr>
        <w:t>24.1</w:t>
      </w:r>
      <w:r>
        <w:rPr>
          <w:rFonts w:hint="eastAsia"/>
          <w:color w:val="000000"/>
          <w:highlight w:val="none"/>
        </w:rPr>
        <w:t>提交投标文件截止时间止，投标人不足</w:t>
      </w:r>
      <w:r>
        <w:rPr>
          <w:color w:val="000000"/>
          <w:highlight w:val="none"/>
        </w:rPr>
        <w:t>3</w:t>
      </w:r>
      <w:r>
        <w:rPr>
          <w:rFonts w:hint="eastAsia"/>
          <w:color w:val="000000"/>
          <w:highlight w:val="none"/>
        </w:rPr>
        <w:t>家的，不得开标。</w:t>
      </w:r>
    </w:p>
    <w:p w14:paraId="76957236">
      <w:pPr>
        <w:pStyle w:val="7"/>
        <w:spacing w:line="360" w:lineRule="auto"/>
        <w:rPr>
          <w:color w:val="000000"/>
          <w:highlight w:val="none"/>
        </w:rPr>
      </w:pPr>
      <w:r>
        <w:rPr>
          <w:color w:val="000000"/>
          <w:highlight w:val="none"/>
        </w:rPr>
        <w:t>24.2</w:t>
      </w:r>
      <w:r>
        <w:rPr>
          <w:rFonts w:hint="eastAsia"/>
          <w:color w:val="000000"/>
          <w:highlight w:val="none"/>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326F5E8F">
      <w:pPr>
        <w:pStyle w:val="7"/>
        <w:spacing w:line="360" w:lineRule="auto"/>
        <w:rPr>
          <w:color w:val="000000"/>
          <w:highlight w:val="none"/>
        </w:rPr>
      </w:pPr>
      <w:r>
        <w:rPr>
          <w:color w:val="000000"/>
          <w:highlight w:val="none"/>
        </w:rPr>
        <w:t>24.3</w:t>
      </w:r>
      <w:r>
        <w:rPr>
          <w:rFonts w:hint="eastAsia"/>
          <w:color w:val="000000"/>
          <w:highlight w:val="none"/>
        </w:rPr>
        <w:t>开标程序</w:t>
      </w:r>
    </w:p>
    <w:p w14:paraId="65831973">
      <w:pPr>
        <w:pStyle w:val="7"/>
        <w:spacing w:line="360" w:lineRule="auto"/>
        <w:rPr>
          <w:color w:val="000000"/>
          <w:highlight w:val="none"/>
        </w:rPr>
      </w:pPr>
      <w:r>
        <w:rPr>
          <w:rFonts w:hint="eastAsia"/>
          <w:color w:val="000000"/>
          <w:highlight w:val="none"/>
        </w:rPr>
        <w:t>（</w:t>
      </w:r>
      <w:r>
        <w:rPr>
          <w:color w:val="000000"/>
          <w:highlight w:val="none"/>
        </w:rPr>
        <w:t>1</w:t>
      </w:r>
      <w:r>
        <w:rPr>
          <w:rFonts w:hint="eastAsia"/>
          <w:color w:val="000000"/>
          <w:highlight w:val="none"/>
        </w:rPr>
        <w:t>）解密电子投标文件。“广西政府采购云平台按开标时间自动提取所有投标文件。采购代理机构依托广西政府采购云平台向各投标人发出电子加密投标文件【开始解密】通知，由投标人按</w:t>
      </w:r>
      <w:r>
        <w:rPr>
          <w:rFonts w:hint="eastAsia" w:hAnsi="宋体"/>
          <w:bCs/>
          <w:color w:val="000000"/>
          <w:szCs w:val="21"/>
          <w:highlight w:val="none"/>
        </w:rPr>
        <w:t>“投标人须知前附表”</w:t>
      </w:r>
      <w:r>
        <w:rPr>
          <w:rFonts w:hint="eastAsia"/>
          <w:color w:val="000000"/>
          <w:highlight w:val="none"/>
        </w:rPr>
        <w:t>规定的时间内自行进行投标文件解密。投标人的法定代表人或其委托代理人须凭加密时所用的</w:t>
      </w:r>
      <w:r>
        <w:rPr>
          <w:color w:val="000000"/>
          <w:highlight w:val="none"/>
        </w:rPr>
        <w:t>CA</w:t>
      </w:r>
      <w:r>
        <w:rPr>
          <w:rFonts w:hint="eastAsia"/>
          <w:color w:val="000000"/>
          <w:highlight w:val="none"/>
        </w:rPr>
        <w:t>锁准时登录到广西政府采购云平台电子开标大厅签到并对电子投标文件解密。</w:t>
      </w:r>
      <w:r>
        <w:rPr>
          <w:rFonts w:hint="eastAsia"/>
          <w:b/>
          <w:color w:val="000000"/>
          <w:highlight w:val="none"/>
        </w:rPr>
        <w:t>投标人未在规定的时间内解密投标文件或者解密失败的，</w:t>
      </w:r>
      <w:r>
        <w:rPr>
          <w:rFonts w:hint="eastAsia" w:ascii="宋体" w:hAnsi="宋体"/>
          <w:b/>
          <w:color w:val="000000"/>
          <w:szCs w:val="21"/>
          <w:highlight w:val="none"/>
        </w:rPr>
        <w:t>投标人的投标文件作无效处理</w:t>
      </w:r>
      <w:r>
        <w:rPr>
          <w:rFonts w:hint="eastAsia"/>
          <w:b/>
          <w:color w:val="000000"/>
          <w:highlight w:val="none"/>
        </w:rPr>
        <w:t>。</w:t>
      </w:r>
    </w:p>
    <w:p w14:paraId="6867F895">
      <w:pPr>
        <w:pStyle w:val="7"/>
        <w:spacing w:line="360" w:lineRule="auto"/>
        <w:rPr>
          <w:color w:val="000000"/>
          <w:highlight w:val="none"/>
        </w:rPr>
      </w:pPr>
      <w:r>
        <w:rPr>
          <w:rFonts w:hint="eastAsia"/>
          <w:color w:val="000000"/>
          <w:highlight w:val="none"/>
        </w:rPr>
        <w:t>（</w:t>
      </w:r>
      <w:r>
        <w:rPr>
          <w:color w:val="000000"/>
          <w:highlight w:val="none"/>
        </w:rPr>
        <w:t>2</w:t>
      </w:r>
      <w:r>
        <w:rPr>
          <w:rFonts w:hint="eastAsia"/>
          <w:color w:val="000000"/>
          <w:highlight w:val="none"/>
        </w:rPr>
        <w:t>）电子唱标。投标文件解密结束，宣布的内容均在广西政府采购云平台远程开标大厅展示，具体详见</w:t>
      </w:r>
      <w:r>
        <w:rPr>
          <w:rFonts w:hint="eastAsia" w:hAnsi="宋体"/>
          <w:bCs/>
          <w:color w:val="000000"/>
          <w:highlight w:val="none"/>
        </w:rPr>
        <w:t>“投标人须知前附表”</w:t>
      </w:r>
      <w:r>
        <w:rPr>
          <w:rFonts w:hint="eastAsia"/>
          <w:color w:val="000000"/>
          <w:highlight w:val="none"/>
        </w:rPr>
        <w:t>；</w:t>
      </w:r>
    </w:p>
    <w:p w14:paraId="4099282F">
      <w:pPr>
        <w:pStyle w:val="7"/>
        <w:spacing w:line="360" w:lineRule="auto"/>
        <w:rPr>
          <w:color w:val="000000"/>
          <w:highlight w:val="none"/>
        </w:rPr>
      </w:pPr>
      <w:r>
        <w:rPr>
          <w:rFonts w:hint="eastAsia"/>
          <w:color w:val="000000"/>
          <w:highlight w:val="none"/>
        </w:rPr>
        <w:t>（</w:t>
      </w:r>
      <w:r>
        <w:rPr>
          <w:color w:val="000000"/>
          <w:highlight w:val="none"/>
        </w:rPr>
        <w:t>3</w:t>
      </w:r>
      <w:r>
        <w:rPr>
          <w:rFonts w:hint="eastAsia"/>
          <w:color w:val="000000"/>
          <w:highlight w:val="none"/>
        </w:rPr>
        <w:t>）开标过程由采购代理机构如实记录，并电子留痕，由参加电子开标的各投标人代表对电子开标记录在开标记录公布后</w:t>
      </w:r>
      <w:r>
        <w:rPr>
          <w:color w:val="000000"/>
          <w:highlight w:val="none"/>
        </w:rPr>
        <w:t>15</w:t>
      </w:r>
      <w:r>
        <w:rPr>
          <w:rFonts w:hint="eastAsia"/>
          <w:color w:val="000000"/>
          <w:highlight w:val="none"/>
        </w:rPr>
        <w:t>分钟内进行当场校核及勘误，并线上确认是否有异议，未确认的视同认可开标结果。</w:t>
      </w:r>
    </w:p>
    <w:p w14:paraId="21ECBC23">
      <w:pPr>
        <w:pStyle w:val="7"/>
        <w:spacing w:line="360" w:lineRule="auto"/>
        <w:rPr>
          <w:color w:val="000000"/>
          <w:highlight w:val="none"/>
        </w:rPr>
      </w:pPr>
      <w:r>
        <w:rPr>
          <w:rFonts w:hint="eastAsia"/>
          <w:color w:val="000000"/>
          <w:highlight w:val="none"/>
        </w:rPr>
        <w:t>（</w:t>
      </w:r>
      <w:r>
        <w:rPr>
          <w:color w:val="000000"/>
          <w:highlight w:val="none"/>
        </w:rPr>
        <w:t>4</w:t>
      </w:r>
      <w:r>
        <w:rPr>
          <w:rFonts w:hint="eastAsia"/>
          <w:color w:val="000000"/>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90F62C7">
      <w:pPr>
        <w:pStyle w:val="7"/>
        <w:spacing w:line="360" w:lineRule="auto"/>
        <w:rPr>
          <w:color w:val="000000"/>
          <w:szCs w:val="21"/>
          <w:highlight w:val="none"/>
        </w:rPr>
      </w:pPr>
      <w:r>
        <w:rPr>
          <w:rFonts w:hint="eastAsia"/>
          <w:color w:val="000000"/>
          <w:szCs w:val="21"/>
          <w:highlight w:val="none"/>
        </w:rPr>
        <w:t>（</w:t>
      </w:r>
      <w:r>
        <w:rPr>
          <w:color w:val="000000"/>
          <w:szCs w:val="21"/>
          <w:highlight w:val="none"/>
        </w:rPr>
        <w:t>5</w:t>
      </w:r>
      <w:r>
        <w:rPr>
          <w:rFonts w:hint="eastAsia"/>
          <w:color w:val="000000"/>
          <w:szCs w:val="21"/>
          <w:highlight w:val="none"/>
        </w:rPr>
        <w:t>）开标结束。</w:t>
      </w:r>
    </w:p>
    <w:p w14:paraId="34085AB3">
      <w:pPr>
        <w:pStyle w:val="24"/>
        <w:snapToGrid w:val="0"/>
        <w:spacing w:line="360" w:lineRule="auto"/>
        <w:ind w:firstLine="420" w:firstLineChars="200"/>
        <w:rPr>
          <w:rFonts w:hAnsi="宋体"/>
          <w:color w:val="000000"/>
          <w:sz w:val="21"/>
          <w:highlight w:val="none"/>
        </w:rPr>
      </w:pPr>
      <w:r>
        <w:rPr>
          <w:rFonts w:hint="eastAsia"/>
          <w:color w:val="000000"/>
          <w:sz w:val="21"/>
          <w:highlight w:val="none"/>
        </w:rPr>
        <w:t>特别说明：如遇广西政府采购云平台电子化开标或评审程序调整的，按调整后执行。</w:t>
      </w:r>
    </w:p>
    <w:p w14:paraId="43A8666C">
      <w:pPr>
        <w:pStyle w:val="24"/>
        <w:snapToGrid w:val="0"/>
        <w:spacing w:line="360" w:lineRule="auto"/>
        <w:ind w:left="689" w:leftChars="228" w:hanging="210" w:hangingChars="100"/>
        <w:rPr>
          <w:rFonts w:hint="eastAsia" w:hAnsi="宋体"/>
          <w:color w:val="000000"/>
          <w:sz w:val="21"/>
          <w:highlight w:val="none"/>
        </w:rPr>
      </w:pPr>
    </w:p>
    <w:p w14:paraId="5AE7707D">
      <w:pPr>
        <w:pStyle w:val="4"/>
        <w:keepNext w:val="0"/>
        <w:keepLines w:val="0"/>
        <w:jc w:val="center"/>
        <w:rPr>
          <w:rFonts w:hint="eastAsia"/>
          <w:color w:val="000000"/>
          <w:highlight w:val="none"/>
        </w:rPr>
      </w:pPr>
      <w:r>
        <w:rPr>
          <w:rFonts w:hint="eastAsia"/>
          <w:color w:val="000000"/>
          <w:highlight w:val="none"/>
        </w:rPr>
        <w:t>五、资格审查</w:t>
      </w:r>
    </w:p>
    <w:p w14:paraId="00F05705">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25.资格审查</w:t>
      </w:r>
    </w:p>
    <w:p w14:paraId="55A18516">
      <w:pPr>
        <w:pStyle w:val="6"/>
        <w:keepNext w:val="0"/>
        <w:keepLines w:val="0"/>
        <w:spacing w:before="0" w:after="0" w:line="360" w:lineRule="auto"/>
        <w:ind w:firstLine="315" w:firstLineChars="15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25.1</w:t>
      </w:r>
      <w:r>
        <w:rPr>
          <w:rFonts w:ascii="宋体" w:hAnsi="宋体"/>
          <w:b w:val="0"/>
          <w:color w:val="000000"/>
          <w:sz w:val="21"/>
          <w:szCs w:val="21"/>
          <w:highlight w:val="none"/>
        </w:rPr>
        <w:t>开标结束后，</w:t>
      </w:r>
      <w:r>
        <w:rPr>
          <w:rFonts w:hint="eastAsia" w:ascii="宋体" w:hAnsi="宋体"/>
          <w:b w:val="0"/>
          <w:color w:val="000000"/>
          <w:sz w:val="21"/>
          <w:szCs w:val="21"/>
          <w:highlight w:val="none"/>
        </w:rPr>
        <w:t>采购人或者采购代理机构通过电子开评标系统依据招标文件对电子投标文件进行线上资格审查</w:t>
      </w:r>
      <w:r>
        <w:rPr>
          <w:rFonts w:ascii="宋体" w:hAnsi="宋体"/>
          <w:b w:val="0"/>
          <w:color w:val="000000"/>
          <w:sz w:val="21"/>
          <w:szCs w:val="21"/>
          <w:highlight w:val="none"/>
        </w:rPr>
        <w:t>。</w:t>
      </w:r>
    </w:p>
    <w:p w14:paraId="4999ACA4">
      <w:pPr>
        <w:pStyle w:val="6"/>
        <w:keepNext w:val="0"/>
        <w:keepLines w:val="0"/>
        <w:spacing w:before="0" w:after="0" w:line="360" w:lineRule="auto"/>
        <w:ind w:firstLine="315" w:firstLineChars="15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710358F3">
      <w:pPr>
        <w:pStyle w:val="6"/>
        <w:keepNext w:val="0"/>
        <w:keepLines w:val="0"/>
        <w:numPr>
          <w:ilvl w:val="0"/>
          <w:numId w:val="0"/>
        </w:numPr>
        <w:spacing w:before="0" w:after="0" w:line="360" w:lineRule="auto"/>
        <w:ind w:firstLine="422" w:firstLineChars="200"/>
        <w:rPr>
          <w:rFonts w:hint="eastAsia" w:ascii="宋体" w:hAnsi="宋体"/>
          <w:color w:val="000000"/>
          <w:sz w:val="21"/>
          <w:szCs w:val="21"/>
          <w:highlight w:val="none"/>
        </w:rPr>
      </w:pPr>
      <w:bookmarkStart w:id="133" w:name="_25.3_投标人有下列情形之一的，资格审查不通过而导致其投标无效："/>
      <w:bookmarkEnd w:id="133"/>
      <w:r>
        <w:rPr>
          <w:rFonts w:hint="eastAsia" w:ascii="宋体" w:hAnsi="宋体"/>
          <w:color w:val="000000"/>
          <w:sz w:val="21"/>
          <w:szCs w:val="21"/>
          <w:highlight w:val="none"/>
        </w:rPr>
        <w:t>25.3 投标人有下列情形之一的，资格审查不通过，作无效投标处理：</w:t>
      </w:r>
    </w:p>
    <w:p w14:paraId="1F25895A">
      <w:pPr>
        <w:pStyle w:val="24"/>
        <w:snapToGrid w:val="0"/>
        <w:spacing w:line="360" w:lineRule="auto"/>
        <w:ind w:firstLine="422" w:firstLineChars="200"/>
        <w:rPr>
          <w:rFonts w:hAnsi="宋体"/>
          <w:b/>
          <w:color w:val="000000"/>
          <w:sz w:val="21"/>
          <w:highlight w:val="none"/>
        </w:rPr>
      </w:pPr>
      <w:r>
        <w:rPr>
          <w:rFonts w:hint="eastAsia" w:hAnsi="宋体"/>
          <w:b/>
          <w:color w:val="000000"/>
          <w:sz w:val="21"/>
          <w:highlight w:val="none"/>
        </w:rPr>
        <w:t>（1）不具备招标文件中规定的资格要求的；</w:t>
      </w:r>
    </w:p>
    <w:p w14:paraId="0DC4D41E">
      <w:pPr>
        <w:pStyle w:val="24"/>
        <w:snapToGrid w:val="0"/>
        <w:spacing w:line="360" w:lineRule="auto"/>
        <w:ind w:firstLine="422" w:firstLineChars="200"/>
        <w:rPr>
          <w:rFonts w:hAnsi="宋体"/>
          <w:b/>
          <w:color w:val="000000"/>
          <w:sz w:val="21"/>
          <w:highlight w:val="none"/>
        </w:rPr>
      </w:pPr>
      <w:r>
        <w:rPr>
          <w:rFonts w:hint="eastAsia" w:hAnsi="宋体"/>
          <w:b/>
          <w:color w:val="000000"/>
          <w:sz w:val="21"/>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6F10D762">
      <w:pPr>
        <w:pStyle w:val="24"/>
        <w:snapToGrid w:val="0"/>
        <w:spacing w:line="360" w:lineRule="auto"/>
        <w:ind w:firstLine="422" w:firstLineChars="200"/>
        <w:rPr>
          <w:rFonts w:hint="eastAsia" w:hAnsi="宋体"/>
          <w:b/>
          <w:color w:val="000000"/>
          <w:sz w:val="21"/>
          <w:highlight w:val="none"/>
        </w:rPr>
      </w:pPr>
      <w:r>
        <w:rPr>
          <w:rFonts w:hint="eastAsia" w:hAnsi="宋体"/>
          <w:b/>
          <w:color w:val="000000"/>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4DBA71E5">
      <w:pPr>
        <w:pStyle w:val="24"/>
        <w:snapToGrid w:val="0"/>
        <w:spacing w:line="360" w:lineRule="auto"/>
        <w:ind w:firstLine="422" w:firstLineChars="200"/>
        <w:rPr>
          <w:rFonts w:hint="eastAsia" w:hAnsi="宋体"/>
          <w:b/>
          <w:color w:val="000000"/>
          <w:sz w:val="21"/>
          <w:highlight w:val="none"/>
        </w:rPr>
      </w:pPr>
      <w:r>
        <w:rPr>
          <w:rFonts w:hint="eastAsia" w:hAnsi="宋体"/>
          <w:b/>
          <w:color w:val="000000"/>
          <w:sz w:val="21"/>
          <w:highlight w:val="none"/>
        </w:rPr>
        <w:t>（4）投标文件中的资格证明文件缺少任一项“投标人须知前附表”资格证明文件规定“必须提供”的文件资料的；</w:t>
      </w:r>
    </w:p>
    <w:p w14:paraId="4178DECC">
      <w:pPr>
        <w:pStyle w:val="24"/>
        <w:snapToGrid w:val="0"/>
        <w:spacing w:line="360" w:lineRule="auto"/>
        <w:ind w:firstLine="422" w:firstLineChars="200"/>
        <w:rPr>
          <w:rFonts w:hint="eastAsia" w:hAnsi="宋体"/>
          <w:b/>
          <w:color w:val="000000"/>
          <w:sz w:val="21"/>
          <w:highlight w:val="none"/>
        </w:rPr>
      </w:pPr>
      <w:r>
        <w:rPr>
          <w:rFonts w:hint="eastAsia" w:hAnsi="宋体"/>
          <w:b/>
          <w:color w:val="000000"/>
          <w:sz w:val="21"/>
          <w:highlight w:val="none"/>
        </w:rPr>
        <w:t>（5）投标文件中的资格证明文件出现任一项不符合“投标人须知前附表”资格证明文件规定“必须提供”的文件资料要求或者无效的。</w:t>
      </w:r>
    </w:p>
    <w:p w14:paraId="3E59BEEE">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color w:val="000000"/>
          <w:sz w:val="21"/>
          <w:szCs w:val="21"/>
          <w:highlight w:val="none"/>
        </w:rPr>
        <w:t>25.4</w:t>
      </w:r>
      <w:r>
        <w:rPr>
          <w:rFonts w:ascii="宋体" w:hAnsi="宋体"/>
          <w:color w:val="000000"/>
          <w:sz w:val="21"/>
          <w:szCs w:val="21"/>
          <w:highlight w:val="none"/>
        </w:rPr>
        <w:t>合格投标人不足3家的，不得评标。</w:t>
      </w:r>
    </w:p>
    <w:p w14:paraId="63116960">
      <w:pPr>
        <w:pStyle w:val="24"/>
        <w:snapToGrid w:val="0"/>
        <w:spacing w:line="360" w:lineRule="auto"/>
        <w:ind w:left="689" w:leftChars="228" w:hanging="210" w:hangingChars="100"/>
        <w:rPr>
          <w:rFonts w:hint="eastAsia" w:hAnsi="宋体"/>
          <w:color w:val="000000"/>
          <w:sz w:val="21"/>
          <w:highlight w:val="none"/>
        </w:rPr>
      </w:pPr>
    </w:p>
    <w:p w14:paraId="42E13DC4">
      <w:pPr>
        <w:pStyle w:val="4"/>
        <w:keepNext w:val="0"/>
        <w:keepLines w:val="0"/>
        <w:jc w:val="center"/>
        <w:rPr>
          <w:rFonts w:hint="eastAsia"/>
          <w:color w:val="000000"/>
          <w:highlight w:val="none"/>
        </w:rPr>
      </w:pPr>
      <w:r>
        <w:rPr>
          <w:rFonts w:hint="eastAsia"/>
          <w:color w:val="000000"/>
          <w:highlight w:val="none"/>
        </w:rPr>
        <w:t>六、评   标</w:t>
      </w:r>
    </w:p>
    <w:p w14:paraId="7D77305E">
      <w:pPr>
        <w:pStyle w:val="6"/>
        <w:keepNext w:val="0"/>
        <w:keepLines w:val="0"/>
        <w:spacing w:before="0" w:after="0" w:line="360" w:lineRule="auto"/>
        <w:ind w:left="420" w:leftChars="200"/>
        <w:rPr>
          <w:rFonts w:hint="eastAsia" w:ascii="黑体" w:hAnsi="黑体" w:eastAsia="黑体"/>
          <w:color w:val="000000"/>
          <w:sz w:val="24"/>
          <w:highlight w:val="none"/>
        </w:rPr>
      </w:pPr>
      <w:bookmarkStart w:id="134" w:name="_26.组建评标委员会"/>
      <w:bookmarkEnd w:id="134"/>
      <w:r>
        <w:rPr>
          <w:rFonts w:hint="eastAsia" w:ascii="黑体" w:hAnsi="黑体" w:eastAsia="黑体"/>
          <w:color w:val="000000"/>
          <w:sz w:val="24"/>
          <w:highlight w:val="none"/>
        </w:rPr>
        <w:t>26.组建评标委员会</w:t>
      </w:r>
    </w:p>
    <w:p w14:paraId="7F14FFA7">
      <w:pPr>
        <w:pStyle w:val="24"/>
        <w:snapToGrid w:val="0"/>
        <w:spacing w:line="360" w:lineRule="auto"/>
        <w:ind w:firstLine="420" w:firstLineChars="200"/>
        <w:rPr>
          <w:rFonts w:hint="eastAsia" w:hAnsi="宋体"/>
          <w:color w:val="000000"/>
          <w:sz w:val="21"/>
          <w:highlight w:val="none"/>
        </w:rPr>
      </w:pPr>
      <w:r>
        <w:rPr>
          <w:rFonts w:hint="eastAsia" w:hAnsi="宋体"/>
          <w:color w:val="000000"/>
          <w:sz w:val="21"/>
          <w:highlight w:val="none"/>
        </w:rPr>
        <w:t>26.1评标委员会由采购人代表和评审专家组成，具体人数详见“投标人须知前附表”，其中评审专家不得少于成员总数的三分之二。</w:t>
      </w:r>
    </w:p>
    <w:p w14:paraId="4FE4279A">
      <w:pPr>
        <w:pStyle w:val="24"/>
        <w:snapToGrid w:val="0"/>
        <w:spacing w:line="360" w:lineRule="auto"/>
        <w:ind w:left="2" w:leftChars="1" w:firstLine="420" w:firstLineChars="200"/>
        <w:rPr>
          <w:rFonts w:hint="eastAsia" w:hAnsi="宋体"/>
          <w:color w:val="000000"/>
          <w:sz w:val="21"/>
          <w:highlight w:val="none"/>
        </w:rPr>
      </w:pPr>
      <w:r>
        <w:rPr>
          <w:rFonts w:hint="eastAsia" w:hAnsi="宋体"/>
          <w:color w:val="000000"/>
          <w:sz w:val="21"/>
          <w:highlight w:val="none"/>
        </w:rPr>
        <w:t>26.2参加过采购项目前期咨询论证的专家，不得参加该采购项目的评审活动。</w:t>
      </w:r>
    </w:p>
    <w:p w14:paraId="5ACD5D13">
      <w:pPr>
        <w:pStyle w:val="24"/>
        <w:snapToGrid w:val="0"/>
        <w:spacing w:line="360" w:lineRule="auto"/>
        <w:ind w:left="2" w:leftChars="1" w:firstLine="420" w:firstLineChars="200"/>
        <w:rPr>
          <w:rFonts w:hAnsi="宋体"/>
          <w:color w:val="000000"/>
          <w:sz w:val="21"/>
          <w:highlight w:val="none"/>
        </w:rPr>
      </w:pPr>
      <w:r>
        <w:rPr>
          <w:rFonts w:hint="eastAsia" w:hAnsi="宋体"/>
          <w:color w:val="000000"/>
          <w:sz w:val="21"/>
          <w:highlight w:val="none"/>
        </w:rPr>
        <w:t>26.3</w:t>
      </w:r>
      <w:r>
        <w:rPr>
          <w:rFonts w:hint="eastAsia" w:hAnsi="宋体"/>
          <w:bCs/>
          <w:color w:val="000000"/>
          <w:sz w:val="21"/>
          <w:highlight w:val="none"/>
        </w:rPr>
        <w:t>采购代理机构应当基于广西政府采购云平台抽（选）取评审专家。</w:t>
      </w:r>
    </w:p>
    <w:p w14:paraId="45431C9B">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27.评标的依据</w:t>
      </w:r>
    </w:p>
    <w:p w14:paraId="50BD0EC3">
      <w:pPr>
        <w:pStyle w:val="24"/>
        <w:snapToGrid w:val="0"/>
        <w:spacing w:line="360" w:lineRule="auto"/>
        <w:ind w:firstLine="420" w:firstLineChars="200"/>
        <w:rPr>
          <w:rFonts w:hint="eastAsia" w:hAnsi="宋体"/>
          <w:color w:val="000000"/>
          <w:sz w:val="21"/>
          <w:highlight w:val="none"/>
        </w:rPr>
      </w:pPr>
      <w:r>
        <w:rPr>
          <w:rFonts w:hint="eastAsia" w:hAnsi="宋体"/>
          <w:color w:val="000000"/>
          <w:sz w:val="21"/>
          <w:highlight w:val="none"/>
        </w:rPr>
        <w:t>评标委员会以</w:t>
      </w:r>
      <w:r>
        <w:rPr>
          <w:rFonts w:hint="eastAsia" w:hAnsi="宋体" w:cs="宋体"/>
          <w:color w:val="000000"/>
          <w:sz w:val="21"/>
          <w:highlight w:val="none"/>
        </w:rPr>
        <w:t>“第四章 评标方法和评标标准”</w:t>
      </w:r>
      <w:r>
        <w:rPr>
          <w:rFonts w:hint="eastAsia" w:hAnsi="宋体"/>
          <w:color w:val="000000"/>
          <w:sz w:val="21"/>
          <w:highlight w:val="none"/>
        </w:rPr>
        <w:t>为依据对投标文件进行评审，</w:t>
      </w:r>
      <w:r>
        <w:rPr>
          <w:rFonts w:hAnsi="宋体"/>
          <w:color w:val="000000"/>
          <w:sz w:val="21"/>
          <w:highlight w:val="none"/>
        </w:rPr>
        <w:t>没有规定的方法、评审因素和标准，不作为评标依据。</w:t>
      </w:r>
    </w:p>
    <w:p w14:paraId="753BDC8E">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28.评标原则</w:t>
      </w:r>
    </w:p>
    <w:p w14:paraId="3848480B">
      <w:pPr>
        <w:pStyle w:val="24"/>
        <w:snapToGrid w:val="0"/>
        <w:spacing w:line="360" w:lineRule="auto"/>
        <w:ind w:firstLine="420" w:firstLineChars="200"/>
        <w:rPr>
          <w:rFonts w:hint="eastAsia" w:hAnsi="宋体"/>
          <w:color w:val="000000"/>
          <w:sz w:val="21"/>
          <w:highlight w:val="none"/>
        </w:rPr>
      </w:pPr>
      <w:r>
        <w:rPr>
          <w:rFonts w:hint="eastAsia" w:hAnsi="宋体"/>
          <w:color w:val="000000"/>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07B0965">
      <w:pPr>
        <w:pStyle w:val="24"/>
        <w:snapToGrid w:val="0"/>
        <w:spacing w:line="360" w:lineRule="auto"/>
        <w:ind w:firstLine="420" w:firstLineChars="200"/>
        <w:rPr>
          <w:rFonts w:hint="eastAsia" w:hAnsi="宋体"/>
          <w:color w:val="000000"/>
          <w:sz w:val="21"/>
          <w:highlight w:val="none"/>
        </w:rPr>
      </w:pPr>
      <w:r>
        <w:rPr>
          <w:rFonts w:hint="eastAsia" w:hAnsi="宋体"/>
          <w:color w:val="000000"/>
          <w:sz w:val="21"/>
          <w:highlight w:val="none"/>
        </w:rPr>
        <w:t>28.2</w:t>
      </w:r>
      <w:bookmarkStart w:id="135" w:name="_28.3评标方法。本项目将按须知前附表规定的评标办法进行评标，具体评标"/>
      <w:bookmarkEnd w:id="135"/>
      <w:r>
        <w:rPr>
          <w:rFonts w:hint="eastAsia" w:hAnsi="宋体"/>
          <w:color w:val="000000"/>
          <w:sz w:val="21"/>
          <w:highlight w:val="none"/>
        </w:rPr>
        <w:t>评委表决。评标委员会成员对需要共同认定的事项存在争议的，应当按照少数服从多数的原则作出结论。</w:t>
      </w:r>
    </w:p>
    <w:p w14:paraId="19B8D56C">
      <w:pPr>
        <w:pStyle w:val="24"/>
        <w:snapToGrid w:val="0"/>
        <w:spacing w:line="360" w:lineRule="auto"/>
        <w:ind w:firstLine="420" w:firstLineChars="200"/>
        <w:rPr>
          <w:rFonts w:hAnsi="宋体"/>
          <w:color w:val="000000"/>
          <w:sz w:val="21"/>
          <w:highlight w:val="none"/>
        </w:rPr>
      </w:pPr>
      <w:r>
        <w:rPr>
          <w:rFonts w:hint="eastAsia" w:hAnsi="宋体"/>
          <w:color w:val="000000"/>
          <w:sz w:val="21"/>
          <w:highlight w:val="none"/>
        </w:rPr>
        <w:t>28.</w:t>
      </w:r>
      <w:r>
        <w:rPr>
          <w:rFonts w:hAnsi="宋体"/>
          <w:color w:val="000000"/>
          <w:sz w:val="21"/>
          <w:highlight w:val="none"/>
        </w:rPr>
        <w:t>3</w:t>
      </w:r>
      <w:r>
        <w:rPr>
          <w:rFonts w:hint="eastAsia" w:hAnsi="宋体"/>
          <w:color w:val="000000"/>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6C435E77">
      <w:pPr>
        <w:pStyle w:val="24"/>
        <w:snapToGrid w:val="0"/>
        <w:spacing w:line="360" w:lineRule="auto"/>
        <w:ind w:firstLine="420" w:firstLineChars="200"/>
        <w:rPr>
          <w:rFonts w:hint="eastAsia" w:hAnsi="宋体"/>
          <w:color w:val="000000"/>
          <w:sz w:val="21"/>
          <w:highlight w:val="none"/>
        </w:rPr>
      </w:pPr>
      <w:r>
        <w:rPr>
          <w:rFonts w:hint="eastAsia" w:hAnsi="宋体"/>
          <w:color w:val="000000"/>
          <w:sz w:val="21"/>
          <w:highlight w:val="none"/>
        </w:rPr>
        <w:t>2</w:t>
      </w:r>
      <w:r>
        <w:rPr>
          <w:rFonts w:hAnsi="宋体"/>
          <w:color w:val="000000"/>
          <w:sz w:val="21"/>
          <w:highlight w:val="none"/>
        </w:rPr>
        <w:t>8.4</w:t>
      </w:r>
      <w:r>
        <w:rPr>
          <w:rFonts w:hint="eastAsia" w:hAnsi="宋体"/>
          <w:color w:val="000000"/>
          <w:sz w:val="21"/>
          <w:highlight w:val="none"/>
        </w:rPr>
        <w:t>评标过程的监控。本项目电子评标过程实行网上留痕、全程录音、录像监控，</w:t>
      </w:r>
      <w:r>
        <w:rPr>
          <w:rFonts w:hint="eastAsia" w:hAnsi="宋体"/>
          <w:b/>
          <w:color w:val="000000"/>
          <w:sz w:val="21"/>
          <w:highlight w:val="none"/>
        </w:rPr>
        <w:t>投标人在评标过程中所进行的试图影响评标结果的不公正活动，可能导致其投标按无效处理。</w:t>
      </w:r>
    </w:p>
    <w:p w14:paraId="2343BC1B">
      <w:pPr>
        <w:pStyle w:val="6"/>
        <w:keepNext w:val="0"/>
        <w:keepLines w:val="0"/>
        <w:spacing w:before="0" w:after="0" w:line="360" w:lineRule="auto"/>
        <w:ind w:left="420" w:leftChars="200"/>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29.评标方法及中标候选人推荐</w:t>
      </w:r>
    </w:p>
    <w:p w14:paraId="2C59D29D">
      <w:pPr>
        <w:pStyle w:val="24"/>
        <w:snapToGrid w:val="0"/>
        <w:spacing w:line="360" w:lineRule="auto"/>
        <w:ind w:firstLine="420" w:firstLineChars="200"/>
        <w:rPr>
          <w:rFonts w:hAnsi="宋体"/>
          <w:color w:val="000000"/>
          <w:sz w:val="21"/>
          <w:highlight w:val="none"/>
        </w:rPr>
      </w:pPr>
      <w:r>
        <w:rPr>
          <w:rFonts w:hint="eastAsia" w:hAnsi="宋体"/>
          <w:color w:val="000000"/>
          <w:sz w:val="21"/>
          <w:highlight w:val="none"/>
        </w:rPr>
        <w:t>2</w:t>
      </w:r>
      <w:r>
        <w:rPr>
          <w:rFonts w:hAnsi="宋体"/>
          <w:color w:val="000000"/>
          <w:sz w:val="21"/>
          <w:highlight w:val="none"/>
        </w:rPr>
        <w:t>9.1</w:t>
      </w:r>
      <w:r>
        <w:rPr>
          <w:rFonts w:hint="eastAsia" w:hAnsi="宋体"/>
          <w:color w:val="000000"/>
          <w:sz w:val="21"/>
          <w:highlight w:val="none"/>
        </w:rPr>
        <w:t>本项目的评标方法详见“投标人须知前附表”。</w:t>
      </w:r>
    </w:p>
    <w:p w14:paraId="49C0B308">
      <w:pPr>
        <w:pStyle w:val="24"/>
        <w:snapToGrid w:val="0"/>
        <w:spacing w:line="360" w:lineRule="auto"/>
        <w:ind w:firstLine="420" w:firstLineChars="200"/>
        <w:rPr>
          <w:rFonts w:hAnsi="宋体"/>
          <w:color w:val="000000"/>
          <w:sz w:val="21"/>
          <w:highlight w:val="none"/>
        </w:rPr>
      </w:pPr>
      <w:r>
        <w:rPr>
          <w:rFonts w:hint="eastAsia" w:hAnsi="宋体"/>
          <w:color w:val="000000"/>
          <w:sz w:val="21"/>
          <w:highlight w:val="none"/>
        </w:rPr>
        <w:t>2</w:t>
      </w:r>
      <w:r>
        <w:rPr>
          <w:rFonts w:hAnsi="宋体"/>
          <w:color w:val="000000"/>
          <w:sz w:val="21"/>
          <w:highlight w:val="none"/>
        </w:rPr>
        <w:t>9.2</w:t>
      </w:r>
      <w:r>
        <w:rPr>
          <w:rFonts w:hAnsi="宋体" w:cs="宋体"/>
          <w:color w:val="000000"/>
          <w:sz w:val="21"/>
          <w:highlight w:val="none"/>
        </w:rPr>
        <w:t xml:space="preserve"> </w:t>
      </w:r>
      <w:r>
        <w:rPr>
          <w:rFonts w:hint="eastAsia" w:hAnsi="宋体" w:cs="宋体"/>
          <w:color w:val="000000"/>
          <w:sz w:val="21"/>
          <w:highlight w:val="none"/>
        </w:rPr>
        <w:t>商务/技术要求</w:t>
      </w:r>
      <w:r>
        <w:rPr>
          <w:rFonts w:hint="eastAsia" w:hAnsi="宋体"/>
          <w:color w:val="000000"/>
          <w:sz w:val="21"/>
          <w:highlight w:val="none"/>
        </w:rPr>
        <w:t>允许负偏离的条款数</w:t>
      </w:r>
      <w:r>
        <w:rPr>
          <w:rFonts w:hAnsi="宋体"/>
          <w:color w:val="000000"/>
          <w:sz w:val="21"/>
          <w:highlight w:val="none"/>
        </w:rPr>
        <w:t>详见</w:t>
      </w:r>
      <w:r>
        <w:rPr>
          <w:rFonts w:hint="eastAsia" w:hAnsi="宋体"/>
          <w:color w:val="000000"/>
          <w:sz w:val="21"/>
          <w:highlight w:val="none"/>
        </w:rPr>
        <w:t>“投标人须知前附表”。</w:t>
      </w:r>
    </w:p>
    <w:p w14:paraId="1E4B27DD">
      <w:pPr>
        <w:pStyle w:val="24"/>
        <w:snapToGrid w:val="0"/>
        <w:spacing w:line="360" w:lineRule="auto"/>
        <w:ind w:firstLine="420" w:firstLineChars="200"/>
        <w:rPr>
          <w:rFonts w:hint="eastAsia" w:hAnsi="宋体" w:cs="宋体"/>
          <w:color w:val="000000"/>
          <w:sz w:val="21"/>
          <w:highlight w:val="none"/>
        </w:rPr>
      </w:pPr>
      <w:r>
        <w:rPr>
          <w:rFonts w:hint="eastAsia" w:hAnsi="宋体"/>
          <w:color w:val="000000"/>
          <w:sz w:val="21"/>
          <w:highlight w:val="none"/>
        </w:rPr>
        <w:t>2</w:t>
      </w:r>
      <w:r>
        <w:rPr>
          <w:rFonts w:hAnsi="宋体"/>
          <w:color w:val="000000"/>
          <w:sz w:val="21"/>
          <w:highlight w:val="none"/>
        </w:rPr>
        <w:t>9.3</w:t>
      </w:r>
      <w:r>
        <w:rPr>
          <w:rFonts w:hAnsi="宋体" w:cs="宋体"/>
          <w:color w:val="000000"/>
          <w:sz w:val="21"/>
          <w:highlight w:val="none"/>
        </w:rPr>
        <w:t xml:space="preserve"> </w:t>
      </w:r>
      <w:r>
        <w:rPr>
          <w:rFonts w:hAnsi="宋体"/>
          <w:color w:val="000000"/>
          <w:sz w:val="21"/>
          <w:highlight w:val="none"/>
        </w:rPr>
        <w:t>中标候选人推荐数量详见</w:t>
      </w:r>
      <w:r>
        <w:rPr>
          <w:rFonts w:hint="eastAsia" w:hAnsi="宋体"/>
          <w:color w:val="000000"/>
          <w:sz w:val="21"/>
          <w:highlight w:val="none"/>
        </w:rPr>
        <w:t>“投标人须知前附表”。</w:t>
      </w:r>
    </w:p>
    <w:p w14:paraId="195E2316">
      <w:pPr>
        <w:spacing w:line="360" w:lineRule="auto"/>
        <w:ind w:firstLine="420" w:firstLineChars="200"/>
        <w:rPr>
          <w:rFonts w:hint="eastAsia" w:hAnsi="宋体"/>
          <w:color w:val="000000"/>
          <w:szCs w:val="21"/>
          <w:highlight w:val="none"/>
        </w:rPr>
      </w:pPr>
      <w:r>
        <w:rPr>
          <w:rFonts w:hint="eastAsia" w:hAnsi="宋体"/>
          <w:color w:val="000000"/>
          <w:szCs w:val="21"/>
          <w:highlight w:val="none"/>
        </w:rPr>
        <w:t>29.</w:t>
      </w:r>
      <w:r>
        <w:rPr>
          <w:rFonts w:hAnsi="宋体"/>
          <w:color w:val="000000"/>
          <w:szCs w:val="21"/>
          <w:highlight w:val="none"/>
        </w:rPr>
        <w:t>4</w:t>
      </w:r>
      <w:r>
        <w:rPr>
          <w:rFonts w:hint="eastAsia" w:hAnsi="宋体"/>
          <w:color w:val="000000"/>
          <w:szCs w:val="21"/>
          <w:highlight w:val="none"/>
        </w:rPr>
        <w:t xml:space="preserve"> 电子交易活动的中止。采购过程中出现以下情形，导致电子交易平台无法正常运行，或者无法保证电子交易的公平、公正和安全时，采购代理机构可以中止电子交易活动：</w:t>
      </w:r>
    </w:p>
    <w:p w14:paraId="617368CC">
      <w:pPr>
        <w:spacing w:line="360" w:lineRule="auto"/>
        <w:ind w:firstLine="420" w:firstLineChars="200"/>
        <w:rPr>
          <w:rFonts w:hint="eastAsia" w:hAnsi="宋体"/>
          <w:color w:val="000000"/>
          <w:szCs w:val="21"/>
          <w:highlight w:val="none"/>
        </w:rPr>
      </w:pPr>
      <w:r>
        <w:rPr>
          <w:rFonts w:hint="eastAsia" w:hAnsi="宋体"/>
          <w:color w:val="000000"/>
          <w:szCs w:val="21"/>
          <w:highlight w:val="none"/>
        </w:rPr>
        <w:t xml:space="preserve">（1）电子交易平台发生故障而无法登录访问的； </w:t>
      </w:r>
    </w:p>
    <w:p w14:paraId="575A5371">
      <w:pPr>
        <w:spacing w:line="360" w:lineRule="auto"/>
        <w:ind w:firstLine="420" w:firstLineChars="200"/>
        <w:rPr>
          <w:rFonts w:hint="eastAsia" w:hAnsi="宋体"/>
          <w:color w:val="000000"/>
          <w:szCs w:val="21"/>
          <w:highlight w:val="none"/>
        </w:rPr>
      </w:pPr>
      <w:r>
        <w:rPr>
          <w:rFonts w:hint="eastAsia" w:hAnsi="宋体"/>
          <w:color w:val="000000"/>
          <w:szCs w:val="21"/>
          <w:highlight w:val="none"/>
        </w:rPr>
        <w:t>（2）电子交易平台应用或数据库出现错误，不能进行正常操作的；</w:t>
      </w:r>
    </w:p>
    <w:p w14:paraId="242970D4">
      <w:pPr>
        <w:spacing w:line="360" w:lineRule="auto"/>
        <w:ind w:firstLine="420" w:firstLineChars="200"/>
        <w:rPr>
          <w:rFonts w:hint="eastAsia" w:hAnsi="宋体"/>
          <w:color w:val="000000"/>
          <w:szCs w:val="21"/>
          <w:highlight w:val="none"/>
        </w:rPr>
      </w:pPr>
      <w:r>
        <w:rPr>
          <w:rFonts w:hint="eastAsia" w:hAnsi="宋体"/>
          <w:color w:val="000000"/>
          <w:szCs w:val="21"/>
          <w:highlight w:val="none"/>
        </w:rPr>
        <w:t>（3）电子交易平台发现严重安全漏洞，有潜在泄密危险的；</w:t>
      </w:r>
    </w:p>
    <w:p w14:paraId="4197D1E8">
      <w:pPr>
        <w:spacing w:line="360" w:lineRule="auto"/>
        <w:ind w:firstLine="420" w:firstLineChars="200"/>
        <w:rPr>
          <w:rFonts w:hint="eastAsia" w:hAnsi="宋体"/>
          <w:color w:val="000000"/>
          <w:szCs w:val="21"/>
          <w:highlight w:val="none"/>
        </w:rPr>
      </w:pPr>
      <w:r>
        <w:rPr>
          <w:rFonts w:hint="eastAsia" w:hAnsi="宋体"/>
          <w:color w:val="000000"/>
          <w:szCs w:val="21"/>
          <w:highlight w:val="none"/>
        </w:rPr>
        <w:t xml:space="preserve">（4）病毒发作导致不能进行正常操作的； </w:t>
      </w:r>
    </w:p>
    <w:p w14:paraId="701372DD">
      <w:pPr>
        <w:spacing w:line="360" w:lineRule="auto"/>
        <w:ind w:firstLine="420" w:firstLineChars="200"/>
        <w:rPr>
          <w:rFonts w:hint="eastAsia" w:hAnsi="宋体"/>
          <w:color w:val="000000"/>
          <w:szCs w:val="21"/>
          <w:highlight w:val="none"/>
        </w:rPr>
      </w:pPr>
      <w:r>
        <w:rPr>
          <w:rFonts w:hint="eastAsia" w:hAnsi="宋体"/>
          <w:color w:val="000000"/>
          <w:szCs w:val="21"/>
          <w:highlight w:val="none"/>
        </w:rPr>
        <w:t>（5）其他无法保证电子交易的公平、公正和安全的情况。</w:t>
      </w:r>
    </w:p>
    <w:p w14:paraId="1F342731">
      <w:pPr>
        <w:spacing w:line="360" w:lineRule="auto"/>
        <w:ind w:firstLine="420" w:firstLineChars="200"/>
        <w:rPr>
          <w:rFonts w:hint="eastAsia" w:hAnsi="宋体"/>
          <w:color w:val="000000"/>
          <w:szCs w:val="21"/>
          <w:highlight w:val="none"/>
        </w:rPr>
      </w:pPr>
      <w:r>
        <w:rPr>
          <w:rFonts w:hint="eastAsia" w:hAnsi="宋体"/>
          <w:color w:val="000000"/>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4E79F9C8">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29.5出现下列情形之一的，应予废标：</w:t>
      </w:r>
    </w:p>
    <w:p w14:paraId="5D9E58F2">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（1）符合专业条件的供应商或者对招标文件作实质响应的供应商不足三家的；</w:t>
      </w:r>
    </w:p>
    <w:p w14:paraId="5819B248">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（2）出现影响采购公正的违法、违规行为的；</w:t>
      </w:r>
    </w:p>
    <w:p w14:paraId="15E2F75F">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（3）投标人的报价均超过了采购预算，采购人不能支付的；</w:t>
      </w:r>
    </w:p>
    <w:p w14:paraId="086B9349">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（4）因重大变故，采购任务取消的。</w:t>
      </w:r>
    </w:p>
    <w:p w14:paraId="348D9445">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废标后，采购人应当将废标理由通知所有投标人。</w:t>
      </w:r>
    </w:p>
    <w:p w14:paraId="4D00763A">
      <w:pPr>
        <w:pStyle w:val="24"/>
        <w:snapToGrid w:val="0"/>
        <w:spacing w:line="360" w:lineRule="auto"/>
        <w:rPr>
          <w:rFonts w:hint="eastAsia" w:hAnsi="宋体"/>
          <w:color w:val="000000"/>
          <w:sz w:val="21"/>
          <w:highlight w:val="none"/>
        </w:rPr>
      </w:pPr>
    </w:p>
    <w:p w14:paraId="0F976B7E">
      <w:pPr>
        <w:pStyle w:val="4"/>
        <w:keepNext w:val="0"/>
        <w:keepLines w:val="0"/>
        <w:jc w:val="center"/>
        <w:rPr>
          <w:rFonts w:hint="eastAsia"/>
          <w:color w:val="000000"/>
          <w:highlight w:val="none"/>
        </w:rPr>
      </w:pPr>
      <w:bookmarkStart w:id="136" w:name="_Toc254970546"/>
      <w:bookmarkStart w:id="137" w:name="_Toc254970687"/>
      <w:r>
        <w:rPr>
          <w:rFonts w:hint="eastAsia"/>
          <w:color w:val="000000"/>
          <w:highlight w:val="none"/>
        </w:rPr>
        <w:t>七、</w:t>
      </w:r>
      <w:bookmarkEnd w:id="136"/>
      <w:bookmarkEnd w:id="137"/>
      <w:r>
        <w:rPr>
          <w:rFonts w:hint="eastAsia"/>
          <w:color w:val="000000"/>
          <w:highlight w:val="none"/>
        </w:rPr>
        <w:t>中标和合同</w:t>
      </w:r>
    </w:p>
    <w:p w14:paraId="5E7BC622">
      <w:pPr>
        <w:pStyle w:val="6"/>
        <w:keepNext w:val="0"/>
        <w:keepLines w:val="0"/>
        <w:spacing w:before="0" w:after="0" w:line="360" w:lineRule="auto"/>
        <w:ind w:left="420" w:leftChars="200"/>
        <w:rPr>
          <w:rFonts w:ascii="黑体" w:hAnsi="黑体" w:eastAsia="黑体"/>
          <w:color w:val="000000"/>
          <w:sz w:val="24"/>
          <w:highlight w:val="none"/>
        </w:rPr>
      </w:pPr>
      <w:r>
        <w:rPr>
          <w:rFonts w:hint="eastAsia" w:ascii="黑体" w:hAnsi="黑体" w:eastAsia="黑体"/>
          <w:color w:val="000000"/>
          <w:sz w:val="24"/>
          <w:highlight w:val="none"/>
        </w:rPr>
        <w:t>30</w:t>
      </w:r>
      <w:r>
        <w:rPr>
          <w:rFonts w:ascii="黑体" w:hAnsi="黑体" w:eastAsia="黑体"/>
          <w:color w:val="000000"/>
          <w:sz w:val="24"/>
          <w:highlight w:val="none"/>
        </w:rPr>
        <w:t xml:space="preserve"> </w:t>
      </w:r>
      <w:r>
        <w:rPr>
          <w:rFonts w:hint="eastAsia" w:ascii="黑体" w:hAnsi="黑体" w:eastAsia="黑体"/>
          <w:color w:val="000000"/>
          <w:sz w:val="24"/>
          <w:highlight w:val="none"/>
        </w:rPr>
        <w:t>.确定中标人</w:t>
      </w:r>
    </w:p>
    <w:p w14:paraId="64820473">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ascii="宋体" w:hAnsi="宋体"/>
          <w:b w:val="0"/>
          <w:color w:val="000000"/>
          <w:sz w:val="21"/>
          <w:szCs w:val="21"/>
          <w:highlight w:val="none"/>
        </w:rPr>
        <w:t>30.1</w:t>
      </w:r>
      <w:r>
        <w:rPr>
          <w:rFonts w:hint="eastAsia" w:ascii="宋体" w:hAnsi="宋体"/>
          <w:b w:val="0"/>
          <w:color w:val="000000"/>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0C860034">
      <w:pPr>
        <w:snapToGrid w:val="0"/>
        <w:spacing w:line="360" w:lineRule="auto"/>
        <w:ind w:firstLine="420" w:firstLineChars="200"/>
        <w:rPr>
          <w:rFonts w:hint="eastAsia" w:ascii="宋体" w:hAnsi="宋体" w:cs="Courier New"/>
          <w:color w:val="000000"/>
          <w:szCs w:val="21"/>
          <w:highlight w:val="none"/>
        </w:rPr>
      </w:pPr>
      <w:r>
        <w:rPr>
          <w:rFonts w:ascii="宋体" w:hAnsi="宋体" w:cs="Courier New"/>
          <w:color w:val="000000"/>
          <w:szCs w:val="21"/>
          <w:highlight w:val="none"/>
        </w:rPr>
        <w:t>30.2</w:t>
      </w:r>
      <w:r>
        <w:rPr>
          <w:rFonts w:hint="eastAsia" w:ascii="宋体" w:hAnsi="宋体" w:cs="Courier New"/>
          <w:color w:val="000000"/>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319D3F75">
      <w:pPr>
        <w:pStyle w:val="6"/>
        <w:keepNext w:val="0"/>
        <w:keepLines w:val="0"/>
        <w:spacing w:before="0" w:after="0" w:line="360" w:lineRule="auto"/>
        <w:ind w:left="420" w:leftChars="200"/>
        <w:rPr>
          <w:rFonts w:ascii="黑体" w:hAnsi="黑体" w:eastAsia="黑体"/>
          <w:color w:val="000000"/>
          <w:sz w:val="24"/>
          <w:highlight w:val="none"/>
        </w:rPr>
      </w:pPr>
      <w:r>
        <w:rPr>
          <w:rFonts w:hint="eastAsia" w:ascii="黑体" w:hAnsi="黑体" w:eastAsia="黑体"/>
          <w:color w:val="000000"/>
          <w:sz w:val="24"/>
          <w:highlight w:val="none"/>
        </w:rPr>
        <w:t>31. 结果公告</w:t>
      </w:r>
    </w:p>
    <w:p w14:paraId="0070319E">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3</w:t>
      </w:r>
      <w:r>
        <w:rPr>
          <w:rFonts w:ascii="宋体" w:hAnsi="宋体"/>
          <w:b w:val="0"/>
          <w:color w:val="000000"/>
          <w:sz w:val="21"/>
          <w:szCs w:val="21"/>
          <w:highlight w:val="none"/>
        </w:rPr>
        <w:t>1.1</w:t>
      </w:r>
      <w:r>
        <w:rPr>
          <w:rFonts w:hint="eastAsia" w:ascii="宋体" w:hAnsi="宋体"/>
          <w:b w:val="0"/>
          <w:color w:val="000000"/>
          <w:sz w:val="21"/>
          <w:szCs w:val="21"/>
          <w:highlight w:val="none"/>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347E1706">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以上信息查询记录及相关证据与招标文件一并保存。</w:t>
      </w:r>
    </w:p>
    <w:p w14:paraId="6224AF97">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31.2中标人享受《政府采购促进中小企业发展管理办法》（财库〔2020〕46号）规定的中小企业扶持政策的，采购人、采购代理机构应当随中标结果公开中标人的《中小企业声明函》。</w:t>
      </w:r>
    </w:p>
    <w:p w14:paraId="5C781C4D">
      <w:pPr>
        <w:pStyle w:val="6"/>
        <w:keepNext w:val="0"/>
        <w:keepLines w:val="0"/>
        <w:spacing w:before="0" w:after="0" w:line="360" w:lineRule="auto"/>
        <w:ind w:left="420" w:leftChars="200"/>
        <w:rPr>
          <w:rFonts w:ascii="黑体" w:hAnsi="黑体" w:eastAsia="黑体"/>
          <w:color w:val="000000"/>
          <w:sz w:val="24"/>
          <w:highlight w:val="none"/>
        </w:rPr>
      </w:pPr>
      <w:r>
        <w:rPr>
          <w:rFonts w:hint="eastAsia" w:ascii="黑体" w:hAnsi="黑体" w:eastAsia="黑体"/>
          <w:color w:val="000000"/>
          <w:sz w:val="24"/>
          <w:highlight w:val="none"/>
        </w:rPr>
        <w:t>32.发出中标通知书</w:t>
      </w:r>
    </w:p>
    <w:p w14:paraId="75E684BA">
      <w:pPr>
        <w:pStyle w:val="6"/>
        <w:keepNext w:val="0"/>
        <w:keepLines w:val="0"/>
        <w:spacing w:before="0" w:after="0" w:line="360" w:lineRule="auto"/>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w:t>
      </w:r>
      <w:r>
        <w:rPr>
          <w:rFonts w:ascii="宋体" w:hAnsi="宋体"/>
          <w:b w:val="0"/>
          <w:color w:val="000000"/>
          <w:sz w:val="21"/>
          <w:szCs w:val="21"/>
          <w:highlight w:val="none"/>
        </w:rPr>
        <w:t xml:space="preserve">   </w:t>
      </w:r>
      <w:r>
        <w:rPr>
          <w:rFonts w:hint="eastAsia" w:ascii="宋体" w:hAnsi="宋体"/>
          <w:b w:val="0"/>
          <w:color w:val="000000"/>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0EFA9B69">
      <w:pPr>
        <w:pStyle w:val="6"/>
        <w:keepNext w:val="0"/>
        <w:keepLines w:val="0"/>
        <w:spacing w:before="0" w:after="0" w:line="360" w:lineRule="auto"/>
        <w:ind w:left="420" w:leftChars="200"/>
        <w:rPr>
          <w:rFonts w:ascii="黑体" w:hAnsi="黑体" w:eastAsia="黑体"/>
          <w:color w:val="000000"/>
          <w:sz w:val="24"/>
          <w:highlight w:val="none"/>
        </w:rPr>
      </w:pPr>
      <w:r>
        <w:rPr>
          <w:rFonts w:hint="eastAsia" w:ascii="黑体" w:hAnsi="黑体" w:eastAsia="黑体"/>
          <w:color w:val="000000"/>
          <w:sz w:val="24"/>
          <w:highlight w:val="none"/>
        </w:rPr>
        <w:t>33. 无义务解释未中标原因</w:t>
      </w:r>
    </w:p>
    <w:p w14:paraId="4AC8EE66">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采购代理机构无义务向未中标的投标人解释未中标原因。</w:t>
      </w:r>
    </w:p>
    <w:p w14:paraId="67C809BD">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34.合同授予标准</w:t>
      </w:r>
    </w:p>
    <w:p w14:paraId="23B23508">
      <w:pPr>
        <w:snapToGrid w:val="0"/>
        <w:spacing w:line="360" w:lineRule="auto"/>
        <w:ind w:firstLine="420" w:firstLineChars="200"/>
        <w:rPr>
          <w:rFonts w:hint="eastAsia" w:ascii="宋体" w:hAnsi="宋体"/>
          <w:color w:val="000000"/>
          <w:szCs w:val="21"/>
          <w:highlight w:val="none"/>
        </w:rPr>
      </w:pPr>
      <w:r>
        <w:rPr>
          <w:rFonts w:hint="eastAsia" w:ascii="宋体" w:hAnsi="宋体" w:cs="Courier New"/>
          <w:color w:val="000000"/>
          <w:szCs w:val="21"/>
          <w:highlight w:val="none"/>
        </w:rPr>
        <w:t>合同将授予被确定实质上响应招标文件要求，具备履行合同能力的中标人。</w:t>
      </w:r>
    </w:p>
    <w:p w14:paraId="6CF314CC">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35.履约保证金</w:t>
      </w:r>
    </w:p>
    <w:p w14:paraId="1B149366">
      <w:pPr>
        <w:pStyle w:val="6"/>
        <w:keepNext w:val="0"/>
        <w:keepLines w:val="0"/>
        <w:spacing w:before="0" w:after="0" w:line="360" w:lineRule="auto"/>
        <w:ind w:firstLine="315" w:firstLineChars="150"/>
        <w:rPr>
          <w:rFonts w:hint="eastAsia" w:ascii="宋体" w:hAnsi="宋体"/>
          <w:b w:val="0"/>
          <w:color w:val="000000"/>
          <w:sz w:val="21"/>
          <w:szCs w:val="21"/>
          <w:highlight w:val="none"/>
        </w:rPr>
      </w:pPr>
      <w:bookmarkStart w:id="138" w:name="_39.1中标人须于签订合同前按本须知前附表规定的金额转账或电汇到指定账"/>
      <w:bookmarkEnd w:id="138"/>
      <w:r>
        <w:rPr>
          <w:rFonts w:ascii="宋体" w:hAnsi="宋体"/>
          <w:b w:val="0"/>
          <w:color w:val="000000"/>
          <w:sz w:val="21"/>
          <w:szCs w:val="21"/>
          <w:highlight w:val="none"/>
        </w:rPr>
        <w:t xml:space="preserve"> </w:t>
      </w:r>
      <w:r>
        <w:rPr>
          <w:rFonts w:hint="eastAsia" w:ascii="宋体" w:hAnsi="宋体"/>
          <w:b w:val="0"/>
          <w:color w:val="000000"/>
          <w:sz w:val="21"/>
          <w:szCs w:val="21"/>
          <w:highlight w:val="none"/>
        </w:rPr>
        <w:t>3</w:t>
      </w:r>
      <w:r>
        <w:rPr>
          <w:rFonts w:ascii="宋体" w:hAnsi="宋体"/>
          <w:b w:val="0"/>
          <w:color w:val="000000"/>
          <w:sz w:val="21"/>
          <w:szCs w:val="21"/>
          <w:highlight w:val="none"/>
        </w:rPr>
        <w:t>5</w:t>
      </w:r>
      <w:r>
        <w:rPr>
          <w:rFonts w:hint="eastAsia" w:ascii="宋体" w:hAnsi="宋体"/>
          <w:b w:val="0"/>
          <w:color w:val="000000"/>
          <w:sz w:val="21"/>
          <w:szCs w:val="21"/>
          <w:highlight w:val="none"/>
        </w:rPr>
        <w:t>.1 履约保证金的金额、提交方式、缴纳期限、退付的时间和条件详见 “投标人须知前附表”。中标人未按规定提交履约保证金的，视为拒绝与采购人签订合同。</w:t>
      </w:r>
    </w:p>
    <w:p w14:paraId="7B322748">
      <w:pPr>
        <w:pStyle w:val="6"/>
        <w:keepNext w:val="0"/>
        <w:keepLines w:val="0"/>
        <w:spacing w:before="0" w:after="0" w:line="360" w:lineRule="auto"/>
        <w:ind w:firstLine="316" w:firstLineChars="150"/>
        <w:rPr>
          <w:rFonts w:hint="eastAsia" w:ascii="宋体" w:hAnsi="宋体"/>
          <w:color w:val="000000"/>
          <w:sz w:val="21"/>
          <w:szCs w:val="21"/>
          <w:highlight w:val="none"/>
        </w:rPr>
      </w:pPr>
      <w:r>
        <w:rPr>
          <w:rFonts w:hint="eastAsia" w:ascii="宋体" w:hAnsi="宋体"/>
          <w:color w:val="000000"/>
          <w:sz w:val="21"/>
          <w:szCs w:val="21"/>
          <w:highlight w:val="none"/>
        </w:rPr>
        <w:t xml:space="preserve"> </w:t>
      </w:r>
      <w:r>
        <w:rPr>
          <w:rFonts w:hint="eastAsia" w:ascii="宋体" w:hAnsi="宋体"/>
          <w:b w:val="0"/>
          <w:bCs/>
          <w:color w:val="000000"/>
          <w:sz w:val="21"/>
          <w:szCs w:val="21"/>
          <w:highlight w:val="none"/>
        </w:rPr>
        <w:t>35.2在履约保证金退还日期前，若中标人的开户名称、开户银行、账号有变动的，请以书面形式通知履约保证金收取单位，否则由此产生的后果由中标人自行承担。</w:t>
      </w:r>
    </w:p>
    <w:p w14:paraId="08A8B29D">
      <w:pPr>
        <w:pStyle w:val="6"/>
        <w:keepNext w:val="0"/>
        <w:keepLines w:val="0"/>
        <w:spacing w:before="0" w:after="0" w:line="360" w:lineRule="auto"/>
        <w:ind w:left="420" w:leftChars="200"/>
        <w:rPr>
          <w:rFonts w:hint="eastAsia" w:ascii="黑体" w:hAnsi="黑体" w:eastAsia="黑体"/>
          <w:color w:val="000000"/>
          <w:sz w:val="24"/>
          <w:highlight w:val="none"/>
        </w:rPr>
      </w:pPr>
      <w:r>
        <w:rPr>
          <w:rFonts w:hint="eastAsia" w:ascii="黑体" w:hAnsi="黑体" w:eastAsia="黑体"/>
          <w:color w:val="000000"/>
          <w:sz w:val="24"/>
          <w:highlight w:val="none"/>
        </w:rPr>
        <w:t>36.签订合同</w:t>
      </w:r>
    </w:p>
    <w:p w14:paraId="504957D5">
      <w:pPr>
        <w:pStyle w:val="6"/>
        <w:keepNext w:val="0"/>
        <w:keepLines w:val="0"/>
        <w:spacing w:before="0" w:after="0" w:line="360" w:lineRule="auto"/>
        <w:ind w:firstLine="315" w:firstLineChars="150"/>
        <w:rPr>
          <w:rFonts w:hint="eastAsia" w:ascii="宋体" w:hAnsi="宋体"/>
          <w:b w:val="0"/>
          <w:color w:val="000000"/>
          <w:sz w:val="21"/>
          <w:szCs w:val="21"/>
          <w:highlight w:val="none"/>
        </w:rPr>
      </w:pPr>
      <w:bookmarkStart w:id="139" w:name="_40.1投标人接到中标通知书后，按须知前附表规定向采购人出示相关资格证"/>
      <w:bookmarkEnd w:id="139"/>
      <w:r>
        <w:rPr>
          <w:rFonts w:hint="eastAsia" w:ascii="宋体" w:hAnsi="宋体"/>
          <w:b w:val="0"/>
          <w:color w:val="000000"/>
          <w:sz w:val="21"/>
          <w:szCs w:val="21"/>
          <w:highlight w:val="none"/>
        </w:rPr>
        <w:t xml:space="preserve"> </w:t>
      </w:r>
      <w:r>
        <w:rPr>
          <w:rFonts w:hint="eastAsia" w:ascii="宋体" w:hAnsi="宋体"/>
          <w:color w:val="000000"/>
          <w:sz w:val="21"/>
          <w:szCs w:val="21"/>
          <w:highlight w:val="none"/>
        </w:rPr>
        <w:t>36.1签订电子采购合同：中标人领取电子中标通知书后，</w:t>
      </w:r>
      <w:r>
        <w:rPr>
          <w:rFonts w:hint="eastAsia" w:ascii="宋体" w:hAnsi="宋体"/>
          <w:color w:val="000000"/>
          <w:kern w:val="0"/>
          <w:sz w:val="21"/>
          <w:szCs w:val="21"/>
          <w:highlight w:val="none"/>
        </w:rPr>
        <w:t>在</w:t>
      </w:r>
      <w:r>
        <w:rPr>
          <w:rFonts w:hint="eastAsia" w:ascii="宋体" w:hAnsi="宋体"/>
          <w:color w:val="000000"/>
          <w:kern w:val="0"/>
          <w:sz w:val="21"/>
          <w:szCs w:val="21"/>
          <w:highlight w:val="none"/>
          <w:lang w:val="zh-CN"/>
        </w:rPr>
        <w:t>规定的日期、时间、地点，由法定代表人或其授权代表与采购人代表签订电子采购合同。如中标人为联合体的，由联合体成员各方法定代表人或其授权代表与采购人代表签订合同。</w:t>
      </w:r>
    </w:p>
    <w:p w14:paraId="152FEE77">
      <w:pPr>
        <w:pStyle w:val="6"/>
        <w:keepNext w:val="0"/>
        <w:keepLines w:val="0"/>
        <w:spacing w:before="0" w:after="0" w:line="360" w:lineRule="auto"/>
        <w:ind w:firstLine="315" w:firstLineChars="15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线下签订纸质合同：投标人领取中标通知书后，按“投标人须知前附表”规定向采购人出示相关证明材料，经采购人核验合格后方可签订合同。</w:t>
      </w:r>
    </w:p>
    <w:p w14:paraId="115A78D0">
      <w:pPr>
        <w:pStyle w:val="6"/>
        <w:keepNext w:val="0"/>
        <w:keepLines w:val="0"/>
        <w:numPr>
          <w:ilvl w:val="0"/>
          <w:numId w:val="0"/>
        </w:numPr>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36.2签订合同时间：按中标通知书规定的时间与采购人签订合同。</w:t>
      </w:r>
    </w:p>
    <w:p w14:paraId="596E0576">
      <w:pPr>
        <w:pStyle w:val="6"/>
        <w:keepNext w:val="0"/>
        <w:keepLines w:val="0"/>
        <w:spacing w:before="0" w:after="0" w:line="360" w:lineRule="auto"/>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36.</w:t>
      </w:r>
      <w:r>
        <w:rPr>
          <w:rFonts w:ascii="宋体" w:hAnsi="宋体"/>
          <w:b w:val="0"/>
          <w:color w:val="000000"/>
          <w:sz w:val="21"/>
          <w:szCs w:val="21"/>
          <w:highlight w:val="none"/>
        </w:rPr>
        <w:t>3</w:t>
      </w:r>
      <w:r>
        <w:rPr>
          <w:rFonts w:hint="eastAsia" w:ascii="宋体" w:hAnsi="宋体"/>
          <w:b w:val="0"/>
          <w:color w:val="000000"/>
          <w:sz w:val="21"/>
          <w:szCs w:val="21"/>
          <w:highlight w:val="none"/>
        </w:rPr>
        <w:t>中标人拒绝签订政府采购合同（包括但不限于放弃中标、因不可抗力不能履行合同而放弃签订合同），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3722E4AF">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36.4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4666F37">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36.5采购人或中标人不得单方面向合同另一方提出任何招标文件没有约定的条件或不合理的要求，作为签订合同的条件；也不得协商另行订立背离招标文件和合同实质性内容的协议。</w:t>
      </w:r>
    </w:p>
    <w:p w14:paraId="702C1AAB">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36.6</w:t>
      </w:r>
      <w:r>
        <w:rPr>
          <w:rFonts w:hint="eastAsia" w:ascii="宋体" w:hAnsi="宋体" w:cs="仿宋_GB2312"/>
          <w:color w:val="000000"/>
          <w:szCs w:val="21"/>
          <w:highlight w:val="none"/>
        </w:rPr>
        <w:t>如签订合同并生效后，供应商无故拒绝或延期，除按照合同条款处理外，将承担相应的法律责任。</w:t>
      </w:r>
    </w:p>
    <w:p w14:paraId="346B1565">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36.7</w:t>
      </w:r>
      <w:r>
        <w:rPr>
          <w:rFonts w:hint="eastAsia" w:ascii="宋体" w:hAnsi="宋体" w:cs="宋体"/>
          <w:color w:val="000000"/>
          <w:szCs w:val="21"/>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39C2BDB1">
      <w:pPr>
        <w:pStyle w:val="6"/>
        <w:keepNext w:val="0"/>
        <w:keepLines w:val="0"/>
        <w:spacing w:before="0" w:after="0" w:line="360" w:lineRule="auto"/>
        <w:ind w:left="420" w:leftChars="200"/>
        <w:rPr>
          <w:rFonts w:hint="eastAsia" w:ascii="黑体" w:hAnsi="黑体" w:eastAsia="黑体"/>
          <w:color w:val="000000"/>
          <w:sz w:val="24"/>
          <w:highlight w:val="none"/>
        </w:rPr>
      </w:pPr>
      <w:bookmarkStart w:id="140" w:name="_41.政府采购合同公告"/>
      <w:bookmarkEnd w:id="140"/>
      <w:r>
        <w:rPr>
          <w:rFonts w:hint="eastAsia" w:ascii="黑体" w:hAnsi="黑体" w:eastAsia="黑体"/>
          <w:color w:val="000000"/>
          <w:sz w:val="24"/>
          <w:highlight w:val="none"/>
        </w:rPr>
        <w:t>37.政府采购合同公告</w:t>
      </w:r>
    </w:p>
    <w:p w14:paraId="76F96F6C">
      <w:pPr>
        <w:pStyle w:val="24"/>
        <w:snapToGrid w:val="0"/>
        <w:spacing w:line="360" w:lineRule="auto"/>
        <w:ind w:firstLine="420" w:firstLineChars="200"/>
        <w:rPr>
          <w:rFonts w:hint="eastAsia" w:hAnsi="宋体"/>
          <w:color w:val="000000"/>
          <w:sz w:val="21"/>
          <w:highlight w:val="none"/>
        </w:rPr>
      </w:pPr>
      <w:r>
        <w:rPr>
          <w:rFonts w:hint="eastAsia" w:hAnsi="宋体"/>
          <w:color w:val="000000"/>
          <w:sz w:val="21"/>
          <w:highlight w:val="none"/>
        </w:rPr>
        <w:t>采购人或者受托采购代理机构应当自政府采购合同签订之日起2个工作日内，将政府采购合同在省级以上人民政府财政部门指定的媒体上公告，</w:t>
      </w:r>
      <w:r>
        <w:rPr>
          <w:rFonts w:hAnsi="宋体"/>
          <w:color w:val="000000"/>
          <w:sz w:val="21"/>
          <w:highlight w:val="none"/>
        </w:rPr>
        <w:t>但政府采购合同中涉及国家秘密、商业秘密的内容除外。</w:t>
      </w:r>
    </w:p>
    <w:p w14:paraId="4A347CD5">
      <w:pPr>
        <w:pStyle w:val="6"/>
        <w:keepNext w:val="0"/>
        <w:keepLines w:val="0"/>
        <w:spacing w:before="0" w:after="0" w:line="360" w:lineRule="auto"/>
        <w:ind w:left="420" w:leftChars="200"/>
        <w:rPr>
          <w:rFonts w:ascii="黑体" w:hAnsi="黑体" w:eastAsia="黑体"/>
          <w:color w:val="000000"/>
          <w:sz w:val="24"/>
          <w:highlight w:val="none"/>
        </w:rPr>
      </w:pPr>
      <w:r>
        <w:rPr>
          <w:rFonts w:hint="eastAsia" w:ascii="黑体" w:hAnsi="黑体" w:eastAsia="黑体"/>
          <w:color w:val="000000"/>
          <w:sz w:val="24"/>
          <w:highlight w:val="none"/>
        </w:rPr>
        <w:t>3</w:t>
      </w:r>
      <w:r>
        <w:rPr>
          <w:rFonts w:ascii="黑体" w:hAnsi="黑体" w:eastAsia="黑体"/>
          <w:color w:val="000000"/>
          <w:sz w:val="24"/>
          <w:highlight w:val="none"/>
        </w:rPr>
        <w:t>8.</w:t>
      </w:r>
      <w:r>
        <w:rPr>
          <w:rFonts w:hint="eastAsia" w:ascii="黑体" w:hAnsi="黑体" w:eastAsia="黑体"/>
          <w:color w:val="000000"/>
          <w:sz w:val="24"/>
          <w:highlight w:val="none"/>
        </w:rPr>
        <w:t xml:space="preserve"> 询问、质疑和投诉</w:t>
      </w:r>
    </w:p>
    <w:p w14:paraId="03DBA949">
      <w:pPr>
        <w:pStyle w:val="7"/>
        <w:spacing w:line="360" w:lineRule="auto"/>
        <w:rPr>
          <w:rFonts w:hint="eastAsia" w:ascii="宋体" w:hAnsi="宋体"/>
          <w:color w:val="000000"/>
          <w:szCs w:val="21"/>
          <w:highlight w:val="none"/>
        </w:rPr>
      </w:pPr>
      <w:r>
        <w:rPr>
          <w:rFonts w:ascii="宋体" w:hAnsi="宋体"/>
          <w:color w:val="000000"/>
          <w:szCs w:val="21"/>
          <w:highlight w:val="none"/>
        </w:rPr>
        <w:t>38.1</w:t>
      </w:r>
      <w:r>
        <w:rPr>
          <w:rFonts w:hint="eastAsia" w:ascii="宋体" w:hAnsi="宋体"/>
          <w:color w:val="000000"/>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0F6EDB61">
      <w:pPr>
        <w:pStyle w:val="6"/>
        <w:keepNext w:val="0"/>
        <w:keepLines w:val="0"/>
        <w:spacing w:before="0" w:after="0" w:line="360" w:lineRule="auto"/>
        <w:ind w:firstLine="315" w:firstLineChars="15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w:t>
      </w:r>
      <w:r>
        <w:rPr>
          <w:rFonts w:ascii="宋体" w:hAnsi="宋体"/>
          <w:b w:val="0"/>
          <w:color w:val="000000"/>
          <w:sz w:val="21"/>
          <w:szCs w:val="21"/>
          <w:highlight w:val="none"/>
        </w:rPr>
        <w:t>38</w:t>
      </w:r>
      <w:r>
        <w:rPr>
          <w:rFonts w:hint="eastAsia" w:ascii="宋体" w:hAnsi="宋体"/>
          <w:b w:val="0"/>
          <w:color w:val="000000"/>
          <w:sz w:val="21"/>
          <w:szCs w:val="21"/>
          <w:highlight w:val="none"/>
        </w:rPr>
        <w:t>.</w:t>
      </w:r>
      <w:r>
        <w:rPr>
          <w:rFonts w:ascii="宋体" w:hAnsi="宋体"/>
          <w:b w:val="0"/>
          <w:color w:val="000000"/>
          <w:sz w:val="21"/>
          <w:szCs w:val="21"/>
          <w:highlight w:val="none"/>
        </w:rPr>
        <w:t>2</w:t>
      </w:r>
      <w:r>
        <w:rPr>
          <w:rFonts w:hint="eastAsia" w:ascii="宋体" w:hAnsi="宋体"/>
          <w:b w:val="0"/>
          <w:color w:val="000000"/>
          <w:sz w:val="21"/>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0A18CE09">
      <w:pPr>
        <w:pStyle w:val="24"/>
        <w:snapToGrid w:val="0"/>
        <w:spacing w:line="360" w:lineRule="auto"/>
        <w:ind w:firstLine="420" w:firstLineChars="200"/>
        <w:rPr>
          <w:rFonts w:hAnsi="宋体"/>
          <w:color w:val="000000"/>
          <w:sz w:val="21"/>
          <w:highlight w:val="none"/>
        </w:rPr>
      </w:pPr>
      <w:r>
        <w:rPr>
          <w:rFonts w:hAnsi="宋体"/>
          <w:color w:val="000000"/>
          <w:sz w:val="21"/>
          <w:highlight w:val="none"/>
        </w:rPr>
        <w:t>（</w:t>
      </w:r>
      <w:r>
        <w:rPr>
          <w:rFonts w:hint="eastAsia" w:hAnsi="宋体"/>
          <w:color w:val="000000"/>
          <w:sz w:val="21"/>
          <w:highlight w:val="none"/>
        </w:rPr>
        <w:t>1</w:t>
      </w:r>
      <w:r>
        <w:rPr>
          <w:rFonts w:hAnsi="宋体"/>
          <w:color w:val="000000"/>
          <w:sz w:val="21"/>
          <w:highlight w:val="none"/>
        </w:rPr>
        <w:t>）对可以质疑的</w:t>
      </w:r>
      <w:r>
        <w:rPr>
          <w:rFonts w:hint="eastAsia" w:hAnsi="宋体"/>
          <w:color w:val="000000"/>
          <w:sz w:val="21"/>
          <w:highlight w:val="none"/>
        </w:rPr>
        <w:t>招标</w:t>
      </w:r>
      <w:r>
        <w:rPr>
          <w:rFonts w:hAnsi="宋体"/>
          <w:color w:val="000000"/>
          <w:sz w:val="21"/>
          <w:highlight w:val="none"/>
        </w:rPr>
        <w:t>文件提出质疑的，为收到</w:t>
      </w:r>
      <w:r>
        <w:rPr>
          <w:rFonts w:hint="eastAsia" w:hAnsi="宋体"/>
          <w:color w:val="000000"/>
          <w:sz w:val="21"/>
          <w:highlight w:val="none"/>
        </w:rPr>
        <w:t>招标</w:t>
      </w:r>
      <w:r>
        <w:rPr>
          <w:rFonts w:hAnsi="宋体"/>
          <w:color w:val="000000"/>
          <w:sz w:val="21"/>
          <w:highlight w:val="none"/>
        </w:rPr>
        <w:t>文件之日</w:t>
      </w:r>
      <w:r>
        <w:rPr>
          <w:rFonts w:hint="eastAsia" w:hAnsi="宋体"/>
          <w:color w:val="000000"/>
          <w:sz w:val="21"/>
          <w:highlight w:val="none"/>
        </w:rPr>
        <w:t>或者招标文件公告期限届满之日</w:t>
      </w:r>
      <w:r>
        <w:rPr>
          <w:rFonts w:hAnsi="宋体"/>
          <w:color w:val="000000"/>
          <w:sz w:val="21"/>
          <w:highlight w:val="none"/>
        </w:rPr>
        <w:t>；</w:t>
      </w:r>
    </w:p>
    <w:p w14:paraId="132243DB">
      <w:pPr>
        <w:pStyle w:val="24"/>
        <w:snapToGrid w:val="0"/>
        <w:spacing w:line="360" w:lineRule="auto"/>
        <w:ind w:firstLine="420" w:firstLineChars="200"/>
        <w:rPr>
          <w:rFonts w:hint="eastAsia" w:hAnsi="宋体"/>
          <w:color w:val="000000"/>
          <w:sz w:val="21"/>
          <w:highlight w:val="none"/>
        </w:rPr>
      </w:pPr>
      <w:r>
        <w:rPr>
          <w:rFonts w:hAnsi="宋体"/>
          <w:color w:val="000000"/>
          <w:sz w:val="21"/>
          <w:highlight w:val="none"/>
        </w:rPr>
        <w:t>（</w:t>
      </w:r>
      <w:r>
        <w:rPr>
          <w:rFonts w:hint="eastAsia" w:hAnsi="宋体"/>
          <w:color w:val="000000"/>
          <w:sz w:val="21"/>
          <w:highlight w:val="none"/>
        </w:rPr>
        <w:t>2</w:t>
      </w:r>
      <w:r>
        <w:rPr>
          <w:rFonts w:hAnsi="宋体"/>
          <w:color w:val="000000"/>
          <w:sz w:val="21"/>
          <w:highlight w:val="none"/>
        </w:rPr>
        <w:t>）对</w:t>
      </w:r>
      <w:r>
        <w:rPr>
          <w:rFonts w:hint="eastAsia" w:hAnsi="宋体"/>
          <w:color w:val="000000"/>
          <w:sz w:val="21"/>
          <w:highlight w:val="none"/>
        </w:rPr>
        <w:t>采购</w:t>
      </w:r>
      <w:r>
        <w:rPr>
          <w:rFonts w:hAnsi="宋体"/>
          <w:color w:val="000000"/>
          <w:sz w:val="21"/>
          <w:highlight w:val="none"/>
        </w:rPr>
        <w:t>过程提出质疑的，为各采购程序环节结束之日；</w:t>
      </w:r>
    </w:p>
    <w:p w14:paraId="5DC0C6E4">
      <w:pPr>
        <w:pStyle w:val="24"/>
        <w:snapToGrid w:val="0"/>
        <w:spacing w:line="360" w:lineRule="auto"/>
        <w:ind w:firstLine="420" w:firstLineChars="200"/>
        <w:rPr>
          <w:rFonts w:hint="eastAsia" w:hAnsi="宋体"/>
          <w:bCs/>
          <w:color w:val="000000"/>
          <w:sz w:val="21"/>
          <w:highlight w:val="none"/>
        </w:rPr>
      </w:pPr>
      <w:r>
        <w:rPr>
          <w:rFonts w:hAnsi="宋体"/>
          <w:color w:val="000000"/>
          <w:sz w:val="21"/>
          <w:highlight w:val="none"/>
        </w:rPr>
        <w:t>（</w:t>
      </w:r>
      <w:r>
        <w:rPr>
          <w:rFonts w:hint="eastAsia" w:hAnsi="宋体"/>
          <w:color w:val="000000"/>
          <w:sz w:val="21"/>
          <w:highlight w:val="none"/>
        </w:rPr>
        <w:t>3</w:t>
      </w:r>
      <w:r>
        <w:rPr>
          <w:rFonts w:hAnsi="宋体"/>
          <w:color w:val="000000"/>
          <w:sz w:val="21"/>
          <w:highlight w:val="none"/>
        </w:rPr>
        <w:t>）对中标结果提出质疑的，为中标结果公告期限届满之日。</w:t>
      </w:r>
    </w:p>
    <w:p w14:paraId="7A3B0ADE">
      <w:pPr>
        <w:pStyle w:val="6"/>
        <w:keepNext w:val="0"/>
        <w:keepLines w:val="0"/>
        <w:spacing w:before="0" w:after="0" w:line="360" w:lineRule="auto"/>
        <w:ind w:firstLine="315" w:firstLineChars="150"/>
        <w:rPr>
          <w:rFonts w:ascii="宋体" w:hAnsi="宋体"/>
          <w:b w:val="0"/>
          <w:color w:val="000000"/>
          <w:sz w:val="21"/>
          <w:szCs w:val="21"/>
          <w:highlight w:val="none"/>
        </w:rPr>
      </w:pPr>
      <w:r>
        <w:rPr>
          <w:rFonts w:ascii="宋体" w:hAnsi="宋体"/>
          <w:b w:val="0"/>
          <w:color w:val="000000"/>
          <w:sz w:val="21"/>
          <w:szCs w:val="21"/>
          <w:highlight w:val="none"/>
        </w:rPr>
        <w:t>38</w:t>
      </w:r>
      <w:r>
        <w:rPr>
          <w:rFonts w:hint="eastAsia" w:ascii="宋体" w:hAnsi="宋体"/>
          <w:b w:val="0"/>
          <w:color w:val="000000"/>
          <w:sz w:val="21"/>
          <w:szCs w:val="21"/>
          <w:highlight w:val="none"/>
        </w:rPr>
        <w:t>.</w:t>
      </w:r>
      <w:r>
        <w:rPr>
          <w:rFonts w:ascii="宋体" w:hAnsi="宋体"/>
          <w:b w:val="0"/>
          <w:color w:val="000000"/>
          <w:sz w:val="21"/>
          <w:szCs w:val="21"/>
          <w:highlight w:val="none"/>
        </w:rPr>
        <w:t>3</w:t>
      </w:r>
      <w:r>
        <w:rPr>
          <w:rFonts w:hint="eastAsia" w:ascii="宋体" w:hAnsi="宋体"/>
          <w:b w:val="0"/>
          <w:color w:val="000000"/>
          <w:sz w:val="21"/>
          <w:szCs w:val="21"/>
          <w:highlight w:val="none"/>
        </w:rPr>
        <w:t xml:space="preserve"> </w:t>
      </w:r>
      <w:r>
        <w:rPr>
          <w:rFonts w:hAnsi="宋体"/>
          <w:b w:val="0"/>
          <w:bCs/>
          <w:color w:val="000000"/>
          <w:sz w:val="21"/>
          <w:highlight w:val="none"/>
        </w:rPr>
        <w:t>供应商提出质疑应当提交质疑函和必要的证明材料</w:t>
      </w:r>
      <w:r>
        <w:rPr>
          <w:rFonts w:hint="eastAsia" w:hAnsi="宋体"/>
          <w:b w:val="0"/>
          <w:bCs/>
          <w:color w:val="000000"/>
          <w:sz w:val="21"/>
          <w:highlight w:val="none"/>
        </w:rPr>
        <w:t>，</w:t>
      </w:r>
      <w:r>
        <w:rPr>
          <w:rFonts w:hAnsi="宋体"/>
          <w:b w:val="0"/>
          <w:bCs/>
          <w:color w:val="000000"/>
          <w:sz w:val="21"/>
          <w:highlight w:val="none"/>
        </w:rPr>
        <w:t>针对同一采购程序环节的质疑</w:t>
      </w:r>
      <w:r>
        <w:rPr>
          <w:rFonts w:hint="eastAsia" w:hAnsi="宋体"/>
          <w:b w:val="0"/>
          <w:bCs/>
          <w:color w:val="000000"/>
          <w:sz w:val="21"/>
          <w:highlight w:val="none"/>
        </w:rPr>
        <w:t>必须</w:t>
      </w:r>
      <w:r>
        <w:rPr>
          <w:rFonts w:hAnsi="宋体"/>
          <w:b w:val="0"/>
          <w:bCs/>
          <w:color w:val="000000"/>
          <w:sz w:val="21"/>
          <w:highlight w:val="none"/>
        </w:rPr>
        <w:t>在法定质疑期内一次性提出。质疑函应当包括下列内容</w:t>
      </w:r>
      <w:r>
        <w:rPr>
          <w:rFonts w:hint="eastAsia" w:hAnsi="宋体"/>
          <w:b w:val="0"/>
          <w:bCs/>
          <w:color w:val="000000"/>
          <w:sz w:val="21"/>
          <w:highlight w:val="none"/>
        </w:rPr>
        <w:t>（质疑函格式后附）</w:t>
      </w:r>
      <w:r>
        <w:rPr>
          <w:rFonts w:hAnsi="宋体"/>
          <w:b w:val="0"/>
          <w:bCs/>
          <w:color w:val="000000"/>
          <w:sz w:val="21"/>
          <w:highlight w:val="none"/>
        </w:rPr>
        <w:t>：</w:t>
      </w:r>
    </w:p>
    <w:p w14:paraId="3D7C8075">
      <w:pPr>
        <w:pStyle w:val="24"/>
        <w:snapToGrid w:val="0"/>
        <w:spacing w:line="360" w:lineRule="auto"/>
        <w:ind w:firstLine="420" w:firstLineChars="200"/>
        <w:rPr>
          <w:rFonts w:hAnsi="宋体"/>
          <w:bCs/>
          <w:color w:val="000000"/>
          <w:sz w:val="21"/>
          <w:highlight w:val="none"/>
        </w:rPr>
      </w:pPr>
      <w:r>
        <w:rPr>
          <w:rFonts w:hAnsi="宋体"/>
          <w:bCs/>
          <w:color w:val="000000"/>
          <w:sz w:val="21"/>
          <w:highlight w:val="none"/>
        </w:rPr>
        <w:t>（</w:t>
      </w:r>
      <w:r>
        <w:rPr>
          <w:rFonts w:hint="eastAsia" w:hAnsi="宋体"/>
          <w:bCs/>
          <w:color w:val="000000"/>
          <w:sz w:val="21"/>
          <w:highlight w:val="none"/>
        </w:rPr>
        <w:t>1</w:t>
      </w:r>
      <w:r>
        <w:rPr>
          <w:rFonts w:hAnsi="宋体"/>
          <w:bCs/>
          <w:color w:val="000000"/>
          <w:sz w:val="21"/>
          <w:highlight w:val="none"/>
        </w:rPr>
        <w:t>）供应商的姓名或者名称、地址、邮编、联系人及联系电话；</w:t>
      </w:r>
    </w:p>
    <w:p w14:paraId="1B482784">
      <w:pPr>
        <w:pStyle w:val="24"/>
        <w:snapToGrid w:val="0"/>
        <w:spacing w:line="360" w:lineRule="auto"/>
        <w:ind w:firstLine="420" w:firstLineChars="200"/>
        <w:rPr>
          <w:rFonts w:hAnsi="宋体"/>
          <w:bCs/>
          <w:color w:val="000000"/>
          <w:sz w:val="21"/>
          <w:highlight w:val="none"/>
        </w:rPr>
      </w:pPr>
      <w:r>
        <w:rPr>
          <w:rFonts w:hAnsi="宋体"/>
          <w:bCs/>
          <w:color w:val="000000"/>
          <w:sz w:val="21"/>
          <w:highlight w:val="none"/>
        </w:rPr>
        <w:t>（</w:t>
      </w:r>
      <w:r>
        <w:rPr>
          <w:rFonts w:hint="eastAsia" w:hAnsi="宋体"/>
          <w:bCs/>
          <w:color w:val="000000"/>
          <w:sz w:val="21"/>
          <w:highlight w:val="none"/>
        </w:rPr>
        <w:t>2</w:t>
      </w:r>
      <w:r>
        <w:rPr>
          <w:rFonts w:hAnsi="宋体"/>
          <w:bCs/>
          <w:color w:val="000000"/>
          <w:sz w:val="21"/>
          <w:highlight w:val="none"/>
        </w:rPr>
        <w:t>）质疑项目的名称、编号；</w:t>
      </w:r>
    </w:p>
    <w:p w14:paraId="056EE491">
      <w:pPr>
        <w:pStyle w:val="24"/>
        <w:snapToGrid w:val="0"/>
        <w:spacing w:line="360" w:lineRule="auto"/>
        <w:ind w:firstLine="420" w:firstLineChars="200"/>
        <w:rPr>
          <w:rFonts w:hAnsi="宋体"/>
          <w:bCs/>
          <w:color w:val="000000"/>
          <w:sz w:val="21"/>
          <w:highlight w:val="none"/>
        </w:rPr>
      </w:pPr>
      <w:r>
        <w:rPr>
          <w:rFonts w:hAnsi="宋体"/>
          <w:bCs/>
          <w:color w:val="000000"/>
          <w:sz w:val="21"/>
          <w:highlight w:val="none"/>
        </w:rPr>
        <w:t>（</w:t>
      </w:r>
      <w:r>
        <w:rPr>
          <w:rFonts w:hint="eastAsia" w:hAnsi="宋体"/>
          <w:bCs/>
          <w:color w:val="000000"/>
          <w:sz w:val="21"/>
          <w:highlight w:val="none"/>
        </w:rPr>
        <w:t>3</w:t>
      </w:r>
      <w:r>
        <w:rPr>
          <w:rFonts w:hAnsi="宋体"/>
          <w:bCs/>
          <w:color w:val="000000"/>
          <w:sz w:val="21"/>
          <w:highlight w:val="none"/>
        </w:rPr>
        <w:t>）具体、明确的质疑事项和与质疑事项相关的请求；</w:t>
      </w:r>
    </w:p>
    <w:p w14:paraId="63C51CD5">
      <w:pPr>
        <w:pStyle w:val="24"/>
        <w:snapToGrid w:val="0"/>
        <w:spacing w:line="360" w:lineRule="auto"/>
        <w:ind w:firstLine="420" w:firstLineChars="200"/>
        <w:rPr>
          <w:rFonts w:hAnsi="宋体"/>
          <w:bCs/>
          <w:color w:val="000000"/>
          <w:sz w:val="21"/>
          <w:highlight w:val="none"/>
        </w:rPr>
      </w:pPr>
      <w:r>
        <w:rPr>
          <w:rFonts w:hAnsi="宋体"/>
          <w:bCs/>
          <w:color w:val="000000"/>
          <w:sz w:val="21"/>
          <w:highlight w:val="none"/>
        </w:rPr>
        <w:t>（</w:t>
      </w:r>
      <w:r>
        <w:rPr>
          <w:rFonts w:hint="eastAsia" w:hAnsi="宋体"/>
          <w:bCs/>
          <w:color w:val="000000"/>
          <w:sz w:val="21"/>
          <w:highlight w:val="none"/>
        </w:rPr>
        <w:t>4</w:t>
      </w:r>
      <w:r>
        <w:rPr>
          <w:rFonts w:hAnsi="宋体"/>
          <w:bCs/>
          <w:color w:val="000000"/>
          <w:sz w:val="21"/>
          <w:highlight w:val="none"/>
        </w:rPr>
        <w:t>）事实依据；</w:t>
      </w:r>
    </w:p>
    <w:p w14:paraId="0750519C">
      <w:pPr>
        <w:pStyle w:val="24"/>
        <w:snapToGrid w:val="0"/>
        <w:spacing w:line="360" w:lineRule="auto"/>
        <w:ind w:firstLine="420" w:firstLineChars="200"/>
        <w:rPr>
          <w:rFonts w:hAnsi="宋体"/>
          <w:bCs/>
          <w:color w:val="000000"/>
          <w:sz w:val="21"/>
          <w:highlight w:val="none"/>
        </w:rPr>
      </w:pPr>
      <w:r>
        <w:rPr>
          <w:rFonts w:hAnsi="宋体"/>
          <w:bCs/>
          <w:color w:val="000000"/>
          <w:sz w:val="21"/>
          <w:highlight w:val="none"/>
        </w:rPr>
        <w:t>（</w:t>
      </w:r>
      <w:r>
        <w:rPr>
          <w:rFonts w:hint="eastAsia" w:hAnsi="宋体"/>
          <w:bCs/>
          <w:color w:val="000000"/>
          <w:sz w:val="21"/>
          <w:highlight w:val="none"/>
        </w:rPr>
        <w:t>5</w:t>
      </w:r>
      <w:r>
        <w:rPr>
          <w:rFonts w:hAnsi="宋体"/>
          <w:bCs/>
          <w:color w:val="000000"/>
          <w:sz w:val="21"/>
          <w:highlight w:val="none"/>
        </w:rPr>
        <w:t>）必要的法律依据；</w:t>
      </w:r>
    </w:p>
    <w:p w14:paraId="31664D41">
      <w:pPr>
        <w:pStyle w:val="24"/>
        <w:snapToGrid w:val="0"/>
        <w:spacing w:line="360" w:lineRule="auto"/>
        <w:ind w:firstLine="420" w:firstLineChars="200"/>
        <w:rPr>
          <w:rFonts w:hAnsi="宋体"/>
          <w:bCs/>
          <w:color w:val="000000"/>
          <w:sz w:val="21"/>
          <w:highlight w:val="none"/>
        </w:rPr>
      </w:pPr>
      <w:r>
        <w:rPr>
          <w:rFonts w:hAnsi="宋体"/>
          <w:bCs/>
          <w:color w:val="000000"/>
          <w:sz w:val="21"/>
          <w:highlight w:val="none"/>
        </w:rPr>
        <w:t>（</w:t>
      </w:r>
      <w:r>
        <w:rPr>
          <w:rFonts w:hint="eastAsia" w:hAnsi="宋体"/>
          <w:bCs/>
          <w:color w:val="000000"/>
          <w:sz w:val="21"/>
          <w:highlight w:val="none"/>
        </w:rPr>
        <w:t>6</w:t>
      </w:r>
      <w:r>
        <w:rPr>
          <w:rFonts w:hAnsi="宋体"/>
          <w:bCs/>
          <w:color w:val="000000"/>
          <w:sz w:val="21"/>
          <w:highlight w:val="none"/>
        </w:rPr>
        <w:t>）提出质疑的日期。</w:t>
      </w:r>
    </w:p>
    <w:p w14:paraId="2D5A35BA">
      <w:pPr>
        <w:pStyle w:val="24"/>
        <w:snapToGrid w:val="0"/>
        <w:spacing w:line="360" w:lineRule="auto"/>
        <w:ind w:firstLine="420" w:firstLineChars="200"/>
        <w:rPr>
          <w:rFonts w:hint="eastAsia" w:hAnsi="宋体"/>
          <w:bCs/>
          <w:color w:val="000000"/>
          <w:sz w:val="21"/>
          <w:highlight w:val="none"/>
        </w:rPr>
      </w:pPr>
      <w:r>
        <w:rPr>
          <w:rFonts w:hAnsi="宋体"/>
          <w:bCs/>
          <w:color w:val="000000"/>
          <w:sz w:val="21"/>
          <w:highlight w:val="none"/>
        </w:rPr>
        <w:t>供应商为自然人的，应当由本人签字；供应商为法人或者其他组织的，应当由法定代表人、主要负责人，或者其委托代理人签字或者盖章，并加盖公章</w:t>
      </w:r>
      <w:r>
        <w:rPr>
          <w:rFonts w:hint="eastAsia" w:hAnsi="宋体"/>
          <w:bCs/>
          <w:color w:val="000000"/>
          <w:sz w:val="21"/>
          <w:highlight w:val="none"/>
        </w:rPr>
        <w:t>。</w:t>
      </w:r>
    </w:p>
    <w:p w14:paraId="100863BF">
      <w:pPr>
        <w:pStyle w:val="6"/>
        <w:keepNext w:val="0"/>
        <w:keepLines w:val="0"/>
        <w:snapToGrid w:val="0"/>
        <w:spacing w:before="0" w:after="0" w:line="360" w:lineRule="auto"/>
        <w:ind w:firstLine="420" w:firstLineChars="200"/>
        <w:rPr>
          <w:rFonts w:hint="eastAsia" w:ascii="宋体" w:hAnsi="宋体"/>
          <w:b w:val="0"/>
          <w:bCs/>
          <w:color w:val="000000"/>
          <w:sz w:val="21"/>
          <w:szCs w:val="21"/>
          <w:highlight w:val="none"/>
        </w:rPr>
      </w:pPr>
      <w:r>
        <w:rPr>
          <w:rFonts w:ascii="宋体" w:hAnsi="宋体"/>
          <w:b w:val="0"/>
          <w:color w:val="000000"/>
          <w:sz w:val="21"/>
          <w:szCs w:val="21"/>
          <w:highlight w:val="none"/>
        </w:rPr>
        <w:t>3</w:t>
      </w:r>
      <w:r>
        <w:rPr>
          <w:rFonts w:ascii="宋体" w:hAnsi="宋体"/>
          <w:b w:val="0"/>
          <w:bCs/>
          <w:color w:val="000000"/>
          <w:sz w:val="21"/>
          <w:szCs w:val="21"/>
          <w:highlight w:val="none"/>
        </w:rPr>
        <w:t>8.4</w:t>
      </w:r>
      <w:r>
        <w:rPr>
          <w:rFonts w:hint="eastAsia" w:ascii="宋体" w:hAnsi="宋体"/>
          <w:b w:val="0"/>
          <w:bCs/>
          <w:color w:val="000000"/>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4FD3A868">
      <w:pPr>
        <w:pStyle w:val="24"/>
        <w:snapToGrid w:val="0"/>
        <w:spacing w:line="360" w:lineRule="auto"/>
        <w:rPr>
          <w:rFonts w:hint="eastAsia" w:hAnsi="宋体"/>
          <w:bCs/>
          <w:color w:val="000000"/>
          <w:sz w:val="21"/>
          <w:highlight w:val="none"/>
        </w:rPr>
      </w:pPr>
      <w:r>
        <w:rPr>
          <w:rFonts w:hint="eastAsia" w:hAnsi="宋体"/>
          <w:bCs/>
          <w:color w:val="000000"/>
          <w:sz w:val="21"/>
          <w:highlight w:val="none"/>
        </w:rPr>
        <w:t>　　（一）对招标文件提出的质疑，依法通过澄清或者修改可以继续开展采购活动的，澄清或者修改招标文件后继续开展采购活动；否则应当修改招标文件后重新开展采购活动。</w:t>
      </w:r>
    </w:p>
    <w:p w14:paraId="1B773BF1">
      <w:pPr>
        <w:pStyle w:val="24"/>
        <w:snapToGrid w:val="0"/>
        <w:spacing w:line="360" w:lineRule="auto"/>
        <w:rPr>
          <w:rFonts w:hint="eastAsia" w:hAnsi="宋体"/>
          <w:bCs/>
          <w:color w:val="000000"/>
          <w:sz w:val="21"/>
          <w:highlight w:val="none"/>
        </w:rPr>
      </w:pPr>
      <w:r>
        <w:rPr>
          <w:rFonts w:hint="eastAsia" w:hAnsi="宋体"/>
          <w:bCs/>
          <w:color w:val="000000"/>
          <w:sz w:val="21"/>
          <w:highlight w:val="none"/>
        </w:rPr>
        <w:t>　　（二）对采购过程、中标结果提出的质疑，合格供应商符合法定数量时，可以从合格的中标候选人中另行确定中标人的，应当依法另行确定中标人；否则应当重新开展采购活动。</w:t>
      </w:r>
    </w:p>
    <w:p w14:paraId="5CE05093">
      <w:pPr>
        <w:pStyle w:val="24"/>
        <w:snapToGrid w:val="0"/>
        <w:spacing w:line="360" w:lineRule="auto"/>
        <w:ind w:firstLine="420"/>
        <w:rPr>
          <w:rFonts w:hAnsi="宋体"/>
          <w:bCs/>
          <w:color w:val="000000"/>
          <w:sz w:val="21"/>
          <w:highlight w:val="none"/>
        </w:rPr>
      </w:pPr>
      <w:r>
        <w:rPr>
          <w:rFonts w:hint="eastAsia" w:hAnsi="宋体"/>
          <w:bCs/>
          <w:color w:val="000000"/>
          <w:sz w:val="21"/>
          <w:highlight w:val="none"/>
        </w:rPr>
        <w:t>质疑答复导致中标结果改变的，采购人或者采购代理机构应当将有关情况书面报告本级财政部门。</w:t>
      </w:r>
    </w:p>
    <w:p w14:paraId="00A2B39D">
      <w:pPr>
        <w:pStyle w:val="24"/>
        <w:snapToGrid w:val="0"/>
        <w:spacing w:line="360" w:lineRule="auto"/>
        <w:ind w:firstLine="420" w:firstLineChars="200"/>
        <w:rPr>
          <w:rFonts w:hint="eastAsia" w:hAnsi="宋体"/>
          <w:color w:val="000000"/>
          <w:sz w:val="21"/>
          <w:highlight w:val="none"/>
        </w:rPr>
      </w:pPr>
      <w:r>
        <w:rPr>
          <w:rFonts w:hAnsi="宋体"/>
          <w:color w:val="000000"/>
          <w:sz w:val="21"/>
          <w:highlight w:val="none"/>
        </w:rPr>
        <w:t>38</w:t>
      </w:r>
      <w:r>
        <w:rPr>
          <w:rFonts w:hint="eastAsia" w:hAnsi="宋体"/>
          <w:color w:val="000000"/>
          <w:sz w:val="21"/>
          <w:highlight w:val="none"/>
        </w:rPr>
        <w:t>.</w:t>
      </w:r>
      <w:r>
        <w:rPr>
          <w:rFonts w:hAnsi="宋体"/>
          <w:color w:val="000000"/>
          <w:sz w:val="21"/>
          <w:highlight w:val="none"/>
        </w:rPr>
        <w:t>5</w:t>
      </w:r>
      <w:r>
        <w:rPr>
          <w:rFonts w:hint="eastAsia" w:hAnsi="宋体"/>
          <w:color w:val="000000"/>
          <w:sz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72E5F5EE">
      <w:pPr>
        <w:pStyle w:val="4"/>
        <w:keepNext w:val="0"/>
        <w:keepLines w:val="0"/>
        <w:jc w:val="center"/>
        <w:rPr>
          <w:rFonts w:hint="eastAsia"/>
          <w:color w:val="000000"/>
          <w:highlight w:val="none"/>
        </w:rPr>
      </w:pPr>
      <w:r>
        <w:rPr>
          <w:rFonts w:hint="eastAsia"/>
          <w:color w:val="000000"/>
          <w:highlight w:val="none"/>
        </w:rPr>
        <w:t>八、其他事项</w:t>
      </w:r>
    </w:p>
    <w:p w14:paraId="39E581C9">
      <w:pPr>
        <w:pStyle w:val="6"/>
        <w:keepNext w:val="0"/>
        <w:keepLines w:val="0"/>
        <w:spacing w:before="0" w:after="0" w:line="360" w:lineRule="auto"/>
        <w:ind w:left="420" w:leftChars="200"/>
        <w:rPr>
          <w:rFonts w:hint="eastAsia" w:ascii="黑体" w:hAnsi="黑体" w:eastAsia="黑体"/>
          <w:color w:val="000000"/>
          <w:sz w:val="24"/>
          <w:highlight w:val="none"/>
        </w:rPr>
      </w:pPr>
      <w:bookmarkStart w:id="141" w:name="_42.代理服务费"/>
      <w:bookmarkEnd w:id="141"/>
      <w:r>
        <w:rPr>
          <w:rFonts w:hint="eastAsia" w:ascii="黑体" w:hAnsi="黑体" w:eastAsia="黑体"/>
          <w:color w:val="000000"/>
          <w:sz w:val="24"/>
          <w:highlight w:val="none"/>
        </w:rPr>
        <w:t>3</w:t>
      </w:r>
      <w:r>
        <w:rPr>
          <w:rFonts w:ascii="黑体" w:hAnsi="黑体" w:eastAsia="黑体"/>
          <w:color w:val="000000"/>
          <w:sz w:val="24"/>
          <w:highlight w:val="none"/>
        </w:rPr>
        <w:t>9</w:t>
      </w:r>
      <w:r>
        <w:rPr>
          <w:rFonts w:hint="eastAsia" w:ascii="黑体" w:hAnsi="黑体" w:eastAsia="黑体"/>
          <w:color w:val="000000"/>
          <w:sz w:val="24"/>
          <w:highlight w:val="none"/>
        </w:rPr>
        <w:t>.代理服务费</w:t>
      </w:r>
    </w:p>
    <w:p w14:paraId="188A1808">
      <w:pPr>
        <w:pStyle w:val="6"/>
        <w:keepNext w:val="0"/>
        <w:keepLines w:val="0"/>
        <w:spacing w:before="0" w:after="0" w:line="360" w:lineRule="auto"/>
        <w:ind w:firstLine="420" w:firstLineChars="200"/>
        <w:rPr>
          <w:rFonts w:hint="eastAsia" w:ascii="宋体" w:hAnsi="宋体"/>
          <w:b w:val="0"/>
          <w:color w:val="000000"/>
          <w:sz w:val="21"/>
          <w:szCs w:val="21"/>
          <w:highlight w:val="none"/>
        </w:rPr>
      </w:pPr>
      <w:r>
        <w:rPr>
          <w:rFonts w:hint="eastAsia" w:ascii="宋体" w:hAnsi="宋体"/>
          <w:b w:val="0"/>
          <w:color w:val="000000"/>
          <w:sz w:val="21"/>
          <w:szCs w:val="21"/>
          <w:highlight w:val="none"/>
        </w:rPr>
        <w:t>3</w:t>
      </w:r>
      <w:r>
        <w:rPr>
          <w:rFonts w:ascii="宋体" w:hAnsi="宋体"/>
          <w:b w:val="0"/>
          <w:color w:val="000000"/>
          <w:sz w:val="21"/>
          <w:szCs w:val="21"/>
          <w:highlight w:val="none"/>
        </w:rPr>
        <w:t>9</w:t>
      </w:r>
      <w:r>
        <w:rPr>
          <w:rFonts w:hint="eastAsia" w:ascii="宋体" w:hAnsi="宋体"/>
          <w:b w:val="0"/>
          <w:color w:val="000000"/>
          <w:sz w:val="21"/>
          <w:szCs w:val="21"/>
          <w:highlight w:val="none"/>
        </w:rPr>
        <w:t>.1代理服务收取标准及缴费账户详见“投标人须知前附表”，投标人为联合体的，可以由联合体中的一方或者多方共同交纳代理服务费。</w:t>
      </w:r>
    </w:p>
    <w:p w14:paraId="0EE0A21E">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hint="eastAsia" w:ascii="宋体" w:hAnsi="宋体"/>
          <w:b w:val="0"/>
          <w:color w:val="000000"/>
          <w:sz w:val="21"/>
          <w:szCs w:val="21"/>
          <w:highlight w:val="none"/>
        </w:rPr>
        <w:t>3</w:t>
      </w:r>
      <w:r>
        <w:rPr>
          <w:rFonts w:ascii="宋体" w:hAnsi="宋体"/>
          <w:b w:val="0"/>
          <w:color w:val="000000"/>
          <w:sz w:val="21"/>
          <w:szCs w:val="21"/>
          <w:highlight w:val="none"/>
        </w:rPr>
        <w:t>9</w:t>
      </w:r>
      <w:r>
        <w:rPr>
          <w:rFonts w:hint="eastAsia" w:ascii="宋体" w:hAnsi="宋体"/>
          <w:b w:val="0"/>
          <w:color w:val="000000"/>
          <w:sz w:val="21"/>
          <w:szCs w:val="21"/>
          <w:highlight w:val="none"/>
        </w:rPr>
        <w:t>.2代理服务收费标准：</w:t>
      </w:r>
    </w:p>
    <w:p w14:paraId="5FDC4BE7">
      <w:pPr>
        <w:spacing w:line="360" w:lineRule="auto"/>
        <w:rPr>
          <w:rFonts w:hint="eastAsia" w:ascii="宋体" w:hAnsi="宋体"/>
          <w:color w:val="000000"/>
          <w:szCs w:val="21"/>
          <w:highlight w:val="none"/>
        </w:rPr>
      </w:pPr>
    </w:p>
    <w:tbl>
      <w:tblPr>
        <w:tblStyle w:val="45"/>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143C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46F24936">
            <w:pPr>
              <w:spacing w:line="360" w:lineRule="auto"/>
              <w:rPr>
                <w:rFonts w:ascii="宋体" w:hAnsi="宋体"/>
                <w:color w:val="000000"/>
                <w:szCs w:val="21"/>
                <w:highlight w:val="none"/>
              </w:rPr>
            </w:pPr>
            <w:r>
              <w:rPr>
                <w:rFonts w:hint="eastAsia" w:ascii="宋体" w:hAnsi="宋体"/>
                <w:color w:val="000000"/>
                <w:szCs w:val="21"/>
                <w:highlight w:val="none"/>
              </w:rPr>
              <w:t xml:space="preserve">               费率</w:t>
            </w:r>
          </w:p>
          <w:p w14:paraId="5FBEDB4D">
            <w:pPr>
              <w:spacing w:line="360" w:lineRule="auto"/>
              <w:rPr>
                <w:rFonts w:ascii="宋体" w:hAnsi="宋体"/>
                <w:color w:val="000000"/>
                <w:szCs w:val="21"/>
                <w:highlight w:val="none"/>
              </w:rPr>
            </w:pPr>
            <w:r>
              <w:rPr>
                <w:rFonts w:hint="eastAsia" w:ascii="宋体" w:hAnsi="宋体"/>
                <w:color w:val="000000"/>
                <w:szCs w:val="21"/>
                <w:highlight w:val="none"/>
              </w:rPr>
              <w:t>中标金额</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689BD87">
            <w:pPr>
              <w:spacing w:line="360" w:lineRule="auto"/>
              <w:ind w:firstLine="105" w:firstLineChars="50"/>
              <w:jc w:val="center"/>
              <w:rPr>
                <w:rFonts w:ascii="宋体" w:hAnsi="宋体"/>
                <w:color w:val="000000"/>
                <w:szCs w:val="21"/>
                <w:highlight w:val="none"/>
              </w:rPr>
            </w:pPr>
            <w:r>
              <w:rPr>
                <w:rFonts w:hint="eastAsia" w:ascii="宋体" w:hAnsi="宋体"/>
                <w:color w:val="000000"/>
                <w:szCs w:val="21"/>
                <w:highlight w:val="none"/>
              </w:rPr>
              <w:t>货物招标</w:t>
            </w:r>
          </w:p>
        </w:tc>
        <w:tc>
          <w:tcPr>
            <w:tcW w:w="1687" w:type="dxa"/>
            <w:tcBorders>
              <w:top w:val="single" w:color="auto" w:sz="4" w:space="0"/>
              <w:left w:val="single" w:color="auto" w:sz="4" w:space="0"/>
              <w:bottom w:val="single" w:color="auto" w:sz="4" w:space="0"/>
              <w:right w:val="single" w:color="auto" w:sz="4" w:space="0"/>
            </w:tcBorders>
            <w:noWrap w:val="0"/>
            <w:vAlign w:val="center"/>
          </w:tcPr>
          <w:p w14:paraId="2D0CFD49">
            <w:pPr>
              <w:spacing w:line="360" w:lineRule="auto"/>
              <w:jc w:val="center"/>
              <w:rPr>
                <w:rFonts w:ascii="宋体" w:hAnsi="宋体"/>
                <w:color w:val="000000"/>
                <w:szCs w:val="21"/>
                <w:highlight w:val="none"/>
              </w:rPr>
            </w:pPr>
            <w:r>
              <w:rPr>
                <w:rFonts w:hint="eastAsia" w:ascii="宋体" w:hAnsi="宋体"/>
                <w:color w:val="000000"/>
                <w:szCs w:val="21"/>
                <w:highlight w:val="none"/>
              </w:rPr>
              <w:t>服务招标</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1425A9B9">
            <w:pPr>
              <w:spacing w:line="360" w:lineRule="auto"/>
              <w:jc w:val="center"/>
              <w:rPr>
                <w:rFonts w:ascii="宋体" w:hAnsi="宋体"/>
                <w:color w:val="000000"/>
                <w:szCs w:val="21"/>
                <w:highlight w:val="none"/>
              </w:rPr>
            </w:pPr>
            <w:r>
              <w:rPr>
                <w:rFonts w:hint="eastAsia" w:ascii="宋体" w:hAnsi="宋体"/>
                <w:color w:val="000000"/>
                <w:szCs w:val="21"/>
                <w:highlight w:val="none"/>
              </w:rPr>
              <w:t>工程招标</w:t>
            </w:r>
          </w:p>
        </w:tc>
      </w:tr>
      <w:tr w14:paraId="0D4A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321A840A">
            <w:pPr>
              <w:spacing w:line="360" w:lineRule="auto"/>
              <w:rPr>
                <w:rFonts w:ascii="宋体" w:hAnsi="宋体"/>
                <w:color w:val="000000"/>
                <w:szCs w:val="21"/>
                <w:highlight w:val="none"/>
              </w:rPr>
            </w:pPr>
            <w:r>
              <w:rPr>
                <w:rFonts w:hint="eastAsia" w:ascii="宋体" w:hAnsi="宋体"/>
                <w:color w:val="000000"/>
                <w:szCs w:val="21"/>
                <w:highlight w:val="none"/>
              </w:rPr>
              <w:t>100万元以下</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7159A94E">
            <w:pPr>
              <w:spacing w:line="360" w:lineRule="auto"/>
              <w:rPr>
                <w:rFonts w:ascii="宋体" w:hAnsi="宋体"/>
                <w:color w:val="000000"/>
                <w:szCs w:val="21"/>
                <w:highlight w:val="none"/>
              </w:rPr>
            </w:pPr>
            <w:r>
              <w:rPr>
                <w:rFonts w:hint="eastAsia" w:ascii="宋体" w:hAnsi="宋体" w:cs="宋体"/>
                <w:color w:val="000000"/>
                <w:kern w:val="0"/>
                <w:szCs w:val="21"/>
                <w:highlight w:val="none"/>
              </w:rPr>
              <w:t xml:space="preserve">  1.5%                </w:t>
            </w:r>
          </w:p>
        </w:tc>
        <w:tc>
          <w:tcPr>
            <w:tcW w:w="1687" w:type="dxa"/>
            <w:tcBorders>
              <w:top w:val="single" w:color="auto" w:sz="4" w:space="0"/>
              <w:left w:val="single" w:color="auto" w:sz="4" w:space="0"/>
              <w:bottom w:val="single" w:color="auto" w:sz="4" w:space="0"/>
              <w:right w:val="single" w:color="auto" w:sz="4" w:space="0"/>
            </w:tcBorders>
            <w:noWrap w:val="0"/>
            <w:vAlign w:val="top"/>
          </w:tcPr>
          <w:p w14:paraId="692C8B16">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1.5%</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124F0E30">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 xml:space="preserve">1.0% </w:t>
            </w:r>
          </w:p>
        </w:tc>
      </w:tr>
      <w:tr w14:paraId="1AB9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59AF6B6E">
            <w:pPr>
              <w:spacing w:line="360" w:lineRule="auto"/>
              <w:rPr>
                <w:rFonts w:ascii="宋体" w:hAnsi="宋体"/>
                <w:color w:val="000000"/>
                <w:szCs w:val="21"/>
                <w:highlight w:val="none"/>
              </w:rPr>
            </w:pPr>
            <w:r>
              <w:rPr>
                <w:rFonts w:hint="eastAsia" w:ascii="宋体" w:hAnsi="宋体"/>
                <w:color w:val="000000"/>
                <w:szCs w:val="21"/>
                <w:highlight w:val="none"/>
              </w:rPr>
              <w:t>100万元～500万元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4B7A8BB9">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 xml:space="preserve">1.1%                 </w:t>
            </w:r>
          </w:p>
        </w:tc>
        <w:tc>
          <w:tcPr>
            <w:tcW w:w="1687" w:type="dxa"/>
            <w:tcBorders>
              <w:top w:val="single" w:color="auto" w:sz="4" w:space="0"/>
              <w:left w:val="single" w:color="auto" w:sz="4" w:space="0"/>
              <w:bottom w:val="single" w:color="auto" w:sz="4" w:space="0"/>
              <w:right w:val="single" w:color="auto" w:sz="4" w:space="0"/>
            </w:tcBorders>
            <w:noWrap w:val="0"/>
            <w:vAlign w:val="top"/>
          </w:tcPr>
          <w:p w14:paraId="781658B2">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0.8%</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3169504E">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 xml:space="preserve">0.7% </w:t>
            </w:r>
          </w:p>
        </w:tc>
      </w:tr>
      <w:tr w14:paraId="6541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3C5E656C">
            <w:pPr>
              <w:spacing w:line="360" w:lineRule="auto"/>
              <w:rPr>
                <w:rFonts w:ascii="宋体" w:hAnsi="宋体"/>
                <w:color w:val="000000"/>
                <w:szCs w:val="21"/>
                <w:highlight w:val="none"/>
              </w:rPr>
            </w:pPr>
            <w:r>
              <w:rPr>
                <w:rFonts w:hint="eastAsia" w:ascii="宋体" w:hAnsi="宋体"/>
                <w:color w:val="000000"/>
                <w:szCs w:val="21"/>
                <w:highlight w:val="none"/>
              </w:rPr>
              <w:t>500万元～1000万元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5F7E1318">
            <w:pPr>
              <w:spacing w:line="360" w:lineRule="auto"/>
              <w:rPr>
                <w:rFonts w:ascii="宋体" w:hAnsi="宋体"/>
                <w:color w:val="000000"/>
                <w:szCs w:val="21"/>
                <w:highlight w:val="none"/>
              </w:rPr>
            </w:pPr>
            <w:r>
              <w:rPr>
                <w:rFonts w:hint="eastAsia" w:ascii="宋体" w:hAnsi="宋体" w:cs="宋体"/>
                <w:color w:val="000000"/>
                <w:kern w:val="0"/>
                <w:szCs w:val="21"/>
                <w:highlight w:val="none"/>
              </w:rPr>
              <w:t xml:space="preserve">  0.8%                </w:t>
            </w:r>
          </w:p>
        </w:tc>
        <w:tc>
          <w:tcPr>
            <w:tcW w:w="1687" w:type="dxa"/>
            <w:tcBorders>
              <w:top w:val="single" w:color="auto" w:sz="4" w:space="0"/>
              <w:left w:val="single" w:color="auto" w:sz="4" w:space="0"/>
              <w:bottom w:val="single" w:color="auto" w:sz="4" w:space="0"/>
              <w:right w:val="single" w:color="auto" w:sz="4" w:space="0"/>
            </w:tcBorders>
            <w:noWrap w:val="0"/>
            <w:vAlign w:val="top"/>
          </w:tcPr>
          <w:p w14:paraId="2CEB409D">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0.45%</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53A8BBB7">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0.55%</w:t>
            </w:r>
          </w:p>
        </w:tc>
      </w:tr>
      <w:tr w14:paraId="09E3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7DE7774D">
            <w:pPr>
              <w:spacing w:line="360" w:lineRule="auto"/>
              <w:rPr>
                <w:rFonts w:ascii="宋体" w:hAnsi="宋体"/>
                <w:color w:val="000000"/>
                <w:szCs w:val="21"/>
                <w:highlight w:val="none"/>
              </w:rPr>
            </w:pPr>
            <w:r>
              <w:rPr>
                <w:rFonts w:hint="eastAsia" w:ascii="宋体" w:hAnsi="宋体"/>
                <w:color w:val="000000"/>
                <w:szCs w:val="21"/>
                <w:highlight w:val="none"/>
              </w:rPr>
              <w:t>1000万元～5000万元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19779185">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 xml:space="preserve">0.5%                </w:t>
            </w:r>
          </w:p>
        </w:tc>
        <w:tc>
          <w:tcPr>
            <w:tcW w:w="1687" w:type="dxa"/>
            <w:tcBorders>
              <w:top w:val="single" w:color="auto" w:sz="4" w:space="0"/>
              <w:left w:val="single" w:color="auto" w:sz="4" w:space="0"/>
              <w:bottom w:val="single" w:color="auto" w:sz="4" w:space="0"/>
              <w:right w:val="single" w:color="auto" w:sz="4" w:space="0"/>
            </w:tcBorders>
            <w:noWrap w:val="0"/>
            <w:vAlign w:val="top"/>
          </w:tcPr>
          <w:p w14:paraId="3EB3B644">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0.25%</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65D1978F">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 xml:space="preserve">0.35% </w:t>
            </w:r>
          </w:p>
        </w:tc>
      </w:tr>
      <w:tr w14:paraId="3B97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2DDEC84E">
            <w:pPr>
              <w:spacing w:line="360" w:lineRule="auto"/>
              <w:rPr>
                <w:rFonts w:ascii="宋体" w:hAnsi="宋体"/>
                <w:color w:val="000000"/>
                <w:szCs w:val="21"/>
                <w:highlight w:val="none"/>
              </w:rPr>
            </w:pPr>
            <w:r>
              <w:rPr>
                <w:rFonts w:hint="eastAsia" w:ascii="宋体" w:hAnsi="宋体"/>
                <w:color w:val="000000"/>
                <w:szCs w:val="21"/>
                <w:highlight w:val="none"/>
              </w:rPr>
              <w:t>5000万元～1亿元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1C069220">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 xml:space="preserve">0.25%                 </w:t>
            </w:r>
          </w:p>
        </w:tc>
        <w:tc>
          <w:tcPr>
            <w:tcW w:w="1687" w:type="dxa"/>
            <w:tcBorders>
              <w:top w:val="single" w:color="auto" w:sz="4" w:space="0"/>
              <w:left w:val="single" w:color="auto" w:sz="4" w:space="0"/>
              <w:bottom w:val="single" w:color="auto" w:sz="4" w:space="0"/>
              <w:right w:val="single" w:color="auto" w:sz="4" w:space="0"/>
            </w:tcBorders>
            <w:noWrap w:val="0"/>
            <w:vAlign w:val="top"/>
          </w:tcPr>
          <w:p w14:paraId="0F9C66DA">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0.1%</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43FE5A3C">
            <w:pPr>
              <w:spacing w:line="360" w:lineRule="auto"/>
              <w:ind w:firstLine="210" w:firstLineChars="100"/>
              <w:rPr>
                <w:rFonts w:ascii="宋体" w:hAnsi="宋体"/>
                <w:color w:val="000000"/>
                <w:szCs w:val="21"/>
                <w:highlight w:val="none"/>
              </w:rPr>
            </w:pPr>
            <w:r>
              <w:rPr>
                <w:rFonts w:hint="eastAsia" w:ascii="宋体" w:hAnsi="宋体" w:cs="宋体"/>
                <w:color w:val="000000"/>
                <w:kern w:val="0"/>
                <w:szCs w:val="21"/>
                <w:highlight w:val="none"/>
              </w:rPr>
              <w:t>0.2%</w:t>
            </w:r>
          </w:p>
        </w:tc>
      </w:tr>
      <w:tr w14:paraId="3765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324D0631">
            <w:pPr>
              <w:spacing w:line="360" w:lineRule="auto"/>
              <w:rPr>
                <w:rFonts w:ascii="宋体" w:hAnsi="宋体"/>
                <w:color w:val="000000"/>
                <w:szCs w:val="21"/>
                <w:highlight w:val="none"/>
              </w:rPr>
            </w:pPr>
            <w:r>
              <w:rPr>
                <w:rFonts w:hint="eastAsia" w:ascii="宋体" w:hAnsi="宋体"/>
                <w:color w:val="000000"/>
                <w:szCs w:val="21"/>
                <w:highlight w:val="none"/>
              </w:rPr>
              <w:t>1亿元～5亿元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148FEAAD">
            <w:pPr>
              <w:spacing w:line="360" w:lineRule="auto"/>
              <w:ind w:firstLine="210" w:firstLineChars="100"/>
              <w:rPr>
                <w:rFonts w:ascii="宋体" w:hAnsi="宋体"/>
                <w:color w:val="000000"/>
                <w:szCs w:val="21"/>
                <w:highlight w:val="none"/>
              </w:rPr>
            </w:pPr>
            <w:r>
              <w:rPr>
                <w:rFonts w:hint="eastAsia" w:ascii="宋体" w:hAnsi="宋体"/>
                <w:color w:val="000000"/>
                <w:szCs w:val="21"/>
                <w:highlight w:val="none"/>
              </w:rPr>
              <w:t>0.05%</w:t>
            </w:r>
          </w:p>
        </w:tc>
        <w:tc>
          <w:tcPr>
            <w:tcW w:w="1687" w:type="dxa"/>
            <w:tcBorders>
              <w:top w:val="single" w:color="auto" w:sz="4" w:space="0"/>
              <w:left w:val="single" w:color="auto" w:sz="4" w:space="0"/>
              <w:bottom w:val="single" w:color="auto" w:sz="4" w:space="0"/>
              <w:right w:val="single" w:color="auto" w:sz="4" w:space="0"/>
            </w:tcBorders>
            <w:noWrap w:val="0"/>
            <w:vAlign w:val="top"/>
          </w:tcPr>
          <w:p w14:paraId="057BB18D">
            <w:pPr>
              <w:spacing w:line="360" w:lineRule="auto"/>
              <w:rPr>
                <w:rFonts w:ascii="宋体" w:hAnsi="宋体"/>
                <w:color w:val="000000"/>
                <w:szCs w:val="21"/>
                <w:highlight w:val="none"/>
              </w:rPr>
            </w:pPr>
            <w:r>
              <w:rPr>
                <w:rFonts w:hint="eastAsia" w:ascii="宋体" w:hAnsi="宋体"/>
                <w:color w:val="000000"/>
                <w:szCs w:val="21"/>
                <w:highlight w:val="none"/>
              </w:rPr>
              <w:t xml:space="preserve">  0.05%</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75D87DE3">
            <w:pPr>
              <w:spacing w:line="360" w:lineRule="auto"/>
              <w:rPr>
                <w:rFonts w:ascii="宋体" w:hAnsi="宋体"/>
                <w:color w:val="000000"/>
                <w:szCs w:val="21"/>
                <w:highlight w:val="none"/>
              </w:rPr>
            </w:pPr>
            <w:r>
              <w:rPr>
                <w:rFonts w:hint="eastAsia" w:ascii="宋体" w:hAnsi="宋体"/>
                <w:color w:val="000000"/>
                <w:szCs w:val="21"/>
                <w:highlight w:val="none"/>
              </w:rPr>
              <w:t xml:space="preserve">  0.05%</w:t>
            </w:r>
          </w:p>
        </w:tc>
      </w:tr>
      <w:tr w14:paraId="0A87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4E32D381">
            <w:pPr>
              <w:spacing w:line="360" w:lineRule="auto"/>
              <w:rPr>
                <w:rFonts w:ascii="宋体" w:hAnsi="宋体"/>
                <w:color w:val="000000"/>
                <w:szCs w:val="21"/>
                <w:highlight w:val="none"/>
              </w:rPr>
            </w:pPr>
            <w:r>
              <w:rPr>
                <w:rFonts w:hint="eastAsia" w:ascii="宋体" w:hAnsi="宋体"/>
                <w:color w:val="000000"/>
                <w:szCs w:val="21"/>
                <w:highlight w:val="none"/>
              </w:rPr>
              <w:t>5亿元～10亿元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07FA7ECE">
            <w:pPr>
              <w:spacing w:line="360" w:lineRule="auto"/>
              <w:ind w:firstLine="105" w:firstLineChars="50"/>
              <w:rPr>
                <w:rFonts w:ascii="宋体" w:hAnsi="宋体"/>
                <w:color w:val="000000"/>
                <w:szCs w:val="21"/>
                <w:highlight w:val="none"/>
              </w:rPr>
            </w:pPr>
            <w:r>
              <w:rPr>
                <w:rFonts w:hint="eastAsia" w:ascii="宋体" w:hAnsi="宋体"/>
                <w:color w:val="000000"/>
                <w:szCs w:val="21"/>
                <w:highlight w:val="none"/>
              </w:rPr>
              <w:t>0.035%</w:t>
            </w:r>
          </w:p>
        </w:tc>
        <w:tc>
          <w:tcPr>
            <w:tcW w:w="1687" w:type="dxa"/>
            <w:tcBorders>
              <w:top w:val="single" w:color="auto" w:sz="4" w:space="0"/>
              <w:left w:val="single" w:color="auto" w:sz="4" w:space="0"/>
              <w:bottom w:val="single" w:color="auto" w:sz="4" w:space="0"/>
              <w:right w:val="single" w:color="auto" w:sz="4" w:space="0"/>
            </w:tcBorders>
            <w:noWrap w:val="0"/>
            <w:vAlign w:val="top"/>
          </w:tcPr>
          <w:p w14:paraId="3C1223C5">
            <w:pPr>
              <w:spacing w:line="360" w:lineRule="auto"/>
              <w:rPr>
                <w:rFonts w:ascii="宋体" w:hAnsi="宋体"/>
                <w:color w:val="000000"/>
                <w:szCs w:val="21"/>
                <w:highlight w:val="none"/>
              </w:rPr>
            </w:pPr>
            <w:r>
              <w:rPr>
                <w:rFonts w:hint="eastAsia" w:ascii="宋体" w:hAnsi="宋体"/>
                <w:color w:val="000000"/>
                <w:szCs w:val="21"/>
                <w:highlight w:val="none"/>
              </w:rPr>
              <w:t xml:space="preserve">  0.035%</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3A32BB35">
            <w:pPr>
              <w:spacing w:line="360" w:lineRule="auto"/>
              <w:ind w:firstLine="105" w:firstLineChars="50"/>
              <w:rPr>
                <w:rFonts w:ascii="宋体" w:hAnsi="宋体"/>
                <w:color w:val="000000"/>
                <w:szCs w:val="21"/>
                <w:highlight w:val="none"/>
              </w:rPr>
            </w:pPr>
            <w:r>
              <w:rPr>
                <w:rFonts w:hint="eastAsia" w:ascii="宋体" w:hAnsi="宋体"/>
                <w:color w:val="000000"/>
                <w:szCs w:val="21"/>
                <w:highlight w:val="none"/>
              </w:rPr>
              <w:t>0.035%</w:t>
            </w:r>
          </w:p>
        </w:tc>
      </w:tr>
      <w:tr w14:paraId="03CA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1DB3637B">
            <w:pPr>
              <w:spacing w:line="360" w:lineRule="auto"/>
              <w:rPr>
                <w:rFonts w:ascii="宋体" w:hAnsi="宋体"/>
                <w:color w:val="000000"/>
                <w:szCs w:val="21"/>
                <w:highlight w:val="none"/>
              </w:rPr>
            </w:pPr>
            <w:r>
              <w:rPr>
                <w:rFonts w:hint="eastAsia" w:ascii="宋体" w:hAnsi="宋体"/>
                <w:color w:val="000000"/>
                <w:szCs w:val="21"/>
                <w:highlight w:val="none"/>
              </w:rPr>
              <w:t>10亿元～50亿元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54C21455">
            <w:pPr>
              <w:spacing w:line="360" w:lineRule="auto"/>
              <w:ind w:firstLine="105" w:firstLineChars="50"/>
              <w:rPr>
                <w:rFonts w:ascii="宋体" w:hAnsi="宋体"/>
                <w:color w:val="000000"/>
                <w:szCs w:val="21"/>
                <w:highlight w:val="none"/>
              </w:rPr>
            </w:pPr>
            <w:r>
              <w:rPr>
                <w:rFonts w:hint="eastAsia" w:ascii="宋体" w:hAnsi="宋体"/>
                <w:color w:val="000000"/>
                <w:szCs w:val="21"/>
                <w:highlight w:val="none"/>
              </w:rPr>
              <w:t>0.008%</w:t>
            </w:r>
          </w:p>
        </w:tc>
        <w:tc>
          <w:tcPr>
            <w:tcW w:w="1687" w:type="dxa"/>
            <w:tcBorders>
              <w:top w:val="single" w:color="auto" w:sz="4" w:space="0"/>
              <w:left w:val="single" w:color="auto" w:sz="4" w:space="0"/>
              <w:bottom w:val="single" w:color="auto" w:sz="4" w:space="0"/>
              <w:right w:val="single" w:color="auto" w:sz="4" w:space="0"/>
            </w:tcBorders>
            <w:noWrap w:val="0"/>
            <w:vAlign w:val="top"/>
          </w:tcPr>
          <w:p w14:paraId="2DA24E35">
            <w:pPr>
              <w:spacing w:line="360" w:lineRule="auto"/>
              <w:ind w:firstLine="210" w:firstLineChars="100"/>
              <w:rPr>
                <w:rFonts w:ascii="宋体" w:hAnsi="宋体"/>
                <w:color w:val="000000"/>
                <w:szCs w:val="21"/>
                <w:highlight w:val="none"/>
              </w:rPr>
            </w:pPr>
            <w:r>
              <w:rPr>
                <w:rFonts w:hint="eastAsia" w:ascii="宋体" w:hAnsi="宋体"/>
                <w:color w:val="000000"/>
                <w:szCs w:val="21"/>
                <w:highlight w:val="none"/>
              </w:rPr>
              <w:t>0.008%</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3A2EB6AB">
            <w:pPr>
              <w:spacing w:line="360" w:lineRule="auto"/>
              <w:ind w:firstLine="105" w:firstLineChars="50"/>
              <w:rPr>
                <w:rFonts w:ascii="宋体" w:hAnsi="宋体"/>
                <w:color w:val="000000"/>
                <w:szCs w:val="21"/>
                <w:highlight w:val="none"/>
              </w:rPr>
            </w:pPr>
            <w:r>
              <w:rPr>
                <w:rFonts w:hint="eastAsia" w:ascii="宋体" w:hAnsi="宋体"/>
                <w:color w:val="000000"/>
                <w:szCs w:val="21"/>
                <w:highlight w:val="none"/>
              </w:rPr>
              <w:t>0.008%</w:t>
            </w:r>
          </w:p>
        </w:tc>
      </w:tr>
      <w:tr w14:paraId="5D6E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10E9174E">
            <w:pPr>
              <w:spacing w:line="360" w:lineRule="auto"/>
              <w:rPr>
                <w:rFonts w:ascii="宋体" w:hAnsi="宋体"/>
                <w:color w:val="000000"/>
                <w:szCs w:val="21"/>
                <w:highlight w:val="none"/>
              </w:rPr>
            </w:pPr>
            <w:r>
              <w:rPr>
                <w:rFonts w:hint="eastAsia" w:ascii="宋体" w:hAnsi="宋体"/>
                <w:color w:val="000000"/>
                <w:szCs w:val="21"/>
                <w:highlight w:val="none"/>
              </w:rPr>
              <w:t>50亿元～100亿元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1D26DEBA">
            <w:pPr>
              <w:spacing w:line="360" w:lineRule="auto"/>
              <w:rPr>
                <w:rFonts w:ascii="宋体" w:hAnsi="宋体"/>
                <w:color w:val="000000"/>
                <w:szCs w:val="21"/>
                <w:highlight w:val="none"/>
              </w:rPr>
            </w:pPr>
            <w:r>
              <w:rPr>
                <w:rFonts w:hint="eastAsia" w:ascii="宋体" w:hAnsi="宋体"/>
                <w:color w:val="000000"/>
                <w:szCs w:val="21"/>
                <w:highlight w:val="none"/>
              </w:rPr>
              <w:t xml:space="preserve"> 0.006%</w:t>
            </w:r>
          </w:p>
        </w:tc>
        <w:tc>
          <w:tcPr>
            <w:tcW w:w="1687" w:type="dxa"/>
            <w:tcBorders>
              <w:top w:val="single" w:color="auto" w:sz="4" w:space="0"/>
              <w:left w:val="single" w:color="auto" w:sz="4" w:space="0"/>
              <w:bottom w:val="single" w:color="auto" w:sz="4" w:space="0"/>
              <w:right w:val="single" w:color="auto" w:sz="4" w:space="0"/>
            </w:tcBorders>
            <w:noWrap w:val="0"/>
            <w:vAlign w:val="top"/>
          </w:tcPr>
          <w:p w14:paraId="136C3EE5">
            <w:pPr>
              <w:spacing w:line="360" w:lineRule="auto"/>
              <w:ind w:firstLine="210" w:firstLineChars="100"/>
              <w:rPr>
                <w:rFonts w:ascii="宋体" w:hAnsi="宋体"/>
                <w:color w:val="000000"/>
                <w:szCs w:val="21"/>
                <w:highlight w:val="none"/>
              </w:rPr>
            </w:pPr>
            <w:r>
              <w:rPr>
                <w:rFonts w:hint="eastAsia" w:ascii="宋体" w:hAnsi="宋体"/>
                <w:color w:val="000000"/>
                <w:szCs w:val="21"/>
                <w:highlight w:val="none"/>
              </w:rPr>
              <w:t>0.006%</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755A243D">
            <w:pPr>
              <w:spacing w:line="360" w:lineRule="auto"/>
              <w:ind w:firstLine="105" w:firstLineChars="50"/>
              <w:rPr>
                <w:rFonts w:ascii="宋体" w:hAnsi="宋体"/>
                <w:color w:val="000000"/>
                <w:szCs w:val="21"/>
                <w:highlight w:val="none"/>
              </w:rPr>
            </w:pPr>
            <w:r>
              <w:rPr>
                <w:rFonts w:hint="eastAsia" w:ascii="宋体" w:hAnsi="宋体"/>
                <w:color w:val="000000"/>
                <w:szCs w:val="21"/>
                <w:highlight w:val="none"/>
              </w:rPr>
              <w:t>0.006%</w:t>
            </w:r>
          </w:p>
        </w:tc>
      </w:tr>
      <w:tr w14:paraId="5231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noWrap w:val="0"/>
            <w:vAlign w:val="top"/>
          </w:tcPr>
          <w:p w14:paraId="5229563A">
            <w:pPr>
              <w:spacing w:line="360" w:lineRule="auto"/>
              <w:rPr>
                <w:rFonts w:ascii="宋体" w:hAnsi="宋体"/>
                <w:color w:val="000000"/>
                <w:szCs w:val="21"/>
                <w:highlight w:val="none"/>
              </w:rPr>
            </w:pPr>
            <w:r>
              <w:rPr>
                <w:rFonts w:hint="eastAsia" w:ascii="宋体" w:hAnsi="宋体"/>
                <w:color w:val="000000"/>
                <w:szCs w:val="21"/>
                <w:highlight w:val="none"/>
              </w:rPr>
              <w:t>100亿以上</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35E8B6BD">
            <w:pPr>
              <w:spacing w:line="360" w:lineRule="auto"/>
              <w:rPr>
                <w:rFonts w:ascii="宋体" w:hAnsi="宋体"/>
                <w:color w:val="000000"/>
                <w:szCs w:val="21"/>
                <w:highlight w:val="none"/>
              </w:rPr>
            </w:pPr>
            <w:r>
              <w:rPr>
                <w:rFonts w:hint="eastAsia" w:ascii="宋体" w:hAnsi="宋体"/>
                <w:color w:val="000000"/>
                <w:szCs w:val="21"/>
                <w:highlight w:val="none"/>
              </w:rPr>
              <w:t xml:space="preserve"> 0.004%</w:t>
            </w:r>
          </w:p>
        </w:tc>
        <w:tc>
          <w:tcPr>
            <w:tcW w:w="1687" w:type="dxa"/>
            <w:tcBorders>
              <w:top w:val="single" w:color="auto" w:sz="4" w:space="0"/>
              <w:left w:val="single" w:color="auto" w:sz="4" w:space="0"/>
              <w:bottom w:val="single" w:color="auto" w:sz="4" w:space="0"/>
              <w:right w:val="single" w:color="auto" w:sz="4" w:space="0"/>
            </w:tcBorders>
            <w:noWrap w:val="0"/>
            <w:vAlign w:val="top"/>
          </w:tcPr>
          <w:p w14:paraId="2F74A1C5">
            <w:pPr>
              <w:spacing w:line="360" w:lineRule="auto"/>
              <w:ind w:firstLine="210" w:firstLineChars="100"/>
              <w:rPr>
                <w:rFonts w:ascii="宋体" w:hAnsi="宋体"/>
                <w:color w:val="000000"/>
                <w:szCs w:val="21"/>
                <w:highlight w:val="none"/>
              </w:rPr>
            </w:pPr>
            <w:r>
              <w:rPr>
                <w:rFonts w:hint="eastAsia" w:ascii="宋体" w:hAnsi="宋体"/>
                <w:color w:val="000000"/>
                <w:szCs w:val="21"/>
                <w:highlight w:val="none"/>
              </w:rPr>
              <w:t>0.004%</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3DF1DC26">
            <w:pPr>
              <w:spacing w:line="360" w:lineRule="auto"/>
              <w:ind w:firstLine="105" w:firstLineChars="50"/>
              <w:rPr>
                <w:rFonts w:ascii="宋体" w:hAnsi="宋体"/>
                <w:color w:val="000000"/>
                <w:szCs w:val="21"/>
                <w:highlight w:val="none"/>
              </w:rPr>
            </w:pPr>
            <w:r>
              <w:rPr>
                <w:rFonts w:hint="eastAsia" w:ascii="宋体" w:hAnsi="宋体"/>
                <w:color w:val="000000"/>
                <w:szCs w:val="21"/>
                <w:highlight w:val="none"/>
              </w:rPr>
              <w:t>0.004%</w:t>
            </w:r>
          </w:p>
        </w:tc>
      </w:tr>
    </w:tbl>
    <w:p w14:paraId="7050BAED">
      <w:pPr>
        <w:spacing w:line="360" w:lineRule="auto"/>
        <w:ind w:firstLine="420" w:firstLineChars="200"/>
        <w:rPr>
          <w:rFonts w:ascii="宋体" w:hAnsi="宋体" w:cs="宋体"/>
          <w:color w:val="000000"/>
          <w:szCs w:val="21"/>
          <w:highlight w:val="none"/>
        </w:rPr>
      </w:pPr>
      <w:r>
        <w:rPr>
          <w:rFonts w:hint="eastAsia" w:ascii="宋体" w:hAnsi="宋体"/>
          <w:color w:val="000000"/>
          <w:szCs w:val="21"/>
          <w:highlight w:val="none"/>
        </w:rPr>
        <w:t>注：</w:t>
      </w:r>
      <w:r>
        <w:rPr>
          <w:rFonts w:ascii="宋体" w:hAnsi="宋体" w:cs="宋体"/>
          <w:color w:val="000000"/>
          <w:szCs w:val="21"/>
          <w:highlight w:val="none"/>
        </w:rPr>
        <w:t xml:space="preserve"> </w:t>
      </w:r>
    </w:p>
    <w:p w14:paraId="3FD46F02">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w:t>
      </w:r>
      <w:r>
        <w:rPr>
          <w:rFonts w:ascii="宋体" w:hAnsi="宋体" w:cs="宋体"/>
          <w:color w:val="000000"/>
          <w:szCs w:val="21"/>
          <w:highlight w:val="none"/>
        </w:rPr>
        <w:t>按本表费率计算的收费为</w:t>
      </w:r>
      <w:r>
        <w:rPr>
          <w:rFonts w:hint="eastAsia" w:ascii="宋体" w:hAnsi="宋体" w:cs="宋体"/>
          <w:color w:val="000000"/>
          <w:szCs w:val="21"/>
          <w:highlight w:val="none"/>
        </w:rPr>
        <w:t>采购</w:t>
      </w:r>
      <w:r>
        <w:rPr>
          <w:rFonts w:ascii="宋体" w:hAnsi="宋体" w:cs="宋体"/>
          <w:color w:val="000000"/>
          <w:szCs w:val="21"/>
          <w:highlight w:val="none"/>
        </w:rPr>
        <w:t>代理的收费基准价格</w:t>
      </w:r>
      <w:r>
        <w:rPr>
          <w:rFonts w:hint="eastAsia" w:ascii="宋体" w:hAnsi="宋体" w:cs="宋体"/>
          <w:color w:val="000000"/>
          <w:szCs w:val="21"/>
          <w:highlight w:val="none"/>
        </w:rPr>
        <w:t>；</w:t>
      </w:r>
    </w:p>
    <w:p w14:paraId="2444288A">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（2）采购</w:t>
      </w:r>
      <w:r>
        <w:rPr>
          <w:rFonts w:ascii="宋体" w:hAnsi="宋体" w:cs="宋体"/>
          <w:color w:val="000000"/>
          <w:szCs w:val="21"/>
          <w:highlight w:val="none"/>
        </w:rPr>
        <w:t>代理收费按差额定率累进法计算。</w:t>
      </w:r>
    </w:p>
    <w:p w14:paraId="3993BF53">
      <w:pPr>
        <w:spacing w:line="360" w:lineRule="auto"/>
        <w:ind w:firstLine="420" w:firstLineChars="200"/>
        <w:rPr>
          <w:rFonts w:ascii="宋体" w:hAnsi="宋体" w:cs="宋体"/>
          <w:color w:val="000000"/>
          <w:szCs w:val="21"/>
          <w:highlight w:val="none"/>
        </w:rPr>
      </w:pPr>
      <w:r>
        <w:rPr>
          <w:rFonts w:ascii="宋体" w:hAnsi="宋体" w:cs="宋体"/>
          <w:color w:val="000000"/>
          <w:szCs w:val="21"/>
          <w:highlight w:val="none"/>
        </w:rPr>
        <w:t>例如：某</w:t>
      </w:r>
      <w:r>
        <w:rPr>
          <w:rFonts w:hint="eastAsia" w:ascii="宋体" w:hAnsi="宋体" w:cs="宋体"/>
          <w:color w:val="000000"/>
          <w:szCs w:val="21"/>
          <w:highlight w:val="none"/>
        </w:rPr>
        <w:t>货物采购</w:t>
      </w:r>
      <w:r>
        <w:rPr>
          <w:rFonts w:ascii="宋体" w:hAnsi="宋体" w:cs="宋体"/>
          <w:color w:val="000000"/>
          <w:szCs w:val="21"/>
          <w:highlight w:val="none"/>
        </w:rPr>
        <w:t>代理业务</w:t>
      </w:r>
      <w:r>
        <w:rPr>
          <w:rFonts w:hint="eastAsia" w:ascii="宋体" w:hAnsi="宋体" w:cs="宋体"/>
          <w:color w:val="000000"/>
          <w:szCs w:val="21"/>
          <w:highlight w:val="none"/>
        </w:rPr>
        <w:t>中标</w:t>
      </w:r>
      <w:r>
        <w:rPr>
          <w:rFonts w:ascii="宋体" w:hAnsi="宋体" w:cs="宋体"/>
          <w:color w:val="000000"/>
          <w:szCs w:val="21"/>
          <w:highlight w:val="none"/>
        </w:rPr>
        <w:t>金额</w:t>
      </w:r>
      <w:r>
        <w:rPr>
          <w:rFonts w:hint="eastAsia" w:ascii="宋体" w:hAnsi="宋体" w:cs="宋体"/>
          <w:color w:val="000000"/>
          <w:szCs w:val="21"/>
          <w:highlight w:val="none"/>
        </w:rPr>
        <w:t>或者暂定价</w:t>
      </w:r>
      <w:r>
        <w:rPr>
          <w:rFonts w:ascii="宋体" w:hAnsi="宋体" w:cs="宋体"/>
          <w:color w:val="000000"/>
          <w:szCs w:val="21"/>
          <w:highlight w:val="none"/>
        </w:rPr>
        <w:t>为200万元，计算</w:t>
      </w:r>
      <w:r>
        <w:rPr>
          <w:rFonts w:hint="eastAsia" w:ascii="宋体" w:hAnsi="宋体" w:cs="宋体"/>
          <w:color w:val="000000"/>
          <w:szCs w:val="21"/>
          <w:highlight w:val="none"/>
        </w:rPr>
        <w:t>采购</w:t>
      </w:r>
      <w:r>
        <w:rPr>
          <w:rFonts w:ascii="宋体" w:hAnsi="宋体" w:cs="宋体"/>
          <w:color w:val="000000"/>
          <w:szCs w:val="21"/>
          <w:highlight w:val="none"/>
        </w:rPr>
        <w:t>代理收费额如下：</w:t>
      </w:r>
    </w:p>
    <w:p w14:paraId="1369F14D">
      <w:pPr>
        <w:spacing w:line="360" w:lineRule="auto"/>
        <w:ind w:firstLine="420" w:firstLineChars="200"/>
        <w:rPr>
          <w:rFonts w:ascii="宋体" w:hAnsi="宋体" w:cs="宋体"/>
          <w:color w:val="000000"/>
          <w:szCs w:val="21"/>
          <w:highlight w:val="none"/>
        </w:rPr>
      </w:pPr>
      <w:r>
        <w:rPr>
          <w:rFonts w:ascii="宋体" w:hAnsi="宋体" w:cs="宋体"/>
          <w:color w:val="000000"/>
          <w:szCs w:val="21"/>
          <w:highlight w:val="none"/>
        </w:rPr>
        <w:t>100 万元×l.5 ％＝ 1.5 万元</w:t>
      </w:r>
    </w:p>
    <w:p w14:paraId="562908B2">
      <w:pPr>
        <w:spacing w:line="360" w:lineRule="auto"/>
        <w:ind w:firstLine="420" w:firstLineChars="200"/>
        <w:rPr>
          <w:rFonts w:ascii="宋体" w:hAnsi="宋体" w:cs="宋体"/>
          <w:color w:val="000000"/>
          <w:szCs w:val="21"/>
          <w:highlight w:val="none"/>
        </w:rPr>
      </w:pPr>
      <w:r>
        <w:rPr>
          <w:rFonts w:ascii="宋体" w:hAnsi="宋体" w:cs="宋体"/>
          <w:color w:val="000000"/>
          <w:szCs w:val="21"/>
          <w:highlight w:val="none"/>
        </w:rPr>
        <w:t>（ 200 － 100 ）万元 ×1.1％＝1.1万元</w:t>
      </w:r>
    </w:p>
    <w:p w14:paraId="43D4E57F">
      <w:pPr>
        <w:pStyle w:val="24"/>
        <w:snapToGrid w:val="0"/>
        <w:spacing w:line="360" w:lineRule="auto"/>
        <w:ind w:firstLine="420" w:firstLineChars="200"/>
        <w:rPr>
          <w:rFonts w:hAnsi="宋体" w:cs="宋体"/>
          <w:color w:val="000000"/>
          <w:sz w:val="21"/>
          <w:highlight w:val="none"/>
        </w:rPr>
      </w:pPr>
      <w:r>
        <w:rPr>
          <w:rFonts w:hAnsi="宋体" w:cs="宋体"/>
          <w:color w:val="000000"/>
          <w:sz w:val="21"/>
          <w:highlight w:val="none"/>
        </w:rPr>
        <w:t>合计收费＝ 1.5</w:t>
      </w:r>
      <w:r>
        <w:rPr>
          <w:rFonts w:hint="eastAsia" w:hAnsi="宋体" w:cs="宋体"/>
          <w:color w:val="000000"/>
          <w:sz w:val="21"/>
          <w:highlight w:val="none"/>
        </w:rPr>
        <w:t>+</w:t>
      </w:r>
      <w:r>
        <w:rPr>
          <w:rFonts w:hAnsi="宋体" w:cs="宋体"/>
          <w:color w:val="000000"/>
          <w:sz w:val="21"/>
          <w:highlight w:val="none"/>
        </w:rPr>
        <w:t>1.1＝ 2.6 （万元）</w:t>
      </w:r>
    </w:p>
    <w:p w14:paraId="154E507E">
      <w:pPr>
        <w:pStyle w:val="6"/>
        <w:keepNext w:val="0"/>
        <w:keepLines w:val="0"/>
        <w:spacing w:before="0" w:after="0" w:line="360" w:lineRule="auto"/>
        <w:rPr>
          <w:rFonts w:ascii="黑体" w:hAnsi="黑体" w:eastAsia="黑体"/>
          <w:color w:val="000000"/>
          <w:sz w:val="24"/>
          <w:highlight w:val="none"/>
        </w:rPr>
      </w:pPr>
      <w:r>
        <w:rPr>
          <w:rFonts w:ascii="黑体" w:hAnsi="黑体" w:eastAsia="黑体"/>
          <w:color w:val="000000"/>
          <w:sz w:val="24"/>
          <w:highlight w:val="none"/>
        </w:rPr>
        <w:t>40. 需要补充的其他内容</w:t>
      </w:r>
    </w:p>
    <w:p w14:paraId="07409047">
      <w:pPr>
        <w:pStyle w:val="24"/>
        <w:spacing w:line="360" w:lineRule="auto"/>
        <w:ind w:firstLine="420" w:firstLineChars="200"/>
        <w:contextualSpacing/>
        <w:rPr>
          <w:rFonts w:hint="eastAsia" w:hAnsi="宋体" w:cs="宋体"/>
          <w:color w:val="000000"/>
          <w:sz w:val="21"/>
          <w:highlight w:val="none"/>
        </w:rPr>
      </w:pPr>
      <w:r>
        <w:rPr>
          <w:rFonts w:hint="eastAsia" w:hAnsi="宋体" w:cs="宋体"/>
          <w:color w:val="000000"/>
          <w:sz w:val="21"/>
          <w:highlight w:val="none"/>
        </w:rPr>
        <w:t>40.1本招标文件解释规则详见“投标人须知前附表”。</w:t>
      </w:r>
    </w:p>
    <w:p w14:paraId="4D7CB5E0">
      <w:pPr>
        <w:pStyle w:val="24"/>
        <w:spacing w:line="360" w:lineRule="auto"/>
        <w:ind w:firstLine="420" w:firstLineChars="200"/>
        <w:contextualSpacing/>
        <w:rPr>
          <w:rFonts w:hint="eastAsia" w:hAnsi="宋体" w:cs="宋体"/>
          <w:color w:val="000000"/>
          <w:sz w:val="21"/>
          <w:highlight w:val="none"/>
        </w:rPr>
      </w:pPr>
      <w:r>
        <w:rPr>
          <w:rFonts w:hint="eastAsia" w:hAnsi="宋体" w:cs="宋体"/>
          <w:color w:val="000000"/>
          <w:sz w:val="21"/>
          <w:highlight w:val="none"/>
        </w:rPr>
        <w:t>40.2 其他事项详见“投标人须知前附表”。</w:t>
      </w:r>
    </w:p>
    <w:p w14:paraId="3891EE1D">
      <w:pPr>
        <w:pStyle w:val="24"/>
        <w:spacing w:line="360" w:lineRule="auto"/>
        <w:ind w:firstLine="420" w:firstLineChars="200"/>
        <w:contextualSpacing/>
        <w:rPr>
          <w:rFonts w:hint="eastAsia" w:hAnsi="宋体" w:cs="宋体"/>
          <w:color w:val="000000"/>
          <w:sz w:val="21"/>
          <w:highlight w:val="none"/>
        </w:rPr>
      </w:pPr>
      <w:r>
        <w:rPr>
          <w:rFonts w:hint="eastAsia" w:hAnsi="宋体" w:cs="宋体"/>
          <w:color w:val="000000"/>
          <w:sz w:val="21"/>
          <w:highlight w:val="none"/>
        </w:rPr>
        <w:t>40.3</w:t>
      </w:r>
      <w:bookmarkStart w:id="142" w:name="_Hlk65857140"/>
      <w:r>
        <w:rPr>
          <w:rFonts w:hint="eastAsia" w:hAnsi="宋体" w:cs="宋体"/>
          <w:color w:val="000000"/>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09A00B9B">
      <w:pPr>
        <w:pStyle w:val="24"/>
        <w:spacing w:line="360" w:lineRule="auto"/>
        <w:ind w:firstLine="420" w:firstLineChars="200"/>
        <w:contextualSpacing/>
        <w:rPr>
          <w:rFonts w:hint="eastAsia" w:hAnsi="宋体" w:cs="宋体"/>
          <w:color w:val="000000"/>
          <w:sz w:val="21"/>
          <w:highlight w:val="none"/>
        </w:rPr>
      </w:pPr>
      <w:r>
        <w:rPr>
          <w:rFonts w:hint="eastAsia" w:hAnsi="宋体" w:cs="宋体"/>
          <w:color w:val="000000"/>
          <w:sz w:val="21"/>
          <w:highlight w:val="none"/>
        </w:rPr>
        <w:t>（1）在货物采购项目中，货物由中小企业制造，即货物由中小企业生产且使用该中小企业商号或者注册商标，不对其中涉及的工程承建商和服务的承接商作出要求；</w:t>
      </w:r>
    </w:p>
    <w:p w14:paraId="232A1787">
      <w:pPr>
        <w:pStyle w:val="24"/>
        <w:spacing w:line="360" w:lineRule="auto"/>
        <w:ind w:firstLine="420" w:firstLineChars="200"/>
        <w:contextualSpacing/>
        <w:rPr>
          <w:rFonts w:hint="eastAsia" w:hAnsi="宋体" w:cs="宋体"/>
          <w:color w:val="000000"/>
          <w:sz w:val="21"/>
          <w:highlight w:val="none"/>
        </w:rPr>
      </w:pPr>
      <w:r>
        <w:rPr>
          <w:rFonts w:hint="eastAsia" w:hAnsi="宋体" w:cs="宋体"/>
          <w:color w:val="000000"/>
          <w:sz w:val="21"/>
          <w:highlight w:val="none"/>
        </w:rPr>
        <w:t>（2）在工程采购项目中，工程由中小企业承建，即工程施工单位为中小企业，不对其中涉及的货物的制造商和服务的承接商作出要求；</w:t>
      </w:r>
    </w:p>
    <w:p w14:paraId="4FEB63CC">
      <w:pPr>
        <w:pStyle w:val="24"/>
        <w:spacing w:line="360" w:lineRule="auto"/>
        <w:ind w:firstLine="420" w:firstLineChars="200"/>
        <w:contextualSpacing/>
        <w:rPr>
          <w:rFonts w:hint="eastAsia" w:hAnsi="宋体" w:cs="宋体"/>
          <w:color w:val="000000"/>
          <w:sz w:val="21"/>
          <w:highlight w:val="none"/>
        </w:rPr>
      </w:pPr>
      <w:r>
        <w:rPr>
          <w:rFonts w:hint="eastAsia" w:hAnsi="宋体" w:cs="宋体"/>
          <w:color w:val="000000"/>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1CA785B8">
      <w:pPr>
        <w:pStyle w:val="24"/>
        <w:spacing w:line="360" w:lineRule="auto"/>
        <w:ind w:firstLine="420" w:firstLineChars="200"/>
        <w:contextualSpacing/>
        <w:rPr>
          <w:rFonts w:hint="eastAsia" w:hAnsi="宋体" w:cs="宋体"/>
          <w:color w:val="000000"/>
          <w:sz w:val="21"/>
          <w:highlight w:val="none"/>
        </w:rPr>
      </w:pPr>
      <w:r>
        <w:rPr>
          <w:rFonts w:hint="eastAsia" w:hAnsi="宋体" w:cs="宋体"/>
          <w:color w:val="000000"/>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19A228FF">
      <w:pPr>
        <w:pStyle w:val="24"/>
        <w:spacing w:line="360" w:lineRule="auto"/>
        <w:ind w:firstLine="420" w:firstLineChars="200"/>
        <w:contextualSpacing/>
        <w:rPr>
          <w:rFonts w:hint="eastAsia" w:hAnsi="宋体" w:cs="宋体"/>
          <w:color w:val="000000"/>
          <w:sz w:val="21"/>
          <w:highlight w:val="none"/>
        </w:rPr>
      </w:pPr>
      <w:r>
        <w:rPr>
          <w:rFonts w:hint="eastAsia" w:hAnsi="宋体" w:cs="宋体"/>
          <w:color w:val="000000"/>
          <w:sz w:val="21"/>
          <w:highlight w:val="none"/>
        </w:rPr>
        <w:t>依据本招标文件规定享受扶持政策获得政府采购合同的，小微企业不得将合同分包给大中型企业，中型企业不得将合同分包给大型企业。</w:t>
      </w:r>
      <w:bookmarkEnd w:id="142"/>
    </w:p>
    <w:p w14:paraId="54248E3D">
      <w:pPr>
        <w:pStyle w:val="18"/>
        <w:ind w:left="479" w:leftChars="114" w:hanging="240" w:hangingChars="100"/>
        <w:rPr>
          <w:rFonts w:hint="eastAsia" w:hAnsi="宋体"/>
          <w:color w:val="000000"/>
          <w:highlight w:val="none"/>
        </w:rPr>
      </w:pPr>
    </w:p>
    <w:p w14:paraId="435F57BE">
      <w:pPr>
        <w:pStyle w:val="24"/>
        <w:snapToGrid w:val="0"/>
        <w:spacing w:before="120" w:after="120"/>
        <w:rPr>
          <w:rFonts w:hint="eastAsia" w:hAnsi="宋体"/>
          <w:color w:val="000000"/>
          <w:highlight w:val="none"/>
        </w:rPr>
      </w:pPr>
    </w:p>
    <w:p w14:paraId="3B94175E">
      <w:pPr>
        <w:pStyle w:val="24"/>
        <w:snapToGrid w:val="0"/>
        <w:spacing w:before="120" w:after="120"/>
        <w:rPr>
          <w:rFonts w:hint="eastAsia" w:hAnsi="宋体"/>
          <w:color w:val="000000"/>
          <w:highlight w:val="none"/>
        </w:rPr>
      </w:pPr>
    </w:p>
    <w:p w14:paraId="08F47923">
      <w:pPr>
        <w:pStyle w:val="24"/>
        <w:snapToGrid w:val="0"/>
        <w:spacing w:before="120" w:after="120"/>
        <w:rPr>
          <w:rFonts w:hint="eastAsia" w:hAnsi="宋体"/>
          <w:color w:val="000000"/>
          <w:highlight w:val="none"/>
        </w:rPr>
      </w:pPr>
    </w:p>
    <w:p w14:paraId="07FA11D9">
      <w:pPr>
        <w:pStyle w:val="24"/>
        <w:snapToGrid w:val="0"/>
        <w:spacing w:before="120" w:after="120"/>
        <w:rPr>
          <w:rFonts w:hint="eastAsia" w:hAnsi="宋体"/>
          <w:color w:val="000000"/>
          <w:highlight w:val="none"/>
        </w:rPr>
      </w:pPr>
    </w:p>
    <w:p w14:paraId="4CD4028B">
      <w:pPr>
        <w:pStyle w:val="24"/>
        <w:snapToGrid w:val="0"/>
        <w:spacing w:before="120" w:after="120"/>
        <w:rPr>
          <w:rFonts w:hint="eastAsia" w:hAnsi="宋体"/>
          <w:color w:val="000000"/>
          <w:highlight w:val="none"/>
        </w:rPr>
      </w:pPr>
    </w:p>
    <w:p w14:paraId="7D96FB87">
      <w:pPr>
        <w:pStyle w:val="24"/>
        <w:snapToGrid w:val="0"/>
        <w:spacing w:before="120" w:after="120"/>
        <w:rPr>
          <w:rFonts w:hint="eastAsia" w:hAnsi="宋体"/>
          <w:color w:val="000000"/>
          <w:highlight w:val="none"/>
        </w:rPr>
      </w:pPr>
    </w:p>
    <w:p w14:paraId="3DB88ECA">
      <w:pPr>
        <w:pStyle w:val="24"/>
        <w:snapToGrid w:val="0"/>
        <w:spacing w:before="120" w:after="120"/>
        <w:rPr>
          <w:rFonts w:hint="eastAsia" w:hAnsi="宋体"/>
          <w:color w:val="000000"/>
          <w:highlight w:val="none"/>
        </w:rPr>
      </w:pPr>
    </w:p>
    <w:p w14:paraId="4C93973D">
      <w:pPr>
        <w:pStyle w:val="24"/>
        <w:snapToGrid w:val="0"/>
        <w:spacing w:before="120" w:after="120"/>
        <w:rPr>
          <w:rFonts w:hint="eastAsia" w:hAnsi="宋体"/>
          <w:color w:val="000000"/>
          <w:highlight w:val="none"/>
        </w:rPr>
      </w:pPr>
    </w:p>
    <w:p w14:paraId="4C8730C9">
      <w:pPr>
        <w:pStyle w:val="24"/>
        <w:snapToGrid w:val="0"/>
        <w:spacing w:before="120" w:after="120"/>
        <w:rPr>
          <w:rFonts w:hint="eastAsia" w:hAnsi="宋体"/>
          <w:color w:val="000000"/>
          <w:highlight w:val="none"/>
        </w:rPr>
      </w:pPr>
    </w:p>
    <w:p w14:paraId="1DD181CA">
      <w:pPr>
        <w:pStyle w:val="24"/>
        <w:snapToGrid w:val="0"/>
        <w:spacing w:before="120" w:after="120"/>
        <w:rPr>
          <w:rFonts w:hint="eastAsia" w:hAnsi="宋体"/>
          <w:color w:val="000000"/>
          <w:highlight w:val="none"/>
        </w:rPr>
      </w:pPr>
    </w:p>
    <w:p w14:paraId="6395E73B">
      <w:pPr>
        <w:pStyle w:val="24"/>
        <w:snapToGrid w:val="0"/>
        <w:spacing w:before="120" w:after="120"/>
        <w:rPr>
          <w:rFonts w:hint="eastAsia" w:hAnsi="宋体"/>
          <w:color w:val="000000"/>
          <w:highlight w:val="none"/>
        </w:rPr>
      </w:pPr>
    </w:p>
    <w:p w14:paraId="55B068EF">
      <w:pPr>
        <w:pStyle w:val="24"/>
        <w:snapToGrid w:val="0"/>
        <w:spacing w:before="120" w:after="120"/>
        <w:rPr>
          <w:rFonts w:hint="eastAsia" w:hAnsi="宋体"/>
          <w:color w:val="000000"/>
          <w:highlight w:val="none"/>
        </w:rPr>
      </w:pPr>
      <w:r>
        <w:rPr>
          <w:rFonts w:hAnsi="宋体"/>
          <w:color w:val="000000"/>
          <w:highlight w:val="none"/>
        </w:rPr>
        <w:br w:type="page"/>
      </w:r>
    </w:p>
    <w:p w14:paraId="556D2193">
      <w:pPr>
        <w:pStyle w:val="24"/>
        <w:snapToGrid w:val="0"/>
        <w:spacing w:before="120" w:after="120"/>
        <w:rPr>
          <w:rFonts w:hint="eastAsia" w:hAnsi="宋体"/>
          <w:color w:val="000000"/>
          <w:highlight w:val="none"/>
        </w:rPr>
      </w:pPr>
    </w:p>
    <w:p w14:paraId="60532342">
      <w:pPr>
        <w:pStyle w:val="24"/>
        <w:snapToGrid w:val="0"/>
        <w:spacing w:before="120" w:after="120"/>
        <w:rPr>
          <w:rFonts w:hint="eastAsia" w:hAnsi="宋体"/>
          <w:color w:val="000000"/>
          <w:highlight w:val="none"/>
        </w:rPr>
      </w:pPr>
    </w:p>
    <w:p w14:paraId="5D02C49A">
      <w:pPr>
        <w:pStyle w:val="24"/>
        <w:snapToGrid w:val="0"/>
        <w:spacing w:before="120" w:after="120"/>
        <w:rPr>
          <w:rFonts w:hint="eastAsia" w:hAnsi="宋体"/>
          <w:color w:val="000000"/>
          <w:highlight w:val="none"/>
        </w:rPr>
      </w:pPr>
    </w:p>
    <w:p w14:paraId="40A1F2DA">
      <w:pPr>
        <w:pStyle w:val="24"/>
        <w:snapToGrid w:val="0"/>
        <w:spacing w:before="120" w:after="120"/>
        <w:rPr>
          <w:rFonts w:hint="eastAsia" w:hAnsi="宋体"/>
          <w:color w:val="000000"/>
          <w:highlight w:val="none"/>
        </w:rPr>
      </w:pPr>
    </w:p>
    <w:p w14:paraId="70D0BCD3">
      <w:pPr>
        <w:pStyle w:val="24"/>
        <w:snapToGrid w:val="0"/>
        <w:spacing w:before="120" w:after="120"/>
        <w:rPr>
          <w:rFonts w:hint="eastAsia" w:hAnsi="宋体"/>
          <w:color w:val="000000"/>
          <w:highlight w:val="none"/>
        </w:rPr>
      </w:pPr>
    </w:p>
    <w:p w14:paraId="68877B87">
      <w:pPr>
        <w:pStyle w:val="24"/>
        <w:snapToGrid w:val="0"/>
        <w:spacing w:before="120" w:after="120"/>
        <w:rPr>
          <w:rFonts w:hint="eastAsia" w:hAnsi="宋体"/>
          <w:color w:val="000000"/>
          <w:highlight w:val="none"/>
        </w:rPr>
      </w:pPr>
    </w:p>
    <w:p w14:paraId="088008C9">
      <w:pPr>
        <w:pStyle w:val="2"/>
        <w:jc w:val="center"/>
        <w:rPr>
          <w:rFonts w:hint="eastAsia"/>
          <w:color w:val="000000"/>
          <w:highlight w:val="none"/>
        </w:rPr>
      </w:pPr>
      <w:bookmarkStart w:id="143" w:name="_Toc254970689"/>
      <w:bookmarkStart w:id="144" w:name="_Toc254970548"/>
      <w:bookmarkStart w:id="145" w:name="_Toc74320803"/>
      <w:bookmarkStart w:id="146" w:name="_Toc330456896"/>
      <w:r>
        <w:rPr>
          <w:rFonts w:hint="eastAsia"/>
          <w:color w:val="000000"/>
          <w:highlight w:val="none"/>
        </w:rPr>
        <w:t>第四章  评标方法及评标标准</w:t>
      </w:r>
      <w:bookmarkEnd w:id="143"/>
      <w:bookmarkEnd w:id="144"/>
      <w:bookmarkEnd w:id="145"/>
      <w:bookmarkEnd w:id="146"/>
    </w:p>
    <w:p w14:paraId="475A9256">
      <w:pPr>
        <w:pStyle w:val="24"/>
        <w:spacing w:before="120" w:after="120"/>
        <w:outlineLvl w:val="0"/>
        <w:rPr>
          <w:rFonts w:hint="eastAsia" w:hAnsi="宋体"/>
          <w:b/>
          <w:color w:val="000000"/>
          <w:highlight w:val="none"/>
        </w:rPr>
      </w:pPr>
      <w:bookmarkStart w:id="147" w:name="_Toc254970690"/>
      <w:bookmarkStart w:id="148" w:name="_Toc254970549"/>
    </w:p>
    <w:bookmarkEnd w:id="147"/>
    <w:bookmarkEnd w:id="148"/>
    <w:p w14:paraId="6A4E5811">
      <w:pPr>
        <w:pStyle w:val="24"/>
        <w:spacing w:before="120" w:after="120"/>
        <w:outlineLvl w:val="0"/>
        <w:rPr>
          <w:rFonts w:hint="eastAsia" w:hAnsi="宋体"/>
          <w:bCs/>
          <w:color w:val="000000"/>
          <w:sz w:val="32"/>
          <w:szCs w:val="32"/>
          <w:highlight w:val="none"/>
        </w:rPr>
      </w:pPr>
    </w:p>
    <w:p w14:paraId="10A1DA31">
      <w:pPr>
        <w:pStyle w:val="24"/>
        <w:spacing w:before="120" w:after="120"/>
        <w:outlineLvl w:val="0"/>
        <w:rPr>
          <w:rFonts w:hint="eastAsia" w:hAnsi="宋体"/>
          <w:bCs/>
          <w:color w:val="000000"/>
          <w:sz w:val="32"/>
          <w:szCs w:val="32"/>
          <w:highlight w:val="none"/>
        </w:rPr>
      </w:pPr>
    </w:p>
    <w:p w14:paraId="09E512D1">
      <w:pPr>
        <w:pStyle w:val="24"/>
        <w:spacing w:before="120" w:after="120"/>
        <w:outlineLvl w:val="0"/>
        <w:rPr>
          <w:rFonts w:hint="eastAsia" w:hAnsi="宋体"/>
          <w:bCs/>
          <w:color w:val="000000"/>
          <w:sz w:val="32"/>
          <w:szCs w:val="32"/>
          <w:highlight w:val="none"/>
        </w:rPr>
      </w:pPr>
    </w:p>
    <w:p w14:paraId="0C06B98C">
      <w:pPr>
        <w:spacing w:before="120" w:beforeLines="50" w:after="120" w:afterLines="50" w:line="400" w:lineRule="exact"/>
        <w:rPr>
          <w:rFonts w:hint="eastAsia" w:ascii="宋体" w:hAnsi="宋体"/>
          <w:b/>
          <w:color w:val="000000"/>
          <w:sz w:val="24"/>
          <w:highlight w:val="none"/>
        </w:rPr>
      </w:pPr>
    </w:p>
    <w:p w14:paraId="240E6592">
      <w:pPr>
        <w:spacing w:before="120" w:beforeLines="50" w:after="120" w:afterLines="50" w:line="400" w:lineRule="exact"/>
        <w:rPr>
          <w:rFonts w:hint="eastAsia" w:ascii="宋体" w:hAnsi="宋体"/>
          <w:b/>
          <w:color w:val="000000"/>
          <w:sz w:val="24"/>
          <w:highlight w:val="none"/>
        </w:rPr>
      </w:pPr>
    </w:p>
    <w:p w14:paraId="6ADFDE65">
      <w:pPr>
        <w:spacing w:before="120" w:beforeLines="50" w:after="120" w:afterLines="50" w:line="400" w:lineRule="exact"/>
        <w:rPr>
          <w:rFonts w:hint="eastAsia" w:ascii="宋体" w:hAnsi="宋体"/>
          <w:b/>
          <w:color w:val="000000"/>
          <w:sz w:val="24"/>
          <w:highlight w:val="none"/>
        </w:rPr>
      </w:pPr>
    </w:p>
    <w:p w14:paraId="7BD10E8F">
      <w:pPr>
        <w:spacing w:before="120" w:beforeLines="50" w:after="120" w:afterLines="50" w:line="400" w:lineRule="exact"/>
        <w:rPr>
          <w:rFonts w:hint="eastAsia" w:ascii="宋体" w:hAnsi="宋体"/>
          <w:b/>
          <w:color w:val="000000"/>
          <w:sz w:val="24"/>
          <w:highlight w:val="none"/>
        </w:rPr>
      </w:pPr>
    </w:p>
    <w:p w14:paraId="6584ED69">
      <w:pPr>
        <w:spacing w:before="120" w:beforeLines="50" w:after="120" w:afterLines="50" w:line="400" w:lineRule="exact"/>
        <w:rPr>
          <w:rFonts w:hint="eastAsia" w:ascii="宋体" w:hAnsi="宋体"/>
          <w:b/>
          <w:color w:val="000000"/>
          <w:sz w:val="24"/>
          <w:highlight w:val="none"/>
        </w:rPr>
      </w:pPr>
    </w:p>
    <w:p w14:paraId="0F659337">
      <w:pPr>
        <w:spacing w:before="120" w:beforeLines="50" w:after="120" w:afterLines="50" w:line="400" w:lineRule="exact"/>
        <w:rPr>
          <w:rFonts w:hint="eastAsia" w:ascii="宋体" w:hAnsi="宋体"/>
          <w:b/>
          <w:color w:val="000000"/>
          <w:sz w:val="24"/>
          <w:highlight w:val="none"/>
        </w:rPr>
      </w:pPr>
    </w:p>
    <w:p w14:paraId="5AC7A32A">
      <w:pPr>
        <w:spacing w:before="120" w:beforeLines="50" w:after="120" w:afterLines="50" w:line="400" w:lineRule="exact"/>
        <w:rPr>
          <w:rFonts w:hint="eastAsia" w:ascii="宋体" w:hAnsi="宋体"/>
          <w:b/>
          <w:color w:val="000000"/>
          <w:sz w:val="24"/>
          <w:highlight w:val="none"/>
        </w:rPr>
      </w:pPr>
    </w:p>
    <w:p w14:paraId="1035BCAA">
      <w:pPr>
        <w:pStyle w:val="24"/>
        <w:spacing w:line="360" w:lineRule="exact"/>
        <w:rPr>
          <w:rFonts w:hint="eastAsia" w:hAnsi="宋体"/>
          <w:b/>
          <w:color w:val="000000"/>
          <w:sz w:val="24"/>
          <w:highlight w:val="none"/>
        </w:rPr>
      </w:pPr>
      <w:r>
        <w:rPr>
          <w:rFonts w:hAnsi="宋体"/>
          <w:b/>
          <w:color w:val="000000"/>
          <w:sz w:val="24"/>
          <w:highlight w:val="none"/>
        </w:rPr>
        <w:br w:type="page"/>
      </w:r>
    </w:p>
    <w:p w14:paraId="0FE67F1C">
      <w:pPr>
        <w:pStyle w:val="4"/>
        <w:keepNext w:val="0"/>
        <w:keepLines w:val="0"/>
        <w:jc w:val="center"/>
        <w:rPr>
          <w:color w:val="000000"/>
          <w:sz w:val="30"/>
          <w:szCs w:val="30"/>
          <w:highlight w:val="none"/>
        </w:rPr>
      </w:pPr>
      <w:r>
        <w:rPr>
          <w:rFonts w:hint="eastAsia"/>
          <w:color w:val="000000"/>
          <w:sz w:val="30"/>
          <w:szCs w:val="30"/>
          <w:highlight w:val="none"/>
        </w:rPr>
        <w:t>一、评标方法</w:t>
      </w:r>
    </w:p>
    <w:p w14:paraId="5B7139A0">
      <w:pPr>
        <w:pStyle w:val="24"/>
        <w:spacing w:line="360" w:lineRule="auto"/>
        <w:ind w:firstLine="420"/>
        <w:rPr>
          <w:rFonts w:hAnsi="宋体"/>
          <w:color w:val="000000"/>
          <w:sz w:val="21"/>
          <w:highlight w:val="none"/>
        </w:rPr>
      </w:pPr>
      <w:r>
        <w:rPr>
          <w:rFonts w:hint="eastAsia" w:hAnsi="宋体"/>
          <w:color w:val="000000"/>
          <w:sz w:val="21"/>
          <w:highlight w:val="none"/>
        </w:rPr>
        <w:t>综合评分法，是指投标文件满足招标文件全部实质性要求，且按照评审因素的量化指标评审得分最高的投标人为中标候选人的评标方法。</w:t>
      </w:r>
    </w:p>
    <w:p w14:paraId="486EDE7A">
      <w:pPr>
        <w:pStyle w:val="4"/>
        <w:keepNext w:val="0"/>
        <w:keepLines w:val="0"/>
        <w:jc w:val="center"/>
        <w:rPr>
          <w:rFonts w:hint="eastAsia"/>
          <w:color w:val="000000"/>
          <w:sz w:val="30"/>
          <w:szCs w:val="30"/>
          <w:highlight w:val="none"/>
        </w:rPr>
      </w:pPr>
      <w:r>
        <w:rPr>
          <w:rFonts w:hint="eastAsia"/>
          <w:color w:val="000000"/>
          <w:sz w:val="30"/>
          <w:szCs w:val="30"/>
          <w:highlight w:val="none"/>
        </w:rPr>
        <w:t>二、评标程序</w:t>
      </w:r>
    </w:p>
    <w:p w14:paraId="7F9A21F3">
      <w:pPr>
        <w:pStyle w:val="6"/>
        <w:keepNext w:val="0"/>
        <w:keepLines w:val="0"/>
        <w:spacing w:before="0" w:after="0" w:line="360" w:lineRule="auto"/>
        <w:ind w:left="420" w:leftChars="200"/>
        <w:rPr>
          <w:rFonts w:hint="eastAsia" w:ascii="宋体" w:hAnsi="宋体"/>
          <w:color w:val="000000"/>
          <w:sz w:val="21"/>
          <w:szCs w:val="21"/>
          <w:highlight w:val="none"/>
        </w:rPr>
      </w:pPr>
      <w:r>
        <w:rPr>
          <w:rFonts w:hint="eastAsia" w:ascii="宋体" w:hAnsi="宋体"/>
          <w:color w:val="000000"/>
          <w:sz w:val="21"/>
          <w:szCs w:val="21"/>
          <w:highlight w:val="none"/>
        </w:rPr>
        <w:t>1.符合性审查</w:t>
      </w:r>
    </w:p>
    <w:p w14:paraId="4DECBFD6">
      <w:pPr>
        <w:pStyle w:val="24"/>
        <w:snapToGrid w:val="0"/>
        <w:spacing w:line="360" w:lineRule="auto"/>
        <w:ind w:left="1" w:firstLine="420"/>
        <w:rPr>
          <w:rFonts w:hint="eastAsia" w:hAnsi="宋体"/>
          <w:b/>
          <w:color w:val="000000"/>
          <w:kern w:val="2"/>
          <w:sz w:val="21"/>
          <w:highlight w:val="none"/>
        </w:rPr>
      </w:pPr>
      <w:r>
        <w:rPr>
          <w:rFonts w:hint="eastAsia" w:hAnsi="宋体"/>
          <w:b/>
          <w:color w:val="000000"/>
          <w:kern w:val="2"/>
          <w:sz w:val="21"/>
          <w:highlight w:val="none"/>
        </w:rPr>
        <w:t>评标委员会应当对符合资格的投标人的投标文件进行投标报价、商务、技术等实质性内容符合性审查，以确定其是否满足招标文件的实质性要求。</w:t>
      </w:r>
    </w:p>
    <w:p w14:paraId="6AFCC28F">
      <w:pPr>
        <w:pStyle w:val="6"/>
        <w:keepNext w:val="0"/>
        <w:keepLines w:val="0"/>
        <w:spacing w:before="0" w:after="0" w:line="360" w:lineRule="auto"/>
        <w:ind w:left="420" w:leftChars="200"/>
        <w:rPr>
          <w:rFonts w:hint="eastAsia" w:ascii="宋体" w:hAnsi="宋体"/>
          <w:color w:val="000000"/>
          <w:sz w:val="21"/>
          <w:szCs w:val="21"/>
          <w:highlight w:val="none"/>
        </w:rPr>
      </w:pPr>
      <w:r>
        <w:rPr>
          <w:rFonts w:hint="eastAsia" w:ascii="宋体" w:hAnsi="宋体"/>
          <w:color w:val="000000"/>
          <w:sz w:val="21"/>
          <w:szCs w:val="21"/>
          <w:highlight w:val="none"/>
        </w:rPr>
        <w:t>2</w:t>
      </w:r>
      <w:r>
        <w:rPr>
          <w:rFonts w:ascii="宋体" w:hAnsi="宋体"/>
          <w:color w:val="000000"/>
          <w:sz w:val="21"/>
          <w:szCs w:val="21"/>
          <w:highlight w:val="none"/>
        </w:rPr>
        <w:t>.</w:t>
      </w:r>
      <w:r>
        <w:rPr>
          <w:rFonts w:hint="eastAsia" w:ascii="宋体" w:hAnsi="宋体"/>
          <w:color w:val="000000"/>
          <w:sz w:val="21"/>
          <w:szCs w:val="21"/>
          <w:highlight w:val="none"/>
        </w:rPr>
        <w:t>符合性审查不通过而导致投标无效的情形</w:t>
      </w:r>
    </w:p>
    <w:p w14:paraId="5D2E36A9">
      <w:p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投标人的投标文件中存在对招标文件的任何实质性要求和条件的负偏离，将被视为投标无效。</w:t>
      </w:r>
    </w:p>
    <w:p w14:paraId="57A44A37">
      <w:pPr>
        <w:pStyle w:val="6"/>
        <w:keepNext w:val="0"/>
        <w:keepLines w:val="0"/>
        <w:spacing w:before="0" w:after="0" w:line="360" w:lineRule="auto"/>
        <w:ind w:left="420" w:leftChars="200"/>
        <w:rPr>
          <w:rFonts w:hint="eastAsia" w:ascii="宋体" w:hAnsi="宋体"/>
          <w:color w:val="000000"/>
          <w:sz w:val="21"/>
          <w:szCs w:val="21"/>
          <w:highlight w:val="none"/>
        </w:rPr>
      </w:pPr>
      <w:r>
        <w:rPr>
          <w:rFonts w:hint="eastAsia" w:ascii="宋体" w:hAnsi="宋体"/>
          <w:color w:val="000000"/>
          <w:sz w:val="21"/>
          <w:szCs w:val="21"/>
          <w:highlight w:val="none"/>
        </w:rPr>
        <w:t>2.1在报价评审时，如发现下列情形之一的，将被视为投标无效：</w:t>
      </w:r>
    </w:p>
    <w:p w14:paraId="6ECA5B76">
      <w:pPr>
        <w:pStyle w:val="7"/>
        <w:numPr>
          <w:ilvl w:val="0"/>
          <w:numId w:val="7"/>
        </w:numPr>
        <w:spacing w:line="360" w:lineRule="auto"/>
        <w:ind w:firstLine="422"/>
        <w:rPr>
          <w:rFonts w:hint="eastAsia" w:ascii="宋体" w:hAnsi="宋体"/>
          <w:b/>
          <w:color w:val="000000"/>
          <w:szCs w:val="21"/>
          <w:highlight w:val="none"/>
        </w:rPr>
      </w:pPr>
      <w:r>
        <w:rPr>
          <w:rFonts w:hint="eastAsia" w:ascii="宋体" w:hAnsi="宋体"/>
          <w:b/>
          <w:color w:val="000000"/>
          <w:spacing w:val="-6"/>
          <w:szCs w:val="21"/>
          <w:highlight w:val="none"/>
        </w:rPr>
        <w:t>报价文件</w:t>
      </w:r>
      <w:r>
        <w:rPr>
          <w:rFonts w:hint="eastAsia" w:ascii="宋体" w:hAnsi="宋体"/>
          <w:b/>
          <w:color w:val="000000"/>
          <w:szCs w:val="21"/>
          <w:highlight w:val="none"/>
        </w:rPr>
        <w:t>未提供“投标人须知前附表”第13条“报价文件”规定中“必须提供”的文件资料的；</w:t>
      </w:r>
    </w:p>
    <w:p w14:paraId="57D7C9FC">
      <w:pPr>
        <w:pStyle w:val="7"/>
        <w:numPr>
          <w:ilvl w:val="0"/>
          <w:numId w:val="7"/>
        </w:numPr>
        <w:spacing w:line="360" w:lineRule="auto"/>
        <w:ind w:firstLine="422"/>
        <w:rPr>
          <w:rFonts w:hint="eastAsia" w:ascii="宋体" w:hAnsi="宋体"/>
          <w:b/>
          <w:color w:val="000000"/>
          <w:szCs w:val="21"/>
          <w:highlight w:val="none"/>
        </w:rPr>
      </w:pPr>
      <w:r>
        <w:rPr>
          <w:rFonts w:hint="eastAsia" w:ascii="宋体" w:hAnsi="宋体"/>
          <w:b/>
          <w:color w:val="000000"/>
          <w:szCs w:val="21"/>
          <w:highlight w:val="none"/>
        </w:rPr>
        <w:t>未采用人民币报价或者未按照招标文件标明的币种报价的；</w:t>
      </w:r>
    </w:p>
    <w:p w14:paraId="02E9ABDD">
      <w:pPr>
        <w:pStyle w:val="7"/>
        <w:numPr>
          <w:ilvl w:val="0"/>
          <w:numId w:val="7"/>
        </w:numPr>
        <w:spacing w:line="360" w:lineRule="auto"/>
        <w:ind w:firstLine="422"/>
        <w:rPr>
          <w:rFonts w:hint="eastAsia" w:ascii="宋体" w:hAnsi="宋体"/>
          <w:b/>
          <w:color w:val="000000"/>
          <w:szCs w:val="21"/>
          <w:highlight w:val="none"/>
        </w:rPr>
      </w:pPr>
      <w:r>
        <w:rPr>
          <w:rFonts w:hint="eastAsia" w:ascii="宋体" w:hAnsi="宋体"/>
          <w:b/>
          <w:color w:val="000000"/>
          <w:szCs w:val="21"/>
          <w:highlight w:val="none"/>
        </w:rPr>
        <w:t>各分标报价超出招标文件相应分标规定最高限价，或者超出相应分标采购预算金额的；</w:t>
      </w:r>
    </w:p>
    <w:p w14:paraId="2765394D">
      <w:pPr>
        <w:pStyle w:val="7"/>
        <w:numPr>
          <w:ilvl w:val="0"/>
          <w:numId w:val="7"/>
        </w:numPr>
        <w:spacing w:line="360" w:lineRule="auto"/>
        <w:ind w:firstLine="422"/>
        <w:rPr>
          <w:rFonts w:hint="eastAsia" w:ascii="宋体" w:hAnsi="宋体"/>
          <w:b/>
          <w:color w:val="000000"/>
          <w:szCs w:val="21"/>
          <w:highlight w:val="none"/>
        </w:rPr>
      </w:pPr>
      <w:r>
        <w:rPr>
          <w:rFonts w:hint="eastAsia" w:ascii="宋体" w:hAnsi="宋体"/>
          <w:b/>
          <w:color w:val="000000"/>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23141CB7">
      <w:pPr>
        <w:pStyle w:val="7"/>
        <w:numPr>
          <w:ilvl w:val="0"/>
          <w:numId w:val="7"/>
        </w:numPr>
        <w:spacing w:line="360" w:lineRule="auto"/>
        <w:ind w:firstLine="422"/>
        <w:rPr>
          <w:rFonts w:hint="eastAsia" w:ascii="宋体" w:hAnsi="宋体"/>
          <w:b/>
          <w:color w:val="000000"/>
          <w:szCs w:val="21"/>
          <w:highlight w:val="none"/>
        </w:rPr>
      </w:pPr>
      <w:r>
        <w:rPr>
          <w:rFonts w:hint="eastAsia" w:ascii="宋体" w:hAnsi="宋体"/>
          <w:b/>
          <w:color w:val="000000"/>
          <w:szCs w:val="21"/>
          <w:highlight w:val="none"/>
        </w:rPr>
        <w:t>修正后的报价，投标人不确认的；</w:t>
      </w:r>
    </w:p>
    <w:p w14:paraId="7CA5DBFE">
      <w:pPr>
        <w:pStyle w:val="7"/>
        <w:numPr>
          <w:ilvl w:val="0"/>
          <w:numId w:val="7"/>
        </w:numPr>
        <w:spacing w:line="360" w:lineRule="auto"/>
        <w:ind w:firstLine="422"/>
        <w:rPr>
          <w:rFonts w:hint="eastAsia" w:ascii="宋体" w:hAnsi="宋体"/>
          <w:b/>
          <w:color w:val="000000"/>
          <w:szCs w:val="21"/>
          <w:highlight w:val="none"/>
        </w:rPr>
      </w:pPr>
      <w:r>
        <w:rPr>
          <w:rFonts w:hint="eastAsia" w:ascii="宋体" w:hAnsi="宋体"/>
          <w:b/>
          <w:color w:val="000000"/>
          <w:szCs w:val="21"/>
          <w:highlight w:val="none"/>
        </w:rPr>
        <w:t>投标人属于本章第</w:t>
      </w:r>
      <w:r>
        <w:rPr>
          <w:rFonts w:ascii="宋体" w:hAnsi="宋体"/>
          <w:b/>
          <w:color w:val="000000"/>
          <w:szCs w:val="21"/>
          <w:highlight w:val="none"/>
        </w:rPr>
        <w:t>5.1</w:t>
      </w:r>
      <w:r>
        <w:rPr>
          <w:rFonts w:hint="eastAsia" w:ascii="宋体" w:hAnsi="宋体"/>
          <w:b/>
          <w:color w:val="000000"/>
          <w:szCs w:val="21"/>
          <w:highlight w:val="none"/>
        </w:rPr>
        <w:t>条（2）或者第5</w:t>
      </w:r>
      <w:r>
        <w:rPr>
          <w:rFonts w:ascii="宋体" w:hAnsi="宋体"/>
          <w:b/>
          <w:color w:val="000000"/>
          <w:szCs w:val="21"/>
          <w:highlight w:val="none"/>
        </w:rPr>
        <w:t>.2条</w:t>
      </w:r>
      <w:r>
        <w:rPr>
          <w:rFonts w:hint="eastAsia" w:ascii="宋体" w:hAnsi="宋体"/>
          <w:b/>
          <w:color w:val="000000"/>
          <w:szCs w:val="21"/>
          <w:highlight w:val="none"/>
        </w:rPr>
        <w:t>（2）项情形的；</w:t>
      </w:r>
    </w:p>
    <w:p w14:paraId="747AAA7C">
      <w:pPr>
        <w:pStyle w:val="7"/>
        <w:numPr>
          <w:ilvl w:val="0"/>
          <w:numId w:val="7"/>
        </w:numPr>
        <w:spacing w:line="360" w:lineRule="auto"/>
        <w:ind w:firstLine="422"/>
        <w:rPr>
          <w:rFonts w:hint="eastAsia" w:ascii="宋体" w:hAnsi="宋体"/>
          <w:b/>
          <w:color w:val="000000"/>
          <w:szCs w:val="21"/>
          <w:highlight w:val="none"/>
        </w:rPr>
      </w:pPr>
      <w:r>
        <w:rPr>
          <w:rFonts w:hint="eastAsia" w:ascii="宋体" w:hAnsi="宋体"/>
          <w:b/>
          <w:color w:val="000000"/>
          <w:spacing w:val="-6"/>
          <w:szCs w:val="21"/>
          <w:highlight w:val="none"/>
        </w:rPr>
        <w:t>报价文件</w:t>
      </w:r>
      <w:r>
        <w:rPr>
          <w:rFonts w:hint="eastAsia" w:ascii="宋体" w:hAnsi="宋体"/>
          <w:b/>
          <w:color w:val="000000"/>
          <w:szCs w:val="21"/>
          <w:highlight w:val="none"/>
        </w:rPr>
        <w:t>响应的标的数量及单位与招标文件要求实质性不一致的。</w:t>
      </w:r>
    </w:p>
    <w:p w14:paraId="270C9072">
      <w:pPr>
        <w:pStyle w:val="6"/>
        <w:keepNext w:val="0"/>
        <w:keepLines w:val="0"/>
        <w:spacing w:before="0" w:after="0" w:line="360" w:lineRule="auto"/>
        <w:ind w:left="420" w:leftChars="200"/>
        <w:rPr>
          <w:rFonts w:hint="eastAsia" w:ascii="宋体" w:hAnsi="宋体"/>
          <w:color w:val="000000"/>
          <w:sz w:val="21"/>
          <w:szCs w:val="21"/>
          <w:highlight w:val="none"/>
        </w:rPr>
      </w:pPr>
      <w:r>
        <w:rPr>
          <w:rFonts w:hint="eastAsia" w:ascii="宋体" w:hAnsi="宋体"/>
          <w:color w:val="000000"/>
          <w:sz w:val="21"/>
          <w:szCs w:val="21"/>
          <w:highlight w:val="none"/>
        </w:rPr>
        <w:t>2.2在商务及技术评审时，如发现下列情形之一的，将被视为投标无效：</w:t>
      </w:r>
    </w:p>
    <w:p w14:paraId="1088A68D">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投标文件未按招标文件要求签署、盖章的；</w:t>
      </w:r>
    </w:p>
    <w:p w14:paraId="07A97F61">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委托代理人未能出具有效身份证或者出具的身份证与授权委托书中的信息不符的；</w:t>
      </w:r>
    </w:p>
    <w:p w14:paraId="4D759F7B">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为无效投标保证金的或者未按照招标文件的规定提交投标保证金的；</w:t>
      </w:r>
    </w:p>
    <w:p w14:paraId="5300AB5B">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投标文件未提供“投标人须知前附表”第13条“商务及技术文件”规定中“必须提供”或者“委托时必须提供”的文件资料的；</w:t>
      </w:r>
    </w:p>
    <w:p w14:paraId="6C1ECF9E">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允许负偏离的条款数超过“投标人须知前附表”规定项数的；</w:t>
      </w:r>
    </w:p>
    <w:p w14:paraId="08415A82">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投标文件的实质性内容未使用中文表述、使用计量单位不符合招标文件要求的；</w:t>
      </w:r>
    </w:p>
    <w:p w14:paraId="19828251">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投标文件中的文件资料因填写不齐全或者内容虚假或者出现其他情形而导致被评标委员会认定无效的；</w:t>
      </w:r>
    </w:p>
    <w:p w14:paraId="0A1CE642">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投标文件含有采购人不能接受的附加条件的；</w:t>
      </w:r>
    </w:p>
    <w:p w14:paraId="300F4D0B">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属于投标人须知正文第</w:t>
      </w:r>
      <w:r>
        <w:rPr>
          <w:rFonts w:ascii="宋体" w:hAnsi="宋体"/>
          <w:b/>
          <w:color w:val="000000"/>
          <w:szCs w:val="21"/>
          <w:highlight w:val="none"/>
        </w:rPr>
        <w:t>9.2</w:t>
      </w:r>
      <w:r>
        <w:rPr>
          <w:rFonts w:hint="eastAsia" w:ascii="宋体" w:hAnsi="宋体"/>
          <w:b/>
          <w:color w:val="000000"/>
          <w:szCs w:val="21"/>
          <w:highlight w:val="none"/>
        </w:rPr>
        <w:t>条情形的；</w:t>
      </w:r>
    </w:p>
    <w:p w14:paraId="0A57A2F4">
      <w:pPr>
        <w:numPr>
          <w:ilvl w:val="0"/>
          <w:numId w:val="8"/>
        </w:numPr>
        <w:snapToGrid w:val="0"/>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投标文件标注的项目名称或者项目编号与招标文件标注的项目名称或者项目编号不一致的；</w:t>
      </w:r>
    </w:p>
    <w:p w14:paraId="0B7A1943">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投标文件中承诺的投标有效期低于招标文件要求的期限的；</w:t>
      </w:r>
    </w:p>
    <w:p w14:paraId="7D1ACCC8">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招标文件明确不允许分包，投标文件拟分包的；</w:t>
      </w:r>
    </w:p>
    <w:p w14:paraId="4DD44DAC">
      <w:pPr>
        <w:pStyle w:val="19"/>
        <w:numPr>
          <w:ilvl w:val="0"/>
          <w:numId w:val="8"/>
        </w:numPr>
        <w:snapToGrid w:val="0"/>
        <w:spacing w:line="360" w:lineRule="auto"/>
        <w:ind w:firstLine="413" w:firstLineChars="0"/>
        <w:rPr>
          <w:rFonts w:hint="eastAsia" w:ascii="宋体" w:hAnsi="宋体" w:eastAsia="宋体"/>
          <w:b/>
          <w:color w:val="000000"/>
          <w:kern w:val="2"/>
          <w:sz w:val="21"/>
          <w:szCs w:val="21"/>
          <w:highlight w:val="none"/>
        </w:rPr>
      </w:pPr>
      <w:r>
        <w:rPr>
          <w:rFonts w:hint="eastAsia" w:ascii="宋体" w:hAnsi="宋体" w:eastAsia="宋体"/>
          <w:b/>
          <w:color w:val="000000"/>
          <w:kern w:val="2"/>
          <w:sz w:val="21"/>
          <w:szCs w:val="21"/>
          <w:highlight w:val="none"/>
        </w:rPr>
        <w:t>虚假投标，或者出现其他情形而导致被评标委员会认定无效的；</w:t>
      </w:r>
    </w:p>
    <w:p w14:paraId="5107FCCB">
      <w:pPr>
        <w:pStyle w:val="19"/>
        <w:numPr>
          <w:ilvl w:val="0"/>
          <w:numId w:val="8"/>
        </w:numPr>
        <w:snapToGrid w:val="0"/>
        <w:spacing w:line="360" w:lineRule="auto"/>
        <w:ind w:firstLine="413" w:firstLineChars="0"/>
        <w:rPr>
          <w:rFonts w:ascii="宋体" w:hAnsi="宋体" w:eastAsia="宋体"/>
          <w:b/>
          <w:color w:val="000000"/>
          <w:kern w:val="2"/>
          <w:sz w:val="21"/>
          <w:szCs w:val="21"/>
          <w:highlight w:val="none"/>
        </w:rPr>
      </w:pPr>
      <w:r>
        <w:rPr>
          <w:rFonts w:hint="eastAsia" w:ascii="宋体" w:hAnsi="宋体" w:eastAsia="宋体"/>
          <w:b/>
          <w:color w:val="000000"/>
          <w:kern w:val="2"/>
          <w:sz w:val="21"/>
          <w:szCs w:val="21"/>
          <w:highlight w:val="none"/>
        </w:rPr>
        <w:t>招标文件未载明允许提供备选（替代）投标方案或明确不允许提供备选（替代）投标方案时，投标人提供了备选（替代）投标方案的；</w:t>
      </w:r>
    </w:p>
    <w:p w14:paraId="19652B2F">
      <w:pPr>
        <w:pStyle w:val="19"/>
        <w:numPr>
          <w:ilvl w:val="0"/>
          <w:numId w:val="8"/>
        </w:numPr>
        <w:snapToGrid w:val="0"/>
        <w:spacing w:line="360" w:lineRule="auto"/>
        <w:ind w:firstLine="413" w:firstLineChars="0"/>
        <w:rPr>
          <w:rFonts w:hint="eastAsia" w:ascii="宋体" w:hAnsi="宋体" w:eastAsia="宋体"/>
          <w:b/>
          <w:color w:val="000000"/>
          <w:kern w:val="2"/>
          <w:sz w:val="21"/>
          <w:szCs w:val="21"/>
          <w:highlight w:val="none"/>
        </w:rPr>
      </w:pPr>
      <w:r>
        <w:rPr>
          <w:rFonts w:hint="eastAsia" w:ascii="宋体" w:hAnsi="宋体" w:eastAsia="宋体"/>
          <w:b/>
          <w:color w:val="000000"/>
          <w:kern w:val="2"/>
          <w:sz w:val="21"/>
          <w:szCs w:val="21"/>
          <w:highlight w:val="none"/>
        </w:rPr>
        <w:t>未响应招标文件实质性要求的。</w:t>
      </w:r>
    </w:p>
    <w:p w14:paraId="7D820765">
      <w:pPr>
        <w:numPr>
          <w:ilvl w:val="0"/>
          <w:numId w:val="8"/>
        </w:numPr>
        <w:snapToGrid w:val="0"/>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法律、法规和招标文件规定的其他无效情形。</w:t>
      </w:r>
    </w:p>
    <w:p w14:paraId="1168E452">
      <w:pPr>
        <w:pStyle w:val="6"/>
        <w:keepNext w:val="0"/>
        <w:keepLines w:val="0"/>
        <w:spacing w:before="0" w:after="0" w:line="360" w:lineRule="auto"/>
        <w:ind w:left="420" w:leftChars="200"/>
        <w:rPr>
          <w:rFonts w:hint="eastAsia" w:ascii="宋体" w:hAnsi="宋体"/>
          <w:color w:val="000000"/>
          <w:sz w:val="21"/>
          <w:szCs w:val="21"/>
          <w:highlight w:val="none"/>
        </w:rPr>
      </w:pPr>
      <w:r>
        <w:rPr>
          <w:rFonts w:hint="eastAsia" w:ascii="宋体" w:hAnsi="宋体"/>
          <w:color w:val="000000"/>
          <w:sz w:val="21"/>
          <w:szCs w:val="21"/>
          <w:highlight w:val="none"/>
        </w:rPr>
        <w:t>3</w:t>
      </w:r>
      <w:r>
        <w:rPr>
          <w:rFonts w:ascii="宋体" w:hAnsi="宋体"/>
          <w:color w:val="000000"/>
          <w:sz w:val="21"/>
          <w:szCs w:val="21"/>
          <w:highlight w:val="none"/>
        </w:rPr>
        <w:t>.</w:t>
      </w:r>
      <w:r>
        <w:rPr>
          <w:rFonts w:hint="eastAsia" w:ascii="宋体" w:hAnsi="宋体"/>
          <w:color w:val="000000"/>
          <w:sz w:val="21"/>
          <w:szCs w:val="21"/>
          <w:highlight w:val="none"/>
        </w:rPr>
        <w:t>澄清补正</w:t>
      </w:r>
    </w:p>
    <w:p w14:paraId="091DD523">
      <w:pPr>
        <w:spacing w:line="360" w:lineRule="auto"/>
        <w:ind w:firstLine="420" w:firstLineChars="200"/>
        <w:rPr>
          <w:rFonts w:hint="eastAsia" w:ascii="宋体" w:hAnsi="宋体" w:cs="Courier New"/>
          <w:b/>
          <w:color w:val="000000"/>
          <w:szCs w:val="21"/>
          <w:highlight w:val="none"/>
        </w:rPr>
      </w:pPr>
      <w:r>
        <w:rPr>
          <w:rFonts w:hint="eastAsia" w:ascii="宋体" w:hAnsi="宋体" w:cs="Courier New"/>
          <w:color w:val="000000"/>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23333B0D">
      <w:pPr>
        <w:spacing w:line="360" w:lineRule="auto"/>
        <w:ind w:firstLine="420" w:firstLineChars="200"/>
        <w:rPr>
          <w:rFonts w:hint="eastAsia" w:ascii="宋体" w:hAnsi="宋体" w:cs="Courier New"/>
          <w:color w:val="000000"/>
          <w:szCs w:val="21"/>
          <w:highlight w:val="none"/>
        </w:rPr>
      </w:pPr>
      <w:r>
        <w:rPr>
          <w:rFonts w:hint="eastAsia" w:ascii="宋体" w:hAnsi="宋体" w:cs="Courier New"/>
          <w:color w:val="000000"/>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4ECE3662">
      <w:pPr>
        <w:spacing w:line="360" w:lineRule="auto"/>
        <w:ind w:firstLine="420" w:firstLineChars="200"/>
        <w:rPr>
          <w:rFonts w:hint="eastAsia" w:ascii="宋体" w:hAnsi="宋体" w:cs="Courier New"/>
          <w:color w:val="000000"/>
          <w:szCs w:val="21"/>
          <w:highlight w:val="none"/>
        </w:rPr>
      </w:pPr>
      <w:r>
        <w:rPr>
          <w:rFonts w:hint="eastAsia" w:ascii="宋体" w:hAnsi="宋体" w:cs="Courier New"/>
          <w:color w:val="000000"/>
          <w:szCs w:val="21"/>
          <w:highlight w:val="none"/>
        </w:rPr>
        <w:t>未按评标委员会的要求作出明确澄清、说明或者更正的投标人的投标文件将按照有利于采购人的原则由评标委员会进行判定。</w:t>
      </w:r>
    </w:p>
    <w:p w14:paraId="42E8EB4B">
      <w:pPr>
        <w:pStyle w:val="6"/>
        <w:keepNext w:val="0"/>
        <w:keepLines w:val="0"/>
        <w:spacing w:before="0" w:after="0" w:line="360" w:lineRule="auto"/>
        <w:ind w:left="420" w:leftChars="200"/>
        <w:rPr>
          <w:rFonts w:hint="eastAsia" w:ascii="宋体" w:hAnsi="宋体"/>
          <w:color w:val="000000"/>
          <w:sz w:val="21"/>
          <w:szCs w:val="21"/>
          <w:highlight w:val="none"/>
        </w:rPr>
      </w:pPr>
      <w:r>
        <w:rPr>
          <w:rFonts w:ascii="宋体" w:hAnsi="宋体"/>
          <w:color w:val="000000"/>
          <w:sz w:val="21"/>
          <w:szCs w:val="21"/>
          <w:highlight w:val="none"/>
        </w:rPr>
        <w:t>4.</w:t>
      </w:r>
      <w:r>
        <w:rPr>
          <w:rFonts w:hint="eastAsia" w:ascii="宋体" w:hAnsi="宋体"/>
          <w:color w:val="000000"/>
          <w:sz w:val="21"/>
          <w:szCs w:val="21"/>
          <w:highlight w:val="none"/>
        </w:rPr>
        <w:t>投标文件修正</w:t>
      </w:r>
    </w:p>
    <w:p w14:paraId="4B0D0A26">
      <w:pPr>
        <w:pStyle w:val="6"/>
        <w:keepNext w:val="0"/>
        <w:keepLines w:val="0"/>
        <w:spacing w:before="0" w:after="0" w:line="360" w:lineRule="auto"/>
        <w:ind w:left="420" w:leftChars="200"/>
        <w:rPr>
          <w:rFonts w:hint="eastAsia" w:ascii="宋体" w:hAnsi="宋体"/>
          <w:b w:val="0"/>
          <w:color w:val="000000"/>
          <w:sz w:val="21"/>
          <w:szCs w:val="21"/>
          <w:highlight w:val="none"/>
        </w:rPr>
      </w:pPr>
      <w:r>
        <w:rPr>
          <w:rFonts w:ascii="宋体" w:hAnsi="宋体"/>
          <w:b w:val="0"/>
          <w:color w:val="000000"/>
          <w:sz w:val="21"/>
          <w:szCs w:val="21"/>
          <w:highlight w:val="none"/>
        </w:rPr>
        <w:t>4</w:t>
      </w:r>
      <w:r>
        <w:rPr>
          <w:rFonts w:hint="eastAsia" w:ascii="宋体" w:hAnsi="宋体"/>
          <w:b w:val="0"/>
          <w:color w:val="000000"/>
          <w:sz w:val="21"/>
          <w:szCs w:val="21"/>
          <w:highlight w:val="none"/>
        </w:rPr>
        <w:t xml:space="preserve">.1投标文件报价出现前后不一致的，按照下列规定修正： </w:t>
      </w:r>
    </w:p>
    <w:p w14:paraId="0F38227A">
      <w:pPr>
        <w:pStyle w:val="24"/>
        <w:snapToGrid w:val="0"/>
        <w:spacing w:line="360" w:lineRule="auto"/>
        <w:ind w:firstLine="420" w:firstLineChars="200"/>
        <w:rPr>
          <w:rFonts w:hAnsi="宋体"/>
          <w:color w:val="000000"/>
          <w:sz w:val="21"/>
          <w:highlight w:val="none"/>
        </w:rPr>
      </w:pPr>
      <w:r>
        <w:rPr>
          <w:rFonts w:hint="eastAsia" w:hAnsi="宋体"/>
          <w:color w:val="000000"/>
          <w:sz w:val="21"/>
          <w:highlight w:val="none"/>
        </w:rPr>
        <w:t>（1）投标文件中开标一览表（报价表）内容与投标文件中相应内容不一致的，以开标一览表（报价表）为准；</w:t>
      </w:r>
    </w:p>
    <w:p w14:paraId="391BEE03">
      <w:pPr>
        <w:pStyle w:val="24"/>
        <w:snapToGrid w:val="0"/>
        <w:spacing w:line="360" w:lineRule="auto"/>
        <w:ind w:firstLine="420" w:firstLineChars="200"/>
        <w:rPr>
          <w:rFonts w:hAnsi="宋体"/>
          <w:color w:val="000000"/>
          <w:sz w:val="21"/>
          <w:highlight w:val="none"/>
        </w:rPr>
      </w:pPr>
      <w:r>
        <w:rPr>
          <w:rFonts w:hint="eastAsia" w:hAnsi="宋体"/>
          <w:color w:val="000000"/>
          <w:sz w:val="21"/>
          <w:highlight w:val="none"/>
        </w:rPr>
        <w:t>（2）大写金额和小写金额不一致的，以大写金额为准；</w:t>
      </w:r>
    </w:p>
    <w:p w14:paraId="1AA44C91">
      <w:pPr>
        <w:pStyle w:val="24"/>
        <w:snapToGrid w:val="0"/>
        <w:spacing w:line="360" w:lineRule="auto"/>
        <w:ind w:firstLine="420" w:firstLineChars="200"/>
        <w:rPr>
          <w:rFonts w:hAnsi="宋体"/>
          <w:color w:val="000000"/>
          <w:sz w:val="21"/>
          <w:highlight w:val="none"/>
        </w:rPr>
      </w:pPr>
      <w:r>
        <w:rPr>
          <w:rFonts w:hint="eastAsia" w:hAnsi="宋体"/>
          <w:color w:val="000000"/>
          <w:sz w:val="21"/>
          <w:highlight w:val="none"/>
        </w:rPr>
        <w:t>（3）单价金额小数点或者百分比有明显错位的，以开标一览表的总价为准，并修改单价；</w:t>
      </w:r>
    </w:p>
    <w:p w14:paraId="49102758">
      <w:pPr>
        <w:pStyle w:val="24"/>
        <w:snapToGrid w:val="0"/>
        <w:spacing w:line="360" w:lineRule="auto"/>
        <w:ind w:firstLine="420" w:firstLineChars="200"/>
        <w:rPr>
          <w:rFonts w:hAnsi="宋体"/>
          <w:color w:val="000000"/>
          <w:sz w:val="21"/>
          <w:highlight w:val="none"/>
        </w:rPr>
      </w:pPr>
      <w:r>
        <w:rPr>
          <w:rFonts w:hint="eastAsia" w:hAnsi="宋体"/>
          <w:color w:val="000000"/>
          <w:sz w:val="21"/>
          <w:highlight w:val="none"/>
        </w:rPr>
        <w:t>（4）总价金额与按单价汇总金额不一致的，以单价金额计算结果为准。</w:t>
      </w:r>
    </w:p>
    <w:p w14:paraId="34EA1F3C">
      <w:pPr>
        <w:pStyle w:val="24"/>
        <w:snapToGrid w:val="0"/>
        <w:spacing w:line="360" w:lineRule="auto"/>
        <w:ind w:firstLine="420" w:firstLineChars="200"/>
        <w:rPr>
          <w:rFonts w:hint="eastAsia" w:hAnsi="宋体"/>
          <w:color w:val="000000"/>
          <w:sz w:val="21"/>
          <w:highlight w:val="none"/>
        </w:rPr>
      </w:pPr>
      <w:r>
        <w:rPr>
          <w:rFonts w:hint="eastAsia" w:hAnsi="宋体"/>
          <w:color w:val="000000"/>
          <w:sz w:val="21"/>
          <w:highlight w:val="none"/>
        </w:rPr>
        <w:t>同时出现两种以上不一致的，按照以上（1）-（4）规定的顺序修正。修正后的报价经投标人确认后产生约束力，投标人不确认的，</w:t>
      </w:r>
      <w:r>
        <w:rPr>
          <w:rFonts w:hint="eastAsia" w:hAnsi="宋体"/>
          <w:b/>
          <w:color w:val="000000"/>
          <w:kern w:val="2"/>
          <w:sz w:val="21"/>
          <w:highlight w:val="none"/>
        </w:rPr>
        <w:t>其投标无效</w:t>
      </w:r>
      <w:r>
        <w:rPr>
          <w:rFonts w:hint="eastAsia" w:hAnsi="宋体"/>
          <w:color w:val="000000"/>
          <w:sz w:val="21"/>
          <w:highlight w:val="none"/>
        </w:rPr>
        <w:t>。</w:t>
      </w:r>
    </w:p>
    <w:p w14:paraId="63EECBD6">
      <w:pPr>
        <w:pStyle w:val="6"/>
        <w:keepNext w:val="0"/>
        <w:keepLines w:val="0"/>
        <w:spacing w:before="0" w:after="0" w:line="360" w:lineRule="auto"/>
        <w:rPr>
          <w:rFonts w:hint="eastAsia" w:ascii="宋体" w:hAnsi="宋体"/>
          <w:b w:val="0"/>
          <w:color w:val="000000"/>
          <w:sz w:val="21"/>
          <w:szCs w:val="21"/>
          <w:highlight w:val="none"/>
        </w:rPr>
      </w:pPr>
      <w:r>
        <w:rPr>
          <w:rFonts w:ascii="宋体" w:hAnsi="宋体"/>
          <w:b w:val="0"/>
          <w:color w:val="000000"/>
          <w:sz w:val="21"/>
          <w:szCs w:val="21"/>
          <w:highlight w:val="none"/>
        </w:rPr>
        <w:t xml:space="preserve">    4</w:t>
      </w:r>
      <w:r>
        <w:rPr>
          <w:rFonts w:hint="eastAsia" w:ascii="宋体" w:hAnsi="宋体"/>
          <w:b w:val="0"/>
          <w:color w:val="000000"/>
          <w:sz w:val="21"/>
          <w:szCs w:val="21"/>
          <w:highlight w:val="none"/>
        </w:rPr>
        <w:t>.2经投标人确认修正后的报价若超过采购预算金额或者最高限价，</w:t>
      </w:r>
      <w:r>
        <w:rPr>
          <w:rFonts w:hint="eastAsia" w:ascii="宋体" w:hAnsi="宋体"/>
          <w:color w:val="000000"/>
          <w:sz w:val="21"/>
          <w:szCs w:val="21"/>
          <w:highlight w:val="none"/>
        </w:rPr>
        <w:t>投标人的投标文件作无效投标处理</w:t>
      </w:r>
      <w:r>
        <w:rPr>
          <w:rFonts w:hint="eastAsia" w:ascii="宋体" w:hAnsi="宋体"/>
          <w:b w:val="0"/>
          <w:color w:val="000000"/>
          <w:sz w:val="21"/>
          <w:szCs w:val="21"/>
          <w:highlight w:val="none"/>
        </w:rPr>
        <w:t>。</w:t>
      </w:r>
    </w:p>
    <w:p w14:paraId="1CCE8205">
      <w:pPr>
        <w:snapToGrid w:val="0"/>
        <w:spacing w:line="360" w:lineRule="auto"/>
        <w:ind w:firstLine="420" w:firstLineChars="200"/>
        <w:rPr>
          <w:rFonts w:hint="eastAsia" w:ascii="宋体" w:hAnsi="宋体"/>
          <w:color w:val="000000"/>
          <w:szCs w:val="21"/>
          <w:highlight w:val="none"/>
        </w:rPr>
      </w:pPr>
      <w:r>
        <w:rPr>
          <w:rFonts w:ascii="宋体" w:hAnsi="宋体"/>
          <w:color w:val="000000"/>
          <w:szCs w:val="21"/>
          <w:highlight w:val="none"/>
        </w:rPr>
        <w:t>4</w:t>
      </w:r>
      <w:r>
        <w:rPr>
          <w:rFonts w:hint="eastAsia" w:ascii="宋体" w:hAnsi="宋体"/>
          <w:color w:val="000000"/>
          <w:szCs w:val="21"/>
          <w:highlight w:val="none"/>
        </w:rPr>
        <w:t>.3经投标人确认修正后的报价作为签订合同的依据，并以此报价计算价格分。</w:t>
      </w:r>
    </w:p>
    <w:p w14:paraId="09DC0170">
      <w:pPr>
        <w:pStyle w:val="6"/>
        <w:keepNext w:val="0"/>
        <w:keepLines w:val="0"/>
        <w:spacing w:before="0" w:after="0" w:line="360" w:lineRule="auto"/>
        <w:ind w:left="420" w:leftChars="200"/>
        <w:rPr>
          <w:rFonts w:hint="eastAsia" w:ascii="宋体" w:hAnsi="宋体"/>
          <w:color w:val="000000"/>
          <w:sz w:val="21"/>
          <w:szCs w:val="21"/>
          <w:highlight w:val="none"/>
        </w:rPr>
      </w:pPr>
      <w:r>
        <w:rPr>
          <w:rFonts w:ascii="宋体" w:hAnsi="宋体"/>
          <w:color w:val="000000"/>
          <w:sz w:val="21"/>
          <w:szCs w:val="21"/>
          <w:highlight w:val="none"/>
        </w:rPr>
        <w:t>5.</w:t>
      </w:r>
      <w:r>
        <w:rPr>
          <w:rFonts w:hint="eastAsia" w:ascii="宋体" w:hAnsi="宋体"/>
          <w:color w:val="000000"/>
          <w:sz w:val="21"/>
          <w:szCs w:val="21"/>
          <w:highlight w:val="none"/>
        </w:rPr>
        <w:t>比较与评价</w:t>
      </w:r>
    </w:p>
    <w:p w14:paraId="118B40C2">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5.1采用综合评分法的</w:t>
      </w:r>
    </w:p>
    <w:p w14:paraId="6373432C">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（1）评标委员会按照招标文件中规定的评标方法及评标标准，对符合性审查合格的投标文件进行商务和技术评估，综合比较与评价。</w:t>
      </w:r>
    </w:p>
    <w:p w14:paraId="591C068F">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（2）评标委员会独立对每个投标人的投标文件进行评价，并汇总每个投标人的得分。</w:t>
      </w:r>
    </w:p>
    <w:p w14:paraId="7705BFA8">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color w:val="000000"/>
          <w:szCs w:val="21"/>
          <w:highlight w:val="none"/>
        </w:rPr>
        <w:t>投标人不能证明其报价合理性的，评标委员会将其作为无效投标处理</w:t>
      </w:r>
      <w:r>
        <w:rPr>
          <w:rFonts w:hint="eastAsia" w:ascii="宋体" w:hAnsi="宋体"/>
          <w:color w:val="000000"/>
          <w:szCs w:val="21"/>
          <w:highlight w:val="none"/>
        </w:rPr>
        <w:t>。</w:t>
      </w:r>
    </w:p>
    <w:p w14:paraId="09F78616">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（3）评标委员会按照招标文件中规定的评标方法和标准计算各投标人的报价得分。在计算过程中，不得去掉最高报价或者最低报价。</w:t>
      </w:r>
    </w:p>
    <w:p w14:paraId="124AF9B2">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（4）各投标人的得分为所有评委的有效评分的算术平均数。</w:t>
      </w:r>
    </w:p>
    <w:p w14:paraId="02018BF0">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（5）评标委员会按照招标文件中的规定推荐中标候选人。</w:t>
      </w:r>
    </w:p>
    <w:p w14:paraId="42A50156">
      <w:pPr>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6BA18B0F">
      <w:pPr>
        <w:snapToGrid w:val="0"/>
        <w:spacing w:line="360" w:lineRule="auto"/>
        <w:ind w:firstLine="424" w:firstLineChars="202"/>
        <w:jc w:val="center"/>
        <w:rPr>
          <w:rFonts w:hint="eastAsia"/>
          <w:color w:val="000000"/>
          <w:highlight w:val="none"/>
        </w:rPr>
      </w:pPr>
      <w:r>
        <w:rPr>
          <w:rFonts w:ascii="宋体" w:hAnsi="宋体"/>
          <w:color w:val="000000"/>
          <w:szCs w:val="21"/>
          <w:highlight w:val="none"/>
        </w:rPr>
        <w:br w:type="page"/>
      </w:r>
      <w:r>
        <w:rPr>
          <w:rFonts w:ascii="宋体" w:hAnsi="宋体" w:cs="宋体"/>
          <w:b/>
          <w:bCs/>
          <w:color w:val="000000"/>
          <w:sz w:val="32"/>
          <w:szCs w:val="32"/>
          <w:highlight w:val="none"/>
        </w:rPr>
        <w:t>三</w:t>
      </w:r>
      <w:r>
        <w:rPr>
          <w:rFonts w:hint="eastAsia" w:ascii="宋体" w:hAnsi="宋体" w:cs="宋体"/>
          <w:b/>
          <w:bCs/>
          <w:color w:val="000000"/>
          <w:sz w:val="32"/>
          <w:szCs w:val="32"/>
          <w:highlight w:val="none"/>
        </w:rPr>
        <w:t>、评标标准</w:t>
      </w:r>
    </w:p>
    <w:p w14:paraId="0603FA9E">
      <w:pPr>
        <w:pStyle w:val="4"/>
        <w:keepNext w:val="0"/>
        <w:keepLines w:val="0"/>
        <w:jc w:val="center"/>
        <w:rPr>
          <w:rFonts w:hint="eastAsia"/>
          <w:color w:val="000000"/>
          <w:highlight w:val="none"/>
        </w:rPr>
      </w:pPr>
      <w:r>
        <w:rPr>
          <w:rFonts w:hint="eastAsia"/>
          <w:color w:val="000000"/>
          <w:highlight w:val="none"/>
        </w:rPr>
        <w:t>综合评分法</w:t>
      </w:r>
    </w:p>
    <w:p w14:paraId="40DE254B">
      <w:pPr>
        <w:rPr>
          <w:rFonts w:hint="eastAsia"/>
          <w:color w:val="000000"/>
          <w:highlight w:val="none"/>
        </w:rPr>
      </w:pPr>
      <w:r>
        <w:rPr>
          <w:rFonts w:hint="eastAsia"/>
          <w:color w:val="000000"/>
          <w:highlight w:val="none"/>
        </w:rPr>
        <w:t>AB分标通用</w:t>
      </w:r>
    </w:p>
    <w:tbl>
      <w:tblPr>
        <w:tblStyle w:val="45"/>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0"/>
        <w:gridCol w:w="26"/>
        <w:gridCol w:w="20"/>
        <w:gridCol w:w="1233"/>
        <w:gridCol w:w="6326"/>
      </w:tblGrid>
      <w:tr w14:paraId="1523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gridSpan w:val="2"/>
            <w:tcBorders>
              <w:top w:val="single" w:color="auto" w:sz="4" w:space="0"/>
              <w:left w:val="single" w:color="auto" w:sz="4" w:space="0"/>
              <w:bottom w:val="single" w:color="auto" w:sz="4" w:space="0"/>
              <w:right w:val="single" w:color="auto" w:sz="4" w:space="0"/>
            </w:tcBorders>
            <w:noWrap w:val="0"/>
            <w:vAlign w:val="center"/>
          </w:tcPr>
          <w:p w14:paraId="1F32C12E">
            <w:pPr>
              <w:adjustRightInd w:val="0"/>
              <w:spacing w:line="410" w:lineRule="exact"/>
              <w:jc w:val="center"/>
              <w:textAlignment w:val="baseline"/>
              <w:rPr>
                <w:rFonts w:ascii="宋体" w:hAnsi="宋体"/>
                <w:b/>
                <w:color w:val="000000"/>
                <w:szCs w:val="21"/>
                <w:highlight w:val="none"/>
              </w:rPr>
            </w:pPr>
            <w:r>
              <w:rPr>
                <w:rFonts w:hint="eastAsia" w:ascii="宋体" w:hAnsi="宋体"/>
                <w:b/>
                <w:color w:val="000000"/>
                <w:szCs w:val="21"/>
                <w:highlight w:val="none"/>
              </w:rPr>
              <w:t>序号</w:t>
            </w:r>
          </w:p>
        </w:tc>
        <w:tc>
          <w:tcPr>
            <w:tcW w:w="1279" w:type="dxa"/>
            <w:gridSpan w:val="3"/>
            <w:tcBorders>
              <w:top w:val="single" w:color="auto" w:sz="4" w:space="0"/>
              <w:left w:val="single" w:color="auto" w:sz="4" w:space="0"/>
              <w:bottom w:val="single" w:color="auto" w:sz="4" w:space="0"/>
              <w:right w:val="single" w:color="auto" w:sz="4" w:space="0"/>
            </w:tcBorders>
            <w:noWrap w:val="0"/>
            <w:vAlign w:val="center"/>
          </w:tcPr>
          <w:p w14:paraId="50453F6C">
            <w:pPr>
              <w:adjustRightInd w:val="0"/>
              <w:spacing w:line="410" w:lineRule="exact"/>
              <w:jc w:val="center"/>
              <w:textAlignment w:val="baseline"/>
              <w:rPr>
                <w:rFonts w:ascii="宋体" w:hAnsi="宋体"/>
                <w:b/>
                <w:color w:val="000000"/>
                <w:szCs w:val="21"/>
                <w:highlight w:val="none"/>
              </w:rPr>
            </w:pPr>
            <w:r>
              <w:rPr>
                <w:rFonts w:hint="eastAsia" w:ascii="宋体" w:hAnsi="宋体"/>
                <w:b/>
                <w:color w:val="000000"/>
                <w:szCs w:val="21"/>
                <w:highlight w:val="none"/>
              </w:rPr>
              <w:t>评审因素</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212BCF57">
            <w:pPr>
              <w:adjustRightInd w:val="0"/>
              <w:spacing w:line="410" w:lineRule="exact"/>
              <w:jc w:val="center"/>
              <w:textAlignment w:val="baseline"/>
              <w:rPr>
                <w:rFonts w:ascii="宋体" w:hAnsi="宋体"/>
                <w:b/>
                <w:color w:val="000000"/>
                <w:szCs w:val="21"/>
                <w:highlight w:val="none"/>
              </w:rPr>
            </w:pPr>
            <w:r>
              <w:rPr>
                <w:rFonts w:hint="eastAsia" w:ascii="宋体" w:hAnsi="宋体"/>
                <w:b/>
                <w:color w:val="000000"/>
                <w:szCs w:val="21"/>
                <w:highlight w:val="none"/>
              </w:rPr>
              <w:t>评标标准</w:t>
            </w:r>
          </w:p>
        </w:tc>
      </w:tr>
      <w:tr w14:paraId="32CB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noWrap w:val="0"/>
            <w:vAlign w:val="center"/>
          </w:tcPr>
          <w:p w14:paraId="08C16B19">
            <w:pPr>
              <w:adjustRightInd w:val="0"/>
              <w:spacing w:line="360" w:lineRule="auto"/>
              <w:jc w:val="center"/>
              <w:textAlignment w:val="baseline"/>
              <w:rPr>
                <w:rFonts w:ascii="宋体" w:hAnsi="宋体"/>
                <w:b/>
                <w:color w:val="000000"/>
                <w:szCs w:val="21"/>
                <w:highlight w:val="none"/>
              </w:rPr>
            </w:pPr>
            <w:r>
              <w:rPr>
                <w:rFonts w:ascii="宋体" w:hAnsi="宋体"/>
                <w:b/>
                <w:color w:val="000000"/>
                <w:szCs w:val="21"/>
                <w:highlight w:val="none"/>
              </w:rPr>
              <w:t>1</w:t>
            </w:r>
          </w:p>
        </w:tc>
        <w:tc>
          <w:tcPr>
            <w:tcW w:w="1366" w:type="dxa"/>
            <w:gridSpan w:val="3"/>
            <w:noWrap w:val="0"/>
            <w:vAlign w:val="center"/>
          </w:tcPr>
          <w:p w14:paraId="57AAC623">
            <w:pPr>
              <w:adjustRightInd w:val="0"/>
              <w:spacing w:line="360" w:lineRule="auto"/>
              <w:jc w:val="center"/>
              <w:textAlignment w:val="baseline"/>
              <w:rPr>
                <w:rFonts w:ascii="宋体" w:hAnsi="宋体"/>
                <w:b/>
                <w:color w:val="000000"/>
                <w:szCs w:val="21"/>
                <w:highlight w:val="none"/>
              </w:rPr>
            </w:pPr>
            <w:r>
              <w:rPr>
                <w:rFonts w:ascii="宋体" w:hAnsi="宋体"/>
                <w:b/>
                <w:color w:val="000000"/>
                <w:szCs w:val="21"/>
                <w:highlight w:val="none"/>
              </w:rPr>
              <w:t>价格分</w:t>
            </w:r>
          </w:p>
          <w:p w14:paraId="3BEBC35F">
            <w:pPr>
              <w:adjustRightInd w:val="0"/>
              <w:spacing w:line="360" w:lineRule="auto"/>
              <w:jc w:val="center"/>
              <w:textAlignment w:val="baseline"/>
              <w:rPr>
                <w:rFonts w:ascii="宋体" w:hAnsi="宋体"/>
                <w:color w:val="000000"/>
                <w:szCs w:val="21"/>
                <w:highlight w:val="none"/>
              </w:rPr>
            </w:pPr>
            <w:r>
              <w:rPr>
                <w:rFonts w:ascii="宋体" w:hAnsi="宋体"/>
                <w:color w:val="000000"/>
                <w:szCs w:val="21"/>
                <w:highlight w:val="none"/>
              </w:rPr>
              <w:t>（满分</w:t>
            </w:r>
            <w:r>
              <w:rPr>
                <w:rFonts w:hint="eastAsia" w:ascii="宋体" w:hAnsi="宋体"/>
                <w:color w:val="000000"/>
                <w:szCs w:val="21"/>
                <w:highlight w:val="none"/>
              </w:rPr>
              <w:t>30</w:t>
            </w:r>
            <w:r>
              <w:rPr>
                <w:rFonts w:ascii="宋体" w:hAnsi="宋体"/>
                <w:color w:val="000000"/>
                <w:szCs w:val="21"/>
                <w:highlight w:val="none"/>
              </w:rPr>
              <w:t>分）</w:t>
            </w:r>
          </w:p>
        </w:tc>
        <w:tc>
          <w:tcPr>
            <w:tcW w:w="1233" w:type="dxa"/>
            <w:noWrap w:val="0"/>
            <w:vAlign w:val="center"/>
          </w:tcPr>
          <w:p w14:paraId="143D7280">
            <w:pPr>
              <w:adjustRightInd w:val="0"/>
              <w:spacing w:line="360" w:lineRule="auto"/>
              <w:jc w:val="center"/>
              <w:textAlignment w:val="baseline"/>
              <w:rPr>
                <w:rFonts w:ascii="宋体" w:hAnsi="宋体"/>
                <w:b/>
                <w:color w:val="000000"/>
                <w:szCs w:val="21"/>
                <w:highlight w:val="none"/>
              </w:rPr>
            </w:pPr>
            <w:r>
              <w:rPr>
                <w:rFonts w:ascii="宋体" w:hAnsi="宋体"/>
                <w:b/>
                <w:color w:val="000000"/>
                <w:szCs w:val="21"/>
                <w:highlight w:val="none"/>
              </w:rPr>
              <w:t>投标报价</w:t>
            </w:r>
          </w:p>
        </w:tc>
        <w:tc>
          <w:tcPr>
            <w:tcW w:w="6326" w:type="dxa"/>
            <w:noWrap w:val="0"/>
            <w:vAlign w:val="center"/>
          </w:tcPr>
          <w:p w14:paraId="739907D1">
            <w:pPr>
              <w:snapToGrid w:val="0"/>
              <w:spacing w:line="360" w:lineRule="auto"/>
              <w:ind w:firstLine="233" w:firstLineChars="111"/>
              <w:rPr>
                <w:rFonts w:ascii="宋体" w:hAnsi="宋体"/>
                <w:bCs/>
                <w:color w:val="000000"/>
                <w:szCs w:val="21"/>
                <w:highlight w:val="none"/>
              </w:rPr>
            </w:pPr>
            <w:r>
              <w:rPr>
                <w:rFonts w:ascii="宋体" w:hAnsi="宋体"/>
                <w:bCs/>
                <w:color w:val="000000"/>
                <w:szCs w:val="21"/>
                <w:highlight w:val="none"/>
              </w:rPr>
              <w:t>（1）评标报价为投标人的投标报价进行政策性扣除后的价格，评标报价只是作为评标时使用。最终中标人的中标金额等于投标报价。</w:t>
            </w:r>
          </w:p>
          <w:p w14:paraId="61497FA5">
            <w:pPr>
              <w:snapToGrid w:val="0"/>
              <w:spacing w:line="360" w:lineRule="auto"/>
              <w:ind w:firstLine="233" w:firstLineChars="111"/>
              <w:rPr>
                <w:rFonts w:ascii="宋体" w:hAnsi="宋体"/>
                <w:bCs/>
                <w:color w:val="000000"/>
                <w:szCs w:val="21"/>
                <w:highlight w:val="none"/>
              </w:rPr>
            </w:pPr>
            <w:r>
              <w:rPr>
                <w:rFonts w:ascii="宋体" w:hAnsi="宋体"/>
                <w:bCs/>
                <w:color w:val="000000"/>
                <w:szCs w:val="21"/>
                <w:highlight w:val="none"/>
              </w:rPr>
              <w:t>（2）政策性扣除计算方法。</w:t>
            </w:r>
          </w:p>
          <w:p w14:paraId="38DAC0C4">
            <w:pPr>
              <w:snapToGrid w:val="0"/>
              <w:spacing w:line="360" w:lineRule="auto"/>
              <w:ind w:firstLine="443" w:firstLineChars="211"/>
              <w:rPr>
                <w:rFonts w:ascii="宋体" w:hAnsi="宋体"/>
                <w:color w:val="000000"/>
                <w:szCs w:val="21"/>
                <w:highlight w:val="none"/>
              </w:rPr>
            </w:pPr>
            <w:r>
              <w:rPr>
                <w:rFonts w:ascii="宋体" w:hAnsi="宋体"/>
                <w:bCs/>
                <w:color w:val="000000"/>
                <w:szCs w:val="21"/>
                <w:highlight w:val="none"/>
              </w:rPr>
              <w:t>根据《政府采购促进中小企业发展管理办法》（财库〔2020〕46号）的规定，投标人在其投标文件中提供《中小企业声明函》，且其投标全部货物由小微企业制造的，对其投标报价给予</w:t>
            </w:r>
            <w:r>
              <w:rPr>
                <w:rFonts w:hint="eastAsia" w:ascii="宋体" w:hAnsi="宋体"/>
                <w:bCs/>
                <w:color w:val="000000"/>
                <w:szCs w:val="21"/>
                <w:highlight w:val="none"/>
              </w:rPr>
              <w:t>1</w:t>
            </w:r>
            <w:r>
              <w:rPr>
                <w:rFonts w:ascii="宋体" w:hAnsi="宋体"/>
                <w:bCs/>
                <w:color w:val="000000"/>
                <w:szCs w:val="21"/>
                <w:highlight w:val="none"/>
              </w:rPr>
              <w:t>0%的扣除，扣除后的价格为评标报价，即评标报价=投标报价×（1-</w:t>
            </w:r>
            <w:r>
              <w:rPr>
                <w:rFonts w:hint="eastAsia" w:ascii="宋体" w:hAnsi="宋体"/>
                <w:bCs/>
                <w:color w:val="000000"/>
                <w:szCs w:val="21"/>
                <w:highlight w:val="none"/>
              </w:rPr>
              <w:t>1</w:t>
            </w:r>
            <w:r>
              <w:rPr>
                <w:rFonts w:ascii="宋体" w:hAnsi="宋体"/>
                <w:bCs/>
                <w:color w:val="000000"/>
                <w:szCs w:val="21"/>
                <w:highlight w:val="none"/>
              </w:rPr>
              <w:t>0%）除上述情况外，评标报价=投标报价。</w:t>
            </w:r>
          </w:p>
          <w:p w14:paraId="7DB61551">
            <w:pPr>
              <w:snapToGrid w:val="0"/>
              <w:spacing w:line="360" w:lineRule="auto"/>
              <w:ind w:firstLine="233" w:firstLineChars="111"/>
              <w:rPr>
                <w:rFonts w:ascii="宋体" w:hAnsi="宋体"/>
                <w:bCs/>
                <w:color w:val="000000"/>
                <w:szCs w:val="21"/>
                <w:highlight w:val="none"/>
              </w:rPr>
            </w:pPr>
            <w:r>
              <w:rPr>
                <w:rFonts w:ascii="宋体" w:hAnsi="宋体"/>
                <w:bCs/>
                <w:color w:val="000000"/>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ascii="宋体" w:hAnsi="宋体"/>
                <w:color w:val="000000"/>
                <w:szCs w:val="21"/>
                <w:highlight w:val="none"/>
              </w:rPr>
              <w:t>监狱企业参加政府采购活动时，应当提供由省级以上监狱管理局、戒毒管理局（含新疆生产建设兵团）出具的属于监狱企业的证明文件。</w:t>
            </w:r>
            <w:r>
              <w:rPr>
                <w:rFonts w:ascii="宋体" w:hAnsi="宋体"/>
                <w:bCs/>
                <w:color w:val="000000"/>
                <w:szCs w:val="21"/>
                <w:highlight w:val="none"/>
              </w:rPr>
              <w:t>监狱企业属于小型、微型企业的，不重复享受政策。</w:t>
            </w:r>
          </w:p>
          <w:p w14:paraId="795B6892">
            <w:pPr>
              <w:snapToGrid w:val="0"/>
              <w:spacing w:line="360" w:lineRule="auto"/>
              <w:ind w:firstLine="233" w:firstLineChars="111"/>
              <w:rPr>
                <w:rFonts w:ascii="宋体" w:hAnsi="宋体"/>
                <w:bCs/>
                <w:color w:val="000000"/>
                <w:szCs w:val="21"/>
                <w:highlight w:val="none"/>
              </w:rPr>
            </w:pPr>
            <w:r>
              <w:rPr>
                <w:rFonts w:ascii="宋体" w:hAnsi="宋体"/>
                <w:color w:val="000000"/>
                <w:szCs w:val="21"/>
                <w:highlight w:val="none"/>
              </w:rPr>
              <w:t>（4）按照</w:t>
            </w:r>
            <w:r>
              <w:rPr>
                <w:rFonts w:ascii="宋体" w:hAnsi="宋体"/>
                <w:bCs/>
                <w:color w:val="000000"/>
                <w:szCs w:val="21"/>
                <w:highlight w:val="none"/>
              </w:rPr>
              <w:t>《关于促进残疾人就业政府采购政策的通知》（财库〔2017〕141号）的规定，残疾人福利性单位视同小型、微型企业，享受预留份额、评审中价格扣除等促进中小企业发展的政府采购政策。</w:t>
            </w:r>
            <w:r>
              <w:rPr>
                <w:rFonts w:ascii="宋体" w:hAnsi="宋体"/>
                <w:color w:val="000000"/>
                <w:szCs w:val="21"/>
                <w:highlight w:val="none"/>
              </w:rPr>
              <w:t>残疾人福利性单位参加政府采购活动时，应当提供该通知规定的《残疾人福利性单位声明函》，并对声明的真实性负责。</w:t>
            </w:r>
            <w:r>
              <w:rPr>
                <w:rFonts w:ascii="宋体" w:hAnsi="宋体"/>
                <w:bCs/>
                <w:color w:val="000000"/>
                <w:szCs w:val="21"/>
                <w:highlight w:val="none"/>
              </w:rPr>
              <w:t>残疾人福利性单位属于小型、微型企业的，不重复享受政策。</w:t>
            </w:r>
          </w:p>
          <w:p w14:paraId="6F165969">
            <w:pPr>
              <w:snapToGrid w:val="0"/>
              <w:spacing w:line="360" w:lineRule="auto"/>
              <w:ind w:firstLine="233" w:firstLineChars="111"/>
              <w:rPr>
                <w:rFonts w:ascii="宋体" w:hAnsi="宋体"/>
                <w:bCs/>
                <w:color w:val="000000"/>
                <w:szCs w:val="21"/>
                <w:highlight w:val="none"/>
              </w:rPr>
            </w:pPr>
            <w:r>
              <w:rPr>
                <w:rFonts w:ascii="宋体" w:hAnsi="宋体"/>
                <w:bCs/>
                <w:color w:val="000000"/>
                <w:szCs w:val="21"/>
                <w:highlight w:val="none"/>
              </w:rPr>
              <w:t>（5）满足招标文件要求且评标报价最低的评标报价为评标基准价，其价格分为满分。</w:t>
            </w:r>
          </w:p>
          <w:p w14:paraId="1628F755">
            <w:pPr>
              <w:spacing w:line="360" w:lineRule="auto"/>
              <w:ind w:firstLine="233" w:firstLineChars="111"/>
              <w:rPr>
                <w:rFonts w:ascii="宋体" w:hAnsi="宋体"/>
                <w:bCs/>
                <w:color w:val="000000"/>
                <w:szCs w:val="21"/>
                <w:highlight w:val="none"/>
              </w:rPr>
            </w:pPr>
            <w:r>
              <w:rPr>
                <w:rFonts w:ascii="宋体" w:hAnsi="宋体"/>
                <w:bCs/>
                <w:color w:val="000000"/>
                <w:szCs w:val="21"/>
                <w:highlight w:val="none"/>
              </w:rPr>
              <w:t xml:space="preserve">（6）价格分计算公式：        </w:t>
            </w:r>
          </w:p>
          <w:p w14:paraId="7BC16423">
            <w:pPr>
              <w:spacing w:line="360" w:lineRule="auto"/>
              <w:ind w:firstLine="233" w:firstLineChars="111"/>
              <w:rPr>
                <w:rFonts w:ascii="宋体" w:hAnsi="宋体" w:cs="Courier New"/>
                <w:bCs/>
                <w:color w:val="000000"/>
                <w:szCs w:val="21"/>
                <w:highlight w:val="none"/>
              </w:rPr>
            </w:pPr>
            <w:r>
              <w:rPr>
                <w:rFonts w:ascii="宋体" w:hAnsi="宋体"/>
                <w:bCs/>
                <w:color w:val="000000"/>
                <w:kern w:val="0"/>
                <w:szCs w:val="21"/>
                <w:highlight w:val="none"/>
              </w:rPr>
              <w:t>价格分</w:t>
            </w:r>
            <w:r>
              <w:rPr>
                <w:rFonts w:ascii="宋体" w:hAnsi="宋体" w:cs="Courier New"/>
                <w:bCs/>
                <w:color w:val="000000"/>
                <w:szCs w:val="21"/>
                <w:highlight w:val="none"/>
              </w:rPr>
              <w:t>=（评标基准价／评标报价）×</w:t>
            </w:r>
            <w:r>
              <w:rPr>
                <w:rFonts w:hint="eastAsia" w:ascii="宋体" w:hAnsi="宋体"/>
                <w:bCs/>
                <w:color w:val="000000"/>
                <w:kern w:val="0"/>
                <w:szCs w:val="21"/>
                <w:highlight w:val="none"/>
                <w:u w:val="single"/>
              </w:rPr>
              <w:t>30</w:t>
            </w:r>
            <w:r>
              <w:rPr>
                <w:rFonts w:ascii="宋体" w:hAnsi="宋体" w:cs="Courier New"/>
                <w:bCs/>
                <w:color w:val="000000"/>
                <w:szCs w:val="21"/>
                <w:highlight w:val="none"/>
              </w:rPr>
              <w:t>分</w:t>
            </w:r>
          </w:p>
        </w:tc>
      </w:tr>
      <w:tr w14:paraId="5D1E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25" w:type="dxa"/>
            <w:vMerge w:val="restart"/>
            <w:noWrap w:val="0"/>
            <w:vAlign w:val="center"/>
          </w:tcPr>
          <w:p w14:paraId="01AB4237">
            <w:pPr>
              <w:adjustRightInd w:val="0"/>
              <w:spacing w:line="360" w:lineRule="auto"/>
              <w:jc w:val="center"/>
              <w:textAlignment w:val="baseline"/>
              <w:rPr>
                <w:rFonts w:ascii="宋体" w:hAnsi="宋体"/>
                <w:b/>
                <w:color w:val="000000"/>
                <w:szCs w:val="21"/>
                <w:highlight w:val="none"/>
              </w:rPr>
            </w:pPr>
            <w:r>
              <w:rPr>
                <w:rFonts w:hint="eastAsia" w:ascii="宋体" w:hAnsi="宋体"/>
                <w:b/>
                <w:color w:val="000000"/>
                <w:szCs w:val="21"/>
                <w:highlight w:val="none"/>
              </w:rPr>
              <w:t>2</w:t>
            </w:r>
          </w:p>
        </w:tc>
        <w:tc>
          <w:tcPr>
            <w:tcW w:w="1366" w:type="dxa"/>
            <w:gridSpan w:val="3"/>
            <w:vMerge w:val="restart"/>
            <w:noWrap w:val="0"/>
            <w:vAlign w:val="center"/>
          </w:tcPr>
          <w:p w14:paraId="2849361A">
            <w:pPr>
              <w:adjustRightInd w:val="0"/>
              <w:spacing w:line="360" w:lineRule="auto"/>
              <w:jc w:val="left"/>
              <w:textAlignment w:val="baseline"/>
              <w:rPr>
                <w:rFonts w:ascii="宋体" w:hAnsi="宋体"/>
                <w:b/>
                <w:bCs/>
                <w:color w:val="000000"/>
                <w:szCs w:val="21"/>
                <w:highlight w:val="none"/>
              </w:rPr>
            </w:pPr>
            <w:r>
              <w:rPr>
                <w:rFonts w:hint="eastAsia" w:ascii="宋体" w:hAnsi="宋体"/>
                <w:b/>
                <w:bCs/>
                <w:color w:val="000000"/>
                <w:szCs w:val="21"/>
                <w:highlight w:val="none"/>
              </w:rPr>
              <w:t>技术分</w:t>
            </w:r>
          </w:p>
          <w:p w14:paraId="03BCFD50">
            <w:pPr>
              <w:adjustRightInd w:val="0"/>
              <w:spacing w:line="360" w:lineRule="auto"/>
              <w:jc w:val="left"/>
              <w:textAlignment w:val="baseline"/>
              <w:rPr>
                <w:rFonts w:ascii="宋体" w:hAnsi="宋体"/>
                <w:b/>
                <w:bCs/>
                <w:color w:val="000000"/>
                <w:szCs w:val="21"/>
                <w:highlight w:val="none"/>
              </w:rPr>
            </w:pPr>
            <w:r>
              <w:rPr>
                <w:rFonts w:hint="eastAsia" w:ascii="宋体" w:hAnsi="宋体"/>
                <w:b/>
                <w:bCs/>
                <w:color w:val="000000"/>
                <w:szCs w:val="21"/>
                <w:highlight w:val="none"/>
              </w:rPr>
              <w:t>（满分 50分）</w:t>
            </w:r>
          </w:p>
        </w:tc>
        <w:tc>
          <w:tcPr>
            <w:tcW w:w="1233" w:type="dxa"/>
            <w:noWrap w:val="0"/>
            <w:vAlign w:val="center"/>
          </w:tcPr>
          <w:p w14:paraId="13FBF49E">
            <w:pPr>
              <w:spacing w:line="380" w:lineRule="exact"/>
              <w:jc w:val="left"/>
              <w:rPr>
                <w:rFonts w:ascii="宋体" w:hAnsi="宋体"/>
                <w:b/>
                <w:bCs/>
                <w:color w:val="000000"/>
                <w:szCs w:val="21"/>
                <w:highlight w:val="none"/>
              </w:rPr>
            </w:pPr>
            <w:r>
              <w:rPr>
                <w:rFonts w:hint="eastAsia" w:ascii="宋体" w:hAnsi="宋体"/>
                <w:b/>
                <w:bCs/>
                <w:color w:val="000000"/>
                <w:szCs w:val="21"/>
                <w:highlight w:val="none"/>
              </w:rPr>
              <w:t>货物设备性能分（满分15分）</w:t>
            </w:r>
          </w:p>
        </w:tc>
        <w:tc>
          <w:tcPr>
            <w:tcW w:w="6326" w:type="dxa"/>
            <w:noWrap w:val="0"/>
            <w:vAlign w:val="center"/>
          </w:tcPr>
          <w:p w14:paraId="37F2647E">
            <w:pPr>
              <w:adjustRightInd w:val="0"/>
              <w:spacing w:line="440" w:lineRule="exact"/>
              <w:rPr>
                <w:rFonts w:hint="eastAsia" w:ascii="宋体" w:hAnsi="宋体"/>
                <w:bCs/>
                <w:color w:val="000000"/>
                <w:spacing w:val="-2"/>
                <w:kern w:val="0"/>
                <w:szCs w:val="21"/>
                <w:highlight w:val="none"/>
                <w:shd w:val="clear" w:color="auto" w:fill="FFFFFF"/>
              </w:rPr>
            </w:pPr>
          </w:p>
          <w:p w14:paraId="04C64D24">
            <w:pPr>
              <w:spacing w:line="360" w:lineRule="auto"/>
              <w:rPr>
                <w:rFonts w:ascii="宋体" w:hAnsi="宋体" w:cs="宋体"/>
                <w:color w:val="000000"/>
                <w:kern w:val="0"/>
                <w:sz w:val="24"/>
                <w:highlight w:val="none"/>
              </w:rPr>
            </w:pPr>
            <w:r>
              <w:rPr>
                <w:rFonts w:hint="eastAsia" w:ascii="宋体" w:hAnsi="宋体" w:cs="宋体"/>
                <w:color w:val="000000"/>
                <w:kern w:val="0"/>
                <w:szCs w:val="21"/>
                <w:highlight w:val="none"/>
              </w:rPr>
              <w:t>1.投标文件的</w:t>
            </w:r>
            <w:r>
              <w:rPr>
                <w:rFonts w:hint="eastAsia" w:ascii="宋体" w:hAnsi="宋体" w:cs="宋体"/>
                <w:color w:val="000000"/>
                <w:kern w:val="0"/>
                <w:szCs w:val="21"/>
                <w:highlight w:val="none"/>
                <w:lang w:val="en-US" w:eastAsia="zh-CN"/>
              </w:rPr>
              <w:t>非标注</w:t>
            </w:r>
            <w:r>
              <w:rPr>
                <w:rFonts w:hint="eastAsia" w:ascii="宋体" w:hAnsi="宋体" w:cs="宋体"/>
                <w:color w:val="000000"/>
                <w:szCs w:val="21"/>
                <w:highlight w:val="none"/>
              </w:rPr>
              <w:t>“▲”的</w:t>
            </w:r>
            <w:r>
              <w:rPr>
                <w:rFonts w:hint="eastAsia" w:ascii="宋体" w:hAnsi="宋体" w:cs="宋体"/>
                <w:color w:val="000000"/>
                <w:kern w:val="0"/>
                <w:szCs w:val="21"/>
                <w:highlight w:val="none"/>
              </w:rPr>
              <w:t>技术要求中无负偏离的得</w:t>
            </w:r>
            <w:r>
              <w:rPr>
                <w:rFonts w:hint="eastAsia" w:ascii="宋体" w:hAnsi="宋体" w:cs="宋体"/>
                <w:color w:val="000000"/>
                <w:kern w:val="0"/>
                <w:szCs w:val="21"/>
                <w:highlight w:val="none"/>
                <w:u w:val="single"/>
              </w:rPr>
              <w:t>15</w:t>
            </w:r>
            <w:r>
              <w:rPr>
                <w:rFonts w:hint="eastAsia" w:ascii="宋体" w:hAnsi="宋体" w:cs="宋体"/>
                <w:color w:val="000000"/>
                <w:kern w:val="0"/>
                <w:szCs w:val="21"/>
                <w:highlight w:val="none"/>
              </w:rPr>
              <w:t>分，满分</w:t>
            </w:r>
            <w:r>
              <w:rPr>
                <w:rFonts w:hint="eastAsia" w:ascii="宋体" w:hAnsi="宋体" w:cs="宋体"/>
                <w:color w:val="000000"/>
                <w:kern w:val="0"/>
                <w:szCs w:val="21"/>
                <w:highlight w:val="none"/>
                <w:u w:val="single"/>
              </w:rPr>
              <w:t xml:space="preserve">15 </w:t>
            </w:r>
            <w:r>
              <w:rPr>
                <w:rFonts w:hint="eastAsia" w:ascii="宋体" w:hAnsi="宋体" w:cs="宋体"/>
                <w:color w:val="000000"/>
                <w:kern w:val="0"/>
                <w:szCs w:val="21"/>
                <w:highlight w:val="none"/>
              </w:rPr>
              <w:t>分 。</w:t>
            </w:r>
          </w:p>
          <w:p w14:paraId="438EBC2A">
            <w:pPr>
              <w:spacing w:line="360" w:lineRule="auto"/>
              <w:rPr>
                <w:rFonts w:ascii="宋体" w:hAnsi="宋体" w:cs="宋体"/>
                <w:color w:val="000000"/>
                <w:kern w:val="0"/>
                <w:sz w:val="24"/>
                <w:highlight w:val="none"/>
              </w:rPr>
            </w:pPr>
            <w:r>
              <w:rPr>
                <w:rFonts w:hint="eastAsia" w:ascii="宋体" w:hAnsi="宋体" w:cs="宋体"/>
                <w:color w:val="000000"/>
                <w:kern w:val="0"/>
                <w:szCs w:val="21"/>
                <w:highlight w:val="none"/>
              </w:rPr>
              <w:t>2.非实质性要求的技术要求有负偏离的，得分=该项满分分值-累计扣分分值（有一项非实质性要求的技术要求负偏离的扣</w:t>
            </w:r>
            <w:r>
              <w:rPr>
                <w:rFonts w:hint="eastAsia" w:ascii="宋体" w:hAnsi="宋体" w:cs="宋体"/>
                <w:color w:val="000000"/>
                <w:kern w:val="0"/>
                <w:szCs w:val="21"/>
                <w:highlight w:val="none"/>
                <w:u w:val="single"/>
              </w:rPr>
              <w:t>3 分</w:t>
            </w:r>
            <w:r>
              <w:rPr>
                <w:rFonts w:hint="eastAsia" w:ascii="宋体" w:hAnsi="宋体" w:cs="宋体"/>
                <w:color w:val="000000"/>
                <w:kern w:val="0"/>
                <w:szCs w:val="21"/>
                <w:highlight w:val="none"/>
              </w:rPr>
              <w:t>，最多扣15分，允许偏离的项目数不超过招标文件允许偏离的项目数）。</w:t>
            </w:r>
          </w:p>
          <w:p w14:paraId="516BE167">
            <w:pPr>
              <w:spacing w:line="360" w:lineRule="auto"/>
              <w:rPr>
                <w:rFonts w:ascii="宋体" w:hAnsi="宋体"/>
                <w:bCs/>
                <w:color w:val="000000"/>
                <w:spacing w:val="-2"/>
                <w:kern w:val="0"/>
                <w:szCs w:val="21"/>
                <w:highlight w:val="none"/>
                <w:shd w:val="clear" w:color="auto" w:fill="FFFFFF"/>
              </w:rPr>
            </w:pPr>
            <w:r>
              <w:rPr>
                <w:rFonts w:hint="eastAsia" w:ascii="宋体" w:hAnsi="宋体" w:cs="宋体"/>
                <w:b/>
                <w:bCs/>
                <w:color w:val="000000"/>
                <w:kern w:val="0"/>
                <w:szCs w:val="21"/>
                <w:highlight w:val="none"/>
              </w:rPr>
              <w:t>注：1.如技术要求偏离表中的投标响应与佐证材料不一致的，以佐证材料为准。</w:t>
            </w:r>
          </w:p>
        </w:tc>
      </w:tr>
      <w:tr w14:paraId="7E05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25" w:type="dxa"/>
            <w:vMerge w:val="continue"/>
            <w:noWrap w:val="0"/>
            <w:vAlign w:val="center"/>
          </w:tcPr>
          <w:p w14:paraId="6168CF34">
            <w:pPr>
              <w:adjustRightInd w:val="0"/>
              <w:spacing w:line="360" w:lineRule="auto"/>
              <w:jc w:val="center"/>
              <w:textAlignment w:val="baseline"/>
              <w:rPr>
                <w:rFonts w:ascii="宋体" w:hAnsi="宋体"/>
                <w:b/>
                <w:color w:val="000000"/>
                <w:szCs w:val="21"/>
                <w:highlight w:val="none"/>
              </w:rPr>
            </w:pPr>
          </w:p>
        </w:tc>
        <w:tc>
          <w:tcPr>
            <w:tcW w:w="1366" w:type="dxa"/>
            <w:gridSpan w:val="3"/>
            <w:vMerge w:val="continue"/>
            <w:noWrap w:val="0"/>
            <w:vAlign w:val="center"/>
          </w:tcPr>
          <w:p w14:paraId="24F0E017">
            <w:pPr>
              <w:adjustRightInd w:val="0"/>
              <w:spacing w:line="360" w:lineRule="auto"/>
              <w:ind w:left="-105" w:leftChars="-50" w:right="-105" w:rightChars="-50"/>
              <w:jc w:val="center"/>
              <w:textAlignment w:val="baseline"/>
              <w:rPr>
                <w:rFonts w:ascii="宋体" w:hAnsi="宋体"/>
                <w:b/>
                <w:bCs/>
                <w:color w:val="000000"/>
                <w:szCs w:val="21"/>
                <w:highlight w:val="none"/>
              </w:rPr>
            </w:pPr>
          </w:p>
        </w:tc>
        <w:tc>
          <w:tcPr>
            <w:tcW w:w="1233" w:type="dxa"/>
            <w:noWrap w:val="0"/>
            <w:vAlign w:val="center"/>
          </w:tcPr>
          <w:p w14:paraId="7028F2E0">
            <w:pPr>
              <w:spacing w:line="360" w:lineRule="atLeast"/>
              <w:jc w:val="center"/>
              <w:rPr>
                <w:rFonts w:ascii="宋体" w:hAnsi="宋体"/>
                <w:b/>
                <w:color w:val="000000"/>
                <w:highlight w:val="none"/>
              </w:rPr>
            </w:pPr>
            <w:r>
              <w:rPr>
                <w:rFonts w:hint="eastAsia" w:ascii="宋体" w:hAnsi="宋体"/>
                <w:b/>
                <w:color w:val="000000"/>
                <w:highlight w:val="none"/>
              </w:rPr>
              <w:t>项目实施方案</w:t>
            </w:r>
          </w:p>
          <w:p w14:paraId="59F97648">
            <w:pPr>
              <w:adjustRightInd w:val="0"/>
              <w:spacing w:line="360" w:lineRule="auto"/>
              <w:jc w:val="left"/>
              <w:textAlignment w:val="baseline"/>
              <w:rPr>
                <w:rFonts w:ascii="宋体" w:hAnsi="宋体"/>
                <w:b/>
                <w:bCs/>
                <w:color w:val="000000"/>
                <w:szCs w:val="21"/>
                <w:highlight w:val="none"/>
              </w:rPr>
            </w:pPr>
            <w:r>
              <w:rPr>
                <w:rFonts w:hint="eastAsia" w:ascii="宋体" w:hAnsi="宋体"/>
                <w:b/>
                <w:bCs/>
                <w:color w:val="000000"/>
                <w:szCs w:val="21"/>
                <w:highlight w:val="none"/>
              </w:rPr>
              <w:t>（满分20分）</w:t>
            </w:r>
          </w:p>
          <w:p w14:paraId="19E50873">
            <w:pPr>
              <w:spacing w:line="380" w:lineRule="exact"/>
              <w:rPr>
                <w:color w:val="000000"/>
                <w:kern w:val="0"/>
                <w:szCs w:val="21"/>
                <w:highlight w:val="none"/>
              </w:rPr>
            </w:pPr>
          </w:p>
        </w:tc>
        <w:tc>
          <w:tcPr>
            <w:tcW w:w="6326" w:type="dxa"/>
            <w:noWrap w:val="0"/>
            <w:vAlign w:val="center"/>
          </w:tcPr>
          <w:p w14:paraId="69BBF880">
            <w:pPr>
              <w:spacing w:line="360" w:lineRule="auto"/>
              <w:jc w:val="left"/>
              <w:rPr>
                <w:rFonts w:hint="eastAsia" w:ascii="宋体" w:hAnsi="宋体"/>
                <w:bCs/>
                <w:color w:val="000000"/>
                <w:szCs w:val="21"/>
                <w:highlight w:val="none"/>
              </w:rPr>
            </w:pPr>
            <w:r>
              <w:rPr>
                <w:rFonts w:hint="eastAsia" w:ascii="宋体" w:hAnsi="宋体"/>
                <w:bCs/>
                <w:color w:val="000000"/>
                <w:szCs w:val="21"/>
                <w:highlight w:val="none"/>
              </w:rPr>
              <w:t>由评标委员会在打分前根据各投标人提供的项目实施方案评定各投标人所属档次及分值，达不到一档要求的不得分。</w:t>
            </w:r>
          </w:p>
          <w:p w14:paraId="7F99E2C2">
            <w:pPr>
              <w:spacing w:line="360" w:lineRule="auto"/>
              <w:jc w:val="left"/>
              <w:rPr>
                <w:rFonts w:hint="eastAsia" w:ascii="宋体" w:hAnsi="宋体"/>
                <w:bCs/>
                <w:color w:val="000000"/>
                <w:szCs w:val="21"/>
                <w:highlight w:val="none"/>
              </w:rPr>
            </w:pPr>
            <w:r>
              <w:rPr>
                <w:rFonts w:hint="eastAsia" w:ascii="宋体" w:hAnsi="宋体"/>
                <w:bCs/>
                <w:color w:val="000000"/>
                <w:szCs w:val="21"/>
                <w:highlight w:val="none"/>
              </w:rPr>
              <w:t>一档（6分）：实施方案中对</w:t>
            </w:r>
            <w:r>
              <w:rPr>
                <w:rFonts w:hint="eastAsia" w:ascii="宋体" w:hAnsi="宋体"/>
                <w:bCs/>
                <w:color w:val="000000"/>
                <w:szCs w:val="21"/>
                <w:highlight w:val="none"/>
                <w:lang w:eastAsia="zh-CN"/>
              </w:rPr>
              <w:t>交付</w:t>
            </w:r>
            <w:r>
              <w:rPr>
                <w:rFonts w:hint="eastAsia" w:ascii="宋体" w:hAnsi="宋体"/>
                <w:bCs/>
                <w:color w:val="000000"/>
                <w:szCs w:val="21"/>
                <w:highlight w:val="none"/>
              </w:rPr>
              <w:t>计划、人员投入、安全保证措施和技术保证措施等有描述，实施方案基本完整，实施计划基本完整可行，项目管理组织机构及人员职能清晰。</w:t>
            </w:r>
          </w:p>
          <w:p w14:paraId="7D95033A">
            <w:pPr>
              <w:spacing w:line="360" w:lineRule="auto"/>
              <w:jc w:val="left"/>
              <w:rPr>
                <w:rFonts w:hint="eastAsia" w:ascii="宋体" w:hAnsi="宋体"/>
                <w:bCs/>
                <w:color w:val="000000"/>
                <w:szCs w:val="21"/>
                <w:highlight w:val="none"/>
              </w:rPr>
            </w:pPr>
            <w:r>
              <w:rPr>
                <w:rFonts w:hint="eastAsia" w:ascii="宋体" w:hAnsi="宋体"/>
                <w:bCs/>
                <w:color w:val="000000"/>
                <w:szCs w:val="21"/>
                <w:highlight w:val="none"/>
              </w:rPr>
              <w:t>二档（13分）：实施方案包括有</w:t>
            </w:r>
            <w:r>
              <w:rPr>
                <w:rFonts w:hint="eastAsia" w:ascii="宋体" w:hAnsi="宋体"/>
                <w:bCs/>
                <w:color w:val="000000"/>
                <w:szCs w:val="21"/>
                <w:highlight w:val="none"/>
                <w:lang w:eastAsia="zh-CN"/>
              </w:rPr>
              <w:t>交付</w:t>
            </w:r>
            <w:r>
              <w:rPr>
                <w:rFonts w:hint="eastAsia" w:ascii="宋体" w:hAnsi="宋体"/>
                <w:bCs/>
                <w:color w:val="000000"/>
                <w:szCs w:val="21"/>
                <w:highlight w:val="none"/>
              </w:rPr>
              <w:t>计划、人员投入、安全保证措施和技术保证措施。实施方案完整清晰，实施计划完整可行、详细，项目管理组织机构及人员职能清晰。</w:t>
            </w:r>
          </w:p>
          <w:p w14:paraId="4D38C30C">
            <w:pPr>
              <w:spacing w:line="360" w:lineRule="auto"/>
              <w:rPr>
                <w:rFonts w:ascii="宋体" w:hAnsi="宋体"/>
                <w:color w:val="000000"/>
                <w:szCs w:val="21"/>
                <w:highlight w:val="none"/>
                <w:shd w:val="clear" w:color="auto" w:fill="FFFFFF"/>
              </w:rPr>
            </w:pPr>
            <w:r>
              <w:rPr>
                <w:rFonts w:hint="eastAsia" w:ascii="宋体" w:hAnsi="宋体"/>
                <w:bCs/>
                <w:color w:val="000000"/>
                <w:szCs w:val="21"/>
                <w:highlight w:val="none"/>
              </w:rPr>
              <w:t>三档（20分）：实施方案包括有</w:t>
            </w:r>
            <w:r>
              <w:rPr>
                <w:rFonts w:hint="eastAsia" w:ascii="宋体" w:hAnsi="宋体"/>
                <w:bCs/>
                <w:color w:val="000000"/>
                <w:szCs w:val="21"/>
                <w:highlight w:val="none"/>
                <w:lang w:eastAsia="zh-CN"/>
              </w:rPr>
              <w:t>交付</w:t>
            </w:r>
            <w:r>
              <w:rPr>
                <w:rFonts w:hint="eastAsia" w:ascii="宋体" w:hAnsi="宋体"/>
                <w:bCs/>
                <w:color w:val="000000"/>
                <w:szCs w:val="21"/>
                <w:highlight w:val="none"/>
              </w:rPr>
              <w:t>计划、人员投入、安全保证措施和技术保证措施及验收方案内容可行、详细，具有合理性、科学性，有</w:t>
            </w:r>
            <w:r>
              <w:rPr>
                <w:rFonts w:hint="eastAsia" w:ascii="宋体" w:hAnsi="宋体"/>
                <w:bCs/>
                <w:color w:val="000000"/>
                <w:szCs w:val="21"/>
                <w:highlight w:val="none"/>
                <w:lang w:eastAsia="zh-CN"/>
              </w:rPr>
              <w:t>交付</w:t>
            </w:r>
            <w:r>
              <w:rPr>
                <w:rFonts w:hint="eastAsia" w:ascii="宋体" w:hAnsi="宋体"/>
                <w:bCs/>
                <w:color w:val="000000"/>
                <w:szCs w:val="21"/>
                <w:highlight w:val="none"/>
              </w:rPr>
              <w:t>保证措施、实施安全保障措施、风险管理体系，实施方案清晰、针对性强，实施计划完整明晰、可操作性强，项目管理组织机构及人员职能清晰可控。</w:t>
            </w:r>
          </w:p>
        </w:tc>
      </w:tr>
      <w:tr w14:paraId="217D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noWrap w:val="0"/>
            <w:vAlign w:val="top"/>
          </w:tcPr>
          <w:p w14:paraId="54DDC41B">
            <w:pPr>
              <w:adjustRightInd w:val="0"/>
              <w:spacing w:line="360" w:lineRule="auto"/>
              <w:jc w:val="center"/>
              <w:textAlignment w:val="baseline"/>
              <w:rPr>
                <w:rFonts w:ascii="宋体" w:hAnsi="宋体"/>
                <w:b/>
                <w:color w:val="000000"/>
                <w:szCs w:val="21"/>
                <w:highlight w:val="none"/>
              </w:rPr>
            </w:pPr>
          </w:p>
        </w:tc>
        <w:tc>
          <w:tcPr>
            <w:tcW w:w="1366" w:type="dxa"/>
            <w:gridSpan w:val="3"/>
            <w:vMerge w:val="continue"/>
            <w:noWrap w:val="0"/>
            <w:vAlign w:val="top"/>
          </w:tcPr>
          <w:p w14:paraId="724422CE">
            <w:pPr>
              <w:adjustRightInd w:val="0"/>
              <w:spacing w:line="360" w:lineRule="auto"/>
              <w:jc w:val="center"/>
              <w:textAlignment w:val="baseline"/>
              <w:rPr>
                <w:rFonts w:ascii="宋体" w:hAnsi="宋体"/>
                <w:color w:val="000000"/>
                <w:szCs w:val="21"/>
                <w:highlight w:val="none"/>
              </w:rPr>
            </w:pPr>
          </w:p>
        </w:tc>
        <w:tc>
          <w:tcPr>
            <w:tcW w:w="1233" w:type="dxa"/>
            <w:noWrap w:val="0"/>
            <w:tcMar>
              <w:left w:w="57" w:type="dxa"/>
              <w:right w:w="57" w:type="dxa"/>
            </w:tcMar>
            <w:vAlign w:val="center"/>
          </w:tcPr>
          <w:p w14:paraId="3B4EE989">
            <w:pPr>
              <w:spacing w:line="360" w:lineRule="auto"/>
              <w:jc w:val="center"/>
              <w:rPr>
                <w:rFonts w:ascii="宋体" w:hAnsi="宋体"/>
                <w:bCs/>
                <w:color w:val="000000"/>
                <w:szCs w:val="21"/>
                <w:highlight w:val="none"/>
              </w:rPr>
            </w:pPr>
            <w:r>
              <w:rPr>
                <w:rFonts w:hint="eastAsia" w:ascii="宋体" w:hAnsi="宋体"/>
                <w:b/>
                <w:color w:val="000000"/>
                <w:highlight w:val="none"/>
              </w:rPr>
              <w:t>质量保证措施</w:t>
            </w:r>
            <w:r>
              <w:rPr>
                <w:rFonts w:hint="eastAsia" w:ascii="宋体" w:hAnsi="宋体"/>
                <w:b/>
                <w:bCs/>
                <w:color w:val="000000"/>
                <w:szCs w:val="21"/>
                <w:highlight w:val="none"/>
              </w:rPr>
              <w:t>（满分15分）</w:t>
            </w:r>
            <w:r>
              <w:rPr>
                <w:rFonts w:hint="eastAsia" w:ascii="宋体" w:hAnsi="宋体"/>
                <w:color w:val="000000"/>
                <w:szCs w:val="21"/>
                <w:highlight w:val="none"/>
              </w:rPr>
              <w:t>）</w:t>
            </w:r>
          </w:p>
        </w:tc>
        <w:tc>
          <w:tcPr>
            <w:tcW w:w="6326" w:type="dxa"/>
            <w:noWrap w:val="0"/>
            <w:vAlign w:val="top"/>
          </w:tcPr>
          <w:p w14:paraId="3B7BF4EA">
            <w:pPr>
              <w:spacing w:line="440" w:lineRule="exact"/>
              <w:rPr>
                <w:rFonts w:ascii="宋体" w:hAnsi="宋体"/>
                <w:color w:val="000000"/>
                <w:szCs w:val="21"/>
                <w:highlight w:val="none"/>
                <w:shd w:val="clear" w:color="auto" w:fill="FFFFFF"/>
              </w:rPr>
            </w:pPr>
            <w:r>
              <w:rPr>
                <w:rFonts w:hint="eastAsia" w:ascii="宋体" w:hAnsi="宋体"/>
                <w:color w:val="000000"/>
                <w:szCs w:val="21"/>
                <w:highlight w:val="none"/>
                <w:shd w:val="clear" w:color="auto" w:fill="FFFFFF"/>
              </w:rPr>
              <w:t>一档（5分）：对本项目提出的质量控制及检验措施内容不完整、不详细，</w:t>
            </w:r>
            <w:r>
              <w:rPr>
                <w:rFonts w:hint="eastAsia" w:ascii="宋体" w:hAnsi="宋体"/>
                <w:b/>
                <w:color w:val="000000"/>
                <w:highlight w:val="none"/>
              </w:rPr>
              <w:t>质量保证</w:t>
            </w:r>
            <w:r>
              <w:rPr>
                <w:rFonts w:hint="eastAsia" w:ascii="宋体" w:hAnsi="宋体"/>
                <w:color w:val="000000"/>
                <w:szCs w:val="21"/>
                <w:highlight w:val="none"/>
                <w:shd w:val="clear" w:color="auto" w:fill="FFFFFF"/>
              </w:rPr>
              <w:t>措施不够明确，但基本能够保证货物质量。</w:t>
            </w:r>
          </w:p>
          <w:p w14:paraId="5C44267F">
            <w:pPr>
              <w:spacing w:line="440" w:lineRule="exact"/>
              <w:rPr>
                <w:rFonts w:hint="eastAsia" w:ascii="宋体" w:hAnsi="宋体"/>
                <w:color w:val="000000"/>
                <w:szCs w:val="21"/>
                <w:highlight w:val="none"/>
                <w:shd w:val="clear" w:color="auto" w:fill="FFFFFF"/>
              </w:rPr>
            </w:pPr>
            <w:r>
              <w:rPr>
                <w:rFonts w:hint="eastAsia" w:ascii="宋体" w:hAnsi="宋体"/>
                <w:color w:val="000000"/>
                <w:szCs w:val="21"/>
                <w:highlight w:val="none"/>
                <w:shd w:val="clear" w:color="auto" w:fill="FFFFFF"/>
              </w:rPr>
              <w:t>二档（10分）：对本项目提出的质量控制及检验措施内容完整、详细，能针对项目情况提出较为明确的</w:t>
            </w:r>
            <w:r>
              <w:rPr>
                <w:rFonts w:hint="eastAsia" w:ascii="宋体" w:hAnsi="宋体"/>
                <w:b/>
                <w:color w:val="000000"/>
                <w:highlight w:val="none"/>
              </w:rPr>
              <w:t>质量保证</w:t>
            </w:r>
            <w:r>
              <w:rPr>
                <w:rFonts w:hint="eastAsia" w:ascii="宋体" w:hAnsi="宋体"/>
                <w:color w:val="000000"/>
                <w:szCs w:val="21"/>
                <w:highlight w:val="none"/>
                <w:shd w:val="clear" w:color="auto" w:fill="FFFFFF"/>
              </w:rPr>
              <w:t>措施，能够控制货物的质量。</w:t>
            </w:r>
          </w:p>
          <w:p w14:paraId="1BA58E3B">
            <w:pPr>
              <w:spacing w:line="440" w:lineRule="exact"/>
              <w:rPr>
                <w:rFonts w:hint="eastAsia" w:ascii="宋体" w:hAnsi="宋体"/>
                <w:color w:val="000000"/>
                <w:szCs w:val="21"/>
                <w:highlight w:val="none"/>
                <w:shd w:val="clear" w:color="auto" w:fill="FFFFFF"/>
              </w:rPr>
            </w:pPr>
            <w:r>
              <w:rPr>
                <w:rFonts w:hint="eastAsia" w:ascii="宋体" w:hAnsi="宋体"/>
                <w:color w:val="000000"/>
                <w:szCs w:val="21"/>
                <w:highlight w:val="none"/>
                <w:shd w:val="clear" w:color="auto" w:fill="FFFFFF"/>
              </w:rPr>
              <w:t xml:space="preserve"> 三档（15分）：针对本项目提出的质量控制及检验措施详细，分析到位，</w:t>
            </w:r>
            <w:r>
              <w:rPr>
                <w:rFonts w:hint="eastAsia" w:ascii="宋体" w:hAnsi="宋体"/>
                <w:b/>
                <w:color w:val="000000"/>
                <w:highlight w:val="none"/>
              </w:rPr>
              <w:t>质量保证</w:t>
            </w:r>
            <w:r>
              <w:rPr>
                <w:rFonts w:hint="eastAsia" w:ascii="宋体" w:hAnsi="宋体"/>
                <w:color w:val="000000"/>
                <w:szCs w:val="21"/>
                <w:highlight w:val="none"/>
                <w:shd w:val="clear" w:color="auto" w:fill="FFFFFF"/>
              </w:rPr>
              <w:t>措施科学合理，能够严格控制货物的质量，并向采购人提出相应的质量保证承诺。</w:t>
            </w:r>
          </w:p>
          <w:p w14:paraId="07DD8B79">
            <w:pPr>
              <w:spacing w:line="440" w:lineRule="exact"/>
              <w:ind w:firstLine="420" w:firstLineChars="200"/>
              <w:rPr>
                <w:color w:val="000000"/>
                <w:highlight w:val="none"/>
              </w:rPr>
            </w:pPr>
            <w:r>
              <w:rPr>
                <w:rFonts w:hint="eastAsia"/>
                <w:color w:val="000000"/>
                <w:highlight w:val="none"/>
              </w:rPr>
              <w:t>注：未满足一档要求的不得分。</w:t>
            </w:r>
          </w:p>
        </w:tc>
      </w:tr>
      <w:tr w14:paraId="7215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525" w:type="dxa"/>
            <w:vMerge w:val="restart"/>
            <w:noWrap w:val="0"/>
            <w:vAlign w:val="center"/>
          </w:tcPr>
          <w:p w14:paraId="3675FBC3">
            <w:pPr>
              <w:spacing w:line="360" w:lineRule="auto"/>
              <w:jc w:val="center"/>
              <w:rPr>
                <w:rFonts w:ascii="宋体" w:hAnsi="宋体"/>
                <w:b/>
                <w:color w:val="000000"/>
                <w:szCs w:val="21"/>
                <w:highlight w:val="none"/>
              </w:rPr>
            </w:pPr>
            <w:r>
              <w:rPr>
                <w:rFonts w:hint="eastAsia" w:ascii="宋体" w:hAnsi="宋体"/>
                <w:b/>
                <w:color w:val="000000"/>
                <w:szCs w:val="21"/>
                <w:highlight w:val="none"/>
              </w:rPr>
              <w:t>3</w:t>
            </w:r>
          </w:p>
        </w:tc>
        <w:tc>
          <w:tcPr>
            <w:tcW w:w="1346" w:type="dxa"/>
            <w:gridSpan w:val="2"/>
            <w:vMerge w:val="restart"/>
            <w:noWrap w:val="0"/>
            <w:vAlign w:val="center"/>
          </w:tcPr>
          <w:p w14:paraId="46596D31">
            <w:pPr>
              <w:adjustRightInd w:val="0"/>
              <w:spacing w:line="360" w:lineRule="auto"/>
              <w:jc w:val="center"/>
              <w:textAlignment w:val="baseline"/>
              <w:rPr>
                <w:rFonts w:ascii="宋体" w:hAnsi="宋体"/>
                <w:b/>
                <w:color w:val="000000"/>
                <w:szCs w:val="21"/>
                <w:highlight w:val="none"/>
              </w:rPr>
            </w:pPr>
            <w:r>
              <w:rPr>
                <w:rFonts w:hint="eastAsia" w:ascii="宋体" w:hAnsi="宋体"/>
                <w:b/>
                <w:color w:val="000000"/>
                <w:szCs w:val="21"/>
                <w:highlight w:val="none"/>
              </w:rPr>
              <w:t>商务分</w:t>
            </w:r>
            <w:r>
              <w:rPr>
                <w:rFonts w:hint="eastAsia" w:ascii="宋体" w:hAnsi="宋体"/>
                <w:bCs/>
                <w:color w:val="000000"/>
                <w:szCs w:val="21"/>
                <w:highlight w:val="none"/>
              </w:rPr>
              <w:t>（</w:t>
            </w:r>
            <w:r>
              <w:rPr>
                <w:rFonts w:hint="eastAsia" w:ascii="宋体" w:hAnsi="宋体"/>
                <w:color w:val="000000"/>
                <w:szCs w:val="21"/>
                <w:highlight w:val="none"/>
              </w:rPr>
              <w:t>满分</w:t>
            </w:r>
            <w:r>
              <w:rPr>
                <w:rFonts w:hint="eastAsia" w:ascii="宋体" w:hAnsi="宋体"/>
                <w:color w:val="000000"/>
                <w:szCs w:val="21"/>
                <w:highlight w:val="none"/>
                <w:u w:val="single"/>
              </w:rPr>
              <w:t>20</w:t>
            </w:r>
            <w:r>
              <w:rPr>
                <w:rFonts w:hint="eastAsia" w:ascii="宋体" w:hAnsi="宋体"/>
                <w:bCs/>
                <w:color w:val="000000"/>
                <w:szCs w:val="21"/>
                <w:highlight w:val="none"/>
              </w:rPr>
              <w:t>分）</w:t>
            </w:r>
          </w:p>
        </w:tc>
        <w:tc>
          <w:tcPr>
            <w:tcW w:w="1253" w:type="dxa"/>
            <w:gridSpan w:val="2"/>
            <w:noWrap w:val="0"/>
            <w:vAlign w:val="center"/>
          </w:tcPr>
          <w:p w14:paraId="0183E9FF">
            <w:pPr>
              <w:spacing w:line="360" w:lineRule="auto"/>
              <w:jc w:val="center"/>
              <w:rPr>
                <w:rFonts w:ascii="宋体" w:hAnsi="宋体"/>
                <w:b/>
                <w:color w:val="000000"/>
                <w:szCs w:val="21"/>
                <w:highlight w:val="none"/>
              </w:rPr>
            </w:pPr>
            <w:r>
              <w:rPr>
                <w:rFonts w:hint="eastAsia" w:ascii="宋体" w:hAnsi="宋体"/>
                <w:b/>
                <w:bCs/>
                <w:color w:val="000000"/>
                <w:szCs w:val="21"/>
                <w:highlight w:val="none"/>
              </w:rPr>
              <w:t>售后服务承诺方案（满分15分）</w:t>
            </w:r>
          </w:p>
        </w:tc>
        <w:tc>
          <w:tcPr>
            <w:tcW w:w="6326" w:type="dxa"/>
            <w:noWrap w:val="0"/>
            <w:vAlign w:val="center"/>
          </w:tcPr>
          <w:p w14:paraId="0F70CCDD">
            <w:pPr>
              <w:spacing w:line="360" w:lineRule="auto"/>
              <w:jc w:val="left"/>
              <w:rPr>
                <w:rFonts w:hint="eastAsia" w:ascii="宋体" w:hAnsi="宋体"/>
                <w:bCs/>
                <w:color w:val="000000"/>
                <w:szCs w:val="21"/>
                <w:highlight w:val="none"/>
              </w:rPr>
            </w:pPr>
            <w:r>
              <w:rPr>
                <w:rFonts w:hint="eastAsia" w:ascii="宋体" w:hAnsi="宋体"/>
                <w:bCs/>
                <w:color w:val="000000"/>
                <w:szCs w:val="21"/>
                <w:highlight w:val="none"/>
              </w:rPr>
              <w:t xml:space="preserve">由评标委员会根据投标人的售后服务方案，包括售后服务人员、接故障通知到达现场的时间、出现质量问题承诺更换时间、应急处理方案、评委认可的其它实质性优惠措施等条件，综合评定各投标人所属档次及分值，达不到一档要求的不得分。 </w:t>
            </w:r>
          </w:p>
          <w:p w14:paraId="31185E5A">
            <w:pPr>
              <w:spacing w:line="360" w:lineRule="auto"/>
              <w:jc w:val="left"/>
              <w:rPr>
                <w:rFonts w:hint="eastAsia" w:ascii="宋体" w:hAnsi="宋体"/>
                <w:bCs/>
                <w:color w:val="000000"/>
                <w:szCs w:val="21"/>
                <w:highlight w:val="none"/>
              </w:rPr>
            </w:pPr>
            <w:r>
              <w:rPr>
                <w:rFonts w:hint="eastAsia" w:ascii="宋体" w:hAnsi="宋体"/>
                <w:bCs/>
                <w:color w:val="000000"/>
                <w:szCs w:val="21"/>
                <w:highlight w:val="none"/>
              </w:rPr>
              <w:t xml:space="preserve">一档（5分)：售后服务方案，包括售后服务人员、接故障通知到达现场的时间、出现质量问题承诺更换时间、应急处理方案达到招标文件的要求。 </w:t>
            </w:r>
          </w:p>
          <w:p w14:paraId="6CE4EC16">
            <w:pPr>
              <w:spacing w:line="360" w:lineRule="auto"/>
              <w:jc w:val="left"/>
              <w:rPr>
                <w:rFonts w:hint="eastAsia" w:ascii="宋体" w:hAnsi="宋体"/>
                <w:bCs/>
                <w:color w:val="000000"/>
                <w:szCs w:val="21"/>
                <w:highlight w:val="none"/>
              </w:rPr>
            </w:pPr>
            <w:r>
              <w:rPr>
                <w:rFonts w:hint="eastAsia" w:ascii="宋体" w:hAnsi="宋体"/>
                <w:bCs/>
                <w:color w:val="000000"/>
                <w:szCs w:val="21"/>
                <w:highlight w:val="none"/>
              </w:rPr>
              <w:t xml:space="preserve">二档（10分)：有项目详细的系统建设的售后服务方案及培训计划，售后服务流程、应急预案、质量保障优于招标文件，且配置售后服务人员，针对本项目能满足采购人的售后服务需求。 </w:t>
            </w:r>
          </w:p>
          <w:p w14:paraId="3F468861">
            <w:pPr>
              <w:spacing w:line="440" w:lineRule="exact"/>
              <w:rPr>
                <w:rFonts w:ascii="宋体" w:hAnsi="宋体"/>
                <w:color w:val="000000"/>
                <w:szCs w:val="21"/>
                <w:highlight w:val="none"/>
                <w:shd w:val="clear" w:color="auto" w:fill="FFFFFF"/>
              </w:rPr>
            </w:pPr>
            <w:r>
              <w:rPr>
                <w:rFonts w:hint="eastAsia" w:ascii="宋体" w:hAnsi="宋体"/>
                <w:bCs/>
                <w:color w:val="000000"/>
                <w:szCs w:val="21"/>
                <w:highlight w:val="none"/>
              </w:rPr>
              <w:t>三档(15分)：</w:t>
            </w:r>
            <w:r>
              <w:rPr>
                <w:rFonts w:hint="eastAsia" w:ascii="宋体" w:hAnsi="宋体" w:cs="宋体"/>
                <w:color w:val="000000"/>
                <w:sz w:val="22"/>
                <w:szCs w:val="22"/>
                <w:highlight w:val="none"/>
              </w:rPr>
              <w:t>提供的售后服务方案完全满足并优于招标文件要求，方案包含有详细的项目维护服务、回访、应急保障方案等内容，售后服务承诺明确质量保证期、到达故障现场时间、故障出现解决方案、定期维护（注明时间），软件升级，有保修期外维修方案、备品备件等其他优惠措施、安装要求及方案等内容，售后服务有保障，服务内容及保障措施完整详细。</w:t>
            </w:r>
          </w:p>
        </w:tc>
      </w:tr>
      <w:tr w14:paraId="4752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noWrap w:val="0"/>
            <w:vAlign w:val="center"/>
          </w:tcPr>
          <w:p w14:paraId="5B27C635">
            <w:pPr>
              <w:spacing w:line="360" w:lineRule="auto"/>
              <w:jc w:val="center"/>
              <w:rPr>
                <w:rFonts w:ascii="宋体" w:hAnsi="宋体"/>
                <w:b/>
                <w:color w:val="000000"/>
                <w:szCs w:val="21"/>
                <w:highlight w:val="none"/>
              </w:rPr>
            </w:pPr>
          </w:p>
        </w:tc>
        <w:tc>
          <w:tcPr>
            <w:tcW w:w="1346" w:type="dxa"/>
            <w:gridSpan w:val="2"/>
            <w:vMerge w:val="continue"/>
            <w:noWrap w:val="0"/>
            <w:vAlign w:val="center"/>
          </w:tcPr>
          <w:p w14:paraId="375975BA">
            <w:pPr>
              <w:spacing w:line="360" w:lineRule="auto"/>
              <w:jc w:val="center"/>
              <w:rPr>
                <w:rFonts w:ascii="宋体" w:hAnsi="宋体"/>
                <w:b/>
                <w:color w:val="000000"/>
                <w:szCs w:val="21"/>
                <w:highlight w:val="none"/>
              </w:rPr>
            </w:pPr>
          </w:p>
        </w:tc>
        <w:tc>
          <w:tcPr>
            <w:tcW w:w="1253" w:type="dxa"/>
            <w:gridSpan w:val="2"/>
            <w:noWrap w:val="0"/>
            <w:vAlign w:val="center"/>
          </w:tcPr>
          <w:p w14:paraId="24121FA4">
            <w:pPr>
              <w:spacing w:line="360" w:lineRule="auto"/>
              <w:jc w:val="center"/>
              <w:rPr>
                <w:rFonts w:ascii="宋体" w:hAnsi="宋体"/>
                <w:b/>
                <w:color w:val="000000"/>
                <w:szCs w:val="21"/>
                <w:highlight w:val="none"/>
              </w:rPr>
            </w:pPr>
            <w:r>
              <w:rPr>
                <w:rFonts w:hint="eastAsia" w:ascii="宋体" w:hAnsi="宋体"/>
                <w:b/>
                <w:bCs/>
                <w:color w:val="000000"/>
                <w:szCs w:val="21"/>
                <w:highlight w:val="none"/>
              </w:rPr>
              <w:t>业绩分       （满分3分）</w:t>
            </w:r>
          </w:p>
        </w:tc>
        <w:tc>
          <w:tcPr>
            <w:tcW w:w="6326" w:type="dxa"/>
            <w:noWrap w:val="0"/>
            <w:vAlign w:val="center"/>
          </w:tcPr>
          <w:p w14:paraId="2D7549F1">
            <w:pPr>
              <w:spacing w:line="440" w:lineRule="exact"/>
              <w:ind w:firstLine="420" w:firstLineChars="200"/>
              <w:rPr>
                <w:rFonts w:ascii="宋体" w:hAnsi="宋体"/>
                <w:color w:val="000000"/>
                <w:szCs w:val="21"/>
                <w:highlight w:val="none"/>
              </w:rPr>
            </w:pPr>
            <w:r>
              <w:rPr>
                <w:rFonts w:hint="eastAsia" w:ascii="宋体" w:hAnsi="宋体"/>
                <w:color w:val="000000"/>
                <w:szCs w:val="21"/>
                <w:highlight w:val="none"/>
              </w:rPr>
              <w:t xml:space="preserve">2021年 1 月 1 日以来至投标截止日期止，投标人同类产品销售业绩，每个得1分，满分3分。【投标文件中提供合同复印件或中标（成交）通知书复印件并加盖公章】 </w:t>
            </w:r>
          </w:p>
        </w:tc>
      </w:tr>
      <w:tr w14:paraId="397E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noWrap w:val="0"/>
            <w:vAlign w:val="center"/>
          </w:tcPr>
          <w:p w14:paraId="35AFA5E0">
            <w:pPr>
              <w:spacing w:line="360" w:lineRule="auto"/>
              <w:jc w:val="center"/>
              <w:rPr>
                <w:rFonts w:ascii="宋体" w:hAnsi="宋体"/>
                <w:b/>
                <w:color w:val="000000"/>
                <w:szCs w:val="21"/>
                <w:highlight w:val="none"/>
              </w:rPr>
            </w:pPr>
          </w:p>
        </w:tc>
        <w:tc>
          <w:tcPr>
            <w:tcW w:w="1346" w:type="dxa"/>
            <w:gridSpan w:val="2"/>
            <w:vMerge w:val="continue"/>
            <w:noWrap w:val="0"/>
            <w:vAlign w:val="center"/>
          </w:tcPr>
          <w:p w14:paraId="0630BD3A">
            <w:pPr>
              <w:adjustRightInd w:val="0"/>
              <w:spacing w:line="360" w:lineRule="auto"/>
              <w:jc w:val="center"/>
              <w:textAlignment w:val="baseline"/>
              <w:rPr>
                <w:rFonts w:ascii="宋体" w:hAnsi="宋体"/>
                <w:b/>
                <w:color w:val="000000"/>
                <w:szCs w:val="21"/>
                <w:highlight w:val="none"/>
              </w:rPr>
            </w:pPr>
          </w:p>
        </w:tc>
        <w:tc>
          <w:tcPr>
            <w:tcW w:w="1253" w:type="dxa"/>
            <w:gridSpan w:val="2"/>
            <w:noWrap w:val="0"/>
            <w:vAlign w:val="center"/>
          </w:tcPr>
          <w:p w14:paraId="51D9566E">
            <w:pPr>
              <w:spacing w:line="360" w:lineRule="auto"/>
              <w:jc w:val="center"/>
              <w:rPr>
                <w:rFonts w:ascii="宋体" w:hAnsi="宋体"/>
                <w:color w:val="000000"/>
                <w:szCs w:val="21"/>
                <w:highlight w:val="none"/>
              </w:rPr>
            </w:pPr>
            <w:r>
              <w:rPr>
                <w:rFonts w:hint="eastAsia" w:ascii="宋体" w:hAnsi="宋体"/>
                <w:b/>
                <w:color w:val="000000"/>
                <w:szCs w:val="21"/>
                <w:highlight w:val="none"/>
              </w:rPr>
              <w:t>政策分</w:t>
            </w:r>
            <w:r>
              <w:rPr>
                <w:rFonts w:hint="eastAsia" w:ascii="宋体" w:hAnsi="宋体"/>
                <w:color w:val="000000"/>
                <w:szCs w:val="21"/>
                <w:highlight w:val="none"/>
              </w:rPr>
              <w:t>（满分</w:t>
            </w:r>
          </w:p>
          <w:p w14:paraId="16C480BC">
            <w:pPr>
              <w:spacing w:line="360" w:lineRule="auto"/>
              <w:jc w:val="center"/>
              <w:rPr>
                <w:rFonts w:ascii="宋体" w:hAnsi="宋体"/>
                <w:b/>
                <w:color w:val="000000"/>
                <w:szCs w:val="21"/>
                <w:highlight w:val="none"/>
              </w:rPr>
            </w:pPr>
            <w:r>
              <w:rPr>
                <w:rFonts w:hint="eastAsia" w:ascii="宋体" w:hAnsi="宋体"/>
                <w:color w:val="000000"/>
                <w:szCs w:val="21"/>
                <w:highlight w:val="none"/>
                <w:u w:val="single"/>
              </w:rPr>
              <w:t xml:space="preserve"> 2 </w:t>
            </w:r>
            <w:r>
              <w:rPr>
                <w:rFonts w:hint="eastAsia" w:ascii="宋体" w:hAnsi="宋体"/>
                <w:color w:val="000000"/>
                <w:szCs w:val="21"/>
                <w:highlight w:val="none"/>
              </w:rPr>
              <w:t>分）</w:t>
            </w:r>
          </w:p>
        </w:tc>
        <w:tc>
          <w:tcPr>
            <w:tcW w:w="6326" w:type="dxa"/>
            <w:noWrap w:val="0"/>
            <w:vAlign w:val="center"/>
          </w:tcPr>
          <w:p w14:paraId="6B5C22E9">
            <w:pPr>
              <w:spacing w:line="360" w:lineRule="auto"/>
              <w:rPr>
                <w:rFonts w:ascii="宋体" w:hAnsi="宋体" w:cs="Courier New"/>
                <w:bCs/>
                <w:color w:val="000000"/>
                <w:szCs w:val="21"/>
                <w:highlight w:val="none"/>
              </w:rPr>
            </w:pPr>
            <w:r>
              <w:rPr>
                <w:rFonts w:hint="eastAsia" w:ascii="宋体" w:hAnsi="宋体" w:cs="Courier New"/>
                <w:bCs/>
                <w:color w:val="000000"/>
                <w:szCs w:val="21"/>
                <w:highlight w:val="none"/>
              </w:rPr>
              <w:t>（1）属于财政部《节能产品政府采购品目清单》内优先采购（清单内未标注“★”的品目）的产品[投标文件中提供有效的认证证书复印件及品目清单（标注出投标产品在品目清单中所属的品目），并加盖投标人电子签章]，根据其所占项目（或者分标）预算金额比例得</w:t>
            </w:r>
            <w:r>
              <w:rPr>
                <w:rFonts w:hint="eastAsia" w:ascii="宋体" w:hAnsi="宋体" w:cs="Courier New"/>
                <w:bCs/>
                <w:color w:val="000000"/>
                <w:szCs w:val="21"/>
                <w:highlight w:val="none"/>
                <w:u w:val="single"/>
              </w:rPr>
              <w:t xml:space="preserve">  0 </w:t>
            </w:r>
            <w:r>
              <w:rPr>
                <w:rFonts w:hint="eastAsia" w:ascii="宋体" w:hAnsi="宋体" w:cs="Courier New"/>
                <w:bCs/>
                <w:color w:val="000000"/>
                <w:szCs w:val="21"/>
                <w:highlight w:val="none"/>
              </w:rPr>
              <w:t>至</w:t>
            </w:r>
            <w:r>
              <w:rPr>
                <w:rFonts w:hint="eastAsia" w:ascii="宋体" w:hAnsi="宋体" w:cs="Courier New"/>
                <w:bCs/>
                <w:color w:val="000000"/>
                <w:szCs w:val="21"/>
                <w:highlight w:val="none"/>
                <w:u w:val="single"/>
              </w:rPr>
              <w:t xml:space="preserve"> 1  </w:t>
            </w:r>
            <w:r>
              <w:rPr>
                <w:rFonts w:hint="eastAsia" w:ascii="宋体" w:hAnsi="宋体" w:cs="Courier New"/>
                <w:bCs/>
                <w:color w:val="000000"/>
                <w:szCs w:val="21"/>
                <w:highlight w:val="none"/>
              </w:rPr>
              <w:t>分，满分</w:t>
            </w:r>
            <w:r>
              <w:rPr>
                <w:rFonts w:hint="eastAsia" w:ascii="宋体" w:hAnsi="宋体" w:cs="Courier New"/>
                <w:bCs/>
                <w:color w:val="000000"/>
                <w:szCs w:val="21"/>
                <w:highlight w:val="none"/>
                <w:u w:val="single"/>
              </w:rPr>
              <w:t xml:space="preserve"> 1 </w:t>
            </w:r>
            <w:r>
              <w:rPr>
                <w:rFonts w:hint="eastAsia" w:ascii="宋体" w:hAnsi="宋体" w:cs="Courier New"/>
                <w:bCs/>
                <w:color w:val="000000"/>
                <w:szCs w:val="21"/>
                <w:highlight w:val="none"/>
              </w:rPr>
              <w:t>分。</w:t>
            </w:r>
          </w:p>
          <w:p w14:paraId="7E4E0AD2">
            <w:pPr>
              <w:spacing w:line="360" w:lineRule="auto"/>
              <w:rPr>
                <w:rFonts w:ascii="宋体" w:hAnsi="宋体" w:cs="Courier New"/>
                <w:bCs/>
                <w:color w:val="000000"/>
                <w:szCs w:val="21"/>
                <w:highlight w:val="none"/>
              </w:rPr>
            </w:pPr>
            <w:r>
              <w:rPr>
                <w:rFonts w:hint="eastAsia" w:ascii="宋体" w:hAnsi="宋体" w:cs="Courier New"/>
                <w:bCs/>
                <w:color w:val="000000"/>
                <w:szCs w:val="21"/>
                <w:highlight w:val="none"/>
              </w:rPr>
              <w:t>（2）属于财政部《环境标志产品政府采购品目清单》内的产品[投标文件中提供有效的认证证书复印件及品目清单（标注出投标产品在品目清单中所属的品目），并加盖投标人电子签章，根据其所占项目（或者分标）预算金额比例得</w:t>
            </w:r>
            <w:r>
              <w:rPr>
                <w:rFonts w:hint="eastAsia" w:ascii="宋体" w:hAnsi="宋体" w:cs="Courier New"/>
                <w:bCs/>
                <w:color w:val="000000"/>
                <w:szCs w:val="21"/>
                <w:highlight w:val="none"/>
                <w:u w:val="single"/>
              </w:rPr>
              <w:t xml:space="preserve"> 0 </w:t>
            </w:r>
            <w:r>
              <w:rPr>
                <w:rFonts w:hint="eastAsia" w:ascii="宋体" w:hAnsi="宋体" w:cs="Courier New"/>
                <w:bCs/>
                <w:color w:val="000000"/>
                <w:szCs w:val="21"/>
                <w:highlight w:val="none"/>
              </w:rPr>
              <w:t>至</w:t>
            </w:r>
            <w:r>
              <w:rPr>
                <w:rFonts w:hint="eastAsia" w:ascii="宋体" w:hAnsi="宋体" w:cs="Courier New"/>
                <w:bCs/>
                <w:color w:val="000000"/>
                <w:szCs w:val="21"/>
                <w:highlight w:val="none"/>
                <w:u w:val="single"/>
              </w:rPr>
              <w:t xml:space="preserve"> 1 </w:t>
            </w:r>
            <w:r>
              <w:rPr>
                <w:rFonts w:hint="eastAsia" w:ascii="宋体" w:hAnsi="宋体" w:cs="Courier New"/>
                <w:bCs/>
                <w:color w:val="000000"/>
                <w:szCs w:val="21"/>
                <w:highlight w:val="none"/>
              </w:rPr>
              <w:t>分，满分</w:t>
            </w:r>
            <w:r>
              <w:rPr>
                <w:rFonts w:hint="eastAsia" w:ascii="宋体" w:hAnsi="宋体" w:cs="Courier New"/>
                <w:bCs/>
                <w:color w:val="000000"/>
                <w:szCs w:val="21"/>
                <w:highlight w:val="none"/>
                <w:u w:val="single"/>
              </w:rPr>
              <w:t xml:space="preserve"> 1 </w:t>
            </w:r>
            <w:r>
              <w:rPr>
                <w:rFonts w:hint="eastAsia" w:ascii="宋体" w:hAnsi="宋体" w:cs="Courier New"/>
                <w:bCs/>
                <w:color w:val="000000"/>
                <w:szCs w:val="21"/>
                <w:highlight w:val="none"/>
              </w:rPr>
              <w:t>分；</w:t>
            </w:r>
          </w:p>
          <w:p w14:paraId="7427027F">
            <w:pPr>
              <w:spacing w:line="360" w:lineRule="auto"/>
              <w:rPr>
                <w:rFonts w:ascii="宋体" w:hAnsi="宋体" w:cs="Courier New"/>
                <w:bCs/>
                <w:color w:val="000000"/>
                <w:szCs w:val="21"/>
                <w:highlight w:val="none"/>
              </w:rPr>
            </w:pPr>
            <w:r>
              <w:rPr>
                <w:rFonts w:hint="eastAsia" w:ascii="宋体" w:hAnsi="宋体" w:cs="Courier New"/>
                <w:bCs/>
                <w:color w:val="000000"/>
                <w:szCs w:val="21"/>
                <w:highlight w:val="none"/>
              </w:rPr>
              <w:t>（3）非节能、环境标志产品的不得分。</w:t>
            </w:r>
          </w:p>
        </w:tc>
      </w:tr>
      <w:tr w14:paraId="7653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0" w:type="dxa"/>
            <w:gridSpan w:val="6"/>
            <w:noWrap w:val="0"/>
            <w:vAlign w:val="center"/>
          </w:tcPr>
          <w:p w14:paraId="0005D68E">
            <w:pPr>
              <w:spacing w:line="360" w:lineRule="auto"/>
              <w:ind w:firstLine="420"/>
              <w:rPr>
                <w:rFonts w:ascii="宋体" w:hAnsi="宋体" w:cs="Courier New"/>
                <w:bCs/>
                <w:color w:val="000000"/>
                <w:szCs w:val="21"/>
                <w:highlight w:val="none"/>
              </w:rPr>
            </w:pPr>
            <w:r>
              <w:rPr>
                <w:rFonts w:hint="eastAsia" w:hAnsi="宋体" w:cs="Courier New"/>
                <w:b/>
                <w:bCs/>
                <w:color w:val="000000"/>
                <w:highlight w:val="none"/>
              </w:rPr>
              <w:t>总得分为以上各项评审因素得分合计。</w:t>
            </w:r>
          </w:p>
        </w:tc>
      </w:tr>
    </w:tbl>
    <w:p w14:paraId="5EC8231F">
      <w:pPr>
        <w:pStyle w:val="24"/>
        <w:spacing w:line="360" w:lineRule="auto"/>
        <w:rPr>
          <w:rFonts w:hint="eastAsia" w:hAnsi="宋体"/>
          <w:bCs/>
          <w:color w:val="000000"/>
          <w:sz w:val="21"/>
          <w:highlight w:val="none"/>
        </w:rPr>
      </w:pPr>
    </w:p>
    <w:p w14:paraId="7007B754">
      <w:pPr>
        <w:spacing w:line="360" w:lineRule="auto"/>
        <w:ind w:firstLine="482" w:firstLineChars="200"/>
        <w:rPr>
          <w:rFonts w:hint="eastAsia" w:hAnsi="宋体"/>
          <w:color w:val="000000"/>
          <w:highlight w:val="none"/>
        </w:rPr>
      </w:pPr>
      <w:r>
        <w:rPr>
          <w:rFonts w:hAnsi="宋体"/>
          <w:b/>
          <w:color w:val="000000"/>
          <w:sz w:val="24"/>
          <w:highlight w:val="none"/>
        </w:rPr>
        <w:br w:type="page"/>
      </w:r>
    </w:p>
    <w:p w14:paraId="4B65027A">
      <w:pPr>
        <w:pStyle w:val="4"/>
        <w:keepNext w:val="0"/>
        <w:keepLines w:val="0"/>
        <w:jc w:val="center"/>
        <w:rPr>
          <w:color w:val="000000"/>
          <w:sz w:val="30"/>
          <w:szCs w:val="30"/>
          <w:highlight w:val="none"/>
        </w:rPr>
      </w:pPr>
      <w:r>
        <w:rPr>
          <w:rFonts w:hint="eastAsia"/>
          <w:color w:val="000000"/>
          <w:sz w:val="30"/>
          <w:szCs w:val="30"/>
          <w:highlight w:val="none"/>
        </w:rPr>
        <w:t>四、中标候选人推荐</w:t>
      </w:r>
    </w:p>
    <w:p w14:paraId="4039E2C9">
      <w:pPr>
        <w:pStyle w:val="24"/>
        <w:spacing w:line="360" w:lineRule="auto"/>
        <w:ind w:firstLine="354" w:firstLineChars="147"/>
        <w:contextualSpacing/>
        <w:rPr>
          <w:rFonts w:hint="eastAsia" w:hAnsi="宋体"/>
          <w:b/>
          <w:bCs/>
          <w:color w:val="000000"/>
          <w:sz w:val="24"/>
          <w:szCs w:val="24"/>
          <w:highlight w:val="none"/>
        </w:rPr>
      </w:pPr>
      <w:r>
        <w:rPr>
          <w:rFonts w:hint="eastAsia" w:hAnsi="宋体"/>
          <w:b/>
          <w:bCs/>
          <w:color w:val="000000"/>
          <w:sz w:val="24"/>
          <w:szCs w:val="24"/>
          <w:highlight w:val="none"/>
        </w:rPr>
        <w:t>综合评分法</w:t>
      </w:r>
    </w:p>
    <w:p w14:paraId="19031F0E">
      <w:pPr>
        <w:pStyle w:val="24"/>
        <w:spacing w:line="360" w:lineRule="auto"/>
        <w:ind w:firstLine="420" w:firstLineChars="200"/>
        <w:contextualSpacing/>
        <w:rPr>
          <w:rFonts w:hAnsi="宋体"/>
          <w:color w:val="000000"/>
          <w:sz w:val="21"/>
          <w:highlight w:val="none"/>
        </w:rPr>
      </w:pPr>
      <w:r>
        <w:rPr>
          <w:rFonts w:hint="eastAsia" w:hAnsi="宋体"/>
          <w:color w:val="000000"/>
          <w:sz w:val="21"/>
          <w:highlight w:val="none"/>
        </w:rPr>
        <w:t>1</w:t>
      </w:r>
      <w:r>
        <w:rPr>
          <w:rFonts w:hAnsi="宋体"/>
          <w:color w:val="000000"/>
          <w:sz w:val="21"/>
          <w:highlight w:val="none"/>
        </w:rPr>
        <w:t>.</w:t>
      </w:r>
      <w:r>
        <w:rPr>
          <w:rFonts w:hint="eastAsia" w:hAnsi="宋体"/>
          <w:color w:val="000000"/>
          <w:sz w:val="21"/>
          <w:highlight w:val="none"/>
        </w:rPr>
        <w:t>评标委员会根据原始评标记录和评标结果编写评标报告，并通过电子交易平台向采购人、采购代理机构提交。</w:t>
      </w:r>
    </w:p>
    <w:p w14:paraId="77776836">
      <w:pPr>
        <w:pStyle w:val="24"/>
        <w:spacing w:line="360" w:lineRule="auto"/>
        <w:ind w:firstLine="420" w:firstLineChars="200"/>
        <w:contextualSpacing/>
        <w:rPr>
          <w:rFonts w:hint="eastAsia" w:hAnsi="宋体"/>
          <w:color w:val="000000"/>
          <w:sz w:val="21"/>
          <w:highlight w:val="none"/>
        </w:rPr>
      </w:pPr>
      <w:r>
        <w:rPr>
          <w:rFonts w:hint="eastAsia" w:hAnsi="宋体"/>
          <w:color w:val="000000"/>
          <w:sz w:val="21"/>
          <w:highlight w:val="none"/>
        </w:rPr>
        <w:t>2</w:t>
      </w:r>
      <w:r>
        <w:rPr>
          <w:rFonts w:hAnsi="宋体"/>
          <w:color w:val="000000"/>
          <w:sz w:val="21"/>
          <w:highlight w:val="none"/>
        </w:rPr>
        <w:t>.</w:t>
      </w:r>
      <w:r>
        <w:rPr>
          <w:rFonts w:hint="eastAsia" w:hAnsi="宋体"/>
          <w:color w:val="000000"/>
          <w:sz w:val="21"/>
          <w:highlight w:val="none"/>
        </w:rPr>
        <w:t>评标委员会将根据总得分由高到低排列次序并推荐中标候选人。得分相同的，按投标报价由低到高顺序排列。得分相同且投标报价相同的并列。投标文件满足招标文件全部实质性要求，且按照评审因素的量化指标评审得分最高的投标人为排名第一的中标候选人。</w:t>
      </w:r>
    </w:p>
    <w:p w14:paraId="441BAFB6">
      <w:pPr>
        <w:spacing w:before="120" w:beforeLines="50" w:after="120" w:afterLines="50" w:line="400" w:lineRule="exact"/>
        <w:rPr>
          <w:rFonts w:hint="eastAsia" w:ascii="宋体" w:hAnsi="宋体"/>
          <w:b/>
          <w:color w:val="000000"/>
          <w:sz w:val="24"/>
          <w:highlight w:val="none"/>
        </w:rPr>
      </w:pPr>
    </w:p>
    <w:p w14:paraId="5F6C4650">
      <w:pPr>
        <w:spacing w:before="120" w:beforeLines="50" w:after="120" w:afterLines="50" w:line="400" w:lineRule="exact"/>
        <w:rPr>
          <w:rFonts w:hint="eastAsia" w:ascii="宋体" w:hAnsi="宋体"/>
          <w:b/>
          <w:color w:val="000000"/>
          <w:sz w:val="24"/>
          <w:highlight w:val="none"/>
        </w:rPr>
      </w:pPr>
    </w:p>
    <w:p w14:paraId="2E01B145">
      <w:pPr>
        <w:spacing w:before="120" w:beforeLines="50" w:after="120" w:afterLines="50" w:line="400" w:lineRule="exact"/>
        <w:rPr>
          <w:rFonts w:hint="eastAsia" w:ascii="宋体" w:hAnsi="宋体"/>
          <w:b/>
          <w:color w:val="000000"/>
          <w:sz w:val="24"/>
          <w:highlight w:val="none"/>
        </w:rPr>
      </w:pPr>
    </w:p>
    <w:p w14:paraId="6ADDF526">
      <w:pPr>
        <w:spacing w:before="120" w:beforeLines="50" w:after="120" w:afterLines="50" w:line="400" w:lineRule="exact"/>
        <w:rPr>
          <w:rFonts w:hint="eastAsia" w:ascii="宋体" w:hAnsi="宋体"/>
          <w:b/>
          <w:color w:val="000000"/>
          <w:sz w:val="24"/>
          <w:highlight w:val="none"/>
        </w:rPr>
      </w:pPr>
    </w:p>
    <w:p w14:paraId="6F8E0ED2">
      <w:pPr>
        <w:spacing w:before="120" w:beforeLines="50" w:after="120" w:afterLines="50" w:line="400" w:lineRule="exact"/>
        <w:rPr>
          <w:rFonts w:hint="eastAsia" w:ascii="宋体" w:hAnsi="宋体"/>
          <w:b/>
          <w:color w:val="000000"/>
          <w:sz w:val="24"/>
          <w:highlight w:val="none"/>
        </w:rPr>
      </w:pPr>
    </w:p>
    <w:p w14:paraId="38F95694">
      <w:pPr>
        <w:spacing w:before="120" w:beforeLines="50" w:after="120" w:afterLines="50" w:line="400" w:lineRule="exact"/>
        <w:rPr>
          <w:rFonts w:hint="eastAsia" w:ascii="宋体" w:hAnsi="宋体"/>
          <w:b/>
          <w:color w:val="000000"/>
          <w:sz w:val="24"/>
          <w:highlight w:val="none"/>
        </w:rPr>
      </w:pPr>
    </w:p>
    <w:p w14:paraId="41AEBD42">
      <w:pPr>
        <w:spacing w:before="120" w:beforeLines="50" w:after="120" w:afterLines="50" w:line="400" w:lineRule="exact"/>
        <w:rPr>
          <w:rFonts w:hint="eastAsia" w:ascii="宋体" w:hAnsi="宋体"/>
          <w:b/>
          <w:color w:val="000000"/>
          <w:sz w:val="24"/>
          <w:highlight w:val="none"/>
        </w:rPr>
      </w:pPr>
    </w:p>
    <w:p w14:paraId="3EFDA7E2">
      <w:pPr>
        <w:spacing w:before="120" w:beforeLines="50" w:after="120" w:afterLines="50" w:line="400" w:lineRule="exact"/>
        <w:rPr>
          <w:rFonts w:hint="eastAsia" w:ascii="宋体" w:hAnsi="宋体"/>
          <w:b/>
          <w:color w:val="000000"/>
          <w:sz w:val="24"/>
          <w:highlight w:val="none"/>
        </w:rPr>
      </w:pPr>
    </w:p>
    <w:p w14:paraId="47257D57">
      <w:pPr>
        <w:spacing w:before="120" w:beforeLines="50" w:after="120" w:afterLines="50" w:line="400" w:lineRule="exact"/>
        <w:rPr>
          <w:rFonts w:hint="eastAsia" w:ascii="宋体" w:hAnsi="宋体"/>
          <w:b/>
          <w:color w:val="000000"/>
          <w:sz w:val="24"/>
          <w:highlight w:val="none"/>
        </w:rPr>
      </w:pPr>
    </w:p>
    <w:p w14:paraId="2C22031D">
      <w:pPr>
        <w:spacing w:before="120" w:beforeLines="50" w:after="120" w:afterLines="50" w:line="400" w:lineRule="exact"/>
        <w:rPr>
          <w:rFonts w:hint="eastAsia" w:ascii="宋体" w:hAnsi="宋体"/>
          <w:b/>
          <w:color w:val="000000"/>
          <w:sz w:val="24"/>
          <w:highlight w:val="none"/>
        </w:rPr>
      </w:pPr>
    </w:p>
    <w:p w14:paraId="59269E24">
      <w:pPr>
        <w:pStyle w:val="3"/>
        <w:keepNext w:val="0"/>
        <w:keepLines w:val="0"/>
        <w:jc w:val="center"/>
        <w:rPr>
          <w:rFonts w:hint="eastAsia"/>
          <w:color w:val="000000"/>
          <w:highlight w:val="none"/>
        </w:rPr>
      </w:pPr>
      <w:r>
        <w:rPr>
          <w:color w:val="000000"/>
          <w:highlight w:val="none"/>
        </w:rPr>
        <w:br w:type="page"/>
      </w:r>
    </w:p>
    <w:p w14:paraId="3ED646D8">
      <w:pPr>
        <w:pStyle w:val="3"/>
        <w:keepNext w:val="0"/>
        <w:keepLines w:val="0"/>
        <w:jc w:val="center"/>
        <w:rPr>
          <w:rFonts w:hint="eastAsia"/>
          <w:color w:val="000000"/>
          <w:highlight w:val="none"/>
        </w:rPr>
      </w:pPr>
    </w:p>
    <w:p w14:paraId="75439A34">
      <w:pPr>
        <w:pStyle w:val="3"/>
        <w:keepNext w:val="0"/>
        <w:keepLines w:val="0"/>
        <w:jc w:val="center"/>
        <w:rPr>
          <w:rFonts w:hint="eastAsia"/>
          <w:color w:val="000000"/>
          <w:highlight w:val="none"/>
        </w:rPr>
      </w:pPr>
    </w:p>
    <w:p w14:paraId="3920BE32">
      <w:pPr>
        <w:pStyle w:val="3"/>
        <w:keepNext w:val="0"/>
        <w:keepLines w:val="0"/>
        <w:jc w:val="center"/>
        <w:rPr>
          <w:rFonts w:hint="eastAsia"/>
          <w:color w:val="000000"/>
          <w:highlight w:val="none"/>
        </w:rPr>
      </w:pPr>
    </w:p>
    <w:p w14:paraId="4F75D554">
      <w:pPr>
        <w:pStyle w:val="3"/>
        <w:keepNext w:val="0"/>
        <w:keepLines w:val="0"/>
        <w:jc w:val="center"/>
        <w:rPr>
          <w:rFonts w:hint="eastAsia"/>
          <w:color w:val="000000"/>
          <w:highlight w:val="none"/>
        </w:rPr>
      </w:pPr>
    </w:p>
    <w:p w14:paraId="7C9E28EA">
      <w:pPr>
        <w:pStyle w:val="3"/>
        <w:keepNext w:val="0"/>
        <w:keepLines w:val="0"/>
        <w:jc w:val="center"/>
        <w:rPr>
          <w:rFonts w:hint="eastAsia"/>
          <w:color w:val="000000"/>
          <w:highlight w:val="none"/>
        </w:rPr>
      </w:pPr>
    </w:p>
    <w:p w14:paraId="4EA01F83">
      <w:pPr>
        <w:pStyle w:val="3"/>
        <w:keepNext w:val="0"/>
        <w:keepLines w:val="0"/>
        <w:jc w:val="center"/>
        <w:rPr>
          <w:rFonts w:hint="eastAsia"/>
          <w:color w:val="000000"/>
          <w:highlight w:val="none"/>
        </w:rPr>
      </w:pPr>
    </w:p>
    <w:p w14:paraId="4FD54878">
      <w:pPr>
        <w:pStyle w:val="2"/>
        <w:jc w:val="center"/>
        <w:rPr>
          <w:rFonts w:hint="eastAsia"/>
          <w:color w:val="000000"/>
          <w:highlight w:val="none"/>
        </w:rPr>
      </w:pPr>
      <w:bookmarkStart w:id="149" w:name="_Toc74320804"/>
      <w:r>
        <w:rPr>
          <w:rFonts w:hint="eastAsia"/>
          <w:color w:val="000000"/>
          <w:highlight w:val="none"/>
        </w:rPr>
        <w:t>第五章  拟签订的合同文本</w:t>
      </w:r>
      <w:bookmarkEnd w:id="149"/>
    </w:p>
    <w:p w14:paraId="79CC7D0E">
      <w:pPr>
        <w:snapToGrid w:val="0"/>
        <w:jc w:val="center"/>
        <w:rPr>
          <w:rFonts w:hint="eastAsia" w:ascii="宋体" w:hAnsi="宋体"/>
          <w:bCs/>
          <w:color w:val="000000"/>
          <w:sz w:val="32"/>
          <w:szCs w:val="32"/>
          <w:highlight w:val="none"/>
        </w:rPr>
      </w:pPr>
    </w:p>
    <w:p w14:paraId="1534D894">
      <w:pPr>
        <w:snapToGrid w:val="0"/>
        <w:jc w:val="center"/>
        <w:rPr>
          <w:rFonts w:hint="eastAsia" w:ascii="宋体" w:hAnsi="宋体"/>
          <w:bCs/>
          <w:color w:val="000000"/>
          <w:sz w:val="32"/>
          <w:szCs w:val="32"/>
          <w:highlight w:val="none"/>
        </w:rPr>
      </w:pPr>
    </w:p>
    <w:p w14:paraId="557A253C">
      <w:pPr>
        <w:snapToGrid w:val="0"/>
        <w:jc w:val="center"/>
        <w:rPr>
          <w:rFonts w:hint="eastAsia" w:ascii="宋体" w:hAnsi="宋体"/>
          <w:bCs/>
          <w:color w:val="000000"/>
          <w:sz w:val="32"/>
          <w:szCs w:val="32"/>
          <w:highlight w:val="none"/>
        </w:rPr>
      </w:pPr>
    </w:p>
    <w:p w14:paraId="15125FAC">
      <w:pPr>
        <w:snapToGrid w:val="0"/>
        <w:jc w:val="center"/>
        <w:rPr>
          <w:rFonts w:hint="eastAsia" w:ascii="宋体" w:hAnsi="宋体"/>
          <w:bCs/>
          <w:color w:val="000000"/>
          <w:sz w:val="32"/>
          <w:szCs w:val="32"/>
          <w:highlight w:val="none"/>
        </w:rPr>
      </w:pPr>
    </w:p>
    <w:p w14:paraId="3D498507">
      <w:pPr>
        <w:snapToGrid w:val="0"/>
        <w:jc w:val="center"/>
        <w:rPr>
          <w:rFonts w:hint="eastAsia" w:ascii="宋体" w:hAnsi="宋体"/>
          <w:bCs/>
          <w:color w:val="000000"/>
          <w:sz w:val="32"/>
          <w:szCs w:val="32"/>
          <w:highlight w:val="none"/>
        </w:rPr>
      </w:pPr>
    </w:p>
    <w:p w14:paraId="4BF52C11">
      <w:pPr>
        <w:snapToGrid w:val="0"/>
        <w:jc w:val="center"/>
        <w:rPr>
          <w:rFonts w:hint="eastAsia" w:ascii="宋体" w:hAnsi="宋体"/>
          <w:bCs/>
          <w:color w:val="000000"/>
          <w:sz w:val="32"/>
          <w:szCs w:val="32"/>
          <w:highlight w:val="none"/>
        </w:rPr>
      </w:pPr>
    </w:p>
    <w:p w14:paraId="7371C27C">
      <w:pPr>
        <w:snapToGrid w:val="0"/>
        <w:jc w:val="center"/>
        <w:rPr>
          <w:rFonts w:hint="eastAsia" w:ascii="宋体" w:hAnsi="宋体"/>
          <w:bCs/>
          <w:color w:val="000000"/>
          <w:sz w:val="32"/>
          <w:szCs w:val="32"/>
          <w:highlight w:val="none"/>
        </w:rPr>
      </w:pPr>
    </w:p>
    <w:p w14:paraId="631827FA">
      <w:pPr>
        <w:snapToGrid w:val="0"/>
        <w:jc w:val="center"/>
        <w:rPr>
          <w:rFonts w:hint="eastAsia" w:ascii="宋体" w:hAnsi="宋体"/>
          <w:bCs/>
          <w:color w:val="000000"/>
          <w:sz w:val="32"/>
          <w:szCs w:val="32"/>
          <w:highlight w:val="none"/>
        </w:rPr>
      </w:pPr>
    </w:p>
    <w:p w14:paraId="3E46E9A6">
      <w:pPr>
        <w:snapToGrid w:val="0"/>
        <w:jc w:val="center"/>
        <w:rPr>
          <w:rFonts w:hint="eastAsia" w:ascii="宋体" w:hAnsi="宋体"/>
          <w:bCs/>
          <w:color w:val="000000"/>
          <w:sz w:val="32"/>
          <w:szCs w:val="32"/>
          <w:highlight w:val="none"/>
        </w:rPr>
      </w:pPr>
    </w:p>
    <w:p w14:paraId="669A398A">
      <w:pPr>
        <w:snapToGrid w:val="0"/>
        <w:jc w:val="center"/>
        <w:rPr>
          <w:rFonts w:hint="eastAsia" w:ascii="宋体" w:hAnsi="宋体"/>
          <w:bCs/>
          <w:color w:val="000000"/>
          <w:sz w:val="32"/>
          <w:szCs w:val="32"/>
          <w:highlight w:val="none"/>
        </w:rPr>
      </w:pPr>
    </w:p>
    <w:p w14:paraId="61754E41">
      <w:pPr>
        <w:snapToGrid w:val="0"/>
        <w:jc w:val="center"/>
        <w:rPr>
          <w:rFonts w:hint="eastAsia" w:ascii="宋体" w:hAnsi="宋体"/>
          <w:bCs/>
          <w:color w:val="000000"/>
          <w:sz w:val="32"/>
          <w:szCs w:val="32"/>
          <w:highlight w:val="none"/>
        </w:rPr>
      </w:pPr>
    </w:p>
    <w:p w14:paraId="28B32F23">
      <w:pPr>
        <w:snapToGrid w:val="0"/>
        <w:rPr>
          <w:rFonts w:ascii="宋体" w:hAnsi="宋体"/>
          <w:bCs/>
          <w:color w:val="000000"/>
          <w:sz w:val="32"/>
          <w:szCs w:val="32"/>
          <w:highlight w:val="none"/>
        </w:rPr>
      </w:pPr>
      <w:bookmarkStart w:id="150" w:name="_Hlk55381736"/>
      <w:r>
        <w:rPr>
          <w:rFonts w:ascii="宋体" w:hAnsi="宋体"/>
          <w:bCs/>
          <w:color w:val="000000"/>
          <w:sz w:val="32"/>
          <w:szCs w:val="32"/>
          <w:highlight w:val="none"/>
        </w:rPr>
        <w:t xml:space="preserve"> </w:t>
      </w:r>
    </w:p>
    <w:p w14:paraId="09763E6D">
      <w:pPr>
        <w:snapToGrid w:val="0"/>
        <w:spacing w:line="360" w:lineRule="auto"/>
        <w:ind w:firstLine="640" w:firstLineChars="200"/>
        <w:rPr>
          <w:rFonts w:hint="eastAsia" w:ascii="宋体" w:hAnsi="宋体"/>
          <w:bCs/>
          <w:color w:val="000000"/>
          <w:sz w:val="32"/>
          <w:szCs w:val="32"/>
          <w:highlight w:val="none"/>
        </w:rPr>
      </w:pPr>
      <w:r>
        <w:rPr>
          <w:rFonts w:ascii="宋体" w:hAnsi="宋体"/>
          <w:bCs/>
          <w:color w:val="000000"/>
          <w:sz w:val="32"/>
          <w:szCs w:val="32"/>
          <w:highlight w:val="none"/>
        </w:rPr>
        <w:br w:type="page"/>
      </w:r>
    </w:p>
    <w:p w14:paraId="69465821">
      <w:pPr>
        <w:snapToGrid w:val="0"/>
        <w:spacing w:line="360" w:lineRule="auto"/>
        <w:ind w:firstLine="640" w:firstLineChars="200"/>
        <w:rPr>
          <w:rFonts w:hint="eastAsia" w:ascii="宋体" w:hAnsi="宋体"/>
          <w:bCs/>
          <w:color w:val="000000"/>
          <w:sz w:val="32"/>
          <w:szCs w:val="32"/>
          <w:highlight w:val="none"/>
        </w:rPr>
      </w:pPr>
    </w:p>
    <w:p w14:paraId="52A0217F">
      <w:pPr>
        <w:snapToGrid w:val="0"/>
        <w:spacing w:line="360" w:lineRule="auto"/>
        <w:ind w:firstLine="640" w:firstLineChars="200"/>
        <w:rPr>
          <w:rFonts w:hint="eastAsia" w:ascii="宋体" w:hAnsi="宋体"/>
          <w:bCs/>
          <w:color w:val="000000"/>
          <w:sz w:val="32"/>
          <w:szCs w:val="32"/>
          <w:highlight w:val="none"/>
        </w:rPr>
      </w:pPr>
    </w:p>
    <w:p w14:paraId="63AE580C">
      <w:pPr>
        <w:snapToGrid w:val="0"/>
        <w:spacing w:line="360" w:lineRule="auto"/>
        <w:ind w:firstLine="640" w:firstLineChars="200"/>
        <w:rPr>
          <w:rFonts w:hint="eastAsia" w:ascii="宋体" w:hAnsi="宋体"/>
          <w:bCs/>
          <w:color w:val="000000"/>
          <w:sz w:val="32"/>
          <w:szCs w:val="32"/>
          <w:highlight w:val="none"/>
        </w:rPr>
      </w:pPr>
    </w:p>
    <w:p w14:paraId="76E6611F">
      <w:pPr>
        <w:snapToGrid w:val="0"/>
        <w:spacing w:line="360" w:lineRule="auto"/>
        <w:ind w:firstLine="640" w:firstLineChars="200"/>
        <w:rPr>
          <w:rFonts w:hint="eastAsia" w:ascii="宋体" w:hAnsi="宋体"/>
          <w:bCs/>
          <w:color w:val="000000"/>
          <w:sz w:val="32"/>
          <w:szCs w:val="32"/>
          <w:highlight w:val="none"/>
        </w:rPr>
      </w:pPr>
    </w:p>
    <w:p w14:paraId="36CAEDE8">
      <w:pPr>
        <w:snapToGrid w:val="0"/>
        <w:spacing w:line="360" w:lineRule="auto"/>
        <w:ind w:firstLine="643" w:firstLineChars="200"/>
        <w:rPr>
          <w:rFonts w:ascii="宋体" w:hAnsi="宋体"/>
          <w:b/>
          <w:color w:val="000000"/>
          <w:sz w:val="32"/>
          <w:szCs w:val="32"/>
          <w:highlight w:val="none"/>
        </w:rPr>
      </w:pPr>
    </w:p>
    <w:p w14:paraId="288F716D">
      <w:pPr>
        <w:spacing w:line="480" w:lineRule="auto"/>
        <w:rPr>
          <w:rFonts w:ascii="宋体" w:hAnsi="宋体" w:cs="宋体"/>
          <w:b/>
          <w:color w:val="000000"/>
          <w:sz w:val="28"/>
          <w:szCs w:val="28"/>
          <w:highlight w:val="none"/>
        </w:rPr>
      </w:pPr>
      <w:bookmarkStart w:id="151" w:name="_Toc3995"/>
      <w:r>
        <w:rPr>
          <w:rFonts w:ascii="宋体" w:hAnsi="宋体" w:cs="宋体"/>
          <w:b/>
          <w:color w:val="000000"/>
          <w:sz w:val="28"/>
          <w:szCs w:val="28"/>
          <w:highlight w:val="none"/>
        </w:rPr>
        <w:t>分标号</w:t>
      </w:r>
      <w:r>
        <w:rPr>
          <w:rFonts w:hint="eastAsia" w:ascii="宋体" w:hAnsi="宋体" w:cs="宋体"/>
          <w:b/>
          <w:color w:val="000000"/>
          <w:sz w:val="28"/>
          <w:szCs w:val="28"/>
          <w:highlight w:val="none"/>
        </w:rPr>
        <w:t>：</w:t>
      </w:r>
    </w:p>
    <w:p w14:paraId="35F65171">
      <w:pPr>
        <w:spacing w:line="480" w:lineRule="auto"/>
        <w:rPr>
          <w:rFonts w:ascii="宋体" w:hAnsi="宋体" w:cs="宋体"/>
          <w:b/>
          <w:bCs/>
          <w:color w:val="000000"/>
          <w:sz w:val="28"/>
          <w:szCs w:val="28"/>
          <w:highlight w:val="none"/>
        </w:rPr>
      </w:pPr>
      <w:r>
        <w:rPr>
          <w:rFonts w:hint="eastAsia" w:ascii="宋体" w:hAnsi="宋体" w:cs="宋体"/>
          <w:b/>
          <w:bCs/>
          <w:color w:val="000000"/>
          <w:sz w:val="28"/>
          <w:szCs w:val="28"/>
          <w:highlight w:val="none"/>
        </w:rPr>
        <w:t>项目名称：</w:t>
      </w:r>
    </w:p>
    <w:p w14:paraId="47273428">
      <w:pPr>
        <w:spacing w:line="480" w:lineRule="auto"/>
        <w:rPr>
          <w:rFonts w:ascii="宋体" w:hAnsi="宋体" w:cs="宋体"/>
          <w:b/>
          <w:bCs/>
          <w:color w:val="000000"/>
          <w:sz w:val="28"/>
          <w:szCs w:val="28"/>
          <w:highlight w:val="none"/>
        </w:rPr>
      </w:pPr>
      <w:r>
        <w:rPr>
          <w:rFonts w:hint="eastAsia" w:ascii="宋体" w:hAnsi="宋体" w:cs="宋体"/>
          <w:b/>
          <w:bCs/>
          <w:color w:val="000000"/>
          <w:sz w:val="28"/>
          <w:szCs w:val="28"/>
          <w:highlight w:val="none"/>
        </w:rPr>
        <w:t>采购计划号：</w:t>
      </w:r>
    </w:p>
    <w:p w14:paraId="28D9E4A6">
      <w:pPr>
        <w:spacing w:line="480" w:lineRule="auto"/>
        <w:rPr>
          <w:rFonts w:ascii="宋体" w:hAnsi="宋体" w:cs="宋体"/>
          <w:b/>
          <w:bCs/>
          <w:color w:val="000000"/>
          <w:sz w:val="28"/>
          <w:szCs w:val="28"/>
          <w:highlight w:val="none"/>
        </w:rPr>
      </w:pPr>
      <w:r>
        <w:rPr>
          <w:rFonts w:hint="eastAsia" w:ascii="宋体" w:hAnsi="宋体" w:cs="宋体"/>
          <w:b/>
          <w:bCs/>
          <w:color w:val="000000"/>
          <w:sz w:val="28"/>
          <w:szCs w:val="28"/>
          <w:highlight w:val="none"/>
        </w:rPr>
        <w:t>项目编号：</w:t>
      </w:r>
    </w:p>
    <w:p w14:paraId="29BCABD5">
      <w:pPr>
        <w:spacing w:line="480" w:lineRule="auto"/>
        <w:rPr>
          <w:rFonts w:ascii="宋体" w:hAnsi="宋体" w:cs="宋体"/>
          <w:b/>
          <w:bCs/>
          <w:color w:val="000000"/>
          <w:sz w:val="28"/>
          <w:szCs w:val="28"/>
          <w:highlight w:val="none"/>
        </w:rPr>
      </w:pPr>
      <w:r>
        <w:rPr>
          <w:rFonts w:hint="eastAsia" w:ascii="宋体" w:hAnsi="宋体" w:cs="宋体"/>
          <w:b/>
          <w:bCs/>
          <w:color w:val="000000"/>
          <w:sz w:val="28"/>
          <w:szCs w:val="28"/>
          <w:highlight w:val="none"/>
        </w:rPr>
        <w:t>合同编号：</w:t>
      </w:r>
    </w:p>
    <w:p w14:paraId="44BB7953">
      <w:pPr>
        <w:spacing w:line="480" w:lineRule="auto"/>
        <w:rPr>
          <w:rFonts w:ascii="宋体" w:hAnsi="宋体" w:cs="宋体"/>
          <w:b/>
          <w:bCs/>
          <w:color w:val="000000"/>
          <w:sz w:val="28"/>
          <w:szCs w:val="28"/>
          <w:highlight w:val="none"/>
        </w:rPr>
      </w:pPr>
      <w:r>
        <w:rPr>
          <w:rFonts w:hint="eastAsia" w:ascii="宋体" w:hAnsi="宋体" w:cs="宋体"/>
          <w:b/>
          <w:bCs/>
          <w:color w:val="000000"/>
          <w:sz w:val="28"/>
          <w:szCs w:val="28"/>
          <w:highlight w:val="none"/>
        </w:rPr>
        <w:t>采购单位（甲方）：钦州市第二人民医院</w:t>
      </w:r>
    </w:p>
    <w:p w14:paraId="3F2A3A7A">
      <w:pPr>
        <w:spacing w:line="480" w:lineRule="auto"/>
        <w:rPr>
          <w:rFonts w:ascii="宋体" w:hAnsi="宋体" w:cs="宋体"/>
          <w:b/>
          <w:bCs/>
          <w:color w:val="000000"/>
          <w:sz w:val="28"/>
          <w:szCs w:val="28"/>
          <w:highlight w:val="none"/>
        </w:rPr>
      </w:pPr>
      <w:r>
        <w:rPr>
          <w:rFonts w:hint="eastAsia" w:ascii="宋体" w:hAnsi="宋体" w:cs="宋体"/>
          <w:b/>
          <w:bCs/>
          <w:color w:val="000000"/>
          <w:sz w:val="28"/>
          <w:szCs w:val="28"/>
          <w:highlight w:val="none"/>
        </w:rPr>
        <w:t>中标人（乙方）</w:t>
      </w:r>
    </w:p>
    <w:p w14:paraId="3A72E02A">
      <w:pPr>
        <w:spacing w:line="480" w:lineRule="auto"/>
        <w:rPr>
          <w:rFonts w:ascii="宋体" w:hAnsi="宋体" w:cs="宋体"/>
          <w:b/>
          <w:bCs/>
          <w:color w:val="000000"/>
          <w:sz w:val="28"/>
          <w:szCs w:val="28"/>
          <w:highlight w:val="none"/>
        </w:rPr>
      </w:pPr>
      <w:r>
        <w:rPr>
          <w:rFonts w:hint="eastAsia" w:ascii="宋体" w:hAnsi="宋体" w:cs="宋体"/>
          <w:b/>
          <w:bCs/>
          <w:color w:val="000000"/>
          <w:sz w:val="28"/>
          <w:szCs w:val="28"/>
          <w:highlight w:val="none"/>
        </w:rPr>
        <w:t>采购代理机构：</w:t>
      </w:r>
    </w:p>
    <w:p w14:paraId="3B731E24">
      <w:pPr>
        <w:spacing w:line="480" w:lineRule="auto"/>
        <w:rPr>
          <w:rFonts w:ascii="宋体" w:hAnsi="宋体" w:cs="宋体"/>
          <w:b/>
          <w:bCs/>
          <w:color w:val="000000"/>
          <w:sz w:val="28"/>
          <w:szCs w:val="28"/>
          <w:highlight w:val="none"/>
        </w:rPr>
      </w:pPr>
      <w:r>
        <w:rPr>
          <w:rFonts w:hint="eastAsia" w:ascii="宋体" w:hAnsi="宋体" w:cs="宋体"/>
          <w:b/>
          <w:bCs/>
          <w:color w:val="000000"/>
          <w:sz w:val="28"/>
          <w:szCs w:val="28"/>
          <w:highlight w:val="none"/>
        </w:rPr>
        <w:t>签订地点：钦州市</w:t>
      </w:r>
    </w:p>
    <w:p w14:paraId="16D490AA">
      <w:pPr>
        <w:spacing w:line="480" w:lineRule="auto"/>
        <w:rPr>
          <w:rFonts w:ascii="宋体" w:hAnsi="宋体" w:cs="宋体"/>
          <w:b/>
          <w:bCs/>
          <w:color w:val="000000"/>
          <w:sz w:val="28"/>
          <w:szCs w:val="28"/>
          <w:highlight w:val="none"/>
        </w:rPr>
      </w:pPr>
      <w:r>
        <w:rPr>
          <w:rFonts w:hint="eastAsia" w:ascii="宋体" w:hAnsi="宋体" w:cs="宋体"/>
          <w:b/>
          <w:bCs/>
          <w:color w:val="000000"/>
          <w:sz w:val="28"/>
          <w:szCs w:val="28"/>
          <w:highlight w:val="none"/>
        </w:rPr>
        <w:t>签订时间：2025年   月   日</w:t>
      </w:r>
    </w:p>
    <w:p w14:paraId="64A5DAB4">
      <w:pPr>
        <w:widowControl/>
        <w:ind w:firstLine="422" w:firstLineChars="200"/>
        <w:jc w:val="left"/>
        <w:rPr>
          <w:rFonts w:ascii="宋体" w:hAnsi="宋体" w:cs="仿宋"/>
          <w:color w:val="000000"/>
          <w:sz w:val="24"/>
          <w:highlight w:val="none"/>
        </w:rPr>
      </w:pPr>
      <w:r>
        <w:rPr>
          <w:rFonts w:ascii="仿宋" w:hAnsi="仿宋" w:eastAsia="仿宋" w:cs="仿宋"/>
          <w:b/>
          <w:bCs/>
          <w:color w:val="000000"/>
          <w:szCs w:val="21"/>
          <w:highlight w:val="none"/>
        </w:rPr>
        <w:br w:type="page"/>
      </w:r>
      <w:r>
        <w:rPr>
          <w:rFonts w:hint="eastAsia" w:ascii="宋体" w:hAnsi="宋体" w:cs="仿宋"/>
          <w:color w:val="000000"/>
          <w:sz w:val="24"/>
          <w:highlight w:val="none"/>
        </w:rPr>
        <w:t>根据《中华人民共和国政府采购法》《中华人民共和国民法典》等法律、法规规定，按照公开招标文件规定条款和投标文件承诺，甲乙双方签订本合同。</w:t>
      </w:r>
    </w:p>
    <w:p w14:paraId="46DDAE3E">
      <w:pPr>
        <w:snapToGrid w:val="0"/>
        <w:spacing w:line="400" w:lineRule="exact"/>
        <w:ind w:firstLine="482" w:firstLineChars="200"/>
        <w:rPr>
          <w:rFonts w:ascii="宋体" w:hAnsi="宋体" w:cs="仿宋"/>
          <w:b/>
          <w:color w:val="000000"/>
          <w:sz w:val="24"/>
          <w:highlight w:val="none"/>
        </w:rPr>
      </w:pPr>
      <w:r>
        <w:rPr>
          <w:rFonts w:hint="eastAsia" w:ascii="宋体" w:hAnsi="宋体" w:cs="仿宋"/>
          <w:b/>
          <w:color w:val="000000"/>
          <w:sz w:val="24"/>
          <w:highlight w:val="none"/>
        </w:rPr>
        <w:t>第一条　合同标的</w:t>
      </w:r>
    </w:p>
    <w:p w14:paraId="352AFA79">
      <w:pPr>
        <w:snapToGrid w:val="0"/>
        <w:spacing w:line="40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1.供货一览表</w:t>
      </w:r>
    </w:p>
    <w:tbl>
      <w:tblPr>
        <w:tblStyle w:val="45"/>
        <w:tblW w:w="855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152"/>
        <w:gridCol w:w="990"/>
        <w:gridCol w:w="1152"/>
        <w:gridCol w:w="1131"/>
        <w:gridCol w:w="689"/>
        <w:gridCol w:w="687"/>
        <w:gridCol w:w="1023"/>
        <w:gridCol w:w="1070"/>
      </w:tblGrid>
      <w:tr w14:paraId="4426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662" w:type="dxa"/>
            <w:noWrap w:val="0"/>
            <w:vAlign w:val="center"/>
          </w:tcPr>
          <w:p w14:paraId="16E2DC51">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序号</w:t>
            </w:r>
          </w:p>
        </w:tc>
        <w:tc>
          <w:tcPr>
            <w:tcW w:w="1152" w:type="dxa"/>
            <w:noWrap w:val="0"/>
            <w:vAlign w:val="center"/>
          </w:tcPr>
          <w:p w14:paraId="4C388E75">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产品名称</w:t>
            </w:r>
          </w:p>
        </w:tc>
        <w:tc>
          <w:tcPr>
            <w:tcW w:w="990" w:type="dxa"/>
            <w:noWrap w:val="0"/>
            <w:vAlign w:val="center"/>
          </w:tcPr>
          <w:p w14:paraId="25B87C39">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商标品牌</w:t>
            </w:r>
          </w:p>
        </w:tc>
        <w:tc>
          <w:tcPr>
            <w:tcW w:w="1152" w:type="dxa"/>
            <w:noWrap w:val="0"/>
            <w:vAlign w:val="center"/>
          </w:tcPr>
          <w:p w14:paraId="3444FC85">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规格型号</w:t>
            </w:r>
          </w:p>
        </w:tc>
        <w:tc>
          <w:tcPr>
            <w:tcW w:w="1131" w:type="dxa"/>
            <w:noWrap w:val="0"/>
            <w:vAlign w:val="center"/>
          </w:tcPr>
          <w:p w14:paraId="60BB38EA">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生产厂家</w:t>
            </w:r>
          </w:p>
        </w:tc>
        <w:tc>
          <w:tcPr>
            <w:tcW w:w="689" w:type="dxa"/>
            <w:noWrap w:val="0"/>
            <w:vAlign w:val="center"/>
          </w:tcPr>
          <w:p w14:paraId="3BC3298D">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数量</w:t>
            </w:r>
          </w:p>
        </w:tc>
        <w:tc>
          <w:tcPr>
            <w:tcW w:w="687" w:type="dxa"/>
            <w:noWrap w:val="0"/>
            <w:vAlign w:val="center"/>
          </w:tcPr>
          <w:p w14:paraId="0FF8B294">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单位</w:t>
            </w:r>
          </w:p>
        </w:tc>
        <w:tc>
          <w:tcPr>
            <w:tcW w:w="1023" w:type="dxa"/>
            <w:noWrap w:val="0"/>
            <w:vAlign w:val="center"/>
          </w:tcPr>
          <w:p w14:paraId="5EE6C356">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单价（元）</w:t>
            </w:r>
          </w:p>
        </w:tc>
        <w:tc>
          <w:tcPr>
            <w:tcW w:w="1070" w:type="dxa"/>
            <w:noWrap w:val="0"/>
            <w:vAlign w:val="center"/>
          </w:tcPr>
          <w:p w14:paraId="26F660F2">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金额（元）</w:t>
            </w:r>
          </w:p>
        </w:tc>
      </w:tr>
      <w:tr w14:paraId="2914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62" w:type="dxa"/>
            <w:noWrap w:val="0"/>
            <w:vAlign w:val="center"/>
          </w:tcPr>
          <w:p w14:paraId="05B1BE15">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1</w:t>
            </w:r>
          </w:p>
        </w:tc>
        <w:tc>
          <w:tcPr>
            <w:tcW w:w="1152" w:type="dxa"/>
            <w:noWrap w:val="0"/>
            <w:vAlign w:val="center"/>
          </w:tcPr>
          <w:p w14:paraId="66A2329B">
            <w:pPr>
              <w:snapToGrid w:val="0"/>
              <w:spacing w:line="400" w:lineRule="exact"/>
              <w:jc w:val="center"/>
              <w:rPr>
                <w:rFonts w:ascii="宋体" w:hAnsi="宋体" w:cs="仿宋"/>
                <w:color w:val="000000"/>
                <w:sz w:val="24"/>
                <w:highlight w:val="none"/>
              </w:rPr>
            </w:pPr>
          </w:p>
        </w:tc>
        <w:tc>
          <w:tcPr>
            <w:tcW w:w="990" w:type="dxa"/>
            <w:noWrap w:val="0"/>
            <w:vAlign w:val="center"/>
          </w:tcPr>
          <w:p w14:paraId="68A4D7F1">
            <w:pPr>
              <w:snapToGrid w:val="0"/>
              <w:spacing w:line="400" w:lineRule="exact"/>
              <w:jc w:val="center"/>
              <w:rPr>
                <w:rFonts w:ascii="宋体" w:hAnsi="宋体" w:cs="仿宋"/>
                <w:color w:val="000000"/>
                <w:sz w:val="24"/>
                <w:highlight w:val="none"/>
              </w:rPr>
            </w:pPr>
          </w:p>
        </w:tc>
        <w:tc>
          <w:tcPr>
            <w:tcW w:w="1152" w:type="dxa"/>
            <w:noWrap w:val="0"/>
            <w:vAlign w:val="center"/>
          </w:tcPr>
          <w:p w14:paraId="0B36BDF7">
            <w:pPr>
              <w:snapToGrid w:val="0"/>
              <w:spacing w:line="400" w:lineRule="exact"/>
              <w:jc w:val="center"/>
              <w:rPr>
                <w:rFonts w:ascii="宋体" w:hAnsi="宋体" w:cs="仿宋"/>
                <w:color w:val="000000"/>
                <w:sz w:val="24"/>
                <w:highlight w:val="none"/>
              </w:rPr>
            </w:pPr>
          </w:p>
        </w:tc>
        <w:tc>
          <w:tcPr>
            <w:tcW w:w="1131" w:type="dxa"/>
            <w:noWrap w:val="0"/>
            <w:vAlign w:val="top"/>
          </w:tcPr>
          <w:p w14:paraId="72E3EE05">
            <w:pPr>
              <w:snapToGrid w:val="0"/>
              <w:spacing w:line="400" w:lineRule="exact"/>
              <w:jc w:val="center"/>
              <w:rPr>
                <w:rFonts w:ascii="宋体" w:hAnsi="宋体" w:cs="仿宋"/>
                <w:color w:val="000000"/>
                <w:sz w:val="24"/>
                <w:highlight w:val="none"/>
              </w:rPr>
            </w:pPr>
          </w:p>
        </w:tc>
        <w:tc>
          <w:tcPr>
            <w:tcW w:w="689" w:type="dxa"/>
            <w:noWrap w:val="0"/>
            <w:vAlign w:val="top"/>
          </w:tcPr>
          <w:p w14:paraId="385DD264">
            <w:pPr>
              <w:snapToGrid w:val="0"/>
              <w:spacing w:line="400" w:lineRule="exact"/>
              <w:jc w:val="center"/>
              <w:rPr>
                <w:rFonts w:ascii="宋体" w:hAnsi="宋体" w:cs="仿宋"/>
                <w:color w:val="000000"/>
                <w:sz w:val="24"/>
                <w:highlight w:val="none"/>
              </w:rPr>
            </w:pPr>
          </w:p>
        </w:tc>
        <w:tc>
          <w:tcPr>
            <w:tcW w:w="687" w:type="dxa"/>
            <w:noWrap w:val="0"/>
            <w:vAlign w:val="top"/>
          </w:tcPr>
          <w:p w14:paraId="7C6F1570">
            <w:pPr>
              <w:snapToGrid w:val="0"/>
              <w:spacing w:line="400" w:lineRule="exact"/>
              <w:jc w:val="center"/>
              <w:rPr>
                <w:rFonts w:ascii="宋体" w:hAnsi="宋体" w:cs="仿宋"/>
                <w:color w:val="000000"/>
                <w:sz w:val="24"/>
                <w:highlight w:val="none"/>
              </w:rPr>
            </w:pPr>
          </w:p>
        </w:tc>
        <w:tc>
          <w:tcPr>
            <w:tcW w:w="1023" w:type="dxa"/>
            <w:noWrap w:val="0"/>
            <w:vAlign w:val="center"/>
          </w:tcPr>
          <w:p w14:paraId="40BEF27B">
            <w:pPr>
              <w:snapToGrid w:val="0"/>
              <w:spacing w:line="400" w:lineRule="exact"/>
              <w:jc w:val="center"/>
              <w:rPr>
                <w:rFonts w:ascii="宋体" w:hAnsi="宋体" w:cs="仿宋"/>
                <w:color w:val="000000"/>
                <w:sz w:val="24"/>
                <w:highlight w:val="none"/>
              </w:rPr>
            </w:pPr>
          </w:p>
        </w:tc>
        <w:tc>
          <w:tcPr>
            <w:tcW w:w="1070" w:type="dxa"/>
            <w:noWrap w:val="0"/>
            <w:vAlign w:val="center"/>
          </w:tcPr>
          <w:p w14:paraId="167DB1E6">
            <w:pPr>
              <w:snapToGrid w:val="0"/>
              <w:spacing w:line="400" w:lineRule="exact"/>
              <w:jc w:val="center"/>
              <w:rPr>
                <w:rFonts w:ascii="宋体" w:hAnsi="宋体" w:cs="仿宋"/>
                <w:color w:val="000000"/>
                <w:sz w:val="24"/>
                <w:highlight w:val="none"/>
              </w:rPr>
            </w:pPr>
          </w:p>
        </w:tc>
      </w:tr>
      <w:tr w14:paraId="3E8D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62" w:type="dxa"/>
            <w:noWrap w:val="0"/>
            <w:vAlign w:val="center"/>
          </w:tcPr>
          <w:p w14:paraId="57AB972D">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2</w:t>
            </w:r>
          </w:p>
        </w:tc>
        <w:tc>
          <w:tcPr>
            <w:tcW w:w="1152" w:type="dxa"/>
            <w:noWrap w:val="0"/>
            <w:vAlign w:val="center"/>
          </w:tcPr>
          <w:p w14:paraId="0197AA00">
            <w:pPr>
              <w:snapToGrid w:val="0"/>
              <w:spacing w:line="400" w:lineRule="exact"/>
              <w:jc w:val="center"/>
              <w:rPr>
                <w:rFonts w:ascii="宋体" w:hAnsi="宋体" w:cs="仿宋"/>
                <w:color w:val="000000"/>
                <w:sz w:val="24"/>
                <w:highlight w:val="none"/>
              </w:rPr>
            </w:pPr>
          </w:p>
        </w:tc>
        <w:tc>
          <w:tcPr>
            <w:tcW w:w="990" w:type="dxa"/>
            <w:noWrap w:val="0"/>
            <w:vAlign w:val="center"/>
          </w:tcPr>
          <w:p w14:paraId="54CA6A9B">
            <w:pPr>
              <w:snapToGrid w:val="0"/>
              <w:spacing w:line="400" w:lineRule="exact"/>
              <w:jc w:val="center"/>
              <w:rPr>
                <w:rFonts w:ascii="宋体" w:hAnsi="宋体" w:cs="仿宋"/>
                <w:color w:val="000000"/>
                <w:sz w:val="24"/>
                <w:highlight w:val="none"/>
              </w:rPr>
            </w:pPr>
          </w:p>
        </w:tc>
        <w:tc>
          <w:tcPr>
            <w:tcW w:w="1152" w:type="dxa"/>
            <w:noWrap w:val="0"/>
            <w:vAlign w:val="center"/>
          </w:tcPr>
          <w:p w14:paraId="7AF8892B">
            <w:pPr>
              <w:snapToGrid w:val="0"/>
              <w:spacing w:line="400" w:lineRule="exact"/>
              <w:jc w:val="center"/>
              <w:rPr>
                <w:rFonts w:ascii="宋体" w:hAnsi="宋体" w:cs="仿宋"/>
                <w:color w:val="000000"/>
                <w:sz w:val="24"/>
                <w:highlight w:val="none"/>
              </w:rPr>
            </w:pPr>
          </w:p>
        </w:tc>
        <w:tc>
          <w:tcPr>
            <w:tcW w:w="1131" w:type="dxa"/>
            <w:noWrap w:val="0"/>
            <w:vAlign w:val="top"/>
          </w:tcPr>
          <w:p w14:paraId="3AEA45D2">
            <w:pPr>
              <w:snapToGrid w:val="0"/>
              <w:spacing w:line="400" w:lineRule="exact"/>
              <w:jc w:val="center"/>
              <w:rPr>
                <w:rFonts w:ascii="宋体" w:hAnsi="宋体" w:cs="仿宋"/>
                <w:color w:val="000000"/>
                <w:sz w:val="24"/>
                <w:highlight w:val="none"/>
              </w:rPr>
            </w:pPr>
          </w:p>
        </w:tc>
        <w:tc>
          <w:tcPr>
            <w:tcW w:w="689" w:type="dxa"/>
            <w:noWrap w:val="0"/>
            <w:vAlign w:val="top"/>
          </w:tcPr>
          <w:p w14:paraId="700A0838">
            <w:pPr>
              <w:snapToGrid w:val="0"/>
              <w:spacing w:line="400" w:lineRule="exact"/>
              <w:jc w:val="center"/>
              <w:rPr>
                <w:rFonts w:ascii="宋体" w:hAnsi="宋体" w:cs="仿宋"/>
                <w:color w:val="000000"/>
                <w:sz w:val="24"/>
                <w:highlight w:val="none"/>
              </w:rPr>
            </w:pPr>
          </w:p>
        </w:tc>
        <w:tc>
          <w:tcPr>
            <w:tcW w:w="687" w:type="dxa"/>
            <w:noWrap w:val="0"/>
            <w:vAlign w:val="top"/>
          </w:tcPr>
          <w:p w14:paraId="04FD29C7">
            <w:pPr>
              <w:snapToGrid w:val="0"/>
              <w:spacing w:line="400" w:lineRule="exact"/>
              <w:jc w:val="center"/>
              <w:rPr>
                <w:rFonts w:ascii="宋体" w:hAnsi="宋体" w:cs="仿宋"/>
                <w:color w:val="000000"/>
                <w:sz w:val="24"/>
                <w:highlight w:val="none"/>
              </w:rPr>
            </w:pPr>
          </w:p>
        </w:tc>
        <w:tc>
          <w:tcPr>
            <w:tcW w:w="1023" w:type="dxa"/>
            <w:noWrap w:val="0"/>
            <w:vAlign w:val="center"/>
          </w:tcPr>
          <w:p w14:paraId="148F782F">
            <w:pPr>
              <w:snapToGrid w:val="0"/>
              <w:spacing w:line="400" w:lineRule="exact"/>
              <w:jc w:val="center"/>
              <w:rPr>
                <w:rFonts w:ascii="宋体" w:hAnsi="宋体" w:cs="仿宋"/>
                <w:color w:val="000000"/>
                <w:sz w:val="24"/>
                <w:highlight w:val="none"/>
              </w:rPr>
            </w:pPr>
          </w:p>
        </w:tc>
        <w:tc>
          <w:tcPr>
            <w:tcW w:w="1070" w:type="dxa"/>
            <w:noWrap w:val="0"/>
            <w:vAlign w:val="center"/>
          </w:tcPr>
          <w:p w14:paraId="61E0896E">
            <w:pPr>
              <w:snapToGrid w:val="0"/>
              <w:spacing w:line="400" w:lineRule="exact"/>
              <w:jc w:val="center"/>
              <w:rPr>
                <w:rFonts w:ascii="宋体" w:hAnsi="宋体" w:cs="仿宋"/>
                <w:color w:val="000000"/>
                <w:sz w:val="24"/>
                <w:highlight w:val="none"/>
              </w:rPr>
            </w:pPr>
          </w:p>
        </w:tc>
      </w:tr>
      <w:tr w14:paraId="405E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62" w:type="dxa"/>
            <w:noWrap w:val="0"/>
            <w:vAlign w:val="center"/>
          </w:tcPr>
          <w:p w14:paraId="76C2B453">
            <w:pPr>
              <w:snapToGrid w:val="0"/>
              <w:spacing w:line="400" w:lineRule="exact"/>
              <w:jc w:val="center"/>
              <w:rPr>
                <w:rFonts w:ascii="宋体" w:hAnsi="宋体" w:cs="仿宋"/>
                <w:color w:val="000000"/>
                <w:sz w:val="24"/>
                <w:highlight w:val="none"/>
              </w:rPr>
            </w:pPr>
            <w:r>
              <w:rPr>
                <w:rFonts w:hint="eastAsia" w:ascii="宋体" w:hAnsi="宋体" w:cs="仿宋"/>
                <w:color w:val="000000"/>
                <w:sz w:val="24"/>
                <w:highlight w:val="none"/>
              </w:rPr>
              <w:t>3</w:t>
            </w:r>
          </w:p>
        </w:tc>
        <w:tc>
          <w:tcPr>
            <w:tcW w:w="1152" w:type="dxa"/>
            <w:noWrap w:val="0"/>
            <w:vAlign w:val="center"/>
          </w:tcPr>
          <w:p w14:paraId="43B1ADA7">
            <w:pPr>
              <w:snapToGrid w:val="0"/>
              <w:spacing w:line="400" w:lineRule="exact"/>
              <w:jc w:val="center"/>
              <w:rPr>
                <w:rFonts w:ascii="宋体" w:hAnsi="宋体" w:cs="仿宋"/>
                <w:color w:val="000000"/>
                <w:sz w:val="24"/>
                <w:highlight w:val="none"/>
              </w:rPr>
            </w:pPr>
          </w:p>
        </w:tc>
        <w:tc>
          <w:tcPr>
            <w:tcW w:w="990" w:type="dxa"/>
            <w:noWrap w:val="0"/>
            <w:vAlign w:val="center"/>
          </w:tcPr>
          <w:p w14:paraId="358EA934">
            <w:pPr>
              <w:snapToGrid w:val="0"/>
              <w:spacing w:line="400" w:lineRule="exact"/>
              <w:jc w:val="center"/>
              <w:rPr>
                <w:rFonts w:ascii="宋体" w:hAnsi="宋体" w:cs="仿宋"/>
                <w:color w:val="000000"/>
                <w:sz w:val="24"/>
                <w:highlight w:val="none"/>
              </w:rPr>
            </w:pPr>
          </w:p>
        </w:tc>
        <w:tc>
          <w:tcPr>
            <w:tcW w:w="1152" w:type="dxa"/>
            <w:noWrap w:val="0"/>
            <w:vAlign w:val="center"/>
          </w:tcPr>
          <w:p w14:paraId="5F5E5AA4">
            <w:pPr>
              <w:snapToGrid w:val="0"/>
              <w:spacing w:line="400" w:lineRule="exact"/>
              <w:jc w:val="center"/>
              <w:rPr>
                <w:rFonts w:ascii="宋体" w:hAnsi="宋体" w:cs="仿宋"/>
                <w:color w:val="000000"/>
                <w:sz w:val="24"/>
                <w:highlight w:val="none"/>
              </w:rPr>
            </w:pPr>
          </w:p>
        </w:tc>
        <w:tc>
          <w:tcPr>
            <w:tcW w:w="1131" w:type="dxa"/>
            <w:noWrap w:val="0"/>
            <w:vAlign w:val="top"/>
          </w:tcPr>
          <w:p w14:paraId="4190D219">
            <w:pPr>
              <w:snapToGrid w:val="0"/>
              <w:spacing w:line="400" w:lineRule="exact"/>
              <w:jc w:val="center"/>
              <w:rPr>
                <w:rFonts w:ascii="宋体" w:hAnsi="宋体" w:cs="仿宋"/>
                <w:color w:val="000000"/>
                <w:sz w:val="24"/>
                <w:highlight w:val="none"/>
              </w:rPr>
            </w:pPr>
          </w:p>
        </w:tc>
        <w:tc>
          <w:tcPr>
            <w:tcW w:w="689" w:type="dxa"/>
            <w:noWrap w:val="0"/>
            <w:vAlign w:val="top"/>
          </w:tcPr>
          <w:p w14:paraId="39BEFB91">
            <w:pPr>
              <w:snapToGrid w:val="0"/>
              <w:spacing w:line="400" w:lineRule="exact"/>
              <w:jc w:val="center"/>
              <w:rPr>
                <w:rFonts w:ascii="宋体" w:hAnsi="宋体" w:cs="仿宋"/>
                <w:color w:val="000000"/>
                <w:sz w:val="24"/>
                <w:highlight w:val="none"/>
              </w:rPr>
            </w:pPr>
          </w:p>
        </w:tc>
        <w:tc>
          <w:tcPr>
            <w:tcW w:w="687" w:type="dxa"/>
            <w:noWrap w:val="0"/>
            <w:vAlign w:val="top"/>
          </w:tcPr>
          <w:p w14:paraId="67911982">
            <w:pPr>
              <w:snapToGrid w:val="0"/>
              <w:spacing w:line="400" w:lineRule="exact"/>
              <w:jc w:val="center"/>
              <w:rPr>
                <w:rFonts w:ascii="宋体" w:hAnsi="宋体" w:cs="仿宋"/>
                <w:color w:val="000000"/>
                <w:sz w:val="24"/>
                <w:highlight w:val="none"/>
              </w:rPr>
            </w:pPr>
          </w:p>
        </w:tc>
        <w:tc>
          <w:tcPr>
            <w:tcW w:w="1023" w:type="dxa"/>
            <w:noWrap w:val="0"/>
            <w:vAlign w:val="center"/>
          </w:tcPr>
          <w:p w14:paraId="16BB09A0">
            <w:pPr>
              <w:snapToGrid w:val="0"/>
              <w:spacing w:line="400" w:lineRule="exact"/>
              <w:jc w:val="center"/>
              <w:rPr>
                <w:rFonts w:ascii="宋体" w:hAnsi="宋体" w:cs="仿宋"/>
                <w:color w:val="000000"/>
                <w:sz w:val="24"/>
                <w:highlight w:val="none"/>
              </w:rPr>
            </w:pPr>
          </w:p>
        </w:tc>
        <w:tc>
          <w:tcPr>
            <w:tcW w:w="1070" w:type="dxa"/>
            <w:noWrap w:val="0"/>
            <w:vAlign w:val="center"/>
          </w:tcPr>
          <w:p w14:paraId="5344487E">
            <w:pPr>
              <w:snapToGrid w:val="0"/>
              <w:spacing w:line="400" w:lineRule="exact"/>
              <w:jc w:val="center"/>
              <w:rPr>
                <w:rFonts w:ascii="宋体" w:hAnsi="宋体" w:cs="仿宋"/>
                <w:color w:val="000000"/>
                <w:sz w:val="24"/>
                <w:highlight w:val="none"/>
              </w:rPr>
            </w:pPr>
          </w:p>
        </w:tc>
      </w:tr>
      <w:tr w14:paraId="3C55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8556" w:type="dxa"/>
            <w:gridSpan w:val="9"/>
            <w:noWrap w:val="0"/>
            <w:vAlign w:val="center"/>
          </w:tcPr>
          <w:p w14:paraId="25626204">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合计金额人民币（大写）                          （小写）</w:t>
            </w:r>
            <w:r>
              <w:rPr>
                <w:rFonts w:hint="eastAsia" w:ascii="宋体" w:hAnsi="宋体" w:cs="宋体"/>
                <w:color w:val="000000"/>
                <w:sz w:val="24"/>
                <w:highlight w:val="none"/>
              </w:rPr>
              <w:t>¥</w:t>
            </w:r>
          </w:p>
        </w:tc>
      </w:tr>
    </w:tbl>
    <w:p w14:paraId="0F5A6282">
      <w:pPr>
        <w:snapToGrid w:val="0"/>
        <w:spacing w:line="400" w:lineRule="exact"/>
        <w:ind w:right="420" w:firstLine="480" w:firstLineChars="200"/>
        <w:rPr>
          <w:rFonts w:ascii="宋体" w:hAnsi="宋体" w:cs="仿宋"/>
          <w:color w:val="000000"/>
          <w:sz w:val="24"/>
          <w:highlight w:val="none"/>
        </w:rPr>
      </w:pPr>
      <w:r>
        <w:rPr>
          <w:rFonts w:hint="eastAsia" w:ascii="宋体" w:hAnsi="宋体" w:cs="仿宋"/>
          <w:color w:val="000000"/>
          <w:sz w:val="24"/>
          <w:highlight w:val="none"/>
        </w:rPr>
        <w:t>2.合同合计金额包括但不限于货款、标准附件、备品备件、专用工具、包装、运输、装卸、保险、税金、货到就位以及安装、调试、培训、保修等一切税金和费用。在合同履行过程中，甲方不予支付合同以外的其他费用。乙方负责工人人身、设备安全责任，验收前，设备丢失自行负责。</w:t>
      </w:r>
    </w:p>
    <w:p w14:paraId="1FCD42CB">
      <w:pPr>
        <w:snapToGrid w:val="0"/>
        <w:spacing w:line="400" w:lineRule="exact"/>
        <w:ind w:firstLine="482" w:firstLineChars="200"/>
        <w:rPr>
          <w:rFonts w:ascii="宋体" w:hAnsi="宋体" w:cs="仿宋"/>
          <w:color w:val="000000"/>
          <w:sz w:val="24"/>
          <w:highlight w:val="none"/>
        </w:rPr>
      </w:pPr>
      <w:r>
        <w:rPr>
          <w:rFonts w:hint="eastAsia" w:ascii="宋体" w:hAnsi="宋体" w:cs="仿宋"/>
          <w:b/>
          <w:color w:val="000000"/>
          <w:sz w:val="24"/>
          <w:highlight w:val="none"/>
        </w:rPr>
        <w:t>第二条　质量要求</w:t>
      </w:r>
    </w:p>
    <w:p w14:paraId="2CC07D1E">
      <w:pPr>
        <w:snapToGrid w:val="0"/>
        <w:spacing w:line="40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1.乙方所提供的产品名称、商标品牌、生产厂家、规格型号、技术参数等质量必须与公开招标文件规定及投标文件承诺相一致。乙方提供的节能和环保产品必须是列入政府采购品目清单的产品。</w:t>
      </w:r>
    </w:p>
    <w:p w14:paraId="7B4566C2">
      <w:pPr>
        <w:snapToGrid w:val="0"/>
        <w:spacing w:line="400" w:lineRule="exact"/>
        <w:ind w:firstLine="480" w:firstLineChars="200"/>
        <w:rPr>
          <w:rFonts w:ascii="宋体" w:hAnsi="宋体" w:cs="仿宋"/>
          <w:color w:val="000000"/>
          <w:sz w:val="24"/>
          <w:highlight w:val="none"/>
          <w:u w:val="single"/>
        </w:rPr>
      </w:pPr>
      <w:r>
        <w:rPr>
          <w:rFonts w:hint="eastAsia" w:ascii="宋体" w:hAnsi="宋体" w:cs="仿宋"/>
          <w:color w:val="000000"/>
          <w:sz w:val="24"/>
          <w:highlight w:val="none"/>
        </w:rPr>
        <w:t>2.乙方所提供的货物必须是全新、未使用的原装产品，且在正常安装、使用和保养条件下，其使用寿命期内各项指标均达到公开招标文件规定或投标文件承诺的质量要求。</w:t>
      </w:r>
    </w:p>
    <w:p w14:paraId="398DAC65">
      <w:pPr>
        <w:snapToGrid w:val="0"/>
        <w:spacing w:line="400" w:lineRule="exact"/>
        <w:ind w:firstLine="482" w:firstLineChars="200"/>
        <w:rPr>
          <w:rFonts w:ascii="宋体" w:hAnsi="宋体" w:cs="仿宋"/>
          <w:color w:val="000000"/>
          <w:sz w:val="24"/>
          <w:highlight w:val="none"/>
        </w:rPr>
      </w:pPr>
      <w:r>
        <w:rPr>
          <w:rFonts w:hint="eastAsia" w:ascii="宋体" w:hAnsi="宋体" w:cs="仿宋"/>
          <w:b/>
          <w:color w:val="000000"/>
          <w:sz w:val="24"/>
          <w:highlight w:val="none"/>
        </w:rPr>
        <w:t>第三条　权利保证</w:t>
      </w:r>
    </w:p>
    <w:p w14:paraId="27A9D7EB">
      <w:pPr>
        <w:snapToGrid w:val="0"/>
        <w:spacing w:line="40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1.乙方应保证所提供货物在使用时不会侵犯任何第三方的专利权、商标权、工业设计权或其他权利。</w:t>
      </w:r>
    </w:p>
    <w:p w14:paraId="78748365">
      <w:pPr>
        <w:snapToGrid w:val="0"/>
        <w:spacing w:line="40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2.乙方应按公开招标文件规定或投标文件承诺的时间向甲方提供使用货物的有关技术资料。</w:t>
      </w:r>
    </w:p>
    <w:p w14:paraId="1ECEEC8B">
      <w:pPr>
        <w:snapToGrid w:val="0"/>
        <w:spacing w:line="40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4993B65">
      <w:pPr>
        <w:snapToGrid w:val="0"/>
        <w:spacing w:line="40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4.乙方保证交付的货物的所有权完全属于乙方且无任何抵押、质押、查封等产权瑕疵。</w:t>
      </w:r>
    </w:p>
    <w:p w14:paraId="33249425">
      <w:pPr>
        <w:snapToGrid w:val="0"/>
        <w:spacing w:line="40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5.乙方提供的货物及制作安装采用的各种配件、材料均应满足国家和行业规范标准。</w:t>
      </w:r>
    </w:p>
    <w:p w14:paraId="29A6AD4B">
      <w:pPr>
        <w:snapToGrid w:val="0"/>
        <w:spacing w:line="400" w:lineRule="exact"/>
        <w:ind w:firstLine="482" w:firstLineChars="200"/>
        <w:rPr>
          <w:rFonts w:ascii="宋体" w:hAnsi="宋体" w:cs="仿宋"/>
          <w:b/>
          <w:color w:val="000000"/>
          <w:sz w:val="24"/>
          <w:highlight w:val="none"/>
        </w:rPr>
      </w:pPr>
      <w:r>
        <w:rPr>
          <w:rFonts w:hint="eastAsia" w:ascii="宋体" w:hAnsi="宋体" w:cs="仿宋"/>
          <w:b/>
          <w:color w:val="000000"/>
          <w:sz w:val="24"/>
          <w:highlight w:val="none"/>
        </w:rPr>
        <w:t>第四条　包装和运输</w:t>
      </w:r>
    </w:p>
    <w:p w14:paraId="647D61A5">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 乙方提供的货物均应按公开招标文件、投标文件要求的包装材料、包装标准、包装方式、运输距离、防潮、防震、防锈和防破损装卸等要求包装，以保证货物安全运达甲方指定地点，每一包装单元内应附详细的装箱单和质量合格证。除合同另有规定外，乙方提供的全部货物应按标准保护措施进行包装，由于包装不善所引起的货物损失均由乙方承担。</w:t>
      </w:r>
    </w:p>
    <w:p w14:paraId="567F7305">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2. 乙方应提供设备的随机附件、技术资料，可包括相应的安装配件、图纸、操作手册、维护手册、质量保证文件、服务指南、清单等一并附于货物内。</w:t>
      </w:r>
    </w:p>
    <w:p w14:paraId="6B0D00BC">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3. 货物的运输方式（</w:t>
      </w:r>
      <w:r>
        <w:rPr>
          <w:rFonts w:hint="eastAsia" w:ascii="宋体" w:hAnsi="宋体" w:cs="仿宋"/>
          <w:color w:val="000000"/>
          <w:sz w:val="24"/>
          <w:highlight w:val="none"/>
          <w:u w:val="single"/>
        </w:rPr>
        <w:t xml:space="preserve">由乙方自定）  </w:t>
      </w:r>
      <w:r>
        <w:rPr>
          <w:rFonts w:hint="eastAsia" w:ascii="宋体" w:hAnsi="宋体" w:cs="仿宋"/>
          <w:color w:val="000000"/>
          <w:sz w:val="24"/>
          <w:highlight w:val="none"/>
        </w:rPr>
        <w:t>，货物运输合理损耗及计算方法：</w:t>
      </w:r>
      <w:r>
        <w:rPr>
          <w:rFonts w:hint="eastAsia" w:ascii="宋体" w:hAnsi="宋体" w:cs="仿宋"/>
          <w:color w:val="000000"/>
          <w:sz w:val="24"/>
          <w:highlight w:val="none"/>
          <w:u w:val="single"/>
        </w:rPr>
        <w:t xml:space="preserve">  由乙方负责  </w:t>
      </w:r>
      <w:r>
        <w:rPr>
          <w:rFonts w:hint="eastAsia" w:ascii="宋体" w:hAnsi="宋体" w:cs="仿宋"/>
          <w:color w:val="000000"/>
          <w:sz w:val="24"/>
          <w:highlight w:val="none"/>
        </w:rPr>
        <w:t>。</w:t>
      </w:r>
    </w:p>
    <w:p w14:paraId="732483C7">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4.乙方在货物发运手续办理完毕后二十四小时内或货到甲方四十八小时前通知甲方，以准备接货。货物在交付甲方前发生的风险均由乙方负责。</w:t>
      </w:r>
    </w:p>
    <w:p w14:paraId="33B8D2E9">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5. 货物在规定的交货期限内由乙方送达甲方指定的地点视为交货，乙方同时提供合格证及技术参数表给甲方，需通知甲方货物已送达。</w:t>
      </w:r>
    </w:p>
    <w:p w14:paraId="7354B9FE">
      <w:pPr>
        <w:spacing w:line="460" w:lineRule="exact"/>
        <w:ind w:firstLine="482" w:firstLineChars="200"/>
        <w:rPr>
          <w:rFonts w:ascii="宋体" w:hAnsi="宋体" w:cs="仿宋"/>
          <w:b/>
          <w:bCs/>
          <w:color w:val="000000"/>
          <w:sz w:val="24"/>
          <w:highlight w:val="none"/>
        </w:rPr>
      </w:pPr>
      <w:r>
        <w:rPr>
          <w:rFonts w:hint="eastAsia" w:ascii="宋体" w:hAnsi="宋体" w:cs="仿宋"/>
          <w:b/>
          <w:bCs/>
          <w:color w:val="000000"/>
          <w:sz w:val="24"/>
          <w:highlight w:val="none"/>
        </w:rPr>
        <w:t>第五条　交付、安装和调试</w:t>
      </w:r>
    </w:p>
    <w:p w14:paraId="4F5EE7DE">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 交付使用时间： 自签订合同之日起    日内，货物所涉及全部设备交货、安装调试完毕、验收合格并交付使用。交付地点：甲方指定地点 。乙方负责处理安装设备产生的垃圾。</w:t>
      </w:r>
    </w:p>
    <w:p w14:paraId="28550ADC">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2. 乙方交付的货物应当完全符合本合同或招标文件所规定的货物、数量、规格等要求，外观、说明书符合招标文件技术要求的，给予签收，若乙方提供不符合招标文件、投标文件和本合同规定的货物，甲方有权拒绝接受，由此引起的风险由乙方承担。</w:t>
      </w:r>
    </w:p>
    <w:p w14:paraId="7BE12A03">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3.乙方交货前应将所提供货物的装箱清单、用户手册、原厂保修卡、随机资料、工具和备品、备件等作出全面检查和对验收文件进行整理，并列出清单，作为甲方收货验收和使用的技术条件依据，检验的结果应随货物交甲方。乙方未能提供完整合同标的的货物及本条款规定的证件和工具的，视为未按合同约定交货，乙方应负责及时补齐，因此导致逾期交付的，由乙方承担相关违约责任。</w:t>
      </w:r>
    </w:p>
    <w:p w14:paraId="399EF140">
      <w:pPr>
        <w:spacing w:line="360" w:lineRule="auto"/>
        <w:ind w:firstLine="480" w:firstLineChars="200"/>
        <w:rPr>
          <w:rFonts w:ascii="宋体" w:hAnsi="宋体" w:cs="仿宋"/>
          <w:color w:val="000000"/>
          <w:sz w:val="24"/>
          <w:highlight w:val="none"/>
        </w:rPr>
      </w:pPr>
      <w:r>
        <w:rPr>
          <w:rFonts w:hint="eastAsia" w:ascii="宋体" w:hAnsi="宋体" w:cs="仿宋"/>
          <w:color w:val="000000"/>
          <w:sz w:val="24"/>
          <w:highlight w:val="none"/>
        </w:rPr>
        <w:t>4.乙方负责安装并培训甲方的使用操作人员。甲方对乙方提供的货物在使用前进行调试时，乙方需协助甲方一起调试，直到符合技术要求，甲方才做最终验收。</w:t>
      </w:r>
    </w:p>
    <w:p w14:paraId="2D59E0DB">
      <w:pPr>
        <w:spacing w:line="360" w:lineRule="auto"/>
        <w:ind w:firstLine="480" w:firstLineChars="200"/>
        <w:rPr>
          <w:rFonts w:ascii="宋体" w:hAnsi="宋体" w:cs="仿宋"/>
          <w:color w:val="000000"/>
          <w:sz w:val="24"/>
          <w:highlight w:val="none"/>
        </w:rPr>
      </w:pPr>
      <w:r>
        <w:rPr>
          <w:rFonts w:hint="eastAsia" w:ascii="宋体" w:hAnsi="宋体" w:cs="仿宋"/>
          <w:color w:val="000000"/>
          <w:sz w:val="24"/>
          <w:highlight w:val="none"/>
        </w:rPr>
        <w:t>5.设备如需接入医院HIS、LIS或PACS系统及互联互通系统，相关费用由乙方负责。</w:t>
      </w:r>
    </w:p>
    <w:p w14:paraId="542B0DD1">
      <w:pPr>
        <w:spacing w:line="460" w:lineRule="exact"/>
        <w:ind w:firstLine="482" w:firstLineChars="200"/>
        <w:rPr>
          <w:rFonts w:ascii="宋体" w:hAnsi="宋体" w:cs="仿宋"/>
          <w:b/>
          <w:bCs/>
          <w:color w:val="000000"/>
          <w:sz w:val="24"/>
          <w:highlight w:val="none"/>
        </w:rPr>
      </w:pPr>
      <w:r>
        <w:rPr>
          <w:rFonts w:hint="eastAsia" w:ascii="宋体" w:hAnsi="宋体" w:cs="仿宋"/>
          <w:b/>
          <w:bCs/>
          <w:color w:val="000000"/>
          <w:sz w:val="24"/>
          <w:highlight w:val="none"/>
        </w:rPr>
        <w:t>第六条　培训和验收</w:t>
      </w:r>
    </w:p>
    <w:p w14:paraId="102F179B">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1.甲方应提供必要安装、培训条件（如场地、电源、水源等）。培训时间、地点： 由甲方根据情况合理安排。培训形式：①现场使用培训：安装调试结束后，乙方培训工程师对机器正确使用方法进行示范操作，保证教会使用人员能正确使用设备。②集中授课：乙方培训工程师使用专门讲义进行授课，并进行考核考试。</w:t>
      </w:r>
    </w:p>
    <w:p w14:paraId="4184B554">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2.验收标准：乙方在货物验收时由甲方对照招标文件的功能目标及技术指标全面核对检验，对所有要求出具的证明文件的原件进行核查，如不符合招标文件的技术需求及要求以及提供虚假承诺的，按相关规定做退货处理及违约处理，乙方承担所有责任和费用，甲方保留进一步追究责任的权利。</w:t>
      </w:r>
    </w:p>
    <w:p w14:paraId="51297065">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3.甲方应当在货物安装、调试完成后乙方提供书面验收申请书，15个工作日内进行验收，逾期不验收的验收前乙方需提供验收过程完成后及招标文件中约定的资料，乙方可视同验收合格。验收合格后由甲乙双方签署货物验收单并加盖采购人公章，甲乙双方各执一份。</w:t>
      </w:r>
    </w:p>
    <w:p w14:paraId="7DAAE6C4">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4.对技术复杂的货物，甲方应请国家认可具有资质的专业检测机构参与初步验收及最终验收，并由其出具质量检测报告。验收时乙方必须在现场，验收完毕后作出验收结果报告；验收费用由乙方负责。</w:t>
      </w:r>
    </w:p>
    <w:p w14:paraId="7FBC9113">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5. 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5A2DE234">
      <w:pPr>
        <w:spacing w:line="360" w:lineRule="auto"/>
        <w:ind w:firstLine="480" w:firstLineChars="200"/>
        <w:rPr>
          <w:rFonts w:ascii="宋体" w:hAnsi="宋体" w:cs="仿宋"/>
          <w:color w:val="000000"/>
          <w:sz w:val="24"/>
          <w:highlight w:val="none"/>
        </w:rPr>
      </w:pPr>
      <w:r>
        <w:rPr>
          <w:rFonts w:hint="eastAsia" w:ascii="宋体" w:hAnsi="宋体" w:cs="仿宋"/>
          <w:color w:val="000000"/>
          <w:sz w:val="24"/>
          <w:highlight w:val="none"/>
        </w:rPr>
        <w:t>6. 甲方对验收有异议的，在验收后</w:t>
      </w:r>
      <w:r>
        <w:rPr>
          <w:rFonts w:hint="eastAsia" w:ascii="宋体" w:hAnsi="宋体" w:cs="仿宋"/>
          <w:color w:val="000000"/>
          <w:sz w:val="24"/>
          <w:highlight w:val="none"/>
          <w:u w:val="single"/>
        </w:rPr>
        <w:t>5个工作日</w:t>
      </w:r>
      <w:r>
        <w:rPr>
          <w:rFonts w:hint="eastAsia" w:ascii="宋体" w:hAnsi="宋体" w:cs="仿宋"/>
          <w:color w:val="000000"/>
          <w:sz w:val="24"/>
          <w:highlight w:val="none"/>
        </w:rPr>
        <w:t>内以书面形式向乙方提出，乙方应自收到甲方书面异议后</w:t>
      </w:r>
      <w:r>
        <w:rPr>
          <w:rFonts w:hint="eastAsia" w:ascii="宋体" w:hAnsi="宋体" w:cs="仿宋"/>
          <w:color w:val="000000"/>
          <w:sz w:val="24"/>
          <w:highlight w:val="none"/>
          <w:u w:val="single"/>
        </w:rPr>
        <w:t>7个工作</w:t>
      </w:r>
      <w:r>
        <w:rPr>
          <w:rFonts w:hint="eastAsia" w:ascii="宋体" w:hAnsi="宋体" w:cs="仿宋"/>
          <w:color w:val="000000"/>
          <w:sz w:val="24"/>
          <w:highlight w:val="none"/>
        </w:rPr>
        <w:t>日内及时予以解决。甲方根据乙方提出的解决情况，确认问题已解决并签字确认后</w:t>
      </w:r>
      <w:r>
        <w:rPr>
          <w:rFonts w:hint="eastAsia" w:ascii="宋体" w:hAnsi="宋体" w:cs="仿宋"/>
          <w:color w:val="000000"/>
          <w:sz w:val="24"/>
          <w:highlight w:val="none"/>
          <w:u w:val="single"/>
        </w:rPr>
        <w:t>7个工作日</w:t>
      </w:r>
      <w:r>
        <w:rPr>
          <w:rFonts w:hint="eastAsia" w:ascii="宋体" w:hAnsi="宋体" w:cs="仿宋"/>
          <w:color w:val="000000"/>
          <w:sz w:val="24"/>
          <w:highlight w:val="none"/>
        </w:rPr>
        <w:t>内进行货物再验收。</w:t>
      </w:r>
    </w:p>
    <w:p w14:paraId="331A5CBE">
      <w:pPr>
        <w:spacing w:line="360" w:lineRule="auto"/>
        <w:ind w:firstLine="482" w:firstLineChars="200"/>
        <w:rPr>
          <w:rFonts w:ascii="宋体" w:hAnsi="宋体" w:cs="仿宋"/>
          <w:b/>
          <w:bCs/>
          <w:color w:val="000000"/>
          <w:sz w:val="24"/>
          <w:highlight w:val="none"/>
        </w:rPr>
      </w:pPr>
      <w:r>
        <w:rPr>
          <w:rFonts w:hint="eastAsia" w:ascii="宋体" w:hAnsi="宋体" w:cs="仿宋"/>
          <w:b/>
          <w:bCs/>
          <w:color w:val="000000"/>
          <w:sz w:val="24"/>
          <w:highlight w:val="none"/>
        </w:rPr>
        <w:t>第七条　付款方式</w:t>
      </w:r>
    </w:p>
    <w:p w14:paraId="6ECBC37A">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 当采购数量与实际使用数量不一致时，乙方应根据实际使用量供货，合同的最终结算金额按实际使用量乘以中标单价进行计算。</w:t>
      </w:r>
    </w:p>
    <w:p w14:paraId="45A170F2">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2. 资金性质：</w:t>
      </w:r>
      <w:r>
        <w:rPr>
          <w:rFonts w:hint="eastAsia" w:ascii="宋体" w:hAnsi="宋体" w:cs="仿宋"/>
          <w:color w:val="000000"/>
          <w:sz w:val="24"/>
          <w:highlight w:val="none"/>
          <w:u w:val="single"/>
        </w:rPr>
        <w:t xml:space="preserve">财政性资金  </w:t>
      </w:r>
      <w:r>
        <w:rPr>
          <w:rFonts w:hint="eastAsia" w:ascii="宋体" w:hAnsi="宋体" w:cs="仿宋"/>
          <w:color w:val="000000"/>
          <w:sz w:val="24"/>
          <w:highlight w:val="none"/>
        </w:rPr>
        <w:t>。</w:t>
      </w:r>
    </w:p>
    <w:p w14:paraId="445424F1">
      <w:pPr>
        <w:ind w:firstLine="360" w:firstLineChars="150"/>
        <w:rPr>
          <w:rFonts w:hint="eastAsia" w:ascii="宋体" w:hAnsi="宋体" w:cs="仿宋"/>
          <w:color w:val="000000"/>
          <w:sz w:val="24"/>
          <w:highlight w:val="none"/>
        </w:rPr>
      </w:pPr>
      <w:r>
        <w:rPr>
          <w:rFonts w:hint="eastAsia" w:ascii="宋体" w:hAnsi="宋体" w:cs="仿宋"/>
          <w:color w:val="000000"/>
          <w:sz w:val="24"/>
          <w:highlight w:val="none"/>
        </w:rPr>
        <w:t>3.付款方式：</w:t>
      </w:r>
    </w:p>
    <w:p w14:paraId="7710BAD3">
      <w:pPr>
        <w:ind w:firstLine="360" w:firstLineChars="150"/>
        <w:rPr>
          <w:rFonts w:ascii="宋体" w:hAnsi="宋体" w:cs="仿宋"/>
          <w:color w:val="000000"/>
          <w:sz w:val="24"/>
          <w:highlight w:val="none"/>
        </w:rPr>
      </w:pPr>
      <w:r>
        <w:rPr>
          <w:rFonts w:hint="eastAsia" w:ascii="宋体" w:hAnsi="宋体" w:cs="仿宋"/>
          <w:color w:val="000000"/>
          <w:sz w:val="24"/>
          <w:highlight w:val="none"/>
        </w:rPr>
        <w:t>签订合同后无预付款，到货后付10%，验收合格半年后付40%，验收合格1年后付50%，整个付款期内合同金额不计利息。</w:t>
      </w:r>
    </w:p>
    <w:p w14:paraId="36DEBA46">
      <w:pPr>
        <w:snapToGrid w:val="0"/>
        <w:spacing w:line="400" w:lineRule="exact"/>
        <w:ind w:left="-61" w:leftChars="-29" w:firstLine="590" w:firstLineChars="245"/>
        <w:rPr>
          <w:rFonts w:ascii="宋体" w:hAnsi="宋体" w:cs="仿宋"/>
          <w:b/>
          <w:color w:val="000000"/>
          <w:sz w:val="24"/>
          <w:highlight w:val="none"/>
        </w:rPr>
      </w:pPr>
      <w:r>
        <w:rPr>
          <w:rFonts w:hint="eastAsia" w:ascii="宋体" w:hAnsi="宋体" w:cs="仿宋"/>
          <w:b/>
          <w:color w:val="000000"/>
          <w:sz w:val="24"/>
          <w:highlight w:val="none"/>
        </w:rPr>
        <w:t>第八条　履约保证金</w:t>
      </w:r>
    </w:p>
    <w:p w14:paraId="15F9581B">
      <w:pPr>
        <w:autoSpaceDE w:val="0"/>
        <w:autoSpaceDN w:val="0"/>
        <w:snapToGrid w:val="0"/>
        <w:spacing w:line="400" w:lineRule="exact"/>
        <w:ind w:firstLine="484" w:firstLineChars="202"/>
        <w:textAlignment w:val="bottom"/>
        <w:rPr>
          <w:rFonts w:ascii="宋体" w:hAnsi="宋体" w:cs="仿宋"/>
          <w:color w:val="000000"/>
          <w:sz w:val="24"/>
          <w:highlight w:val="none"/>
        </w:rPr>
      </w:pPr>
      <w:r>
        <w:rPr>
          <w:rFonts w:hint="eastAsia" w:ascii="宋体" w:hAnsi="宋体" w:cs="仿宋"/>
          <w:color w:val="000000"/>
          <w:sz w:val="24"/>
          <w:highlight w:val="none"/>
        </w:rPr>
        <w:t>本项目不收取履约保证金</w:t>
      </w:r>
    </w:p>
    <w:p w14:paraId="67E1FC56">
      <w:pPr>
        <w:autoSpaceDE w:val="0"/>
        <w:autoSpaceDN w:val="0"/>
        <w:snapToGrid w:val="0"/>
        <w:spacing w:line="400" w:lineRule="exact"/>
        <w:ind w:firstLine="487" w:firstLineChars="202"/>
        <w:textAlignment w:val="bottom"/>
        <w:rPr>
          <w:rFonts w:ascii="宋体" w:hAnsi="宋体" w:cs="仿宋"/>
          <w:b/>
          <w:color w:val="000000"/>
          <w:sz w:val="24"/>
          <w:highlight w:val="none"/>
        </w:rPr>
      </w:pPr>
      <w:r>
        <w:rPr>
          <w:rFonts w:hint="eastAsia" w:ascii="宋体" w:hAnsi="宋体" w:cs="仿宋"/>
          <w:b/>
          <w:color w:val="000000"/>
          <w:sz w:val="24"/>
          <w:highlight w:val="none"/>
        </w:rPr>
        <w:t>第九条  税费</w:t>
      </w:r>
    </w:p>
    <w:p w14:paraId="425E7121">
      <w:pPr>
        <w:snapToGrid w:val="0"/>
        <w:spacing w:line="400" w:lineRule="exact"/>
        <w:ind w:left="-61" w:firstLine="514"/>
        <w:rPr>
          <w:rFonts w:ascii="宋体" w:hAnsi="宋体" w:cs="仿宋"/>
          <w:color w:val="000000"/>
          <w:sz w:val="24"/>
          <w:highlight w:val="none"/>
        </w:rPr>
      </w:pPr>
      <w:r>
        <w:rPr>
          <w:rFonts w:hint="eastAsia" w:ascii="宋体" w:hAnsi="宋体" w:cs="仿宋"/>
          <w:color w:val="000000"/>
          <w:sz w:val="24"/>
          <w:highlight w:val="none"/>
        </w:rPr>
        <w:t>本合同执行中相关的一切税费均由乙方负担，合同另有约定的除外。</w:t>
      </w:r>
    </w:p>
    <w:p w14:paraId="69D44489">
      <w:pPr>
        <w:snapToGrid w:val="0"/>
        <w:spacing w:line="400" w:lineRule="exact"/>
        <w:ind w:left="-61" w:firstLine="514"/>
        <w:rPr>
          <w:rFonts w:ascii="宋体" w:hAnsi="宋体" w:cs="仿宋"/>
          <w:color w:val="000000"/>
          <w:sz w:val="24"/>
          <w:highlight w:val="none"/>
        </w:rPr>
      </w:pPr>
      <w:r>
        <w:rPr>
          <w:rFonts w:hint="eastAsia" w:ascii="宋体" w:hAnsi="宋体" w:cs="仿宋"/>
          <w:b/>
          <w:color w:val="000000"/>
          <w:sz w:val="24"/>
          <w:highlight w:val="none"/>
        </w:rPr>
        <w:t>第十条  质量保证及售后服务</w:t>
      </w:r>
    </w:p>
    <w:p w14:paraId="2FB94E41">
      <w:pPr>
        <w:snapToGrid w:val="0"/>
        <w:spacing w:line="400" w:lineRule="exact"/>
        <w:ind w:firstLine="480" w:firstLineChars="200"/>
        <w:rPr>
          <w:rFonts w:ascii="宋体" w:hAnsi="宋体" w:cs="仿宋"/>
          <w:color w:val="000000"/>
          <w:sz w:val="24"/>
          <w:highlight w:val="none"/>
        </w:rPr>
      </w:pPr>
      <w:r>
        <w:rPr>
          <w:rFonts w:hint="eastAsia" w:ascii="宋体" w:hAnsi="宋体" w:cs="仿宋"/>
          <w:bCs/>
          <w:color w:val="000000"/>
          <w:sz w:val="24"/>
          <w:highlight w:val="none"/>
        </w:rPr>
        <w:t>1.</w:t>
      </w:r>
      <w:r>
        <w:rPr>
          <w:rFonts w:hint="eastAsia" w:ascii="宋体" w:hAnsi="宋体" w:cs="仿宋"/>
          <w:color w:val="000000"/>
          <w:sz w:val="24"/>
          <w:highlight w:val="none"/>
        </w:rPr>
        <w:t>乙方应按公开招标文件规定的产品名称、商标品牌、生产厂家、规格型号、技术参数、质量标准向甲方提供未经使用的全新产品。不符合要求的，根据实际情况，经双方协商，可按以下办法处理：</w:t>
      </w:r>
    </w:p>
    <w:p w14:paraId="4F69335C">
      <w:pPr>
        <w:snapToGrid w:val="0"/>
        <w:spacing w:line="40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⑴更换：由乙方承担所发生的全部费用。</w:t>
      </w:r>
    </w:p>
    <w:p w14:paraId="1FBBCE03">
      <w:pPr>
        <w:snapToGrid w:val="0"/>
        <w:spacing w:line="400" w:lineRule="exact"/>
        <w:ind w:firstLine="420"/>
        <w:rPr>
          <w:rFonts w:ascii="宋体" w:hAnsi="宋体" w:cs="仿宋"/>
          <w:color w:val="000000"/>
          <w:sz w:val="24"/>
          <w:highlight w:val="none"/>
        </w:rPr>
      </w:pPr>
      <w:r>
        <w:rPr>
          <w:rFonts w:hint="eastAsia" w:ascii="宋体" w:hAnsi="宋体" w:cs="仿宋"/>
          <w:color w:val="000000"/>
          <w:sz w:val="24"/>
          <w:highlight w:val="none"/>
        </w:rPr>
        <w:t>⑵贬值处理：由甲乙双方合议定价。</w:t>
      </w:r>
    </w:p>
    <w:p w14:paraId="602FED17">
      <w:pPr>
        <w:snapToGrid w:val="0"/>
        <w:spacing w:line="400" w:lineRule="exact"/>
        <w:ind w:firstLine="420"/>
        <w:rPr>
          <w:rFonts w:ascii="宋体" w:hAnsi="宋体" w:cs="仿宋"/>
          <w:color w:val="000000"/>
          <w:sz w:val="24"/>
          <w:highlight w:val="none"/>
        </w:rPr>
      </w:pPr>
      <w:r>
        <w:rPr>
          <w:rFonts w:hint="eastAsia" w:ascii="宋体" w:hAnsi="宋体" w:cs="仿宋"/>
          <w:color w:val="000000"/>
          <w:sz w:val="24"/>
          <w:highlight w:val="none"/>
        </w:rPr>
        <w:t>⑶退货处理：乙方应退还甲方支付的合同款，同时应承担该货物的直接费用（运输、保险、检验、货款利息及银行手续费等）。</w:t>
      </w:r>
    </w:p>
    <w:p w14:paraId="0E17DB92">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 xml:space="preserve"> 2.乙方应按照国家有关法律法规和“三包”规定以及招标文件、投标文件和本合同所附的《售后服务承诺书》，为甲方提供售后服务。</w:t>
      </w:r>
    </w:p>
    <w:p w14:paraId="4B66B52E">
      <w:pPr>
        <w:spacing w:line="460" w:lineRule="exact"/>
        <w:ind w:firstLine="600" w:firstLineChars="250"/>
        <w:rPr>
          <w:rFonts w:ascii="宋体" w:hAnsi="宋体" w:cs="仿宋"/>
          <w:color w:val="000000"/>
          <w:sz w:val="24"/>
          <w:highlight w:val="none"/>
        </w:rPr>
      </w:pPr>
      <w:r>
        <w:rPr>
          <w:rFonts w:hint="eastAsia" w:ascii="宋体" w:hAnsi="宋体" w:cs="仿宋"/>
          <w:color w:val="000000"/>
          <w:sz w:val="24"/>
          <w:highlight w:val="none"/>
        </w:rPr>
        <w:t>3.产品质量保证期应当包括但不限于：货物验收合格之日起</w:t>
      </w:r>
      <w:r>
        <w:rPr>
          <w:rFonts w:hint="eastAsia" w:ascii="宋体" w:hAnsi="宋体" w:cs="仿宋"/>
          <w:color w:val="000000"/>
          <w:sz w:val="24"/>
          <w:highlight w:val="none"/>
          <w:u w:val="single"/>
        </w:rPr>
        <w:t xml:space="preserve">   </w:t>
      </w:r>
      <w:r>
        <w:rPr>
          <w:rFonts w:hint="eastAsia" w:ascii="宋体" w:hAnsi="宋体" w:cs="仿宋"/>
          <w:color w:val="000000"/>
          <w:sz w:val="24"/>
          <w:highlight w:val="none"/>
        </w:rPr>
        <w:t>个月。质保期内，乙方对其提供的设备进行上门维修、更换零部件，不收取额外费用。质保期后五年内有足够的备品备件，并提供终身维修及保养，维修时只收部件成本费。</w:t>
      </w:r>
    </w:p>
    <w:p w14:paraId="0B0DCFEC">
      <w:pPr>
        <w:spacing w:line="460" w:lineRule="exact"/>
        <w:ind w:firstLine="600" w:firstLineChars="250"/>
        <w:rPr>
          <w:rFonts w:ascii="宋体" w:hAnsi="宋体" w:cs="仿宋"/>
          <w:color w:val="000000"/>
          <w:sz w:val="24"/>
          <w:highlight w:val="none"/>
        </w:rPr>
      </w:pPr>
      <w:r>
        <w:rPr>
          <w:rFonts w:hint="eastAsia" w:ascii="宋体" w:hAnsi="宋体" w:cs="仿宋"/>
          <w:color w:val="000000"/>
          <w:sz w:val="24"/>
          <w:highlight w:val="none"/>
        </w:rPr>
        <w:t>4.质保期内乙方应提供5*8小时远程桌面或7*24小时电话技术支持。如在使用过程中发生质量问题，乙方在接到甲方通知后立即响应，并在24小时内到达甲方现场维修，对货物出现的质量及安全问题负责处理解决并承担一切费用。如果需要更换配件的，要求更换的配件应跟被更换的品牌、类型相一致或者是同类同档次的替代品，乙方需征得甲方管理人员同意。</w:t>
      </w:r>
    </w:p>
    <w:p w14:paraId="60E96175">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5.设备质保期内一周如出现3次以上停机或设备故障的，甲方有权要求乙方退货或更换机器，所产生费用由乙方承担。</w:t>
      </w:r>
    </w:p>
    <w:p w14:paraId="2FCD009C">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6.当设备有重大级别提升时，乙方为设备进行软件升级。</w:t>
      </w:r>
    </w:p>
    <w:p w14:paraId="39C7F3DD">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7.乙方应派工程技术人员一年两次定期对设备进行维护保养。</w:t>
      </w:r>
    </w:p>
    <w:p w14:paraId="6933A68C">
      <w:pPr>
        <w:spacing w:line="460" w:lineRule="exact"/>
        <w:ind w:firstLine="482" w:firstLineChars="200"/>
        <w:rPr>
          <w:rFonts w:ascii="宋体" w:hAnsi="宋体" w:cs="仿宋"/>
          <w:b/>
          <w:bCs/>
          <w:color w:val="000000"/>
          <w:sz w:val="24"/>
          <w:highlight w:val="none"/>
        </w:rPr>
      </w:pPr>
      <w:r>
        <w:rPr>
          <w:rFonts w:hint="eastAsia" w:ascii="宋体" w:hAnsi="宋体" w:cs="仿宋"/>
          <w:b/>
          <w:bCs/>
          <w:color w:val="000000"/>
          <w:sz w:val="24"/>
          <w:highlight w:val="none"/>
        </w:rPr>
        <w:t>第十一条　违约责任</w:t>
      </w:r>
    </w:p>
    <w:p w14:paraId="70392ACF">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 乙方所提供的货物规格、技术标准、材料等质量不合格的，应及时更换，更换不及时的按逾期交货处罚；因质量问题甲方不同意接收的或特殊情况甲方不同意接收的，乙方应向甲方支付违约货款额5%违约金并赔偿甲方经济损失。</w:t>
      </w:r>
    </w:p>
    <w:p w14:paraId="6A126CE0">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2. 乙方提供的货物如侵犯了第三方合法权益而引发的任何纠纷或诉讼，均由乙方负责交涉并承担全部责任。</w:t>
      </w:r>
    </w:p>
    <w:p w14:paraId="0326A1C0">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3. 因包装、运输引起的货物损坏，按质量不合格处罚。</w:t>
      </w:r>
    </w:p>
    <w:p w14:paraId="0BB99CFC">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4. 甲方无故延期接收货物、乙方逾期交货的，每天向对方偿付违约货款额3‰违约金，超过</w:t>
      </w:r>
      <w:r>
        <w:rPr>
          <w:rFonts w:hint="eastAsia" w:ascii="宋体" w:hAnsi="宋体" w:cs="仿宋"/>
          <w:color w:val="000000"/>
          <w:sz w:val="24"/>
          <w:highlight w:val="none"/>
          <w:u w:val="single"/>
        </w:rPr>
        <w:t xml:space="preserve"> 30 </w:t>
      </w:r>
      <w:r>
        <w:rPr>
          <w:rFonts w:hint="eastAsia" w:ascii="宋体" w:hAnsi="宋体" w:cs="仿宋"/>
          <w:color w:val="000000"/>
          <w:sz w:val="24"/>
          <w:highlight w:val="none"/>
        </w:rPr>
        <w:t>天对方有权解除合同，违约方承担因此给对方造成经济损失；甲方延期付货款的，每天向乙方偿付延期货款额5</w:t>
      </w:r>
      <w:r>
        <w:rPr>
          <w:rFonts w:hint="eastAsia" w:ascii="宋体" w:hAnsi="MS Mincho" w:eastAsia="MS Mincho" w:cs="MS Mincho"/>
          <w:color w:val="000000"/>
          <w:sz w:val="24"/>
          <w:highlight w:val="none"/>
        </w:rPr>
        <w:t>‱</w:t>
      </w:r>
      <w:r>
        <w:rPr>
          <w:rFonts w:hint="eastAsia" w:ascii="宋体" w:hAnsi="宋体" w:cs="仿宋"/>
          <w:color w:val="000000"/>
          <w:sz w:val="24"/>
          <w:highlight w:val="none"/>
        </w:rPr>
        <w:t xml:space="preserve"> 滞纳金。</w:t>
      </w:r>
    </w:p>
    <w:p w14:paraId="50B5DCBB">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5. 乙方未按本合同和投标文件中规定的服务承诺提供服务的，乙方应按本合同合计金额10%向甲方支付违约金，甲方有权解除合同。</w:t>
      </w:r>
    </w:p>
    <w:p w14:paraId="4F06DEE8">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6. 乙方提供的货物在质量保证期内，因设计、工艺或材料的缺陷和其它质量原因造成的问题，由乙方负责。</w:t>
      </w:r>
    </w:p>
    <w:p w14:paraId="22A1686D">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7. 其它违约行为按违约货款额10%收取违约金。</w:t>
      </w:r>
    </w:p>
    <w:p w14:paraId="2B7DFAAE">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8. 乙方支付的违约金不足以弥补甲方损失的，还应承担赔偿责任。</w:t>
      </w:r>
    </w:p>
    <w:p w14:paraId="0ADBA8E2">
      <w:pPr>
        <w:spacing w:line="460" w:lineRule="exact"/>
        <w:ind w:firstLine="482" w:firstLineChars="200"/>
        <w:rPr>
          <w:rFonts w:ascii="宋体" w:hAnsi="宋体" w:cs="仿宋"/>
          <w:b/>
          <w:bCs/>
          <w:color w:val="000000"/>
          <w:sz w:val="24"/>
          <w:highlight w:val="none"/>
        </w:rPr>
      </w:pPr>
      <w:r>
        <w:rPr>
          <w:rFonts w:hint="eastAsia" w:ascii="宋体" w:hAnsi="宋体" w:cs="仿宋"/>
          <w:b/>
          <w:bCs/>
          <w:color w:val="000000"/>
          <w:sz w:val="24"/>
          <w:highlight w:val="none"/>
        </w:rPr>
        <w:t>第十二条  不可抗力事件处理</w:t>
      </w:r>
    </w:p>
    <w:p w14:paraId="3B2B8A33">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 在合同有效期内，任何一方因不可抗力事件导致不能履行合同，则合同履行期可延长，其延长期与不可抗力影响期相同。</w:t>
      </w:r>
    </w:p>
    <w:p w14:paraId="7BC3A7CA">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2. 不可抗力事件发生后，应立即通知对方，并寄送有关权威机构出具的证明。</w:t>
      </w:r>
    </w:p>
    <w:p w14:paraId="71620FBB">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3. 不可抗力事件延续一百二十天以上，双方应通过友好协商，确定是否继续履行合同。</w:t>
      </w:r>
    </w:p>
    <w:p w14:paraId="5B2355C8">
      <w:pPr>
        <w:spacing w:line="460" w:lineRule="exact"/>
        <w:ind w:firstLine="482" w:firstLineChars="200"/>
        <w:rPr>
          <w:rFonts w:ascii="宋体" w:hAnsi="宋体" w:cs="仿宋"/>
          <w:b/>
          <w:bCs/>
          <w:color w:val="000000"/>
          <w:sz w:val="24"/>
          <w:highlight w:val="none"/>
        </w:rPr>
      </w:pPr>
      <w:r>
        <w:rPr>
          <w:rFonts w:hint="eastAsia" w:ascii="宋体" w:hAnsi="宋体" w:cs="仿宋"/>
          <w:b/>
          <w:bCs/>
          <w:color w:val="000000"/>
          <w:sz w:val="24"/>
          <w:highlight w:val="none"/>
        </w:rPr>
        <w:t>第十三条  合同争议解决</w:t>
      </w:r>
    </w:p>
    <w:p w14:paraId="358A37B5">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 因货物质量问题发生争议的，应邀请国家认可具有资质的质量检测机构对货物质量进行鉴定。货物符合标准的，鉴定费由甲方承担；货物不符合标准的，鉴定费由乙方承担。</w:t>
      </w:r>
    </w:p>
    <w:p w14:paraId="0D35E9D8">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2. 因履行本合同引起的或与本合同有关的争议，双方从下列两种方式中选择第</w:t>
      </w:r>
      <w:r>
        <w:rPr>
          <w:rFonts w:hint="eastAsia" w:ascii="宋体" w:hAnsi="宋体" w:cs="仿宋"/>
          <w:color w:val="000000"/>
          <w:sz w:val="24"/>
          <w:highlight w:val="none"/>
          <w:u w:val="single"/>
        </w:rPr>
        <w:t xml:space="preserve"> ⑵ </w:t>
      </w:r>
      <w:r>
        <w:rPr>
          <w:rFonts w:hint="eastAsia" w:ascii="宋体" w:hAnsi="宋体" w:cs="仿宋"/>
          <w:color w:val="000000"/>
          <w:sz w:val="24"/>
          <w:highlight w:val="none"/>
        </w:rPr>
        <w:t>种方式，作为本合同争议的解决方式。</w:t>
      </w:r>
    </w:p>
    <w:p w14:paraId="1873C84B">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⑴甲乙双方应首先通过友好协商解决，如果协商不能解决，可向甲方所在地钦州仲裁委员会申请仲裁。仲裁期间，本合同继续履行。</w:t>
      </w:r>
    </w:p>
    <w:p w14:paraId="25F58107">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⑵甲乙双方应首先通过友好协商解决，如果协商不能解决，双方均可向甲方所在地人民法院提起诉讼。诉讼期间，本合同继续履行。</w:t>
      </w:r>
    </w:p>
    <w:p w14:paraId="6D5F30CD">
      <w:pPr>
        <w:spacing w:line="460" w:lineRule="exact"/>
        <w:ind w:firstLine="482" w:firstLineChars="200"/>
        <w:rPr>
          <w:rFonts w:ascii="宋体" w:hAnsi="宋体" w:cs="仿宋"/>
          <w:b/>
          <w:bCs/>
          <w:color w:val="000000"/>
          <w:sz w:val="24"/>
          <w:highlight w:val="none"/>
        </w:rPr>
      </w:pPr>
      <w:r>
        <w:rPr>
          <w:rFonts w:hint="eastAsia" w:ascii="宋体" w:hAnsi="宋体" w:cs="仿宋"/>
          <w:b/>
          <w:bCs/>
          <w:color w:val="000000"/>
          <w:sz w:val="24"/>
          <w:highlight w:val="none"/>
        </w:rPr>
        <w:t>第十四条  合同的变更、终止与转让</w:t>
      </w:r>
    </w:p>
    <w:p w14:paraId="04649110">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 除《中华人民共和国政府采购法》第五十条规定的情形外，本合同一经签订，甲乙双方不得擅自变更、中止或终止。</w:t>
      </w:r>
    </w:p>
    <w:p w14:paraId="46C497EC">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2. 乙方不得擅自转让（无进口资格的供应商委托进口货物除外）其应履行的合同义务。</w:t>
      </w:r>
    </w:p>
    <w:p w14:paraId="1D98A700">
      <w:pPr>
        <w:snapToGrid w:val="0"/>
        <w:spacing w:line="400" w:lineRule="exact"/>
        <w:ind w:firstLine="482" w:firstLineChars="200"/>
        <w:rPr>
          <w:rFonts w:ascii="宋体" w:hAnsi="宋体" w:cs="仿宋"/>
          <w:b/>
          <w:color w:val="000000"/>
          <w:sz w:val="24"/>
          <w:highlight w:val="none"/>
        </w:rPr>
      </w:pPr>
      <w:r>
        <w:rPr>
          <w:rFonts w:hint="eastAsia" w:ascii="宋体" w:hAnsi="宋体" w:cs="仿宋"/>
          <w:b/>
          <w:bCs/>
          <w:color w:val="000000"/>
          <w:sz w:val="24"/>
          <w:highlight w:val="none"/>
        </w:rPr>
        <w:t>第十五条　</w:t>
      </w:r>
      <w:r>
        <w:rPr>
          <w:rFonts w:hint="eastAsia" w:ascii="宋体" w:hAnsi="宋体" w:cs="仿宋"/>
          <w:b/>
          <w:bCs/>
          <w:color w:val="000000"/>
          <w:kern w:val="0"/>
          <w:sz w:val="24"/>
          <w:highlight w:val="none"/>
        </w:rPr>
        <w:t>本合同书与下列文件一起构成合同文件</w:t>
      </w:r>
    </w:p>
    <w:p w14:paraId="27B6C45A">
      <w:pPr>
        <w:snapToGrid w:val="0"/>
        <w:spacing w:line="400" w:lineRule="exact"/>
        <w:ind w:left="420" w:leftChars="200"/>
        <w:rPr>
          <w:rFonts w:ascii="宋体" w:hAnsi="宋体" w:cs="仿宋"/>
          <w:color w:val="000000"/>
          <w:sz w:val="24"/>
          <w:highlight w:val="none"/>
        </w:rPr>
      </w:pPr>
      <w:r>
        <w:rPr>
          <w:rFonts w:hint="eastAsia" w:ascii="宋体" w:hAnsi="宋体" w:cs="仿宋"/>
          <w:color w:val="000000"/>
          <w:sz w:val="24"/>
          <w:highlight w:val="none"/>
        </w:rPr>
        <w:t>1.中标通知书</w:t>
      </w:r>
    </w:p>
    <w:p w14:paraId="1488D1E9">
      <w:pPr>
        <w:snapToGrid w:val="0"/>
        <w:spacing w:line="400" w:lineRule="exact"/>
        <w:ind w:left="420" w:leftChars="200"/>
        <w:rPr>
          <w:rFonts w:ascii="宋体" w:hAnsi="宋体" w:cs="仿宋"/>
          <w:color w:val="000000"/>
          <w:sz w:val="24"/>
          <w:highlight w:val="none"/>
        </w:rPr>
      </w:pPr>
      <w:r>
        <w:rPr>
          <w:rFonts w:hint="eastAsia" w:ascii="宋体" w:hAnsi="宋体" w:cs="仿宋"/>
          <w:color w:val="000000"/>
          <w:sz w:val="24"/>
          <w:highlight w:val="none"/>
        </w:rPr>
        <w:t>2.投标声明</w:t>
      </w:r>
      <w:r>
        <w:rPr>
          <w:rFonts w:hint="eastAsia" w:ascii="宋体" w:hAnsi="宋体" w:cs="仿宋"/>
          <w:color w:val="000000"/>
          <w:sz w:val="24"/>
          <w:highlight w:val="none"/>
        </w:rPr>
        <w:tab/>
      </w:r>
    </w:p>
    <w:p w14:paraId="48798617">
      <w:pPr>
        <w:snapToGrid w:val="0"/>
        <w:spacing w:line="400" w:lineRule="exact"/>
        <w:ind w:left="420" w:leftChars="200"/>
        <w:rPr>
          <w:rFonts w:ascii="宋体" w:hAnsi="宋体" w:cs="仿宋"/>
          <w:color w:val="000000"/>
          <w:sz w:val="24"/>
          <w:highlight w:val="none"/>
        </w:rPr>
      </w:pPr>
      <w:r>
        <w:rPr>
          <w:rFonts w:hint="eastAsia" w:ascii="宋体" w:hAnsi="宋体" w:cs="仿宋"/>
          <w:color w:val="000000"/>
          <w:sz w:val="24"/>
          <w:highlight w:val="none"/>
        </w:rPr>
        <w:t>3.商务条款偏离表和技术需求偏离表</w:t>
      </w:r>
      <w:r>
        <w:rPr>
          <w:rFonts w:hint="eastAsia" w:ascii="宋体" w:hAnsi="宋体" w:cs="仿宋"/>
          <w:color w:val="000000"/>
          <w:sz w:val="24"/>
          <w:highlight w:val="none"/>
        </w:rPr>
        <w:tab/>
      </w:r>
    </w:p>
    <w:p w14:paraId="60B1357B">
      <w:pPr>
        <w:snapToGrid w:val="0"/>
        <w:spacing w:line="400" w:lineRule="exact"/>
        <w:ind w:left="420" w:leftChars="200"/>
        <w:rPr>
          <w:rFonts w:ascii="宋体" w:hAnsi="宋体" w:cs="仿宋"/>
          <w:color w:val="000000"/>
          <w:sz w:val="24"/>
          <w:highlight w:val="none"/>
        </w:rPr>
      </w:pPr>
      <w:r>
        <w:rPr>
          <w:rFonts w:hint="eastAsia" w:ascii="宋体" w:hAnsi="宋体" w:cs="仿宋"/>
          <w:color w:val="000000"/>
          <w:sz w:val="24"/>
          <w:highlight w:val="none"/>
        </w:rPr>
        <w:t>4.采购需求</w:t>
      </w:r>
      <w:r>
        <w:rPr>
          <w:rFonts w:hint="eastAsia" w:ascii="宋体" w:hAnsi="宋体" w:cs="仿宋"/>
          <w:color w:val="000000"/>
          <w:sz w:val="24"/>
          <w:highlight w:val="none"/>
        </w:rPr>
        <w:tab/>
      </w:r>
    </w:p>
    <w:p w14:paraId="424E86CE">
      <w:pPr>
        <w:snapToGrid w:val="0"/>
        <w:spacing w:line="400" w:lineRule="exact"/>
        <w:ind w:left="420" w:leftChars="200"/>
        <w:rPr>
          <w:rFonts w:ascii="宋体" w:hAnsi="宋体" w:cs="仿宋"/>
          <w:color w:val="000000"/>
          <w:sz w:val="24"/>
          <w:highlight w:val="none"/>
        </w:rPr>
      </w:pPr>
      <w:r>
        <w:rPr>
          <w:rFonts w:hint="eastAsia" w:ascii="宋体" w:hAnsi="宋体" w:cs="仿宋"/>
          <w:color w:val="000000"/>
          <w:sz w:val="24"/>
          <w:highlight w:val="none"/>
        </w:rPr>
        <w:t>5.投标报价表</w:t>
      </w:r>
    </w:p>
    <w:p w14:paraId="3DEA4FF3">
      <w:pPr>
        <w:snapToGrid w:val="0"/>
        <w:spacing w:line="400" w:lineRule="exact"/>
        <w:ind w:left="420" w:leftChars="200"/>
        <w:rPr>
          <w:rFonts w:ascii="宋体" w:hAnsi="宋体" w:cs="仿宋"/>
          <w:color w:val="000000"/>
          <w:sz w:val="24"/>
          <w:highlight w:val="none"/>
        </w:rPr>
      </w:pPr>
      <w:r>
        <w:rPr>
          <w:rFonts w:hint="eastAsia" w:ascii="宋体" w:hAnsi="宋体" w:cs="仿宋"/>
          <w:color w:val="000000"/>
          <w:sz w:val="24"/>
          <w:highlight w:val="none"/>
        </w:rPr>
        <w:t>6.其他承诺书等合同文件</w:t>
      </w:r>
      <w:r>
        <w:rPr>
          <w:rFonts w:hint="eastAsia" w:ascii="宋体" w:hAnsi="宋体" w:cs="仿宋"/>
          <w:color w:val="000000"/>
          <w:sz w:val="24"/>
          <w:highlight w:val="none"/>
        </w:rPr>
        <w:tab/>
      </w:r>
    </w:p>
    <w:p w14:paraId="43D12A23">
      <w:pPr>
        <w:snapToGrid w:val="0"/>
        <w:spacing w:line="400" w:lineRule="exact"/>
        <w:ind w:firstLine="360" w:firstLineChars="150"/>
        <w:rPr>
          <w:rFonts w:ascii="宋体" w:hAnsi="宋体" w:cs="仿宋"/>
          <w:b/>
          <w:color w:val="000000"/>
          <w:sz w:val="24"/>
          <w:highlight w:val="none"/>
        </w:rPr>
      </w:pPr>
      <w:r>
        <w:rPr>
          <w:rFonts w:hint="eastAsia" w:ascii="宋体" w:hAnsi="宋体" w:cs="仿宋"/>
          <w:color w:val="000000"/>
          <w:sz w:val="24"/>
          <w:highlight w:val="none"/>
        </w:rPr>
        <w:t>7.上述合同文件互相补充和解释。如果合同文件之间存在矛盾或不一致之处，以有利于甲方的排列顺序在先者为准。</w:t>
      </w:r>
    </w:p>
    <w:p w14:paraId="6ECB8177">
      <w:pPr>
        <w:spacing w:line="460" w:lineRule="exact"/>
        <w:ind w:firstLine="482" w:firstLineChars="200"/>
        <w:rPr>
          <w:rFonts w:ascii="宋体" w:hAnsi="宋体" w:cs="仿宋"/>
          <w:b/>
          <w:bCs/>
          <w:color w:val="000000"/>
          <w:sz w:val="24"/>
          <w:highlight w:val="none"/>
        </w:rPr>
      </w:pPr>
      <w:r>
        <w:rPr>
          <w:rFonts w:hint="eastAsia" w:ascii="宋体" w:hAnsi="宋体" w:cs="仿宋"/>
          <w:b/>
          <w:bCs/>
          <w:color w:val="000000"/>
          <w:sz w:val="24"/>
          <w:highlight w:val="none"/>
        </w:rPr>
        <w:t>第十六条　合同生效及其它</w:t>
      </w:r>
    </w:p>
    <w:p w14:paraId="0558696C">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1.本合同经双方法定代表人或授权代表（委托代理人）签字并加盖单位公章后生效。</w:t>
      </w:r>
    </w:p>
    <w:p w14:paraId="4FA072F8">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2.合同正本一式柒份，甲方执肆份，乙方执贰份，采购代理机构执壹份，具有同等法律效力。自签订之日起两个工作日内，采购代理机构应当将合同副本报广西政采云平台备案。</w:t>
      </w:r>
    </w:p>
    <w:p w14:paraId="7464BD65">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3.合同执行中涉及采购资金和采购内容修改或补充的，须经同级政府采购监督管理办公室审批，并签书面补充协议报同级政府采购监督管理办公室备案，方可作为主合同不可分割的一部分。</w:t>
      </w:r>
    </w:p>
    <w:p w14:paraId="137A1B43">
      <w:pPr>
        <w:spacing w:line="460" w:lineRule="exact"/>
        <w:ind w:firstLine="480" w:firstLineChars="200"/>
        <w:rPr>
          <w:rFonts w:ascii="宋体" w:hAnsi="宋体" w:cs="仿宋"/>
          <w:color w:val="000000"/>
          <w:sz w:val="24"/>
          <w:highlight w:val="none"/>
        </w:rPr>
      </w:pPr>
      <w:r>
        <w:rPr>
          <w:rFonts w:hint="eastAsia" w:ascii="宋体" w:hAnsi="宋体" w:cs="仿宋"/>
          <w:color w:val="000000"/>
          <w:sz w:val="24"/>
          <w:highlight w:val="none"/>
        </w:rPr>
        <w:t>4.本合同未尽事宜，遵照《中华人民共和国民法典》有关条文执行。</w:t>
      </w:r>
    </w:p>
    <w:p w14:paraId="46D5CD6C">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（以下无正文为签章页）</w:t>
      </w:r>
    </w:p>
    <w:p w14:paraId="1B5C29D3">
      <w:pPr>
        <w:widowControl/>
        <w:ind w:firstLine="520" w:firstLineChars="200"/>
        <w:jc w:val="left"/>
        <w:rPr>
          <w:bCs/>
          <w:color w:val="000000"/>
          <w:spacing w:val="10"/>
          <w:sz w:val="24"/>
          <w:highlight w:val="none"/>
        </w:rPr>
      </w:pPr>
    </w:p>
    <w:tbl>
      <w:tblPr>
        <w:tblStyle w:val="45"/>
        <w:tblW w:w="8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3"/>
        <w:gridCol w:w="4061"/>
      </w:tblGrid>
      <w:tr w14:paraId="0A01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163" w:type="dxa"/>
            <w:noWrap w:val="0"/>
            <w:vAlign w:val="center"/>
          </w:tcPr>
          <w:p w14:paraId="4AC71199">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 xml:space="preserve">甲方（章）：           </w:t>
            </w:r>
          </w:p>
          <w:p w14:paraId="70AE5DC4">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钦州市第二人民医院</w:t>
            </w:r>
          </w:p>
          <w:p w14:paraId="2A96114E">
            <w:pPr>
              <w:snapToGrid w:val="0"/>
              <w:spacing w:line="400" w:lineRule="exact"/>
              <w:rPr>
                <w:rFonts w:ascii="宋体" w:hAnsi="宋体" w:cs="仿宋"/>
                <w:color w:val="000000"/>
                <w:sz w:val="24"/>
                <w:highlight w:val="none"/>
              </w:rPr>
            </w:pPr>
          </w:p>
          <w:p w14:paraId="55C64165">
            <w:pPr>
              <w:snapToGrid w:val="0"/>
              <w:spacing w:line="400" w:lineRule="exact"/>
              <w:ind w:firstLine="1080" w:firstLineChars="450"/>
              <w:jc w:val="right"/>
              <w:rPr>
                <w:rFonts w:ascii="宋体" w:hAnsi="宋体" w:cs="仿宋"/>
                <w:color w:val="000000"/>
                <w:sz w:val="24"/>
                <w:highlight w:val="none"/>
              </w:rPr>
            </w:pPr>
            <w:r>
              <w:rPr>
                <w:rFonts w:hint="eastAsia" w:ascii="宋体" w:hAnsi="宋体" w:cs="仿宋"/>
                <w:color w:val="000000"/>
                <w:sz w:val="24"/>
                <w:highlight w:val="none"/>
              </w:rPr>
              <w:t>年   月   日</w:t>
            </w:r>
          </w:p>
        </w:tc>
        <w:tc>
          <w:tcPr>
            <w:tcW w:w="4061" w:type="dxa"/>
            <w:noWrap w:val="0"/>
            <w:vAlign w:val="center"/>
          </w:tcPr>
          <w:p w14:paraId="63DBF3FB">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 xml:space="preserve">乙方（章）：              </w:t>
            </w:r>
          </w:p>
          <w:p w14:paraId="4DD12E2F">
            <w:pPr>
              <w:snapToGrid w:val="0"/>
              <w:spacing w:line="400" w:lineRule="exact"/>
              <w:rPr>
                <w:rFonts w:ascii="宋体" w:hAnsi="宋体" w:cs="仿宋"/>
                <w:color w:val="000000"/>
                <w:sz w:val="24"/>
                <w:highlight w:val="none"/>
              </w:rPr>
            </w:pPr>
          </w:p>
          <w:p w14:paraId="78CAF5D3">
            <w:pPr>
              <w:snapToGrid w:val="0"/>
              <w:spacing w:line="400" w:lineRule="exact"/>
              <w:rPr>
                <w:rFonts w:ascii="宋体" w:hAnsi="宋体" w:cs="仿宋"/>
                <w:color w:val="000000"/>
                <w:sz w:val="24"/>
                <w:highlight w:val="none"/>
              </w:rPr>
            </w:pPr>
          </w:p>
          <w:p w14:paraId="006D9422">
            <w:pPr>
              <w:snapToGrid w:val="0"/>
              <w:spacing w:line="400" w:lineRule="exact"/>
              <w:jc w:val="right"/>
              <w:rPr>
                <w:rFonts w:ascii="宋体" w:hAnsi="宋体" w:cs="仿宋"/>
                <w:color w:val="000000"/>
                <w:sz w:val="24"/>
                <w:highlight w:val="none"/>
              </w:rPr>
            </w:pPr>
            <w:r>
              <w:rPr>
                <w:rFonts w:hint="eastAsia" w:ascii="宋体" w:hAnsi="宋体" w:cs="仿宋"/>
                <w:color w:val="000000"/>
                <w:sz w:val="24"/>
                <w:highlight w:val="none"/>
              </w:rPr>
              <w:t xml:space="preserve"> 年   月   日</w:t>
            </w:r>
          </w:p>
        </w:tc>
      </w:tr>
      <w:tr w14:paraId="1B54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noWrap w:val="0"/>
            <w:vAlign w:val="center"/>
          </w:tcPr>
          <w:p w14:paraId="6ED11CE6">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单位地址：钦州市钦南区文峰南路219号</w:t>
            </w:r>
          </w:p>
        </w:tc>
        <w:tc>
          <w:tcPr>
            <w:tcW w:w="4061" w:type="dxa"/>
            <w:noWrap w:val="0"/>
            <w:vAlign w:val="center"/>
          </w:tcPr>
          <w:p w14:paraId="5A6CB54C">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单位地址：</w:t>
            </w:r>
          </w:p>
        </w:tc>
      </w:tr>
      <w:tr w14:paraId="29AB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noWrap w:val="0"/>
            <w:vAlign w:val="top"/>
          </w:tcPr>
          <w:p w14:paraId="5073AC49">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法定代表人</w:t>
            </w:r>
          </w:p>
          <w:p w14:paraId="4D4B5B33">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或委托代理人：</w:t>
            </w:r>
          </w:p>
        </w:tc>
        <w:tc>
          <w:tcPr>
            <w:tcW w:w="4061" w:type="dxa"/>
            <w:noWrap w:val="0"/>
            <w:vAlign w:val="top"/>
          </w:tcPr>
          <w:p w14:paraId="5B001533">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法定代表人（负责人或自然人）</w:t>
            </w:r>
          </w:p>
          <w:p w14:paraId="6A3260FE">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或委托代理人：</w:t>
            </w:r>
          </w:p>
        </w:tc>
      </w:tr>
      <w:tr w14:paraId="389B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noWrap w:val="0"/>
            <w:vAlign w:val="center"/>
          </w:tcPr>
          <w:p w14:paraId="14B47309">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电话：</w:t>
            </w:r>
          </w:p>
        </w:tc>
        <w:tc>
          <w:tcPr>
            <w:tcW w:w="4061" w:type="dxa"/>
            <w:noWrap w:val="0"/>
            <w:vAlign w:val="center"/>
          </w:tcPr>
          <w:p w14:paraId="4A8A3300">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电话：</w:t>
            </w:r>
          </w:p>
        </w:tc>
      </w:tr>
      <w:tr w14:paraId="0A53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noWrap w:val="0"/>
            <w:vAlign w:val="center"/>
          </w:tcPr>
          <w:p w14:paraId="674EC9BA">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开户银行：农行钦州金桥支行</w:t>
            </w:r>
          </w:p>
        </w:tc>
        <w:tc>
          <w:tcPr>
            <w:tcW w:w="4061" w:type="dxa"/>
            <w:noWrap w:val="0"/>
            <w:vAlign w:val="center"/>
          </w:tcPr>
          <w:p w14:paraId="4FB3A016">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开户银行：</w:t>
            </w:r>
          </w:p>
        </w:tc>
      </w:tr>
      <w:tr w14:paraId="78A8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noWrap w:val="0"/>
            <w:vAlign w:val="center"/>
          </w:tcPr>
          <w:p w14:paraId="1DA286E6">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账号：20733401040002812</w:t>
            </w:r>
          </w:p>
        </w:tc>
        <w:tc>
          <w:tcPr>
            <w:tcW w:w="4061" w:type="dxa"/>
            <w:noWrap w:val="0"/>
            <w:vAlign w:val="center"/>
          </w:tcPr>
          <w:p w14:paraId="624A0650">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账号：</w:t>
            </w:r>
          </w:p>
        </w:tc>
      </w:tr>
      <w:tr w14:paraId="656F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noWrap w:val="0"/>
            <w:vAlign w:val="center"/>
          </w:tcPr>
          <w:p w14:paraId="43583229">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邮政编码：535099</w:t>
            </w:r>
          </w:p>
        </w:tc>
        <w:tc>
          <w:tcPr>
            <w:tcW w:w="4061" w:type="dxa"/>
            <w:noWrap w:val="0"/>
            <w:vAlign w:val="center"/>
          </w:tcPr>
          <w:p w14:paraId="1C996CD7">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邮政编码：</w:t>
            </w:r>
          </w:p>
        </w:tc>
      </w:tr>
      <w:tr w14:paraId="302B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trPr>
        <w:tc>
          <w:tcPr>
            <w:tcW w:w="8224" w:type="dxa"/>
            <w:gridSpan w:val="2"/>
            <w:noWrap w:val="0"/>
            <w:vAlign w:val="top"/>
          </w:tcPr>
          <w:p w14:paraId="3CD3119A">
            <w:pPr>
              <w:snapToGrid w:val="0"/>
              <w:spacing w:line="400" w:lineRule="exact"/>
              <w:rPr>
                <w:rFonts w:ascii="宋体" w:hAnsi="宋体" w:cs="仿宋"/>
                <w:color w:val="000000"/>
                <w:sz w:val="24"/>
                <w:highlight w:val="none"/>
              </w:rPr>
            </w:pPr>
            <w:r>
              <w:rPr>
                <w:rFonts w:hint="eastAsia" w:ascii="宋体" w:hAnsi="宋体" w:cs="仿宋"/>
                <w:color w:val="000000"/>
                <w:sz w:val="24"/>
                <w:highlight w:val="none"/>
              </w:rPr>
              <w:t>经办人：</w:t>
            </w:r>
          </w:p>
          <w:p w14:paraId="67BE74BE">
            <w:pPr>
              <w:snapToGrid w:val="0"/>
              <w:spacing w:line="400" w:lineRule="exact"/>
              <w:rPr>
                <w:rFonts w:ascii="宋体" w:hAnsi="宋体" w:cs="仿宋"/>
                <w:color w:val="000000"/>
                <w:sz w:val="24"/>
                <w:highlight w:val="none"/>
              </w:rPr>
            </w:pPr>
          </w:p>
          <w:p w14:paraId="5B860A18">
            <w:pPr>
              <w:snapToGrid w:val="0"/>
              <w:spacing w:line="400" w:lineRule="exact"/>
              <w:ind w:firstLine="720" w:firstLineChars="300"/>
              <w:jc w:val="right"/>
              <w:rPr>
                <w:rFonts w:ascii="宋体" w:hAnsi="宋体" w:cs="仿宋"/>
                <w:color w:val="000000"/>
                <w:sz w:val="24"/>
                <w:highlight w:val="none"/>
              </w:rPr>
            </w:pPr>
            <w:r>
              <w:rPr>
                <w:rFonts w:hint="eastAsia" w:ascii="宋体" w:hAnsi="宋体" w:cs="仿宋"/>
                <w:color w:val="000000"/>
                <w:sz w:val="24"/>
                <w:highlight w:val="none"/>
              </w:rPr>
              <w:t>年    月    日</w:t>
            </w:r>
          </w:p>
        </w:tc>
      </w:tr>
    </w:tbl>
    <w:p w14:paraId="7A98F98B">
      <w:pPr>
        <w:snapToGrid w:val="0"/>
        <w:ind w:left="480" w:hanging="480" w:hangingChars="200"/>
        <w:rPr>
          <w:rFonts w:ascii="宋体" w:hAnsi="宋体" w:cs="仿宋"/>
          <w:color w:val="000000"/>
          <w:sz w:val="24"/>
          <w:highlight w:val="none"/>
        </w:rPr>
      </w:pPr>
    </w:p>
    <w:p w14:paraId="3F5CA481">
      <w:pPr>
        <w:snapToGrid w:val="0"/>
        <w:jc w:val="center"/>
        <w:rPr>
          <w:rFonts w:ascii="仿宋" w:hAnsi="仿宋" w:eastAsia="仿宋" w:cs="仿宋"/>
          <w:b/>
          <w:bCs/>
          <w:color w:val="000000"/>
          <w:kern w:val="0"/>
          <w:sz w:val="24"/>
          <w:highlight w:val="none"/>
        </w:rPr>
      </w:pPr>
      <w:r>
        <w:rPr>
          <w:rFonts w:hint="eastAsia" w:ascii="仿宋" w:hAnsi="仿宋" w:eastAsia="仿宋" w:cs="仿宋"/>
          <w:b/>
          <w:color w:val="000000"/>
          <w:sz w:val="24"/>
          <w:highlight w:val="none"/>
        </w:rPr>
        <w:br w:type="page"/>
      </w:r>
    </w:p>
    <w:p w14:paraId="15F4B80B">
      <w:pPr>
        <w:pStyle w:val="18"/>
        <w:jc w:val="center"/>
        <w:rPr>
          <w:rFonts w:ascii="宋体" w:hAnsi="宋体" w:cs="宋体"/>
          <w:b/>
          <w:bCs/>
          <w:color w:val="000000"/>
          <w:spacing w:val="-20"/>
          <w:kern w:val="44"/>
          <w:sz w:val="48"/>
          <w:szCs w:val="48"/>
          <w:highlight w:val="none"/>
        </w:rPr>
      </w:pPr>
    </w:p>
    <w:p w14:paraId="2672F85C">
      <w:pPr>
        <w:pStyle w:val="18"/>
        <w:jc w:val="center"/>
        <w:rPr>
          <w:rFonts w:hint="eastAsia" w:ascii="宋体" w:hAnsi="宋体" w:cs="宋体"/>
          <w:b/>
          <w:bCs/>
          <w:color w:val="000000"/>
          <w:spacing w:val="-20"/>
          <w:kern w:val="44"/>
          <w:sz w:val="48"/>
          <w:szCs w:val="48"/>
          <w:highlight w:val="none"/>
        </w:rPr>
      </w:pPr>
    </w:p>
    <w:p w14:paraId="12B44AA2">
      <w:pPr>
        <w:pStyle w:val="18"/>
        <w:jc w:val="center"/>
        <w:rPr>
          <w:rFonts w:hint="eastAsia" w:ascii="宋体" w:hAnsi="宋体" w:cs="宋体"/>
          <w:b/>
          <w:bCs/>
          <w:color w:val="000000"/>
          <w:spacing w:val="-20"/>
          <w:kern w:val="44"/>
          <w:sz w:val="48"/>
          <w:szCs w:val="48"/>
          <w:highlight w:val="none"/>
        </w:rPr>
      </w:pPr>
    </w:p>
    <w:bookmarkEnd w:id="151"/>
    <w:p w14:paraId="237641E3">
      <w:pPr>
        <w:snapToGrid w:val="0"/>
        <w:jc w:val="center"/>
        <w:rPr>
          <w:rFonts w:ascii="宋体" w:hAnsi="宋体"/>
          <w:bCs/>
          <w:color w:val="000000"/>
          <w:sz w:val="32"/>
          <w:szCs w:val="32"/>
          <w:highlight w:val="none"/>
        </w:rPr>
      </w:pPr>
    </w:p>
    <w:bookmarkEnd w:id="150"/>
    <w:p w14:paraId="2D9545AA">
      <w:pPr>
        <w:snapToGrid w:val="0"/>
        <w:spacing w:line="480" w:lineRule="auto"/>
        <w:rPr>
          <w:rFonts w:hint="eastAsia" w:ascii="宋体" w:hAnsi="宋体"/>
          <w:bCs/>
          <w:color w:val="000000"/>
          <w:sz w:val="32"/>
          <w:szCs w:val="32"/>
          <w:highlight w:val="none"/>
        </w:rPr>
      </w:pPr>
    </w:p>
    <w:p w14:paraId="1CB1F0E7">
      <w:pPr>
        <w:snapToGrid w:val="0"/>
        <w:jc w:val="center"/>
        <w:rPr>
          <w:rFonts w:hint="eastAsia" w:ascii="宋体" w:hAnsi="宋体"/>
          <w:bCs/>
          <w:color w:val="000000"/>
          <w:sz w:val="32"/>
          <w:szCs w:val="32"/>
          <w:highlight w:val="none"/>
        </w:rPr>
      </w:pPr>
    </w:p>
    <w:p w14:paraId="0457502D">
      <w:pPr>
        <w:snapToGrid w:val="0"/>
        <w:jc w:val="center"/>
        <w:rPr>
          <w:rFonts w:hint="eastAsia" w:ascii="宋体" w:hAnsi="宋体"/>
          <w:bCs/>
          <w:color w:val="000000"/>
          <w:sz w:val="32"/>
          <w:szCs w:val="32"/>
          <w:highlight w:val="none"/>
        </w:rPr>
      </w:pPr>
    </w:p>
    <w:p w14:paraId="18D61D50">
      <w:pPr>
        <w:snapToGrid w:val="0"/>
        <w:jc w:val="center"/>
        <w:rPr>
          <w:rFonts w:hint="eastAsia" w:ascii="宋体" w:hAnsi="宋体"/>
          <w:bCs/>
          <w:color w:val="000000"/>
          <w:sz w:val="32"/>
          <w:szCs w:val="32"/>
          <w:highlight w:val="none"/>
        </w:rPr>
      </w:pPr>
    </w:p>
    <w:p w14:paraId="7FF79782">
      <w:pPr>
        <w:snapToGrid w:val="0"/>
        <w:jc w:val="center"/>
        <w:rPr>
          <w:rFonts w:hint="eastAsia" w:ascii="宋体" w:hAnsi="宋体"/>
          <w:bCs/>
          <w:color w:val="000000"/>
          <w:sz w:val="32"/>
          <w:szCs w:val="32"/>
          <w:highlight w:val="none"/>
        </w:rPr>
      </w:pPr>
    </w:p>
    <w:p w14:paraId="29430109">
      <w:pPr>
        <w:snapToGrid w:val="0"/>
        <w:jc w:val="center"/>
        <w:rPr>
          <w:rFonts w:hint="eastAsia" w:ascii="宋体" w:hAnsi="宋体"/>
          <w:bCs/>
          <w:color w:val="000000"/>
          <w:sz w:val="32"/>
          <w:szCs w:val="32"/>
          <w:highlight w:val="none"/>
        </w:rPr>
      </w:pPr>
    </w:p>
    <w:p w14:paraId="0D6D8EEE">
      <w:pPr>
        <w:snapToGrid w:val="0"/>
        <w:jc w:val="center"/>
        <w:rPr>
          <w:rFonts w:hint="eastAsia" w:ascii="宋体" w:hAnsi="宋体"/>
          <w:bCs/>
          <w:color w:val="000000"/>
          <w:sz w:val="32"/>
          <w:szCs w:val="32"/>
          <w:highlight w:val="none"/>
        </w:rPr>
      </w:pPr>
    </w:p>
    <w:p w14:paraId="720EAD67">
      <w:pPr>
        <w:snapToGrid w:val="0"/>
        <w:jc w:val="center"/>
        <w:rPr>
          <w:rFonts w:hint="eastAsia" w:ascii="宋体" w:hAnsi="宋体"/>
          <w:bCs/>
          <w:color w:val="000000"/>
          <w:sz w:val="32"/>
          <w:szCs w:val="32"/>
          <w:highlight w:val="none"/>
        </w:rPr>
      </w:pPr>
    </w:p>
    <w:p w14:paraId="19846B22">
      <w:pPr>
        <w:snapToGrid w:val="0"/>
        <w:jc w:val="center"/>
        <w:rPr>
          <w:rFonts w:hint="eastAsia" w:ascii="宋体" w:hAnsi="宋体"/>
          <w:bCs/>
          <w:color w:val="000000"/>
          <w:sz w:val="32"/>
          <w:szCs w:val="32"/>
          <w:highlight w:val="none"/>
        </w:rPr>
      </w:pPr>
    </w:p>
    <w:p w14:paraId="24DCA88E">
      <w:pPr>
        <w:snapToGrid w:val="0"/>
        <w:jc w:val="center"/>
        <w:rPr>
          <w:rFonts w:hint="eastAsia" w:ascii="宋体" w:hAnsi="宋体"/>
          <w:bCs/>
          <w:color w:val="000000"/>
          <w:sz w:val="32"/>
          <w:szCs w:val="32"/>
          <w:highlight w:val="none"/>
        </w:rPr>
      </w:pPr>
    </w:p>
    <w:p w14:paraId="0EF3200F">
      <w:pPr>
        <w:snapToGrid w:val="0"/>
        <w:jc w:val="center"/>
        <w:rPr>
          <w:rFonts w:hint="eastAsia" w:ascii="宋体" w:hAnsi="宋体"/>
          <w:bCs/>
          <w:color w:val="000000"/>
          <w:sz w:val="32"/>
          <w:szCs w:val="32"/>
          <w:highlight w:val="none"/>
        </w:rPr>
      </w:pPr>
    </w:p>
    <w:p w14:paraId="4D1FE757">
      <w:pPr>
        <w:snapToGrid w:val="0"/>
        <w:jc w:val="center"/>
        <w:rPr>
          <w:rFonts w:hint="eastAsia" w:ascii="宋体" w:hAnsi="宋体"/>
          <w:bCs/>
          <w:color w:val="000000"/>
          <w:sz w:val="32"/>
          <w:szCs w:val="32"/>
          <w:highlight w:val="none"/>
        </w:rPr>
      </w:pPr>
    </w:p>
    <w:p w14:paraId="2C638EC6">
      <w:pPr>
        <w:pStyle w:val="2"/>
        <w:jc w:val="center"/>
        <w:rPr>
          <w:rFonts w:hint="eastAsia"/>
          <w:color w:val="000000"/>
          <w:highlight w:val="none"/>
        </w:rPr>
      </w:pPr>
      <w:bookmarkStart w:id="152" w:name="_Toc74320805"/>
      <w:r>
        <w:rPr>
          <w:rFonts w:hint="eastAsia"/>
          <w:color w:val="000000"/>
          <w:highlight w:val="none"/>
        </w:rPr>
        <w:t>第六章　投标文件格式</w:t>
      </w:r>
      <w:bookmarkEnd w:id="152"/>
    </w:p>
    <w:p w14:paraId="4DA1D4B3">
      <w:pPr>
        <w:snapToGrid w:val="0"/>
        <w:spacing w:before="50" w:after="50"/>
        <w:outlineLvl w:val="1"/>
        <w:rPr>
          <w:rFonts w:hint="eastAsia" w:ascii="宋体" w:hAnsi="宋体"/>
          <w:color w:val="000000"/>
          <w:sz w:val="32"/>
          <w:szCs w:val="20"/>
          <w:highlight w:val="none"/>
        </w:rPr>
      </w:pPr>
    </w:p>
    <w:p w14:paraId="4DAEBBDA">
      <w:pPr>
        <w:snapToGrid w:val="0"/>
        <w:spacing w:before="50" w:after="50"/>
        <w:outlineLvl w:val="1"/>
        <w:rPr>
          <w:rFonts w:hint="eastAsia" w:ascii="宋体" w:hAnsi="宋体"/>
          <w:color w:val="000000"/>
          <w:sz w:val="32"/>
          <w:szCs w:val="20"/>
          <w:highlight w:val="none"/>
        </w:rPr>
      </w:pPr>
    </w:p>
    <w:p w14:paraId="4E49B676">
      <w:pPr>
        <w:snapToGrid w:val="0"/>
        <w:spacing w:before="50" w:after="50"/>
        <w:outlineLvl w:val="1"/>
        <w:rPr>
          <w:rFonts w:hint="eastAsia" w:ascii="宋体" w:hAnsi="宋体"/>
          <w:color w:val="000000"/>
          <w:sz w:val="32"/>
          <w:szCs w:val="20"/>
          <w:highlight w:val="none"/>
        </w:rPr>
      </w:pPr>
    </w:p>
    <w:p w14:paraId="17315F3B">
      <w:pPr>
        <w:snapToGrid w:val="0"/>
        <w:spacing w:before="50" w:after="50"/>
        <w:outlineLvl w:val="1"/>
        <w:rPr>
          <w:rFonts w:hint="eastAsia" w:ascii="宋体" w:hAnsi="宋体"/>
          <w:color w:val="000000"/>
          <w:sz w:val="32"/>
          <w:szCs w:val="20"/>
          <w:highlight w:val="none"/>
        </w:rPr>
      </w:pPr>
    </w:p>
    <w:p w14:paraId="46C4DFBB">
      <w:pPr>
        <w:snapToGrid w:val="0"/>
        <w:spacing w:before="50" w:after="50"/>
        <w:outlineLvl w:val="1"/>
        <w:rPr>
          <w:rFonts w:hint="eastAsia" w:ascii="宋体" w:hAnsi="宋体"/>
          <w:color w:val="000000"/>
          <w:sz w:val="32"/>
          <w:szCs w:val="20"/>
          <w:highlight w:val="none"/>
        </w:rPr>
      </w:pPr>
    </w:p>
    <w:p w14:paraId="211A8FFD">
      <w:pPr>
        <w:snapToGrid w:val="0"/>
        <w:spacing w:before="50" w:after="50"/>
        <w:outlineLvl w:val="1"/>
        <w:rPr>
          <w:rFonts w:hint="eastAsia" w:ascii="宋体" w:hAnsi="宋体"/>
          <w:color w:val="000000"/>
          <w:sz w:val="32"/>
          <w:szCs w:val="20"/>
          <w:highlight w:val="none"/>
        </w:rPr>
      </w:pPr>
    </w:p>
    <w:p w14:paraId="56E821D8">
      <w:pPr>
        <w:snapToGrid w:val="0"/>
        <w:spacing w:before="50" w:after="50"/>
        <w:outlineLvl w:val="1"/>
        <w:rPr>
          <w:rFonts w:hint="eastAsia" w:ascii="宋体" w:hAnsi="宋体"/>
          <w:color w:val="000000"/>
          <w:sz w:val="32"/>
          <w:szCs w:val="20"/>
          <w:highlight w:val="none"/>
        </w:rPr>
      </w:pPr>
    </w:p>
    <w:p w14:paraId="2BE43D63">
      <w:pPr>
        <w:snapToGrid w:val="0"/>
        <w:spacing w:before="50" w:after="50"/>
        <w:outlineLvl w:val="1"/>
        <w:rPr>
          <w:rFonts w:hint="eastAsia" w:ascii="宋体" w:hAnsi="宋体"/>
          <w:color w:val="000000"/>
          <w:sz w:val="32"/>
          <w:szCs w:val="20"/>
          <w:highlight w:val="none"/>
        </w:rPr>
      </w:pPr>
    </w:p>
    <w:p w14:paraId="0DE9BEA4">
      <w:pPr>
        <w:snapToGrid w:val="0"/>
        <w:spacing w:before="50" w:after="50"/>
        <w:outlineLvl w:val="1"/>
        <w:rPr>
          <w:rFonts w:hint="eastAsia" w:ascii="宋体" w:hAnsi="宋体"/>
          <w:color w:val="000000"/>
          <w:sz w:val="32"/>
          <w:szCs w:val="20"/>
          <w:highlight w:val="none"/>
        </w:rPr>
      </w:pPr>
    </w:p>
    <w:p w14:paraId="16AD098A">
      <w:pPr>
        <w:snapToGrid w:val="0"/>
        <w:spacing w:before="120" w:beforeLines="50" w:after="50"/>
        <w:jc w:val="center"/>
        <w:outlineLvl w:val="1"/>
        <w:rPr>
          <w:rFonts w:hint="eastAsia" w:ascii="宋体" w:hAnsi="宋体"/>
          <w:color w:val="000000"/>
          <w:highlight w:val="none"/>
        </w:rPr>
      </w:pPr>
    </w:p>
    <w:p w14:paraId="59D9D715">
      <w:pPr>
        <w:rPr>
          <w:rFonts w:hint="eastAsia"/>
          <w:b/>
          <w:color w:val="000000"/>
          <w:sz w:val="28"/>
          <w:szCs w:val="28"/>
          <w:highlight w:val="none"/>
        </w:rPr>
      </w:pPr>
      <w:bookmarkStart w:id="153" w:name="_Toc19686836"/>
      <w:bookmarkStart w:id="154" w:name="_Toc254970557"/>
      <w:bookmarkStart w:id="155" w:name="_Toc254970698"/>
      <w:r>
        <w:rPr>
          <w:rFonts w:hint="eastAsia"/>
          <w:b/>
          <w:color w:val="000000"/>
          <w:sz w:val="28"/>
          <w:szCs w:val="28"/>
          <w:highlight w:val="none"/>
        </w:rPr>
        <w:t>一、报价文件格式</w:t>
      </w:r>
      <w:bookmarkEnd w:id="153"/>
    </w:p>
    <w:p w14:paraId="3731CB46">
      <w:pPr>
        <w:snapToGrid w:val="0"/>
        <w:spacing w:before="120" w:beforeLines="50" w:after="50" w:line="360" w:lineRule="auto"/>
        <w:ind w:left="142"/>
        <w:jc w:val="left"/>
        <w:rPr>
          <w:rFonts w:hint="eastAsia" w:ascii="宋体" w:hAnsi="宋体"/>
          <w:b/>
          <w:color w:val="000000"/>
          <w:sz w:val="24"/>
          <w:highlight w:val="none"/>
        </w:rPr>
      </w:pPr>
      <w:r>
        <w:rPr>
          <w:rFonts w:hint="eastAsia" w:ascii="宋体" w:hAnsi="宋体"/>
          <w:b/>
          <w:color w:val="000000"/>
          <w:sz w:val="24"/>
          <w:highlight w:val="none"/>
        </w:rPr>
        <w:t xml:space="preserve">1. 报价文件封面格式： </w:t>
      </w:r>
    </w:p>
    <w:p w14:paraId="7F282335">
      <w:pPr>
        <w:snapToGrid w:val="0"/>
        <w:spacing w:before="120" w:beforeLines="50" w:after="50" w:line="360" w:lineRule="auto"/>
        <w:ind w:left="142"/>
        <w:jc w:val="center"/>
        <w:rPr>
          <w:rFonts w:hint="eastAsia" w:ascii="宋体" w:hAnsi="宋体" w:eastAsia="方正小标宋简体"/>
          <w:bCs/>
          <w:color w:val="000000"/>
          <w:sz w:val="48"/>
          <w:szCs w:val="48"/>
          <w:highlight w:val="none"/>
        </w:rPr>
      </w:pPr>
      <w:r>
        <w:rPr>
          <w:rFonts w:hint="eastAsia" w:ascii="宋体" w:hAnsi="宋体" w:eastAsia="方正小标宋简体"/>
          <w:bCs/>
          <w:color w:val="000000"/>
          <w:sz w:val="48"/>
          <w:szCs w:val="48"/>
          <w:highlight w:val="none"/>
        </w:rPr>
        <w:t>电子投标文件</w:t>
      </w:r>
    </w:p>
    <w:p w14:paraId="27551EA3">
      <w:pPr>
        <w:snapToGrid w:val="0"/>
        <w:spacing w:before="120" w:beforeLines="50" w:after="50" w:line="400" w:lineRule="exact"/>
        <w:jc w:val="left"/>
        <w:rPr>
          <w:rFonts w:hint="eastAsia" w:ascii="宋体" w:hAnsi="宋体" w:eastAsia="方正小标宋简体"/>
          <w:bCs/>
          <w:color w:val="000000"/>
          <w:sz w:val="48"/>
          <w:szCs w:val="48"/>
          <w:highlight w:val="none"/>
        </w:rPr>
      </w:pPr>
    </w:p>
    <w:p w14:paraId="04A349F9">
      <w:pPr>
        <w:snapToGrid w:val="0"/>
        <w:spacing w:before="120" w:beforeLines="50" w:after="50" w:line="400" w:lineRule="exact"/>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报  价  文  件</w:t>
      </w:r>
    </w:p>
    <w:p w14:paraId="1A080D7C">
      <w:pPr>
        <w:snapToGrid w:val="0"/>
        <w:spacing w:before="120" w:beforeLines="50" w:after="50" w:line="400" w:lineRule="exact"/>
        <w:rPr>
          <w:rFonts w:hint="eastAsia" w:ascii="宋体" w:hAnsi="宋体"/>
          <w:bCs/>
          <w:color w:val="000000"/>
          <w:sz w:val="24"/>
          <w:szCs w:val="20"/>
          <w:highlight w:val="none"/>
        </w:rPr>
      </w:pPr>
    </w:p>
    <w:p w14:paraId="4D89496B">
      <w:pPr>
        <w:snapToGrid w:val="0"/>
        <w:spacing w:before="120" w:beforeLines="50" w:after="50" w:line="400" w:lineRule="exact"/>
        <w:rPr>
          <w:rFonts w:hint="eastAsia" w:ascii="宋体" w:hAnsi="宋体"/>
          <w:bCs/>
          <w:color w:val="000000"/>
          <w:sz w:val="24"/>
          <w:szCs w:val="20"/>
          <w:highlight w:val="none"/>
        </w:rPr>
      </w:pPr>
    </w:p>
    <w:p w14:paraId="238B35F5">
      <w:pPr>
        <w:snapToGrid w:val="0"/>
        <w:spacing w:before="120" w:beforeLines="50" w:after="50" w:line="400" w:lineRule="exact"/>
        <w:rPr>
          <w:rFonts w:hint="eastAsia" w:ascii="宋体" w:hAnsi="宋体"/>
          <w:bCs/>
          <w:color w:val="000000"/>
          <w:sz w:val="24"/>
          <w:szCs w:val="20"/>
          <w:highlight w:val="none"/>
        </w:rPr>
      </w:pPr>
    </w:p>
    <w:p w14:paraId="3B9539D6">
      <w:pPr>
        <w:snapToGrid w:val="0"/>
        <w:spacing w:before="120" w:beforeLines="50" w:after="50" w:line="400" w:lineRule="exact"/>
        <w:rPr>
          <w:rFonts w:hint="eastAsia" w:ascii="宋体" w:hAnsi="宋体"/>
          <w:bCs/>
          <w:color w:val="000000"/>
          <w:sz w:val="24"/>
          <w:szCs w:val="20"/>
          <w:highlight w:val="none"/>
        </w:rPr>
      </w:pPr>
    </w:p>
    <w:p w14:paraId="63DC4009">
      <w:pPr>
        <w:snapToGrid w:val="0"/>
        <w:spacing w:before="120" w:beforeLines="50" w:after="50" w:line="400" w:lineRule="exact"/>
        <w:ind w:firstLine="360" w:firstLineChars="150"/>
        <w:rPr>
          <w:rFonts w:ascii="宋体" w:hAnsi="宋体"/>
          <w:bCs/>
          <w:color w:val="000000"/>
          <w:sz w:val="24"/>
          <w:highlight w:val="none"/>
        </w:rPr>
      </w:pPr>
      <w:r>
        <w:rPr>
          <w:rFonts w:hint="eastAsia" w:ascii="宋体" w:hAnsi="宋体"/>
          <w:bCs/>
          <w:color w:val="000000"/>
          <w:sz w:val="24"/>
          <w:highlight w:val="none"/>
        </w:rPr>
        <w:t xml:space="preserve">项目名称： </w:t>
      </w:r>
    </w:p>
    <w:p w14:paraId="05453B41">
      <w:pPr>
        <w:snapToGrid w:val="0"/>
        <w:spacing w:before="120" w:beforeLines="50" w:after="50" w:line="400" w:lineRule="exact"/>
        <w:ind w:firstLine="360" w:firstLineChars="150"/>
        <w:rPr>
          <w:rFonts w:hint="eastAsia" w:ascii="宋体" w:hAnsi="宋体"/>
          <w:bCs/>
          <w:color w:val="000000"/>
          <w:sz w:val="24"/>
          <w:highlight w:val="none"/>
        </w:rPr>
      </w:pPr>
    </w:p>
    <w:p w14:paraId="105C3FED">
      <w:pPr>
        <w:snapToGrid w:val="0"/>
        <w:spacing w:before="120" w:beforeLines="50" w:after="50" w:line="400" w:lineRule="exact"/>
        <w:ind w:firstLine="360" w:firstLineChars="150"/>
        <w:rPr>
          <w:rFonts w:ascii="宋体" w:hAnsi="宋体"/>
          <w:bCs/>
          <w:color w:val="000000"/>
          <w:sz w:val="24"/>
          <w:highlight w:val="none"/>
        </w:rPr>
      </w:pPr>
      <w:r>
        <w:rPr>
          <w:rFonts w:hint="eastAsia" w:ascii="宋体" w:hAnsi="宋体"/>
          <w:bCs/>
          <w:color w:val="000000"/>
          <w:sz w:val="24"/>
          <w:highlight w:val="none"/>
        </w:rPr>
        <w:t xml:space="preserve">项目编号： </w:t>
      </w:r>
    </w:p>
    <w:p w14:paraId="1815C5AA">
      <w:pPr>
        <w:snapToGrid w:val="0"/>
        <w:spacing w:before="120" w:beforeLines="50" w:after="50" w:line="400" w:lineRule="exact"/>
        <w:ind w:firstLine="360" w:firstLineChars="150"/>
        <w:rPr>
          <w:rFonts w:hint="eastAsia" w:ascii="宋体" w:hAnsi="宋体"/>
          <w:bCs/>
          <w:color w:val="000000"/>
          <w:sz w:val="24"/>
          <w:highlight w:val="none"/>
        </w:rPr>
      </w:pPr>
    </w:p>
    <w:p w14:paraId="0EA1BCB9">
      <w:pPr>
        <w:snapToGrid w:val="0"/>
        <w:spacing w:before="120" w:beforeLines="50" w:after="50" w:line="400" w:lineRule="exact"/>
        <w:ind w:firstLine="360" w:firstLineChars="150"/>
        <w:rPr>
          <w:rFonts w:ascii="宋体" w:hAnsi="宋体"/>
          <w:bCs/>
          <w:color w:val="000000"/>
          <w:sz w:val="24"/>
          <w:highlight w:val="none"/>
        </w:rPr>
      </w:pPr>
      <w:r>
        <w:rPr>
          <w:rFonts w:hint="eastAsia" w:ascii="宋体" w:hAnsi="宋体"/>
          <w:bCs/>
          <w:color w:val="000000"/>
          <w:sz w:val="24"/>
          <w:highlight w:val="none"/>
        </w:rPr>
        <w:t>所投分标：</w:t>
      </w:r>
    </w:p>
    <w:p w14:paraId="2179CD79">
      <w:pPr>
        <w:snapToGrid w:val="0"/>
        <w:spacing w:before="120" w:beforeLines="50" w:after="50" w:line="400" w:lineRule="exact"/>
        <w:ind w:firstLine="360" w:firstLineChars="150"/>
        <w:rPr>
          <w:rFonts w:hint="eastAsia" w:ascii="宋体" w:hAnsi="宋体"/>
          <w:bCs/>
          <w:color w:val="000000"/>
          <w:sz w:val="24"/>
          <w:highlight w:val="none"/>
        </w:rPr>
      </w:pPr>
    </w:p>
    <w:p w14:paraId="5775DE6E">
      <w:pPr>
        <w:snapToGrid w:val="0"/>
        <w:spacing w:before="120" w:beforeLines="50" w:after="50" w:line="400" w:lineRule="exact"/>
        <w:ind w:firstLine="360" w:firstLineChars="150"/>
        <w:rPr>
          <w:rFonts w:ascii="宋体" w:hAnsi="宋体"/>
          <w:bCs/>
          <w:color w:val="000000"/>
          <w:sz w:val="24"/>
          <w:highlight w:val="none"/>
        </w:rPr>
      </w:pPr>
      <w:r>
        <w:rPr>
          <w:rFonts w:hint="eastAsia" w:ascii="宋体" w:hAnsi="宋体"/>
          <w:bCs/>
          <w:color w:val="000000"/>
          <w:sz w:val="24"/>
          <w:highlight w:val="none"/>
        </w:rPr>
        <w:t>投标人名称：</w:t>
      </w:r>
    </w:p>
    <w:p w14:paraId="2E8C5FCD">
      <w:pPr>
        <w:snapToGrid w:val="0"/>
        <w:spacing w:before="120" w:beforeLines="50" w:after="50" w:line="400" w:lineRule="exact"/>
        <w:ind w:firstLine="360" w:firstLineChars="150"/>
        <w:rPr>
          <w:rFonts w:hint="eastAsia" w:ascii="宋体" w:hAnsi="宋体"/>
          <w:bCs/>
          <w:color w:val="000000"/>
          <w:sz w:val="24"/>
          <w:highlight w:val="none"/>
        </w:rPr>
      </w:pPr>
    </w:p>
    <w:p w14:paraId="717E54C6">
      <w:pPr>
        <w:snapToGrid w:val="0"/>
        <w:spacing w:before="120" w:beforeLines="50" w:after="50" w:line="400" w:lineRule="exact"/>
        <w:ind w:firstLine="360" w:firstLineChars="150"/>
        <w:rPr>
          <w:rFonts w:hint="eastAsia" w:ascii="宋体" w:hAnsi="宋体"/>
          <w:bCs/>
          <w:color w:val="000000"/>
          <w:sz w:val="24"/>
          <w:highlight w:val="none"/>
        </w:rPr>
      </w:pPr>
      <w:r>
        <w:rPr>
          <w:rFonts w:hint="eastAsia" w:ascii="宋体" w:hAnsi="宋体"/>
          <w:bCs/>
          <w:color w:val="000000"/>
          <w:sz w:val="24"/>
          <w:highlight w:val="none"/>
        </w:rPr>
        <w:t>投标人地址：</w:t>
      </w:r>
    </w:p>
    <w:p w14:paraId="46348A96">
      <w:pPr>
        <w:pStyle w:val="7"/>
        <w:snapToGrid w:val="0"/>
        <w:spacing w:before="50" w:after="50" w:line="400" w:lineRule="exact"/>
        <w:ind w:firstLine="960" w:firstLineChars="400"/>
        <w:rPr>
          <w:rFonts w:hint="eastAsia" w:ascii="宋体" w:hAnsi="宋体"/>
          <w:bCs/>
          <w:color w:val="000000"/>
          <w:sz w:val="24"/>
          <w:szCs w:val="24"/>
          <w:highlight w:val="none"/>
        </w:rPr>
      </w:pPr>
    </w:p>
    <w:p w14:paraId="6A11C176">
      <w:pPr>
        <w:snapToGrid w:val="0"/>
        <w:spacing w:before="120" w:beforeLines="50" w:after="50" w:line="400" w:lineRule="exact"/>
        <w:rPr>
          <w:rFonts w:hint="eastAsia" w:ascii="宋体" w:hAnsi="宋体"/>
          <w:color w:val="000000"/>
          <w:sz w:val="30"/>
          <w:szCs w:val="20"/>
          <w:highlight w:val="none"/>
        </w:rPr>
      </w:pPr>
      <w:r>
        <w:rPr>
          <w:rFonts w:hint="eastAsia" w:ascii="宋体" w:hAnsi="宋体"/>
          <w:color w:val="000000"/>
          <w:sz w:val="24"/>
          <w:highlight w:val="none"/>
        </w:rPr>
        <w:t xml:space="preserve">                                   年  月  日</w:t>
      </w:r>
    </w:p>
    <w:p w14:paraId="77681594">
      <w:pPr>
        <w:snapToGrid w:val="0"/>
        <w:spacing w:before="120" w:beforeLines="50" w:after="50" w:line="360" w:lineRule="auto"/>
        <w:jc w:val="left"/>
        <w:rPr>
          <w:rFonts w:hint="eastAsia" w:ascii="宋体" w:hAnsi="宋体"/>
          <w:color w:val="000000"/>
          <w:sz w:val="24"/>
          <w:szCs w:val="20"/>
          <w:highlight w:val="none"/>
        </w:rPr>
      </w:pPr>
      <w:r>
        <w:rPr>
          <w:rFonts w:ascii="宋体" w:hAnsi="宋体"/>
          <w:b/>
          <w:color w:val="000000"/>
          <w:sz w:val="24"/>
          <w:highlight w:val="none"/>
        </w:rPr>
        <w:br w:type="page"/>
      </w:r>
      <w:r>
        <w:rPr>
          <w:rFonts w:hint="eastAsia" w:ascii="宋体" w:hAnsi="宋体"/>
          <w:b/>
          <w:color w:val="000000"/>
          <w:sz w:val="24"/>
          <w:highlight w:val="none"/>
        </w:rPr>
        <w:t>2.</w:t>
      </w:r>
      <w:r>
        <w:rPr>
          <w:rFonts w:hint="eastAsia" w:ascii="宋体" w:hAnsi="宋体"/>
          <w:b/>
          <w:bCs/>
          <w:color w:val="000000"/>
          <w:sz w:val="24"/>
          <w:highlight w:val="none"/>
        </w:rPr>
        <w:t>报价文件目录</w:t>
      </w:r>
    </w:p>
    <w:p w14:paraId="06B8BC47">
      <w:pPr>
        <w:snapToGrid w:val="0"/>
        <w:spacing w:before="50" w:after="120" w:afterLines="50" w:line="360" w:lineRule="auto"/>
        <w:jc w:val="left"/>
        <w:rPr>
          <w:rFonts w:ascii="宋体" w:hAnsi="宋体"/>
          <w:b/>
          <w:color w:val="000000"/>
          <w:sz w:val="24"/>
          <w:highlight w:val="none"/>
        </w:rPr>
      </w:pPr>
      <w:r>
        <w:rPr>
          <w:rFonts w:hint="eastAsia" w:ascii="宋体" w:hAnsi="宋体"/>
          <w:color w:val="000000"/>
          <w:szCs w:val="21"/>
          <w:highlight w:val="none"/>
        </w:rPr>
        <w:t>根据招标文件规定及投标人提供的材料自行编写目录。</w:t>
      </w:r>
    </w:p>
    <w:p w14:paraId="667F3DA9">
      <w:pPr>
        <w:snapToGrid w:val="0"/>
        <w:spacing w:before="120" w:beforeLines="50" w:after="50"/>
        <w:rPr>
          <w:rFonts w:hint="eastAsia" w:ascii="宋体" w:hAnsi="宋体"/>
          <w:b/>
          <w:color w:val="000000"/>
          <w:sz w:val="24"/>
          <w:highlight w:val="none"/>
        </w:rPr>
      </w:pPr>
    </w:p>
    <w:p w14:paraId="2A0E4755">
      <w:pPr>
        <w:snapToGrid w:val="0"/>
        <w:spacing w:before="120" w:beforeLines="50" w:after="50"/>
        <w:rPr>
          <w:rFonts w:hint="eastAsia" w:ascii="宋体" w:hAnsi="宋体"/>
          <w:b/>
          <w:color w:val="000000"/>
          <w:sz w:val="24"/>
          <w:highlight w:val="none"/>
        </w:rPr>
      </w:pPr>
    </w:p>
    <w:p w14:paraId="175A6A42">
      <w:pPr>
        <w:snapToGrid w:val="0"/>
        <w:spacing w:before="120" w:beforeLines="50" w:after="50"/>
        <w:rPr>
          <w:rFonts w:hint="eastAsia" w:ascii="宋体" w:hAnsi="宋体"/>
          <w:b/>
          <w:color w:val="000000"/>
          <w:sz w:val="24"/>
          <w:highlight w:val="none"/>
        </w:rPr>
      </w:pPr>
    </w:p>
    <w:p w14:paraId="691A8365">
      <w:pPr>
        <w:snapToGrid w:val="0"/>
        <w:spacing w:before="120" w:beforeLines="50" w:after="50"/>
        <w:ind w:left="142"/>
        <w:jc w:val="left"/>
        <w:rPr>
          <w:rFonts w:hint="eastAsia" w:ascii="宋体" w:hAnsi="宋体"/>
          <w:b/>
          <w:color w:val="000000"/>
          <w:sz w:val="24"/>
          <w:highlight w:val="none"/>
        </w:rPr>
      </w:pPr>
      <w:r>
        <w:rPr>
          <w:rFonts w:ascii="宋体" w:hAnsi="宋体"/>
          <w:b/>
          <w:color w:val="000000"/>
          <w:sz w:val="24"/>
          <w:highlight w:val="none"/>
        </w:rPr>
        <w:br w:type="page"/>
      </w:r>
      <w:r>
        <w:rPr>
          <w:rFonts w:hint="eastAsia" w:ascii="宋体" w:hAnsi="宋体"/>
          <w:b/>
          <w:color w:val="000000"/>
          <w:sz w:val="24"/>
          <w:highlight w:val="none"/>
        </w:rPr>
        <w:t>3. 投标函格式：</w:t>
      </w:r>
    </w:p>
    <w:p w14:paraId="1D7BE4C6">
      <w:pPr>
        <w:snapToGrid w:val="0"/>
        <w:spacing w:before="120" w:beforeLines="50" w:after="50" w:line="360" w:lineRule="auto"/>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投 标 函</w:t>
      </w:r>
    </w:p>
    <w:p w14:paraId="1B2E5B72">
      <w:pPr>
        <w:snapToGrid w:val="0"/>
        <w:spacing w:before="120" w:beforeLines="50" w:after="50" w:line="320" w:lineRule="exact"/>
        <w:rPr>
          <w:rFonts w:hint="eastAsia" w:ascii="宋体" w:hAnsi="宋体"/>
          <w:b/>
          <w:color w:val="000000"/>
          <w:sz w:val="32"/>
          <w:szCs w:val="32"/>
          <w:highlight w:val="none"/>
        </w:rPr>
      </w:pPr>
    </w:p>
    <w:p w14:paraId="63C59F53">
      <w:pPr>
        <w:spacing w:line="360" w:lineRule="auto"/>
        <w:contextualSpacing/>
        <w:rPr>
          <w:rFonts w:hint="eastAsia" w:ascii="宋体" w:hAnsi="宋体"/>
          <w:color w:val="000000"/>
          <w:sz w:val="24"/>
          <w:highlight w:val="none"/>
        </w:rPr>
      </w:pPr>
      <w:r>
        <w:rPr>
          <w:rFonts w:hint="eastAsia" w:ascii="宋体" w:hAnsi="宋体"/>
          <w:color w:val="000000"/>
          <w:sz w:val="24"/>
          <w:highlight w:val="none"/>
        </w:rPr>
        <w:t>致：</w:t>
      </w:r>
      <w:r>
        <w:rPr>
          <w:rFonts w:hint="eastAsia" w:ascii="宋体" w:hAnsi="宋体"/>
          <w:color w:val="000000"/>
          <w:sz w:val="24"/>
          <w:highlight w:val="none"/>
          <w:u w:val="single"/>
        </w:rPr>
        <w:t>采购人名称</w:t>
      </w:r>
      <w:r>
        <w:rPr>
          <w:rFonts w:hint="eastAsia" w:ascii="宋体" w:hAnsi="宋体"/>
          <w:color w:val="000000"/>
          <w:sz w:val="24"/>
          <w:highlight w:val="none"/>
        </w:rPr>
        <w:t>：</w:t>
      </w:r>
    </w:p>
    <w:p w14:paraId="4D0CC71D">
      <w:pPr>
        <w:spacing w:line="360" w:lineRule="auto"/>
        <w:ind w:firstLine="480"/>
        <w:contextualSpacing/>
        <w:rPr>
          <w:rFonts w:hint="eastAsia" w:ascii="宋体" w:hAnsi="宋体"/>
          <w:color w:val="000000"/>
          <w:sz w:val="24"/>
          <w:highlight w:val="none"/>
        </w:rPr>
      </w:pPr>
      <w:r>
        <w:rPr>
          <w:rFonts w:hint="eastAsia" w:ascii="宋体" w:hAnsi="宋体"/>
          <w:color w:val="000000"/>
          <w:sz w:val="24"/>
          <w:highlight w:val="none"/>
        </w:rPr>
        <w:t>根据贵方</w:t>
      </w:r>
      <w:r>
        <w:rPr>
          <w:rFonts w:hint="eastAsia" w:ascii="宋体" w:hAnsi="宋体"/>
          <w:color w:val="000000"/>
          <w:sz w:val="24"/>
          <w:highlight w:val="none"/>
          <w:u w:val="single"/>
        </w:rPr>
        <w:t xml:space="preserve"> 项目名称</w:t>
      </w:r>
      <w:r>
        <w:rPr>
          <w:rFonts w:hint="eastAsia" w:ascii="宋体" w:hAnsi="宋体"/>
          <w:color w:val="000000"/>
          <w:sz w:val="24"/>
          <w:highlight w:val="none"/>
        </w:rPr>
        <w:t>（项目编号：</w:t>
      </w:r>
      <w:r>
        <w:rPr>
          <w:rFonts w:hint="eastAsia" w:ascii="宋体" w:hAnsi="宋体"/>
          <w:color w:val="000000"/>
          <w:sz w:val="24"/>
          <w:highlight w:val="none"/>
          <w:u w:val="single"/>
        </w:rPr>
        <w:t xml:space="preserve">        </w:t>
      </w:r>
      <w:r>
        <w:rPr>
          <w:rFonts w:hint="eastAsia" w:ascii="宋体" w:hAnsi="宋体"/>
          <w:color w:val="000000"/>
          <w:sz w:val="24"/>
          <w:highlight w:val="none"/>
        </w:rPr>
        <w:t>）的招标文件，签字代表______</w:t>
      </w:r>
      <w:r>
        <w:rPr>
          <w:rFonts w:hint="eastAsia" w:ascii="宋体" w:hAnsi="宋体"/>
          <w:color w:val="000000"/>
          <w:sz w:val="24"/>
          <w:highlight w:val="none"/>
          <w:u w:val="single"/>
        </w:rPr>
        <w:t xml:space="preserve">     </w:t>
      </w:r>
      <w:r>
        <w:rPr>
          <w:rFonts w:hint="eastAsia" w:ascii="宋体" w:hAnsi="宋体"/>
          <w:color w:val="000000"/>
          <w:sz w:val="24"/>
          <w:highlight w:val="none"/>
        </w:rPr>
        <w:t>（姓名）经正式授权并代表投标人</w:t>
      </w:r>
      <w:r>
        <w:rPr>
          <w:rFonts w:hint="eastAsia" w:ascii="宋体" w:hAnsi="宋体"/>
          <w:color w:val="000000"/>
          <w:sz w:val="24"/>
          <w:highlight w:val="none"/>
          <w:u w:val="single"/>
        </w:rPr>
        <w:t xml:space="preserve">                 </w:t>
      </w:r>
      <w:r>
        <w:rPr>
          <w:rFonts w:hint="eastAsia" w:ascii="宋体" w:hAnsi="宋体"/>
          <w:color w:val="000000"/>
          <w:sz w:val="24"/>
          <w:highlight w:val="none"/>
        </w:rPr>
        <w:t>（投标人名称）提交投标文件。</w:t>
      </w:r>
    </w:p>
    <w:p w14:paraId="282C1AB8">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据此函，我方宣布同意如下：</w:t>
      </w:r>
    </w:p>
    <w:p w14:paraId="67AEDB4B">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598D6C58">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2.我方在投标之前已经完全理解并接受招标文件的各项规定和要求，对招标文件的合理性、合法性不再有异议。</w:t>
      </w:r>
    </w:p>
    <w:p w14:paraId="42252A48">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3.本投标有效期自投标截止之日起</w:t>
      </w:r>
      <w:r>
        <w:rPr>
          <w:rFonts w:ascii="宋体" w:hAnsi="宋体"/>
          <w:color w:val="000000"/>
          <w:sz w:val="24"/>
          <w:highlight w:val="none"/>
          <w:u w:val="single"/>
        </w:rPr>
        <w:t xml:space="preserve">    </w:t>
      </w:r>
      <w:r>
        <w:rPr>
          <w:rFonts w:hint="eastAsia" w:ascii="宋体" w:hAnsi="宋体"/>
          <w:color w:val="000000"/>
          <w:sz w:val="24"/>
          <w:highlight w:val="none"/>
        </w:rPr>
        <w:t>日。</w:t>
      </w:r>
    </w:p>
    <w:p w14:paraId="42B74FE6">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4.如中标，本投标文件至本项目合同履行完毕止均保持有效，我方将按“招标文件”及政府采购法律、法规的规定履行合同责任和义务。</w:t>
      </w:r>
    </w:p>
    <w:p w14:paraId="25721698">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5.我方同意按照贵方要求提供与投标有关的一切数据或者资料。</w:t>
      </w:r>
    </w:p>
    <w:p w14:paraId="463E30B5">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6.我方向贵方提交的所有投标文件、资料都是准确的和真实的。</w:t>
      </w:r>
    </w:p>
    <w:p w14:paraId="72C933A9">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7.以上事项如有虚假或者隐瞒，我方愿意承担一切后果，并不再寻求任何旨在减轻或者免除法律责任的辩解。</w:t>
      </w:r>
    </w:p>
    <w:p w14:paraId="7A5CB192">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8.根据</w:t>
      </w:r>
      <w:r>
        <w:rPr>
          <w:rFonts w:ascii="宋体" w:hAnsi="宋体"/>
          <w:color w:val="000000"/>
          <w:sz w:val="24"/>
          <w:highlight w:val="none"/>
        </w:rPr>
        <w:t>《中华人民共和国政府采购法实施条例》第五十条要求对政府采购合同进行公告</w:t>
      </w:r>
      <w:r>
        <w:rPr>
          <w:rFonts w:hint="eastAsia" w:ascii="宋体" w:hAnsi="宋体"/>
          <w:color w:val="000000"/>
          <w:sz w:val="24"/>
          <w:highlight w:val="none"/>
        </w:rPr>
        <w:t>，</w:t>
      </w:r>
      <w:r>
        <w:rPr>
          <w:rFonts w:ascii="宋体" w:hAnsi="宋体"/>
          <w:color w:val="000000"/>
          <w:sz w:val="24"/>
          <w:highlight w:val="none"/>
        </w:rPr>
        <w:t>但政府采购合同中涉及国家秘密、商业秘密的内容除外。</w:t>
      </w:r>
      <w:r>
        <w:rPr>
          <w:rFonts w:hint="eastAsia" w:ascii="宋体" w:hAnsi="宋体"/>
          <w:color w:val="000000"/>
          <w:sz w:val="24"/>
          <w:highlight w:val="none"/>
        </w:rPr>
        <w:t>我方就对本次投标文件进行注明如下：（两项内容中必须选择一项）</w:t>
      </w:r>
    </w:p>
    <w:p w14:paraId="426D22EC">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□我方本次投标文件</w:t>
      </w:r>
      <w:r>
        <w:rPr>
          <w:rFonts w:ascii="宋体" w:hAnsi="宋体" w:cs="宋体"/>
          <w:color w:val="000000"/>
          <w:kern w:val="0"/>
          <w:sz w:val="24"/>
          <w:highlight w:val="none"/>
        </w:rPr>
        <w:t>内容中</w:t>
      </w:r>
      <w:r>
        <w:rPr>
          <w:rFonts w:hint="eastAsia" w:ascii="宋体" w:hAnsi="宋体"/>
          <w:color w:val="000000"/>
          <w:sz w:val="24"/>
          <w:highlight w:val="none"/>
        </w:rPr>
        <w:t>未</w:t>
      </w:r>
      <w:r>
        <w:rPr>
          <w:rFonts w:ascii="宋体" w:hAnsi="宋体" w:cs="宋体"/>
          <w:color w:val="000000"/>
          <w:kern w:val="0"/>
          <w:sz w:val="24"/>
          <w:highlight w:val="none"/>
        </w:rPr>
        <w:t>涉及商业秘密</w:t>
      </w:r>
      <w:r>
        <w:rPr>
          <w:rFonts w:hint="eastAsia" w:ascii="宋体" w:hAnsi="宋体" w:cs="宋体"/>
          <w:color w:val="000000"/>
          <w:kern w:val="0"/>
          <w:sz w:val="24"/>
          <w:highlight w:val="none"/>
        </w:rPr>
        <w:t>；</w:t>
      </w:r>
    </w:p>
    <w:p w14:paraId="3CE037AD">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□我方本次投标文件</w:t>
      </w:r>
      <w:r>
        <w:rPr>
          <w:rFonts w:ascii="宋体" w:hAnsi="宋体" w:cs="宋体"/>
          <w:color w:val="000000"/>
          <w:kern w:val="0"/>
          <w:sz w:val="24"/>
          <w:highlight w:val="none"/>
        </w:rPr>
        <w:t>涉及商业秘密</w:t>
      </w:r>
      <w:r>
        <w:rPr>
          <w:rFonts w:hint="eastAsia" w:ascii="宋体" w:hAnsi="宋体" w:cs="宋体"/>
          <w:color w:val="000000"/>
          <w:kern w:val="0"/>
          <w:sz w:val="24"/>
          <w:highlight w:val="none"/>
        </w:rPr>
        <w:t>的</w:t>
      </w:r>
      <w:r>
        <w:rPr>
          <w:rFonts w:ascii="宋体" w:hAnsi="宋体" w:cs="宋体"/>
          <w:color w:val="000000"/>
          <w:kern w:val="0"/>
          <w:sz w:val="24"/>
          <w:highlight w:val="none"/>
        </w:rPr>
        <w:t>内容</w:t>
      </w:r>
      <w:r>
        <w:rPr>
          <w:rFonts w:hint="eastAsia" w:ascii="宋体" w:hAnsi="宋体" w:cs="宋体"/>
          <w:color w:val="000000"/>
          <w:kern w:val="0"/>
          <w:sz w:val="24"/>
          <w:highlight w:val="none"/>
        </w:rPr>
        <w:t>有：</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w:t>
      </w:r>
    </w:p>
    <w:p w14:paraId="574DFFDE">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9.与本项目有关的一切正式往来信函请寄：</w:t>
      </w:r>
    </w:p>
    <w:p w14:paraId="7046489E">
      <w:pPr>
        <w:spacing w:line="360" w:lineRule="auto"/>
        <w:ind w:firstLine="480" w:firstLineChars="200"/>
        <w:contextualSpacing/>
        <w:rPr>
          <w:rFonts w:hint="eastAsia" w:ascii="宋体" w:hAnsi="宋体"/>
          <w:color w:val="000000"/>
          <w:sz w:val="24"/>
          <w:highlight w:val="none"/>
          <w:u w:val="single"/>
        </w:rPr>
      </w:pPr>
      <w:r>
        <w:rPr>
          <w:rFonts w:hint="eastAsia" w:ascii="宋体" w:hAnsi="宋体"/>
          <w:color w:val="000000"/>
          <w:sz w:val="24"/>
          <w:highlight w:val="none"/>
        </w:rPr>
        <w:t>地址：</w:t>
      </w:r>
      <w:r>
        <w:rPr>
          <w:rFonts w:hint="eastAsia" w:ascii="宋体" w:hAnsi="宋体"/>
          <w:color w:val="000000"/>
          <w:sz w:val="24"/>
          <w:highlight w:val="none"/>
          <w:u w:val="single"/>
        </w:rPr>
        <w:t xml:space="preserve">          </w:t>
      </w:r>
      <w:r>
        <w:rPr>
          <w:rFonts w:hint="eastAsia" w:ascii="宋体" w:hAnsi="宋体"/>
          <w:color w:val="000000"/>
          <w:sz w:val="24"/>
          <w:highlight w:val="none"/>
        </w:rPr>
        <w:t>邮编：</w:t>
      </w:r>
      <w:r>
        <w:rPr>
          <w:rFonts w:hint="eastAsia" w:ascii="宋体" w:hAnsi="宋体"/>
          <w:color w:val="000000"/>
          <w:sz w:val="24"/>
          <w:highlight w:val="none"/>
          <w:u w:val="single"/>
        </w:rPr>
        <w:t xml:space="preserve">            </w:t>
      </w:r>
    </w:p>
    <w:p w14:paraId="055DFC0F">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联系人：</w:t>
      </w:r>
      <w:r>
        <w:rPr>
          <w:rFonts w:hint="eastAsia" w:ascii="宋体" w:hAnsi="宋体"/>
          <w:color w:val="000000"/>
          <w:sz w:val="24"/>
          <w:highlight w:val="none"/>
          <w:u w:val="single"/>
        </w:rPr>
        <w:t xml:space="preserve">        </w:t>
      </w:r>
      <w:r>
        <w:rPr>
          <w:rFonts w:hint="eastAsia" w:ascii="宋体" w:hAnsi="宋体"/>
          <w:color w:val="000000"/>
          <w:sz w:val="24"/>
          <w:highlight w:val="none"/>
        </w:rPr>
        <w:t>电话：</w:t>
      </w:r>
      <w:r>
        <w:rPr>
          <w:rFonts w:hint="eastAsia" w:ascii="宋体" w:hAnsi="宋体"/>
          <w:color w:val="000000"/>
          <w:sz w:val="24"/>
          <w:highlight w:val="none"/>
          <w:u w:val="single"/>
        </w:rPr>
        <w:t xml:space="preserve">        </w:t>
      </w:r>
      <w:r>
        <w:rPr>
          <w:rFonts w:hint="eastAsia" w:ascii="宋体" w:hAnsi="宋体"/>
          <w:color w:val="000000"/>
          <w:sz w:val="24"/>
          <w:highlight w:val="none"/>
        </w:rPr>
        <w:t>传真：</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电子邮箱：</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p>
    <w:p w14:paraId="5E2D903D">
      <w:pPr>
        <w:spacing w:line="360" w:lineRule="auto"/>
        <w:ind w:firstLine="480" w:firstLineChars="200"/>
        <w:contextualSpacing/>
        <w:rPr>
          <w:rFonts w:hint="eastAsia" w:ascii="宋体" w:hAnsi="宋体"/>
          <w:color w:val="000000"/>
          <w:sz w:val="24"/>
          <w:highlight w:val="none"/>
        </w:rPr>
      </w:pPr>
      <w:r>
        <w:rPr>
          <w:rFonts w:hint="eastAsia" w:ascii="宋体" w:hAnsi="宋体"/>
          <w:color w:val="000000"/>
          <w:sz w:val="24"/>
          <w:highlight w:val="none"/>
        </w:rPr>
        <w:t>投标人名称：</w:t>
      </w:r>
      <w:r>
        <w:rPr>
          <w:rFonts w:hint="eastAsia" w:ascii="宋体" w:hAnsi="宋体"/>
          <w:color w:val="000000"/>
          <w:sz w:val="24"/>
          <w:highlight w:val="none"/>
          <w:u w:val="single"/>
        </w:rPr>
        <w:t xml:space="preserve">                </w:t>
      </w:r>
    </w:p>
    <w:p w14:paraId="524256DB">
      <w:pPr>
        <w:spacing w:line="360" w:lineRule="auto"/>
        <w:ind w:firstLine="480" w:firstLineChars="200"/>
        <w:contextualSpacing/>
        <w:jc w:val="left"/>
        <w:rPr>
          <w:rFonts w:hint="eastAsia" w:ascii="宋体" w:hAnsi="宋体"/>
          <w:color w:val="000000"/>
          <w:sz w:val="24"/>
          <w:highlight w:val="none"/>
        </w:rPr>
      </w:pPr>
      <w:r>
        <w:rPr>
          <w:rFonts w:hint="eastAsia" w:ascii="宋体" w:hAnsi="宋体"/>
          <w:color w:val="000000"/>
          <w:sz w:val="24"/>
          <w:highlight w:val="none"/>
        </w:rPr>
        <w:t>开户银行：</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银行账号：</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w:t>
      </w:r>
    </w:p>
    <w:p w14:paraId="1BECEF41">
      <w:pPr>
        <w:pStyle w:val="18"/>
        <w:rPr>
          <w:rFonts w:hint="eastAsia"/>
          <w:color w:val="000000"/>
          <w:highlight w:val="none"/>
        </w:rPr>
      </w:pPr>
    </w:p>
    <w:p w14:paraId="3C9874DB">
      <w:pPr>
        <w:spacing w:line="360" w:lineRule="auto"/>
        <w:ind w:firstLine="480" w:firstLineChars="200"/>
        <w:contextualSpacing/>
        <w:jc w:val="left"/>
        <w:rPr>
          <w:rFonts w:hint="eastAsia" w:ascii="宋体" w:hAnsi="宋体"/>
          <w:color w:val="000000"/>
          <w:sz w:val="24"/>
          <w:highlight w:val="none"/>
        </w:rPr>
      </w:pPr>
      <w:r>
        <w:rPr>
          <w:rFonts w:hint="eastAsia" w:ascii="宋体" w:hAnsi="宋体"/>
          <w:color w:val="000000"/>
          <w:sz w:val="24"/>
          <w:highlight w:val="none"/>
        </w:rPr>
        <w:t xml:space="preserve">              法定代表人或者委托代理人（签字或者电子签名）：_______ </w:t>
      </w:r>
    </w:p>
    <w:p w14:paraId="752CA2DA">
      <w:pPr>
        <w:pStyle w:val="24"/>
        <w:spacing w:line="360" w:lineRule="auto"/>
        <w:contextualSpacing/>
        <w:jc w:val="center"/>
        <w:rPr>
          <w:rFonts w:hint="eastAsia" w:hAnsi="宋体"/>
          <w:color w:val="000000"/>
          <w:sz w:val="24"/>
          <w:szCs w:val="24"/>
          <w:highlight w:val="none"/>
          <w:u w:val="single"/>
        </w:rPr>
      </w:pPr>
      <w:r>
        <w:rPr>
          <w:rFonts w:hint="eastAsia" w:hAnsi="宋体"/>
          <w:color w:val="000000"/>
          <w:sz w:val="24"/>
          <w:highlight w:val="none"/>
        </w:rPr>
        <w:t xml:space="preserve"> </w:t>
      </w:r>
      <w:r>
        <w:rPr>
          <w:rFonts w:hAnsi="宋体"/>
          <w:color w:val="000000"/>
          <w:sz w:val="24"/>
          <w:highlight w:val="none"/>
        </w:rPr>
        <w:t xml:space="preserve">                                   </w:t>
      </w:r>
      <w:r>
        <w:rPr>
          <w:rFonts w:hint="eastAsia" w:hAnsi="宋体"/>
          <w:color w:val="000000"/>
          <w:sz w:val="24"/>
          <w:highlight w:val="none"/>
        </w:rPr>
        <w:t>投标人名称（电子签章）：</w:t>
      </w:r>
    </w:p>
    <w:p w14:paraId="21CF6278">
      <w:pPr>
        <w:pStyle w:val="24"/>
        <w:spacing w:line="360" w:lineRule="auto"/>
        <w:contextualSpacing/>
        <w:rPr>
          <w:rFonts w:hint="eastAsia" w:hAnsi="宋体"/>
          <w:color w:val="000000"/>
          <w:sz w:val="24"/>
          <w:highlight w:val="none"/>
        </w:rPr>
      </w:pPr>
      <w:r>
        <w:rPr>
          <w:rFonts w:hint="eastAsia" w:hAnsi="宋体"/>
          <w:color w:val="000000"/>
          <w:sz w:val="24"/>
          <w:szCs w:val="24"/>
          <w:highlight w:val="none"/>
        </w:rPr>
        <w:t xml:space="preserve">                                                </w:t>
      </w:r>
      <w:r>
        <w:rPr>
          <w:rFonts w:hint="eastAsia" w:hAnsi="宋体"/>
          <w:color w:val="000000"/>
          <w:sz w:val="24"/>
          <w:szCs w:val="24"/>
          <w:highlight w:val="none"/>
          <w:u w:val="single"/>
        </w:rPr>
        <w:t xml:space="preserve">      </w:t>
      </w:r>
      <w:r>
        <w:rPr>
          <w:rFonts w:hint="eastAsia" w:hAnsi="宋体"/>
          <w:color w:val="000000"/>
          <w:sz w:val="24"/>
          <w:szCs w:val="24"/>
          <w:highlight w:val="none"/>
        </w:rPr>
        <w:t>年</w:t>
      </w:r>
      <w:r>
        <w:rPr>
          <w:rFonts w:hint="eastAsia" w:hAnsi="宋体"/>
          <w:color w:val="000000"/>
          <w:sz w:val="24"/>
          <w:szCs w:val="24"/>
          <w:highlight w:val="none"/>
          <w:u w:val="single"/>
        </w:rPr>
        <w:t xml:space="preserve">    </w:t>
      </w:r>
      <w:r>
        <w:rPr>
          <w:rFonts w:hint="eastAsia" w:hAnsi="宋体"/>
          <w:color w:val="000000"/>
          <w:sz w:val="24"/>
          <w:szCs w:val="24"/>
          <w:highlight w:val="none"/>
        </w:rPr>
        <w:t>月</w:t>
      </w:r>
      <w:r>
        <w:rPr>
          <w:rFonts w:hint="eastAsia" w:hAnsi="宋体"/>
          <w:color w:val="000000"/>
          <w:sz w:val="24"/>
          <w:szCs w:val="24"/>
          <w:highlight w:val="none"/>
          <w:u w:val="single"/>
        </w:rPr>
        <w:t xml:space="preserve">     </w:t>
      </w:r>
      <w:r>
        <w:rPr>
          <w:rFonts w:hint="eastAsia" w:hAnsi="宋体"/>
          <w:color w:val="000000"/>
          <w:sz w:val="24"/>
          <w:szCs w:val="24"/>
          <w:highlight w:val="none"/>
        </w:rPr>
        <w:t>日</w:t>
      </w:r>
    </w:p>
    <w:p w14:paraId="5DCC016E">
      <w:pPr>
        <w:snapToGrid w:val="0"/>
        <w:spacing w:before="120" w:beforeLines="50" w:after="50"/>
        <w:jc w:val="left"/>
        <w:rPr>
          <w:rFonts w:hint="eastAsia" w:ascii="宋体" w:hAnsi="宋体"/>
          <w:b/>
          <w:color w:val="000000"/>
          <w:sz w:val="24"/>
          <w:szCs w:val="20"/>
          <w:highlight w:val="none"/>
        </w:rPr>
      </w:pPr>
      <w:r>
        <w:rPr>
          <w:rFonts w:hAnsi="宋体"/>
          <w:color w:val="000000"/>
          <w:highlight w:val="none"/>
          <w:u w:val="single"/>
        </w:rPr>
        <w:br w:type="page"/>
      </w:r>
      <w:r>
        <w:rPr>
          <w:rFonts w:hint="eastAsia" w:ascii="宋体" w:hAnsi="宋体"/>
          <w:b/>
          <w:color w:val="000000"/>
          <w:sz w:val="24"/>
          <w:highlight w:val="none"/>
        </w:rPr>
        <w:t>4. 开标一览表（货物类格式）</w:t>
      </w:r>
    </w:p>
    <w:p w14:paraId="708FE288">
      <w:pPr>
        <w:snapToGrid w:val="0"/>
        <w:spacing w:before="50" w:after="50"/>
        <w:jc w:val="center"/>
        <w:rPr>
          <w:rFonts w:hint="eastAsia" w:ascii="宋体" w:hAnsi="宋体"/>
          <w:b/>
          <w:color w:val="000000"/>
          <w:sz w:val="30"/>
          <w:highlight w:val="none"/>
        </w:rPr>
      </w:pPr>
      <w:r>
        <w:rPr>
          <w:rFonts w:hint="eastAsia" w:ascii="宋体" w:hAnsi="宋体"/>
          <w:b/>
          <w:color w:val="000000"/>
          <w:sz w:val="30"/>
          <w:highlight w:val="none"/>
        </w:rPr>
        <w:t>开标一览表</w:t>
      </w:r>
    </w:p>
    <w:p w14:paraId="196F9BCC">
      <w:pPr>
        <w:snapToGrid w:val="0"/>
        <w:spacing w:before="50" w:after="50"/>
        <w:jc w:val="center"/>
        <w:rPr>
          <w:rFonts w:hint="eastAsia" w:ascii="宋体" w:hAnsi="宋体"/>
          <w:b/>
          <w:color w:val="000000"/>
          <w:sz w:val="30"/>
          <w:szCs w:val="20"/>
          <w:highlight w:val="none"/>
        </w:rPr>
      </w:pPr>
    </w:p>
    <w:p w14:paraId="23291B67">
      <w:pPr>
        <w:snapToGrid w:val="0"/>
        <w:spacing w:before="50" w:after="50" w:line="360" w:lineRule="auto"/>
        <w:rPr>
          <w:rFonts w:hint="eastAsia" w:ascii="宋体" w:hAnsi="宋体"/>
          <w:color w:val="000000"/>
          <w:sz w:val="24"/>
          <w:highlight w:val="none"/>
          <w:u w:val="single"/>
        </w:rPr>
      </w:pPr>
      <w:r>
        <w:rPr>
          <w:rFonts w:hint="eastAsia" w:ascii="宋体" w:hAnsi="宋体"/>
          <w:color w:val="000000"/>
          <w:sz w:val="24"/>
          <w:highlight w:val="none"/>
        </w:rPr>
        <w:t>项目名称：</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ascii="宋体" w:hAnsi="宋体"/>
          <w:color w:val="000000"/>
          <w:sz w:val="24"/>
          <w:highlight w:val="none"/>
        </w:rPr>
        <w:t xml:space="preserve">         </w:t>
      </w:r>
      <w:r>
        <w:rPr>
          <w:rFonts w:hint="eastAsia" w:ascii="宋体" w:hAnsi="宋体"/>
          <w:color w:val="000000"/>
          <w:sz w:val="24"/>
          <w:highlight w:val="none"/>
        </w:rPr>
        <w:t>项目编号：</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分标：</w:t>
      </w:r>
      <w:r>
        <w:rPr>
          <w:rFonts w:hint="eastAsia" w:ascii="宋体" w:hAnsi="宋体"/>
          <w:color w:val="000000"/>
          <w:sz w:val="24"/>
          <w:highlight w:val="none"/>
          <w:u w:val="single"/>
        </w:rPr>
        <w:t xml:space="preserve">           </w:t>
      </w:r>
    </w:p>
    <w:p w14:paraId="1483D113">
      <w:pPr>
        <w:snapToGrid w:val="0"/>
        <w:spacing w:before="50" w:after="50" w:line="360" w:lineRule="auto"/>
        <w:rPr>
          <w:rFonts w:ascii="宋体" w:hAnsi="宋体"/>
          <w:color w:val="000000"/>
          <w:sz w:val="24"/>
          <w:highlight w:val="none"/>
        </w:rPr>
      </w:pPr>
      <w:r>
        <w:rPr>
          <w:rFonts w:hint="eastAsia" w:ascii="宋体" w:hAnsi="宋体"/>
          <w:color w:val="000000"/>
          <w:sz w:val="24"/>
          <w:highlight w:val="none"/>
        </w:rPr>
        <w:t>投标人名称：</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单位：元</w:t>
      </w:r>
    </w:p>
    <w:tbl>
      <w:tblPr>
        <w:tblStyle w:val="45"/>
        <w:tblW w:w="5101"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9"/>
        <w:gridCol w:w="902"/>
        <w:gridCol w:w="598"/>
        <w:gridCol w:w="601"/>
        <w:gridCol w:w="724"/>
        <w:gridCol w:w="979"/>
        <w:gridCol w:w="1366"/>
        <w:gridCol w:w="1840"/>
        <w:gridCol w:w="1187"/>
      </w:tblGrid>
      <w:tr w14:paraId="502D0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393" w:type="pct"/>
            <w:tcBorders>
              <w:top w:val="single" w:color="auto" w:sz="4" w:space="0"/>
              <w:left w:val="single" w:color="auto" w:sz="4" w:space="0"/>
              <w:bottom w:val="single" w:color="auto" w:sz="4" w:space="0"/>
              <w:right w:val="single" w:color="auto" w:sz="4" w:space="0"/>
            </w:tcBorders>
            <w:noWrap w:val="0"/>
            <w:vAlign w:val="center"/>
          </w:tcPr>
          <w:p w14:paraId="3C8B8405">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序号</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56D047CE">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标的名称</w:t>
            </w:r>
          </w:p>
        </w:tc>
        <w:tc>
          <w:tcPr>
            <w:tcW w:w="336" w:type="pct"/>
            <w:tcBorders>
              <w:top w:val="single" w:color="auto" w:sz="4" w:space="0"/>
              <w:left w:val="single" w:color="auto" w:sz="4" w:space="0"/>
              <w:bottom w:val="single" w:color="auto" w:sz="4" w:space="0"/>
              <w:right w:val="single" w:color="auto" w:sz="4" w:space="0"/>
            </w:tcBorders>
            <w:noWrap w:val="0"/>
            <w:vAlign w:val="center"/>
          </w:tcPr>
          <w:p w14:paraId="081DFE9D">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品牌</w:t>
            </w:r>
          </w:p>
        </w:tc>
        <w:tc>
          <w:tcPr>
            <w:tcW w:w="338" w:type="pct"/>
            <w:tcBorders>
              <w:top w:val="single" w:color="auto" w:sz="4" w:space="0"/>
              <w:left w:val="single" w:color="auto" w:sz="4" w:space="0"/>
              <w:bottom w:val="single" w:color="auto" w:sz="4" w:space="0"/>
              <w:right w:val="single" w:color="auto" w:sz="4" w:space="0"/>
            </w:tcBorders>
            <w:noWrap w:val="0"/>
            <w:vAlign w:val="center"/>
          </w:tcPr>
          <w:p w14:paraId="10235918">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规格型号</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583F71A1">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数量及单位①</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0F489CEC">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单价</w:t>
            </w:r>
          </w:p>
          <w:p w14:paraId="3B9D0EC2">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②</w:t>
            </w:r>
          </w:p>
        </w:tc>
        <w:tc>
          <w:tcPr>
            <w:tcW w:w="768" w:type="pct"/>
            <w:tcBorders>
              <w:top w:val="single" w:color="auto" w:sz="4" w:space="0"/>
              <w:left w:val="single" w:color="auto" w:sz="4" w:space="0"/>
              <w:bottom w:val="single" w:color="auto" w:sz="4" w:space="0"/>
              <w:right w:val="single" w:color="auto" w:sz="4" w:space="0"/>
            </w:tcBorders>
            <w:noWrap w:val="0"/>
            <w:vAlign w:val="center"/>
          </w:tcPr>
          <w:p w14:paraId="7FEF6F8E">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投标报价</w:t>
            </w:r>
          </w:p>
          <w:p w14:paraId="203FFDFD">
            <w:pPr>
              <w:snapToGrid w:val="0"/>
              <w:spacing w:before="50" w:after="50" w:line="360" w:lineRule="auto"/>
              <w:jc w:val="center"/>
              <w:rPr>
                <w:rFonts w:ascii="宋体" w:hAnsi="宋体"/>
                <w:b/>
                <w:color w:val="000000"/>
                <w:sz w:val="24"/>
                <w:highlight w:val="none"/>
              </w:rPr>
            </w:pPr>
            <w:r>
              <w:rPr>
                <w:rFonts w:ascii="宋体" w:hAnsi="宋体"/>
                <w:b/>
                <w:color w:val="000000"/>
                <w:sz w:val="24"/>
                <w:highlight w:val="none"/>
              </w:rPr>
              <w:t>③</w:t>
            </w:r>
            <w:r>
              <w:rPr>
                <w:rFonts w:hint="eastAsia" w:ascii="宋体" w:hAnsi="宋体"/>
                <w:b/>
                <w:color w:val="000000"/>
                <w:sz w:val="24"/>
                <w:highlight w:val="none"/>
              </w:rPr>
              <w:t>=①×②</w:t>
            </w:r>
          </w:p>
        </w:tc>
        <w:tc>
          <w:tcPr>
            <w:tcW w:w="1034" w:type="pct"/>
            <w:tcBorders>
              <w:top w:val="single" w:color="auto" w:sz="4" w:space="0"/>
              <w:left w:val="single" w:color="auto" w:sz="4" w:space="0"/>
              <w:bottom w:val="single" w:color="auto" w:sz="4" w:space="0"/>
              <w:right w:val="single" w:color="auto" w:sz="4" w:space="0"/>
            </w:tcBorders>
            <w:noWrap w:val="0"/>
            <w:vAlign w:val="top"/>
          </w:tcPr>
          <w:p w14:paraId="3E3CC93B">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医疗器械产品注册证名称及编号（非医疗设备可不填，用“/”表示）</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6F19A76F">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产品合格证名称</w:t>
            </w:r>
          </w:p>
        </w:tc>
      </w:tr>
      <w:tr w14:paraId="384A3C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393" w:type="pct"/>
            <w:tcBorders>
              <w:top w:val="single" w:color="auto" w:sz="4" w:space="0"/>
              <w:left w:val="single" w:color="auto" w:sz="4" w:space="0"/>
              <w:bottom w:val="single" w:color="auto" w:sz="4" w:space="0"/>
              <w:right w:val="single" w:color="auto" w:sz="4" w:space="0"/>
            </w:tcBorders>
            <w:noWrap w:val="0"/>
            <w:vAlign w:val="center"/>
          </w:tcPr>
          <w:p w14:paraId="52C9B677">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1</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68756CAF">
            <w:pPr>
              <w:snapToGrid w:val="0"/>
              <w:spacing w:before="50" w:after="50" w:line="360" w:lineRule="auto"/>
              <w:jc w:val="center"/>
              <w:rPr>
                <w:rFonts w:ascii="宋体" w:hAnsi="宋体"/>
                <w:color w:val="000000"/>
                <w:sz w:val="24"/>
                <w:highlight w:val="none"/>
              </w:rPr>
            </w:pPr>
          </w:p>
        </w:tc>
        <w:tc>
          <w:tcPr>
            <w:tcW w:w="336" w:type="pct"/>
            <w:tcBorders>
              <w:top w:val="single" w:color="auto" w:sz="4" w:space="0"/>
              <w:left w:val="single" w:color="auto" w:sz="4" w:space="0"/>
              <w:bottom w:val="single" w:color="auto" w:sz="4" w:space="0"/>
              <w:right w:val="single" w:color="auto" w:sz="4" w:space="0"/>
            </w:tcBorders>
            <w:noWrap w:val="0"/>
            <w:vAlign w:val="center"/>
          </w:tcPr>
          <w:p w14:paraId="7590305B">
            <w:pPr>
              <w:snapToGrid w:val="0"/>
              <w:spacing w:before="50" w:after="50" w:line="360" w:lineRule="auto"/>
              <w:rPr>
                <w:rFonts w:ascii="宋体" w:hAnsi="宋体"/>
                <w:color w:val="000000"/>
                <w:sz w:val="24"/>
                <w:highlight w:val="none"/>
              </w:rPr>
            </w:pPr>
          </w:p>
        </w:tc>
        <w:tc>
          <w:tcPr>
            <w:tcW w:w="338" w:type="pct"/>
            <w:tcBorders>
              <w:top w:val="single" w:color="auto" w:sz="4" w:space="0"/>
              <w:left w:val="single" w:color="auto" w:sz="4" w:space="0"/>
              <w:bottom w:val="single" w:color="auto" w:sz="4" w:space="0"/>
              <w:right w:val="single" w:color="auto" w:sz="4" w:space="0"/>
            </w:tcBorders>
            <w:noWrap w:val="0"/>
            <w:vAlign w:val="top"/>
          </w:tcPr>
          <w:p w14:paraId="1F75E71E">
            <w:pPr>
              <w:snapToGrid w:val="0"/>
              <w:spacing w:before="50" w:after="50" w:line="360" w:lineRule="auto"/>
              <w:rPr>
                <w:rFonts w:ascii="宋体" w:hAnsi="宋体"/>
                <w:color w:val="000000"/>
                <w:sz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067F4AFE">
            <w:pPr>
              <w:snapToGrid w:val="0"/>
              <w:spacing w:before="50" w:after="50" w:line="360" w:lineRule="auto"/>
              <w:rPr>
                <w:rFonts w:ascii="宋体" w:hAnsi="宋体"/>
                <w:color w:val="000000"/>
                <w:sz w:val="24"/>
                <w:highlight w:val="none"/>
              </w:rPr>
            </w:pPr>
          </w:p>
        </w:tc>
        <w:tc>
          <w:tcPr>
            <w:tcW w:w="550" w:type="pct"/>
            <w:tcBorders>
              <w:top w:val="single" w:color="auto" w:sz="4" w:space="0"/>
              <w:left w:val="single" w:color="auto" w:sz="4" w:space="0"/>
              <w:bottom w:val="single" w:color="auto" w:sz="4" w:space="0"/>
              <w:right w:val="single" w:color="auto" w:sz="4" w:space="0"/>
            </w:tcBorders>
            <w:noWrap w:val="0"/>
            <w:vAlign w:val="center"/>
          </w:tcPr>
          <w:p w14:paraId="13FBA78D">
            <w:pPr>
              <w:snapToGrid w:val="0"/>
              <w:spacing w:before="50" w:after="50" w:line="360" w:lineRule="auto"/>
              <w:rPr>
                <w:rFonts w:ascii="宋体" w:hAnsi="宋体"/>
                <w:color w:val="000000"/>
                <w:sz w:val="24"/>
                <w:highlight w:val="none"/>
              </w:rPr>
            </w:pPr>
          </w:p>
        </w:tc>
        <w:tc>
          <w:tcPr>
            <w:tcW w:w="768" w:type="pct"/>
            <w:tcBorders>
              <w:top w:val="single" w:color="auto" w:sz="4" w:space="0"/>
              <w:left w:val="single" w:color="auto" w:sz="4" w:space="0"/>
              <w:bottom w:val="single" w:color="auto" w:sz="4" w:space="0"/>
              <w:right w:val="single" w:color="auto" w:sz="4" w:space="0"/>
            </w:tcBorders>
            <w:noWrap w:val="0"/>
            <w:vAlign w:val="center"/>
          </w:tcPr>
          <w:p w14:paraId="2888E5D8">
            <w:pPr>
              <w:snapToGrid w:val="0"/>
              <w:spacing w:before="50" w:after="50" w:line="360" w:lineRule="auto"/>
              <w:rPr>
                <w:rFonts w:ascii="宋体" w:hAnsi="宋体"/>
                <w:color w:val="000000"/>
                <w:sz w:val="24"/>
                <w:highlight w:val="none"/>
              </w:rPr>
            </w:pPr>
          </w:p>
        </w:tc>
        <w:tc>
          <w:tcPr>
            <w:tcW w:w="1034" w:type="pct"/>
            <w:tcBorders>
              <w:top w:val="single" w:color="auto" w:sz="4" w:space="0"/>
              <w:left w:val="single" w:color="auto" w:sz="4" w:space="0"/>
              <w:bottom w:val="single" w:color="auto" w:sz="4" w:space="0"/>
              <w:right w:val="single" w:color="auto" w:sz="4" w:space="0"/>
            </w:tcBorders>
            <w:noWrap w:val="0"/>
            <w:vAlign w:val="top"/>
          </w:tcPr>
          <w:p w14:paraId="789569B7">
            <w:pPr>
              <w:snapToGrid w:val="0"/>
              <w:spacing w:before="50" w:after="50" w:line="360" w:lineRule="auto"/>
              <w:rPr>
                <w:rFonts w:ascii="宋体" w:hAnsi="宋体"/>
                <w:color w:val="000000"/>
                <w:sz w:val="24"/>
                <w:highlight w:val="none"/>
              </w:rPr>
            </w:pPr>
          </w:p>
        </w:tc>
        <w:tc>
          <w:tcPr>
            <w:tcW w:w="667" w:type="pct"/>
            <w:tcBorders>
              <w:top w:val="single" w:color="auto" w:sz="4" w:space="0"/>
              <w:left w:val="single" w:color="auto" w:sz="4" w:space="0"/>
              <w:bottom w:val="single" w:color="auto" w:sz="4" w:space="0"/>
              <w:right w:val="single" w:color="auto" w:sz="4" w:space="0"/>
            </w:tcBorders>
            <w:noWrap w:val="0"/>
            <w:vAlign w:val="top"/>
          </w:tcPr>
          <w:p w14:paraId="5280C38D">
            <w:pPr>
              <w:snapToGrid w:val="0"/>
              <w:spacing w:before="50" w:after="50" w:line="360" w:lineRule="auto"/>
              <w:rPr>
                <w:rFonts w:ascii="宋体" w:hAnsi="宋体"/>
                <w:color w:val="000000"/>
                <w:sz w:val="24"/>
                <w:highlight w:val="none"/>
              </w:rPr>
            </w:pPr>
          </w:p>
        </w:tc>
      </w:tr>
      <w:tr w14:paraId="23DC0D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393" w:type="pct"/>
            <w:tcBorders>
              <w:top w:val="single" w:color="auto" w:sz="4" w:space="0"/>
              <w:left w:val="single" w:color="auto" w:sz="4" w:space="0"/>
              <w:bottom w:val="single" w:color="auto" w:sz="4" w:space="0"/>
              <w:right w:val="single" w:color="auto" w:sz="4" w:space="0"/>
            </w:tcBorders>
            <w:noWrap w:val="0"/>
            <w:vAlign w:val="center"/>
          </w:tcPr>
          <w:p w14:paraId="5E1D4148">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2</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5C84ED93">
            <w:pPr>
              <w:snapToGrid w:val="0"/>
              <w:spacing w:before="50" w:after="50" w:line="360" w:lineRule="auto"/>
              <w:jc w:val="center"/>
              <w:rPr>
                <w:rFonts w:ascii="宋体" w:hAnsi="宋体"/>
                <w:b/>
                <w:color w:val="000000"/>
                <w:sz w:val="24"/>
                <w:highlight w:val="none"/>
              </w:rPr>
            </w:pPr>
          </w:p>
        </w:tc>
        <w:tc>
          <w:tcPr>
            <w:tcW w:w="336" w:type="pct"/>
            <w:tcBorders>
              <w:top w:val="single" w:color="auto" w:sz="4" w:space="0"/>
              <w:left w:val="single" w:color="auto" w:sz="4" w:space="0"/>
              <w:bottom w:val="single" w:color="auto" w:sz="4" w:space="0"/>
              <w:right w:val="single" w:color="auto" w:sz="4" w:space="0"/>
            </w:tcBorders>
            <w:noWrap w:val="0"/>
            <w:vAlign w:val="center"/>
          </w:tcPr>
          <w:p w14:paraId="16B8BBB7">
            <w:pPr>
              <w:snapToGrid w:val="0"/>
              <w:spacing w:before="50" w:after="50" w:line="360" w:lineRule="auto"/>
              <w:rPr>
                <w:rFonts w:ascii="宋体" w:hAnsi="宋体"/>
                <w:color w:val="000000"/>
                <w:sz w:val="24"/>
                <w:highlight w:val="none"/>
              </w:rPr>
            </w:pPr>
          </w:p>
        </w:tc>
        <w:tc>
          <w:tcPr>
            <w:tcW w:w="338" w:type="pct"/>
            <w:tcBorders>
              <w:top w:val="single" w:color="auto" w:sz="4" w:space="0"/>
              <w:left w:val="single" w:color="auto" w:sz="4" w:space="0"/>
              <w:bottom w:val="single" w:color="auto" w:sz="4" w:space="0"/>
              <w:right w:val="single" w:color="auto" w:sz="4" w:space="0"/>
            </w:tcBorders>
            <w:noWrap w:val="0"/>
            <w:vAlign w:val="top"/>
          </w:tcPr>
          <w:p w14:paraId="448F3FD5">
            <w:pPr>
              <w:snapToGrid w:val="0"/>
              <w:spacing w:before="50" w:after="50" w:line="360" w:lineRule="auto"/>
              <w:rPr>
                <w:rFonts w:ascii="宋体" w:hAnsi="宋体"/>
                <w:color w:val="000000"/>
                <w:sz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54787C5">
            <w:pPr>
              <w:snapToGrid w:val="0"/>
              <w:spacing w:before="50" w:after="50" w:line="360" w:lineRule="auto"/>
              <w:rPr>
                <w:rFonts w:ascii="宋体" w:hAnsi="宋体"/>
                <w:color w:val="000000"/>
                <w:sz w:val="24"/>
                <w:highlight w:val="none"/>
              </w:rPr>
            </w:pPr>
          </w:p>
        </w:tc>
        <w:tc>
          <w:tcPr>
            <w:tcW w:w="550" w:type="pct"/>
            <w:tcBorders>
              <w:top w:val="single" w:color="auto" w:sz="4" w:space="0"/>
              <w:left w:val="single" w:color="auto" w:sz="4" w:space="0"/>
              <w:bottom w:val="single" w:color="auto" w:sz="4" w:space="0"/>
              <w:right w:val="single" w:color="auto" w:sz="4" w:space="0"/>
            </w:tcBorders>
            <w:noWrap w:val="0"/>
            <w:vAlign w:val="center"/>
          </w:tcPr>
          <w:p w14:paraId="3112009E">
            <w:pPr>
              <w:snapToGrid w:val="0"/>
              <w:spacing w:before="50" w:after="50" w:line="360" w:lineRule="auto"/>
              <w:rPr>
                <w:rFonts w:ascii="宋体" w:hAnsi="宋体"/>
                <w:color w:val="000000"/>
                <w:sz w:val="24"/>
                <w:highlight w:val="none"/>
              </w:rPr>
            </w:pPr>
          </w:p>
        </w:tc>
        <w:tc>
          <w:tcPr>
            <w:tcW w:w="768" w:type="pct"/>
            <w:tcBorders>
              <w:top w:val="single" w:color="auto" w:sz="4" w:space="0"/>
              <w:left w:val="single" w:color="auto" w:sz="4" w:space="0"/>
              <w:bottom w:val="single" w:color="auto" w:sz="4" w:space="0"/>
              <w:right w:val="single" w:color="auto" w:sz="4" w:space="0"/>
            </w:tcBorders>
            <w:noWrap w:val="0"/>
            <w:vAlign w:val="center"/>
          </w:tcPr>
          <w:p w14:paraId="42A04918">
            <w:pPr>
              <w:snapToGrid w:val="0"/>
              <w:spacing w:before="50" w:after="50" w:line="360" w:lineRule="auto"/>
              <w:rPr>
                <w:rFonts w:ascii="宋体" w:hAnsi="宋体"/>
                <w:color w:val="000000"/>
                <w:sz w:val="24"/>
                <w:highlight w:val="none"/>
              </w:rPr>
            </w:pPr>
          </w:p>
        </w:tc>
        <w:tc>
          <w:tcPr>
            <w:tcW w:w="1034" w:type="pct"/>
            <w:tcBorders>
              <w:top w:val="single" w:color="auto" w:sz="4" w:space="0"/>
              <w:left w:val="single" w:color="auto" w:sz="4" w:space="0"/>
              <w:bottom w:val="single" w:color="auto" w:sz="4" w:space="0"/>
              <w:right w:val="single" w:color="auto" w:sz="4" w:space="0"/>
            </w:tcBorders>
            <w:noWrap w:val="0"/>
            <w:vAlign w:val="top"/>
          </w:tcPr>
          <w:p w14:paraId="70D0D4C1">
            <w:pPr>
              <w:snapToGrid w:val="0"/>
              <w:spacing w:before="50" w:after="50" w:line="360" w:lineRule="auto"/>
              <w:rPr>
                <w:rFonts w:ascii="宋体" w:hAnsi="宋体"/>
                <w:color w:val="000000"/>
                <w:sz w:val="24"/>
                <w:highlight w:val="none"/>
              </w:rPr>
            </w:pPr>
          </w:p>
        </w:tc>
        <w:tc>
          <w:tcPr>
            <w:tcW w:w="667" w:type="pct"/>
            <w:tcBorders>
              <w:top w:val="single" w:color="auto" w:sz="4" w:space="0"/>
              <w:left w:val="single" w:color="auto" w:sz="4" w:space="0"/>
              <w:bottom w:val="single" w:color="auto" w:sz="4" w:space="0"/>
              <w:right w:val="single" w:color="auto" w:sz="4" w:space="0"/>
            </w:tcBorders>
            <w:noWrap w:val="0"/>
            <w:vAlign w:val="top"/>
          </w:tcPr>
          <w:p w14:paraId="3F351BEE">
            <w:pPr>
              <w:snapToGrid w:val="0"/>
              <w:spacing w:before="50" w:after="50" w:line="360" w:lineRule="auto"/>
              <w:rPr>
                <w:rFonts w:ascii="宋体" w:hAnsi="宋体"/>
                <w:color w:val="000000"/>
                <w:sz w:val="24"/>
                <w:highlight w:val="none"/>
              </w:rPr>
            </w:pPr>
          </w:p>
        </w:tc>
      </w:tr>
      <w:tr w14:paraId="17D088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393" w:type="pct"/>
            <w:tcBorders>
              <w:top w:val="single" w:color="auto" w:sz="4" w:space="0"/>
              <w:left w:val="single" w:color="auto" w:sz="4" w:space="0"/>
              <w:bottom w:val="single" w:color="auto" w:sz="4" w:space="0"/>
              <w:right w:val="single" w:color="auto" w:sz="4" w:space="0"/>
            </w:tcBorders>
            <w:noWrap w:val="0"/>
            <w:vAlign w:val="center"/>
          </w:tcPr>
          <w:p w14:paraId="11797B25">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0AB87041">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w:t>
            </w:r>
          </w:p>
        </w:tc>
        <w:tc>
          <w:tcPr>
            <w:tcW w:w="336" w:type="pct"/>
            <w:tcBorders>
              <w:top w:val="single" w:color="auto" w:sz="4" w:space="0"/>
              <w:left w:val="single" w:color="auto" w:sz="4" w:space="0"/>
              <w:bottom w:val="single" w:color="auto" w:sz="4" w:space="0"/>
              <w:right w:val="single" w:color="auto" w:sz="4" w:space="0"/>
            </w:tcBorders>
            <w:noWrap w:val="0"/>
            <w:vAlign w:val="center"/>
          </w:tcPr>
          <w:p w14:paraId="46D145D7">
            <w:pPr>
              <w:snapToGrid w:val="0"/>
              <w:spacing w:before="50" w:after="50" w:line="360" w:lineRule="auto"/>
              <w:rPr>
                <w:rFonts w:ascii="宋体" w:hAnsi="宋体"/>
                <w:color w:val="000000"/>
                <w:sz w:val="24"/>
                <w:highlight w:val="none"/>
              </w:rPr>
            </w:pPr>
          </w:p>
        </w:tc>
        <w:tc>
          <w:tcPr>
            <w:tcW w:w="338" w:type="pct"/>
            <w:tcBorders>
              <w:top w:val="single" w:color="auto" w:sz="4" w:space="0"/>
              <w:left w:val="single" w:color="auto" w:sz="4" w:space="0"/>
              <w:bottom w:val="single" w:color="auto" w:sz="4" w:space="0"/>
              <w:right w:val="single" w:color="auto" w:sz="4" w:space="0"/>
            </w:tcBorders>
            <w:noWrap w:val="0"/>
            <w:vAlign w:val="top"/>
          </w:tcPr>
          <w:p w14:paraId="25FE14FF">
            <w:pPr>
              <w:snapToGrid w:val="0"/>
              <w:spacing w:before="50" w:after="50" w:line="360" w:lineRule="auto"/>
              <w:rPr>
                <w:rFonts w:ascii="宋体" w:hAnsi="宋体"/>
                <w:color w:val="000000"/>
                <w:sz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CF6CA20">
            <w:pPr>
              <w:snapToGrid w:val="0"/>
              <w:spacing w:before="50" w:after="50" w:line="360" w:lineRule="auto"/>
              <w:rPr>
                <w:rFonts w:ascii="宋体" w:hAnsi="宋体"/>
                <w:color w:val="000000"/>
                <w:sz w:val="24"/>
                <w:highlight w:val="none"/>
              </w:rPr>
            </w:pPr>
          </w:p>
        </w:tc>
        <w:tc>
          <w:tcPr>
            <w:tcW w:w="550" w:type="pct"/>
            <w:tcBorders>
              <w:top w:val="single" w:color="auto" w:sz="4" w:space="0"/>
              <w:left w:val="single" w:color="auto" w:sz="4" w:space="0"/>
              <w:bottom w:val="single" w:color="auto" w:sz="4" w:space="0"/>
              <w:right w:val="single" w:color="auto" w:sz="4" w:space="0"/>
            </w:tcBorders>
            <w:noWrap w:val="0"/>
            <w:vAlign w:val="center"/>
          </w:tcPr>
          <w:p w14:paraId="003683BC">
            <w:pPr>
              <w:snapToGrid w:val="0"/>
              <w:spacing w:before="50" w:after="50" w:line="360" w:lineRule="auto"/>
              <w:rPr>
                <w:rFonts w:ascii="宋体" w:hAnsi="宋体"/>
                <w:color w:val="000000"/>
                <w:sz w:val="24"/>
                <w:highlight w:val="none"/>
              </w:rPr>
            </w:pPr>
          </w:p>
        </w:tc>
        <w:tc>
          <w:tcPr>
            <w:tcW w:w="768" w:type="pct"/>
            <w:tcBorders>
              <w:top w:val="single" w:color="auto" w:sz="4" w:space="0"/>
              <w:left w:val="single" w:color="auto" w:sz="4" w:space="0"/>
              <w:bottom w:val="single" w:color="auto" w:sz="4" w:space="0"/>
              <w:right w:val="single" w:color="auto" w:sz="4" w:space="0"/>
            </w:tcBorders>
            <w:noWrap w:val="0"/>
            <w:vAlign w:val="center"/>
          </w:tcPr>
          <w:p w14:paraId="71AB54D3">
            <w:pPr>
              <w:snapToGrid w:val="0"/>
              <w:spacing w:before="50" w:after="50" w:line="360" w:lineRule="auto"/>
              <w:rPr>
                <w:rFonts w:ascii="宋体" w:hAnsi="宋体"/>
                <w:color w:val="000000"/>
                <w:sz w:val="24"/>
                <w:highlight w:val="none"/>
              </w:rPr>
            </w:pPr>
          </w:p>
        </w:tc>
        <w:tc>
          <w:tcPr>
            <w:tcW w:w="1034" w:type="pct"/>
            <w:tcBorders>
              <w:top w:val="single" w:color="auto" w:sz="4" w:space="0"/>
              <w:left w:val="single" w:color="auto" w:sz="4" w:space="0"/>
              <w:bottom w:val="single" w:color="auto" w:sz="4" w:space="0"/>
              <w:right w:val="single" w:color="auto" w:sz="4" w:space="0"/>
            </w:tcBorders>
            <w:noWrap w:val="0"/>
            <w:vAlign w:val="top"/>
          </w:tcPr>
          <w:p w14:paraId="33285007">
            <w:pPr>
              <w:snapToGrid w:val="0"/>
              <w:spacing w:before="50" w:after="50" w:line="360" w:lineRule="auto"/>
              <w:rPr>
                <w:rFonts w:ascii="宋体" w:hAnsi="宋体"/>
                <w:color w:val="000000"/>
                <w:sz w:val="24"/>
                <w:highlight w:val="none"/>
              </w:rPr>
            </w:pPr>
          </w:p>
        </w:tc>
        <w:tc>
          <w:tcPr>
            <w:tcW w:w="667" w:type="pct"/>
            <w:tcBorders>
              <w:top w:val="single" w:color="auto" w:sz="4" w:space="0"/>
              <w:left w:val="single" w:color="auto" w:sz="4" w:space="0"/>
              <w:bottom w:val="single" w:color="auto" w:sz="4" w:space="0"/>
              <w:right w:val="single" w:color="auto" w:sz="4" w:space="0"/>
            </w:tcBorders>
            <w:noWrap w:val="0"/>
            <w:vAlign w:val="top"/>
          </w:tcPr>
          <w:p w14:paraId="40398FA1">
            <w:pPr>
              <w:snapToGrid w:val="0"/>
              <w:spacing w:before="50" w:after="50" w:line="360" w:lineRule="auto"/>
              <w:rPr>
                <w:rFonts w:ascii="宋体" w:hAnsi="宋体"/>
                <w:color w:val="000000"/>
                <w:sz w:val="24"/>
                <w:highlight w:val="none"/>
              </w:rPr>
            </w:pPr>
          </w:p>
        </w:tc>
      </w:tr>
    </w:tbl>
    <w:p w14:paraId="3F9DA348">
      <w:pPr>
        <w:snapToGrid w:val="0"/>
        <w:spacing w:line="360" w:lineRule="auto"/>
        <w:ind w:firstLine="840" w:firstLineChars="350"/>
        <w:jc w:val="left"/>
        <w:rPr>
          <w:rFonts w:hint="eastAsia" w:ascii="宋体" w:hAnsi="宋体"/>
          <w:color w:val="000000"/>
          <w:sz w:val="24"/>
          <w:highlight w:val="none"/>
        </w:rPr>
      </w:pPr>
    </w:p>
    <w:p w14:paraId="02AA447E">
      <w:pPr>
        <w:snapToGrid w:val="0"/>
        <w:spacing w:line="360" w:lineRule="auto"/>
        <w:ind w:firstLine="840" w:firstLineChars="350"/>
        <w:jc w:val="left"/>
        <w:rPr>
          <w:rFonts w:ascii="宋体" w:hAnsi="宋体"/>
          <w:color w:val="000000"/>
          <w:sz w:val="24"/>
          <w:highlight w:val="none"/>
        </w:rPr>
      </w:pPr>
      <w:r>
        <w:rPr>
          <w:rFonts w:hint="eastAsia" w:ascii="宋体" w:hAnsi="宋体"/>
          <w:color w:val="000000"/>
          <w:sz w:val="24"/>
          <w:highlight w:val="none"/>
        </w:rPr>
        <w:t>主要零配件及易耗品供货价格及质保期外零配件报价表（格式自拟）</w:t>
      </w:r>
    </w:p>
    <w:tbl>
      <w:tblPr>
        <w:tblStyle w:val="45"/>
        <w:tblW w:w="4435"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12"/>
        <w:gridCol w:w="1580"/>
        <w:gridCol w:w="596"/>
        <w:gridCol w:w="600"/>
        <w:gridCol w:w="724"/>
        <w:gridCol w:w="980"/>
        <w:gridCol w:w="2043"/>
      </w:tblGrid>
      <w:tr w14:paraId="1A237A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84" w:type="pct"/>
            <w:tcBorders>
              <w:top w:val="single" w:color="auto" w:sz="4" w:space="0"/>
              <w:left w:val="single" w:color="auto" w:sz="4" w:space="0"/>
              <w:bottom w:val="single" w:color="auto" w:sz="4" w:space="0"/>
              <w:right w:val="single" w:color="auto" w:sz="4" w:space="0"/>
            </w:tcBorders>
            <w:noWrap w:val="0"/>
            <w:vAlign w:val="center"/>
          </w:tcPr>
          <w:p w14:paraId="78CE0243">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序号</w:t>
            </w:r>
          </w:p>
        </w:tc>
        <w:tc>
          <w:tcPr>
            <w:tcW w:w="1021" w:type="pct"/>
            <w:tcBorders>
              <w:top w:val="single" w:color="auto" w:sz="4" w:space="0"/>
              <w:left w:val="single" w:color="auto" w:sz="4" w:space="0"/>
              <w:bottom w:val="single" w:color="auto" w:sz="4" w:space="0"/>
              <w:right w:val="single" w:color="auto" w:sz="4" w:space="0"/>
            </w:tcBorders>
            <w:noWrap w:val="0"/>
            <w:vAlign w:val="center"/>
          </w:tcPr>
          <w:p w14:paraId="04749CE4">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主要零配件及易耗品名称</w:t>
            </w:r>
          </w:p>
        </w:tc>
        <w:tc>
          <w:tcPr>
            <w:tcW w:w="385" w:type="pct"/>
            <w:tcBorders>
              <w:top w:val="single" w:color="auto" w:sz="4" w:space="0"/>
              <w:left w:val="single" w:color="auto" w:sz="4" w:space="0"/>
              <w:bottom w:val="single" w:color="auto" w:sz="4" w:space="0"/>
              <w:right w:val="single" w:color="auto" w:sz="4" w:space="0"/>
            </w:tcBorders>
            <w:noWrap w:val="0"/>
            <w:vAlign w:val="center"/>
          </w:tcPr>
          <w:p w14:paraId="125F18B1">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品牌</w:t>
            </w:r>
          </w:p>
        </w:tc>
        <w:tc>
          <w:tcPr>
            <w:tcW w:w="388" w:type="pct"/>
            <w:tcBorders>
              <w:top w:val="single" w:color="auto" w:sz="4" w:space="0"/>
              <w:left w:val="single" w:color="auto" w:sz="4" w:space="0"/>
              <w:bottom w:val="single" w:color="auto" w:sz="4" w:space="0"/>
              <w:right w:val="single" w:color="auto" w:sz="4" w:space="0"/>
            </w:tcBorders>
            <w:noWrap w:val="0"/>
            <w:vAlign w:val="center"/>
          </w:tcPr>
          <w:p w14:paraId="1E8F1A39">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规格型号</w:t>
            </w:r>
          </w:p>
        </w:tc>
        <w:tc>
          <w:tcPr>
            <w:tcW w:w="468" w:type="pct"/>
            <w:tcBorders>
              <w:top w:val="single" w:color="auto" w:sz="4" w:space="0"/>
              <w:left w:val="single" w:color="auto" w:sz="4" w:space="0"/>
              <w:bottom w:val="single" w:color="auto" w:sz="4" w:space="0"/>
              <w:right w:val="single" w:color="auto" w:sz="4" w:space="0"/>
            </w:tcBorders>
            <w:noWrap w:val="0"/>
            <w:vAlign w:val="center"/>
          </w:tcPr>
          <w:p w14:paraId="371C7693">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数量及单位①</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2DFD1CAA">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单价</w:t>
            </w:r>
          </w:p>
          <w:p w14:paraId="41BC8CEA">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②</w:t>
            </w:r>
          </w:p>
        </w:tc>
        <w:tc>
          <w:tcPr>
            <w:tcW w:w="1320" w:type="pct"/>
            <w:tcBorders>
              <w:top w:val="single" w:color="auto" w:sz="4" w:space="0"/>
              <w:left w:val="single" w:color="auto" w:sz="4" w:space="0"/>
              <w:bottom w:val="single" w:color="auto" w:sz="4" w:space="0"/>
              <w:right w:val="single" w:color="auto" w:sz="4" w:space="0"/>
            </w:tcBorders>
            <w:noWrap w:val="0"/>
            <w:vAlign w:val="center"/>
          </w:tcPr>
          <w:p w14:paraId="1E8E55BE">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投标报价</w:t>
            </w:r>
          </w:p>
          <w:p w14:paraId="6F9057F9">
            <w:pPr>
              <w:snapToGrid w:val="0"/>
              <w:spacing w:before="50" w:after="50" w:line="360" w:lineRule="auto"/>
              <w:jc w:val="center"/>
              <w:rPr>
                <w:rFonts w:ascii="宋体" w:hAnsi="宋体"/>
                <w:b/>
                <w:color w:val="000000"/>
                <w:sz w:val="24"/>
                <w:highlight w:val="none"/>
              </w:rPr>
            </w:pPr>
            <w:r>
              <w:rPr>
                <w:rFonts w:ascii="宋体" w:hAnsi="宋体"/>
                <w:b/>
                <w:color w:val="000000"/>
                <w:sz w:val="24"/>
                <w:highlight w:val="none"/>
              </w:rPr>
              <w:t>③</w:t>
            </w:r>
            <w:r>
              <w:rPr>
                <w:rFonts w:hint="eastAsia" w:ascii="宋体" w:hAnsi="宋体"/>
                <w:b/>
                <w:color w:val="000000"/>
                <w:sz w:val="24"/>
                <w:highlight w:val="none"/>
              </w:rPr>
              <w:t>=①×②</w:t>
            </w:r>
          </w:p>
        </w:tc>
      </w:tr>
      <w:tr w14:paraId="3E029A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784" w:type="pct"/>
            <w:tcBorders>
              <w:top w:val="single" w:color="auto" w:sz="4" w:space="0"/>
              <w:left w:val="single" w:color="auto" w:sz="4" w:space="0"/>
              <w:bottom w:val="single" w:color="auto" w:sz="4" w:space="0"/>
              <w:right w:val="single" w:color="auto" w:sz="4" w:space="0"/>
            </w:tcBorders>
            <w:noWrap w:val="0"/>
            <w:vAlign w:val="center"/>
          </w:tcPr>
          <w:p w14:paraId="6F3A4955">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1</w:t>
            </w:r>
          </w:p>
        </w:tc>
        <w:tc>
          <w:tcPr>
            <w:tcW w:w="1021" w:type="pct"/>
            <w:tcBorders>
              <w:top w:val="single" w:color="auto" w:sz="4" w:space="0"/>
              <w:left w:val="single" w:color="auto" w:sz="4" w:space="0"/>
              <w:bottom w:val="single" w:color="auto" w:sz="4" w:space="0"/>
              <w:right w:val="single" w:color="auto" w:sz="4" w:space="0"/>
            </w:tcBorders>
            <w:noWrap w:val="0"/>
            <w:vAlign w:val="center"/>
          </w:tcPr>
          <w:p w14:paraId="2F658974">
            <w:pPr>
              <w:snapToGrid w:val="0"/>
              <w:spacing w:before="50" w:after="50" w:line="360" w:lineRule="auto"/>
              <w:jc w:val="center"/>
              <w:rPr>
                <w:rFonts w:ascii="宋体" w:hAnsi="宋体"/>
                <w:color w:val="000000"/>
                <w:sz w:val="24"/>
                <w:highlight w:val="none"/>
              </w:rPr>
            </w:pPr>
          </w:p>
        </w:tc>
        <w:tc>
          <w:tcPr>
            <w:tcW w:w="385" w:type="pct"/>
            <w:tcBorders>
              <w:top w:val="single" w:color="auto" w:sz="4" w:space="0"/>
              <w:left w:val="single" w:color="auto" w:sz="4" w:space="0"/>
              <w:bottom w:val="single" w:color="auto" w:sz="4" w:space="0"/>
              <w:right w:val="single" w:color="auto" w:sz="4" w:space="0"/>
            </w:tcBorders>
            <w:noWrap w:val="0"/>
            <w:vAlign w:val="center"/>
          </w:tcPr>
          <w:p w14:paraId="4E745858">
            <w:pPr>
              <w:snapToGrid w:val="0"/>
              <w:spacing w:before="50" w:after="50" w:line="360" w:lineRule="auto"/>
              <w:rPr>
                <w:rFonts w:ascii="宋体" w:hAnsi="宋体"/>
                <w:color w:val="000000"/>
                <w:sz w:val="24"/>
                <w:highlight w:val="none"/>
              </w:rPr>
            </w:pPr>
          </w:p>
        </w:tc>
        <w:tc>
          <w:tcPr>
            <w:tcW w:w="388" w:type="pct"/>
            <w:tcBorders>
              <w:top w:val="single" w:color="auto" w:sz="4" w:space="0"/>
              <w:left w:val="single" w:color="auto" w:sz="4" w:space="0"/>
              <w:bottom w:val="single" w:color="auto" w:sz="4" w:space="0"/>
              <w:right w:val="single" w:color="auto" w:sz="4" w:space="0"/>
            </w:tcBorders>
            <w:noWrap w:val="0"/>
            <w:vAlign w:val="top"/>
          </w:tcPr>
          <w:p w14:paraId="71EC370D">
            <w:pPr>
              <w:snapToGrid w:val="0"/>
              <w:spacing w:before="50" w:after="50" w:line="360" w:lineRule="auto"/>
              <w:rPr>
                <w:rFonts w:ascii="宋体" w:hAnsi="宋体"/>
                <w:color w:val="000000"/>
                <w:sz w:val="24"/>
                <w:highlight w:val="none"/>
              </w:rPr>
            </w:pPr>
          </w:p>
        </w:tc>
        <w:tc>
          <w:tcPr>
            <w:tcW w:w="468" w:type="pct"/>
            <w:tcBorders>
              <w:top w:val="single" w:color="auto" w:sz="4" w:space="0"/>
              <w:left w:val="single" w:color="auto" w:sz="4" w:space="0"/>
              <w:bottom w:val="single" w:color="auto" w:sz="4" w:space="0"/>
              <w:right w:val="single" w:color="auto" w:sz="4" w:space="0"/>
            </w:tcBorders>
            <w:noWrap w:val="0"/>
            <w:vAlign w:val="center"/>
          </w:tcPr>
          <w:p w14:paraId="055FB639">
            <w:pPr>
              <w:snapToGrid w:val="0"/>
              <w:spacing w:before="50" w:after="50" w:line="360" w:lineRule="auto"/>
              <w:rPr>
                <w:rFonts w:ascii="宋体" w:hAnsi="宋体"/>
                <w:color w:val="000000"/>
                <w:sz w:val="24"/>
                <w:highlight w:val="none"/>
              </w:rPr>
            </w:pPr>
          </w:p>
        </w:tc>
        <w:tc>
          <w:tcPr>
            <w:tcW w:w="633" w:type="pct"/>
            <w:tcBorders>
              <w:top w:val="single" w:color="auto" w:sz="4" w:space="0"/>
              <w:left w:val="single" w:color="auto" w:sz="4" w:space="0"/>
              <w:bottom w:val="single" w:color="auto" w:sz="4" w:space="0"/>
              <w:right w:val="single" w:color="auto" w:sz="4" w:space="0"/>
            </w:tcBorders>
            <w:noWrap w:val="0"/>
            <w:vAlign w:val="center"/>
          </w:tcPr>
          <w:p w14:paraId="07A1CD0C">
            <w:pPr>
              <w:snapToGrid w:val="0"/>
              <w:spacing w:before="50" w:after="50" w:line="360" w:lineRule="auto"/>
              <w:rPr>
                <w:rFonts w:ascii="宋体" w:hAnsi="宋体"/>
                <w:color w:val="000000"/>
                <w:sz w:val="24"/>
                <w:highlight w:val="none"/>
              </w:rPr>
            </w:pPr>
          </w:p>
        </w:tc>
        <w:tc>
          <w:tcPr>
            <w:tcW w:w="1320" w:type="pct"/>
            <w:tcBorders>
              <w:top w:val="single" w:color="auto" w:sz="4" w:space="0"/>
              <w:left w:val="single" w:color="auto" w:sz="4" w:space="0"/>
              <w:bottom w:val="single" w:color="auto" w:sz="4" w:space="0"/>
              <w:right w:val="single" w:color="auto" w:sz="4" w:space="0"/>
            </w:tcBorders>
            <w:noWrap w:val="0"/>
            <w:vAlign w:val="center"/>
          </w:tcPr>
          <w:p w14:paraId="2514D9A6">
            <w:pPr>
              <w:snapToGrid w:val="0"/>
              <w:spacing w:before="50" w:after="50" w:line="360" w:lineRule="auto"/>
              <w:rPr>
                <w:rFonts w:ascii="宋体" w:hAnsi="宋体"/>
                <w:color w:val="000000"/>
                <w:sz w:val="24"/>
                <w:highlight w:val="none"/>
              </w:rPr>
            </w:pPr>
          </w:p>
        </w:tc>
      </w:tr>
      <w:tr w14:paraId="581B73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84" w:type="pct"/>
            <w:tcBorders>
              <w:top w:val="single" w:color="auto" w:sz="4" w:space="0"/>
              <w:left w:val="single" w:color="auto" w:sz="4" w:space="0"/>
              <w:bottom w:val="single" w:color="auto" w:sz="4" w:space="0"/>
              <w:right w:val="single" w:color="auto" w:sz="4" w:space="0"/>
            </w:tcBorders>
            <w:noWrap w:val="0"/>
            <w:vAlign w:val="center"/>
          </w:tcPr>
          <w:p w14:paraId="703B66D0">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2</w:t>
            </w:r>
          </w:p>
        </w:tc>
        <w:tc>
          <w:tcPr>
            <w:tcW w:w="1021" w:type="pct"/>
            <w:tcBorders>
              <w:top w:val="single" w:color="auto" w:sz="4" w:space="0"/>
              <w:left w:val="single" w:color="auto" w:sz="4" w:space="0"/>
              <w:bottom w:val="single" w:color="auto" w:sz="4" w:space="0"/>
              <w:right w:val="single" w:color="auto" w:sz="4" w:space="0"/>
            </w:tcBorders>
            <w:noWrap w:val="0"/>
            <w:vAlign w:val="center"/>
          </w:tcPr>
          <w:p w14:paraId="4A4506B0">
            <w:pPr>
              <w:snapToGrid w:val="0"/>
              <w:spacing w:before="50" w:after="50" w:line="360" w:lineRule="auto"/>
              <w:jc w:val="center"/>
              <w:rPr>
                <w:rFonts w:ascii="宋体" w:hAnsi="宋体"/>
                <w:b/>
                <w:color w:val="000000"/>
                <w:sz w:val="24"/>
                <w:highlight w:val="none"/>
              </w:rPr>
            </w:pPr>
          </w:p>
        </w:tc>
        <w:tc>
          <w:tcPr>
            <w:tcW w:w="385" w:type="pct"/>
            <w:tcBorders>
              <w:top w:val="single" w:color="auto" w:sz="4" w:space="0"/>
              <w:left w:val="single" w:color="auto" w:sz="4" w:space="0"/>
              <w:bottom w:val="single" w:color="auto" w:sz="4" w:space="0"/>
              <w:right w:val="single" w:color="auto" w:sz="4" w:space="0"/>
            </w:tcBorders>
            <w:noWrap w:val="0"/>
            <w:vAlign w:val="center"/>
          </w:tcPr>
          <w:p w14:paraId="6435E803">
            <w:pPr>
              <w:snapToGrid w:val="0"/>
              <w:spacing w:before="50" w:after="50" w:line="360" w:lineRule="auto"/>
              <w:rPr>
                <w:rFonts w:ascii="宋体" w:hAnsi="宋体"/>
                <w:color w:val="000000"/>
                <w:sz w:val="24"/>
                <w:highlight w:val="none"/>
              </w:rPr>
            </w:pPr>
          </w:p>
        </w:tc>
        <w:tc>
          <w:tcPr>
            <w:tcW w:w="388" w:type="pct"/>
            <w:tcBorders>
              <w:top w:val="single" w:color="auto" w:sz="4" w:space="0"/>
              <w:left w:val="single" w:color="auto" w:sz="4" w:space="0"/>
              <w:bottom w:val="single" w:color="auto" w:sz="4" w:space="0"/>
              <w:right w:val="single" w:color="auto" w:sz="4" w:space="0"/>
            </w:tcBorders>
            <w:noWrap w:val="0"/>
            <w:vAlign w:val="top"/>
          </w:tcPr>
          <w:p w14:paraId="5A11376D">
            <w:pPr>
              <w:snapToGrid w:val="0"/>
              <w:spacing w:before="50" w:after="50" w:line="360" w:lineRule="auto"/>
              <w:rPr>
                <w:rFonts w:ascii="宋体" w:hAnsi="宋体"/>
                <w:color w:val="000000"/>
                <w:sz w:val="24"/>
                <w:highlight w:val="none"/>
              </w:rPr>
            </w:pPr>
          </w:p>
        </w:tc>
        <w:tc>
          <w:tcPr>
            <w:tcW w:w="468" w:type="pct"/>
            <w:tcBorders>
              <w:top w:val="single" w:color="auto" w:sz="4" w:space="0"/>
              <w:left w:val="single" w:color="auto" w:sz="4" w:space="0"/>
              <w:bottom w:val="single" w:color="auto" w:sz="4" w:space="0"/>
              <w:right w:val="single" w:color="auto" w:sz="4" w:space="0"/>
            </w:tcBorders>
            <w:noWrap w:val="0"/>
            <w:vAlign w:val="center"/>
          </w:tcPr>
          <w:p w14:paraId="4F08D70B">
            <w:pPr>
              <w:snapToGrid w:val="0"/>
              <w:spacing w:before="50" w:after="50" w:line="360" w:lineRule="auto"/>
              <w:rPr>
                <w:rFonts w:ascii="宋体" w:hAnsi="宋体"/>
                <w:color w:val="000000"/>
                <w:sz w:val="24"/>
                <w:highlight w:val="none"/>
              </w:rPr>
            </w:pPr>
          </w:p>
        </w:tc>
        <w:tc>
          <w:tcPr>
            <w:tcW w:w="633" w:type="pct"/>
            <w:tcBorders>
              <w:top w:val="single" w:color="auto" w:sz="4" w:space="0"/>
              <w:left w:val="single" w:color="auto" w:sz="4" w:space="0"/>
              <w:bottom w:val="single" w:color="auto" w:sz="4" w:space="0"/>
              <w:right w:val="single" w:color="auto" w:sz="4" w:space="0"/>
            </w:tcBorders>
            <w:noWrap w:val="0"/>
            <w:vAlign w:val="center"/>
          </w:tcPr>
          <w:p w14:paraId="607BA53D">
            <w:pPr>
              <w:snapToGrid w:val="0"/>
              <w:spacing w:before="50" w:after="50" w:line="360" w:lineRule="auto"/>
              <w:rPr>
                <w:rFonts w:ascii="宋体" w:hAnsi="宋体"/>
                <w:color w:val="000000"/>
                <w:sz w:val="24"/>
                <w:highlight w:val="none"/>
              </w:rPr>
            </w:pPr>
          </w:p>
        </w:tc>
        <w:tc>
          <w:tcPr>
            <w:tcW w:w="1320" w:type="pct"/>
            <w:tcBorders>
              <w:top w:val="single" w:color="auto" w:sz="4" w:space="0"/>
              <w:left w:val="single" w:color="auto" w:sz="4" w:space="0"/>
              <w:bottom w:val="single" w:color="auto" w:sz="4" w:space="0"/>
              <w:right w:val="single" w:color="auto" w:sz="4" w:space="0"/>
            </w:tcBorders>
            <w:noWrap w:val="0"/>
            <w:vAlign w:val="center"/>
          </w:tcPr>
          <w:p w14:paraId="355F78BA">
            <w:pPr>
              <w:snapToGrid w:val="0"/>
              <w:spacing w:before="50" w:after="50" w:line="360" w:lineRule="auto"/>
              <w:rPr>
                <w:rFonts w:ascii="宋体" w:hAnsi="宋体"/>
                <w:color w:val="000000"/>
                <w:sz w:val="24"/>
                <w:highlight w:val="none"/>
              </w:rPr>
            </w:pPr>
          </w:p>
        </w:tc>
      </w:tr>
      <w:tr w14:paraId="61DCC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784" w:type="pct"/>
            <w:tcBorders>
              <w:top w:val="single" w:color="auto" w:sz="4" w:space="0"/>
              <w:left w:val="single" w:color="auto" w:sz="4" w:space="0"/>
              <w:bottom w:val="single" w:color="auto" w:sz="4" w:space="0"/>
              <w:right w:val="single" w:color="auto" w:sz="4" w:space="0"/>
            </w:tcBorders>
            <w:noWrap w:val="0"/>
            <w:vAlign w:val="center"/>
          </w:tcPr>
          <w:p w14:paraId="7D50EA80">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w:t>
            </w:r>
          </w:p>
        </w:tc>
        <w:tc>
          <w:tcPr>
            <w:tcW w:w="1021" w:type="pct"/>
            <w:tcBorders>
              <w:top w:val="single" w:color="auto" w:sz="4" w:space="0"/>
              <w:left w:val="single" w:color="auto" w:sz="4" w:space="0"/>
              <w:bottom w:val="single" w:color="auto" w:sz="4" w:space="0"/>
              <w:right w:val="single" w:color="auto" w:sz="4" w:space="0"/>
            </w:tcBorders>
            <w:noWrap w:val="0"/>
            <w:vAlign w:val="center"/>
          </w:tcPr>
          <w:p w14:paraId="604CB4EA">
            <w:pPr>
              <w:snapToGrid w:val="0"/>
              <w:spacing w:before="50" w:after="50" w:line="360" w:lineRule="auto"/>
              <w:jc w:val="center"/>
              <w:rPr>
                <w:rFonts w:ascii="宋体" w:hAnsi="宋体"/>
                <w:b/>
                <w:color w:val="000000"/>
                <w:sz w:val="24"/>
                <w:highlight w:val="none"/>
              </w:rPr>
            </w:pPr>
            <w:r>
              <w:rPr>
                <w:rFonts w:hint="eastAsia" w:ascii="宋体" w:hAnsi="宋体"/>
                <w:b/>
                <w:color w:val="000000"/>
                <w:sz w:val="24"/>
                <w:highlight w:val="none"/>
              </w:rPr>
              <w:t>……</w:t>
            </w:r>
          </w:p>
        </w:tc>
        <w:tc>
          <w:tcPr>
            <w:tcW w:w="385" w:type="pct"/>
            <w:tcBorders>
              <w:top w:val="single" w:color="auto" w:sz="4" w:space="0"/>
              <w:left w:val="single" w:color="auto" w:sz="4" w:space="0"/>
              <w:bottom w:val="single" w:color="auto" w:sz="4" w:space="0"/>
              <w:right w:val="single" w:color="auto" w:sz="4" w:space="0"/>
            </w:tcBorders>
            <w:noWrap w:val="0"/>
            <w:vAlign w:val="center"/>
          </w:tcPr>
          <w:p w14:paraId="427958BF">
            <w:pPr>
              <w:snapToGrid w:val="0"/>
              <w:spacing w:before="50" w:after="50" w:line="360" w:lineRule="auto"/>
              <w:rPr>
                <w:rFonts w:ascii="宋体" w:hAnsi="宋体"/>
                <w:color w:val="000000"/>
                <w:sz w:val="24"/>
                <w:highlight w:val="none"/>
              </w:rPr>
            </w:pPr>
          </w:p>
        </w:tc>
        <w:tc>
          <w:tcPr>
            <w:tcW w:w="388" w:type="pct"/>
            <w:tcBorders>
              <w:top w:val="single" w:color="auto" w:sz="4" w:space="0"/>
              <w:left w:val="single" w:color="auto" w:sz="4" w:space="0"/>
              <w:bottom w:val="single" w:color="auto" w:sz="4" w:space="0"/>
              <w:right w:val="single" w:color="auto" w:sz="4" w:space="0"/>
            </w:tcBorders>
            <w:noWrap w:val="0"/>
            <w:vAlign w:val="top"/>
          </w:tcPr>
          <w:p w14:paraId="465C343E">
            <w:pPr>
              <w:snapToGrid w:val="0"/>
              <w:spacing w:before="50" w:after="50" w:line="360" w:lineRule="auto"/>
              <w:rPr>
                <w:rFonts w:ascii="宋体" w:hAnsi="宋体"/>
                <w:color w:val="000000"/>
                <w:sz w:val="24"/>
                <w:highlight w:val="none"/>
              </w:rPr>
            </w:pPr>
          </w:p>
        </w:tc>
        <w:tc>
          <w:tcPr>
            <w:tcW w:w="468" w:type="pct"/>
            <w:tcBorders>
              <w:top w:val="single" w:color="auto" w:sz="4" w:space="0"/>
              <w:left w:val="single" w:color="auto" w:sz="4" w:space="0"/>
              <w:bottom w:val="single" w:color="auto" w:sz="4" w:space="0"/>
              <w:right w:val="single" w:color="auto" w:sz="4" w:space="0"/>
            </w:tcBorders>
            <w:noWrap w:val="0"/>
            <w:vAlign w:val="center"/>
          </w:tcPr>
          <w:p w14:paraId="7F219686">
            <w:pPr>
              <w:snapToGrid w:val="0"/>
              <w:spacing w:before="50" w:after="50" w:line="360" w:lineRule="auto"/>
              <w:rPr>
                <w:rFonts w:ascii="宋体" w:hAnsi="宋体"/>
                <w:color w:val="000000"/>
                <w:sz w:val="24"/>
                <w:highlight w:val="none"/>
              </w:rPr>
            </w:pPr>
          </w:p>
        </w:tc>
        <w:tc>
          <w:tcPr>
            <w:tcW w:w="633" w:type="pct"/>
            <w:tcBorders>
              <w:top w:val="single" w:color="auto" w:sz="4" w:space="0"/>
              <w:left w:val="single" w:color="auto" w:sz="4" w:space="0"/>
              <w:bottom w:val="single" w:color="auto" w:sz="4" w:space="0"/>
              <w:right w:val="single" w:color="auto" w:sz="4" w:space="0"/>
            </w:tcBorders>
            <w:noWrap w:val="0"/>
            <w:vAlign w:val="center"/>
          </w:tcPr>
          <w:p w14:paraId="361F76D2">
            <w:pPr>
              <w:snapToGrid w:val="0"/>
              <w:spacing w:before="50" w:after="50" w:line="360" w:lineRule="auto"/>
              <w:rPr>
                <w:rFonts w:ascii="宋体" w:hAnsi="宋体"/>
                <w:color w:val="000000"/>
                <w:sz w:val="24"/>
                <w:highlight w:val="none"/>
              </w:rPr>
            </w:pPr>
          </w:p>
        </w:tc>
        <w:tc>
          <w:tcPr>
            <w:tcW w:w="1320" w:type="pct"/>
            <w:tcBorders>
              <w:top w:val="single" w:color="auto" w:sz="4" w:space="0"/>
              <w:left w:val="single" w:color="auto" w:sz="4" w:space="0"/>
              <w:bottom w:val="single" w:color="auto" w:sz="4" w:space="0"/>
              <w:right w:val="single" w:color="auto" w:sz="4" w:space="0"/>
            </w:tcBorders>
            <w:noWrap w:val="0"/>
            <w:vAlign w:val="center"/>
          </w:tcPr>
          <w:p w14:paraId="0D273178">
            <w:pPr>
              <w:snapToGrid w:val="0"/>
              <w:spacing w:before="50" w:after="50" w:line="360" w:lineRule="auto"/>
              <w:rPr>
                <w:rFonts w:ascii="宋体" w:hAnsi="宋体"/>
                <w:color w:val="000000"/>
                <w:sz w:val="24"/>
                <w:highlight w:val="none"/>
              </w:rPr>
            </w:pPr>
          </w:p>
        </w:tc>
      </w:tr>
    </w:tbl>
    <w:p w14:paraId="755D2EE8">
      <w:pPr>
        <w:spacing w:line="380" w:lineRule="exact"/>
        <w:rPr>
          <w:color w:val="000000"/>
          <w:kern w:val="0"/>
          <w:sz w:val="24"/>
          <w:highlight w:val="none"/>
        </w:rPr>
      </w:pPr>
    </w:p>
    <w:p w14:paraId="588CA736">
      <w:pPr>
        <w:snapToGrid w:val="0"/>
        <w:spacing w:line="360" w:lineRule="auto"/>
        <w:jc w:val="left"/>
        <w:rPr>
          <w:rFonts w:ascii="宋体" w:hAnsi="宋体"/>
          <w:b/>
          <w:color w:val="000000"/>
          <w:sz w:val="24"/>
          <w:highlight w:val="none"/>
        </w:rPr>
      </w:pPr>
      <w:r>
        <w:rPr>
          <w:rFonts w:hint="eastAsia" w:ascii="宋体" w:hAnsi="宋体"/>
          <w:b/>
          <w:color w:val="000000"/>
          <w:sz w:val="24"/>
          <w:highlight w:val="none"/>
        </w:rPr>
        <w:t>投标人在开标一览表中提供医疗器械产品注册证（如有）或产品合格证名称（如有），并如实填写医疗器械产品注册证名称及编号或产品合格证名称，否则，中标后交货时及履约验收时造成的标的名称与注册证上或产品合格证的产品名称不一致的，采购人有权拒收货物及给以履约验收不通过，造成的不利后果由投标人负责。</w:t>
      </w:r>
    </w:p>
    <w:p w14:paraId="5418E197">
      <w:pPr>
        <w:snapToGrid w:val="0"/>
        <w:spacing w:line="360" w:lineRule="auto"/>
        <w:jc w:val="left"/>
        <w:rPr>
          <w:rFonts w:hint="eastAsia" w:ascii="宋体" w:hAnsi="宋体"/>
          <w:color w:val="000000"/>
          <w:sz w:val="24"/>
          <w:highlight w:val="none"/>
        </w:rPr>
      </w:pPr>
      <w:r>
        <w:rPr>
          <w:rFonts w:hint="eastAsia" w:ascii="宋体" w:hAnsi="宋体"/>
          <w:color w:val="000000"/>
          <w:sz w:val="24"/>
          <w:highlight w:val="none"/>
        </w:rPr>
        <w:t xml:space="preserve">注： </w:t>
      </w:r>
    </w:p>
    <w:p w14:paraId="354AB234">
      <w:pPr>
        <w:snapToGrid w:val="0"/>
        <w:spacing w:line="360" w:lineRule="auto"/>
        <w:ind w:firstLine="480" w:firstLineChars="200"/>
        <w:jc w:val="left"/>
        <w:rPr>
          <w:rFonts w:hint="eastAsia" w:ascii="宋体" w:hAnsi="宋体"/>
          <w:b/>
          <w:color w:val="000000"/>
          <w:sz w:val="24"/>
          <w:highlight w:val="none"/>
        </w:rPr>
      </w:pPr>
      <w:r>
        <w:rPr>
          <w:rFonts w:hint="eastAsia" w:ascii="宋体" w:hAnsi="宋体"/>
          <w:bCs/>
          <w:color w:val="000000"/>
          <w:sz w:val="24"/>
          <w:highlight w:val="none"/>
        </w:rPr>
        <w:t>1.</w:t>
      </w:r>
      <w:r>
        <w:rPr>
          <w:rFonts w:hint="eastAsia" w:ascii="宋体" w:hAnsi="宋体"/>
          <w:color w:val="000000"/>
          <w:sz w:val="24"/>
          <w:highlight w:val="none"/>
        </w:rPr>
        <w:t>报价一经涂改，应在涂改处加盖投标人公章</w:t>
      </w:r>
      <w:r>
        <w:rPr>
          <w:rFonts w:hint="eastAsia" w:ascii="宋体" w:hAnsi="宋体" w:cs="仿宋_GB2312"/>
          <w:color w:val="000000"/>
          <w:sz w:val="24"/>
          <w:highlight w:val="none"/>
        </w:rPr>
        <w:t>或者加盖电子签章</w:t>
      </w:r>
      <w:r>
        <w:rPr>
          <w:rFonts w:hint="eastAsia" w:ascii="宋体" w:hAnsi="宋体"/>
          <w:color w:val="000000"/>
          <w:sz w:val="24"/>
          <w:highlight w:val="none"/>
        </w:rPr>
        <w:t>或者由法定代表人或者委托代理人签字（或者电子签名）</w:t>
      </w:r>
      <w:r>
        <w:rPr>
          <w:rFonts w:hint="eastAsia" w:ascii="宋体" w:hAnsi="宋体"/>
          <w:b/>
          <w:color w:val="000000"/>
          <w:sz w:val="24"/>
          <w:highlight w:val="none"/>
        </w:rPr>
        <w:t>，否则其投标作无效标处理。</w:t>
      </w:r>
    </w:p>
    <w:p w14:paraId="532B18C2">
      <w:pPr>
        <w:snapToGrid w:val="0"/>
        <w:spacing w:line="360" w:lineRule="auto"/>
        <w:ind w:firstLine="480" w:firstLineChars="200"/>
        <w:jc w:val="left"/>
        <w:rPr>
          <w:rFonts w:hint="eastAsia" w:ascii="宋体" w:hAnsi="宋体"/>
          <w:color w:val="000000"/>
          <w:sz w:val="24"/>
          <w:highlight w:val="none"/>
        </w:rPr>
      </w:pPr>
      <w:r>
        <w:rPr>
          <w:rFonts w:hint="eastAsia" w:ascii="宋体" w:hAnsi="宋体"/>
          <w:color w:val="000000"/>
          <w:sz w:val="24"/>
          <w:highlight w:val="none"/>
        </w:rPr>
        <w:t>2.招标文件中列明采购专用耗材的，应按招标文件规定的耗材量或者按耗材的常规使用量提供报价。</w:t>
      </w:r>
    </w:p>
    <w:p w14:paraId="0BE81854">
      <w:pPr>
        <w:snapToGrid w:val="0"/>
        <w:spacing w:line="360" w:lineRule="auto"/>
        <w:ind w:firstLine="480" w:firstLineChars="200"/>
        <w:jc w:val="left"/>
        <w:rPr>
          <w:rFonts w:hint="eastAsia" w:ascii="宋体" w:hAnsi="宋体"/>
          <w:color w:val="000000"/>
          <w:sz w:val="24"/>
          <w:highlight w:val="none"/>
        </w:rPr>
      </w:pPr>
      <w:r>
        <w:rPr>
          <w:rFonts w:hint="eastAsia" w:ascii="宋体" w:hAnsi="宋体"/>
          <w:color w:val="000000"/>
          <w:sz w:val="24"/>
          <w:highlight w:val="none"/>
        </w:rPr>
        <w:t>3.如为联合体投标，“投标人名称”处必须列明联合体各方名称，并标注联合体牵头人名称，</w:t>
      </w:r>
      <w:r>
        <w:rPr>
          <w:rFonts w:hint="eastAsia" w:ascii="宋体" w:hAnsi="宋体"/>
          <w:b/>
          <w:color w:val="000000"/>
          <w:sz w:val="24"/>
          <w:highlight w:val="none"/>
        </w:rPr>
        <w:t>否则其投标作无效标处理。</w:t>
      </w:r>
    </w:p>
    <w:p w14:paraId="3BD4B9E7">
      <w:pPr>
        <w:snapToGrid w:val="0"/>
        <w:spacing w:line="360" w:lineRule="auto"/>
        <w:ind w:firstLine="456" w:firstLineChars="200"/>
        <w:jc w:val="left"/>
        <w:rPr>
          <w:rFonts w:hint="eastAsia" w:ascii="宋体" w:hAnsi="宋体"/>
          <w:color w:val="000000"/>
          <w:spacing w:val="-6"/>
          <w:sz w:val="24"/>
          <w:highlight w:val="none"/>
        </w:rPr>
      </w:pPr>
      <w:r>
        <w:rPr>
          <w:rFonts w:hint="eastAsia" w:ascii="宋体" w:hAnsi="宋体"/>
          <w:color w:val="000000"/>
          <w:spacing w:val="-6"/>
          <w:sz w:val="24"/>
          <w:highlight w:val="none"/>
        </w:rPr>
        <w:t>4.如为联合体投标，盖章处须加盖联合体牵头人电子签章，</w:t>
      </w:r>
      <w:r>
        <w:rPr>
          <w:rFonts w:hint="eastAsia" w:ascii="宋体" w:hAnsi="宋体"/>
          <w:b/>
          <w:color w:val="000000"/>
          <w:spacing w:val="-6"/>
          <w:sz w:val="24"/>
          <w:highlight w:val="none"/>
        </w:rPr>
        <w:t>否则其投标作无效标处理。</w:t>
      </w:r>
    </w:p>
    <w:p w14:paraId="1C60E6CE">
      <w:pPr>
        <w:snapToGrid w:val="0"/>
        <w:spacing w:line="360" w:lineRule="auto"/>
        <w:ind w:firstLine="480" w:firstLineChars="200"/>
        <w:rPr>
          <w:rFonts w:hint="eastAsia" w:ascii="宋体" w:hAnsi="宋体"/>
          <w:b/>
          <w:color w:val="000000"/>
          <w:sz w:val="24"/>
          <w:highlight w:val="none"/>
        </w:rPr>
      </w:pPr>
      <w:r>
        <w:rPr>
          <w:rFonts w:hint="eastAsia" w:ascii="宋体" w:hAnsi="宋体"/>
          <w:color w:val="000000"/>
          <w:sz w:val="24"/>
          <w:highlight w:val="none"/>
        </w:rPr>
        <w:t>5.如有多分标，按分标分别提供开标一览表，</w:t>
      </w:r>
      <w:r>
        <w:rPr>
          <w:rFonts w:hint="eastAsia" w:ascii="宋体" w:hAnsi="宋体"/>
          <w:b/>
          <w:color w:val="000000"/>
          <w:sz w:val="24"/>
          <w:highlight w:val="none"/>
        </w:rPr>
        <w:t>否则投标无效。</w:t>
      </w:r>
    </w:p>
    <w:p w14:paraId="1258EB2A">
      <w:pPr>
        <w:pStyle w:val="18"/>
        <w:rPr>
          <w:rFonts w:hint="eastAsia"/>
          <w:color w:val="000000"/>
          <w:highlight w:val="none"/>
        </w:rPr>
      </w:pPr>
    </w:p>
    <w:p w14:paraId="09F48257">
      <w:pPr>
        <w:snapToGrid w:val="0"/>
        <w:spacing w:line="360" w:lineRule="auto"/>
        <w:ind w:left="-2" w:leftChars="-1" w:right="-817" w:rightChars="-389"/>
        <w:rPr>
          <w:rFonts w:hint="eastAsia" w:ascii="宋体" w:hAnsi="宋体"/>
          <w:color w:val="000000"/>
          <w:sz w:val="24"/>
          <w:highlight w:val="none"/>
        </w:rPr>
      </w:pPr>
      <w:r>
        <w:rPr>
          <w:rFonts w:hint="eastAsia" w:ascii="宋体" w:hAnsi="宋体"/>
          <w:color w:val="000000"/>
          <w:sz w:val="24"/>
          <w:highlight w:val="none"/>
        </w:rPr>
        <w:t xml:space="preserve">                                  法定代表人或者委托代理人（签字或者电子签名）： </w:t>
      </w:r>
    </w:p>
    <w:p w14:paraId="731E43DE">
      <w:pPr>
        <w:snapToGrid w:val="0"/>
        <w:spacing w:line="360" w:lineRule="auto"/>
        <w:ind w:left="-3" w:leftChars="-15" w:right="-817" w:rightChars="-389" w:hanging="28" w:hangingChars="12"/>
        <w:rPr>
          <w:rFonts w:hint="eastAsia" w:ascii="宋体" w:hAnsi="宋体"/>
          <w:color w:val="000000"/>
          <w:sz w:val="24"/>
          <w:highlight w:val="none"/>
        </w:rPr>
      </w:pPr>
      <w:r>
        <w:rPr>
          <w:rFonts w:hint="eastAsia" w:ascii="宋体" w:hAnsi="宋体"/>
          <w:color w:val="000000"/>
          <w:sz w:val="24"/>
          <w:highlight w:val="none"/>
        </w:rPr>
        <w:t xml:space="preserve">                                  投标人名称（电子签章）：</w:t>
      </w:r>
    </w:p>
    <w:p w14:paraId="424DE0C7">
      <w:pPr>
        <w:snapToGrid w:val="0"/>
        <w:spacing w:line="360" w:lineRule="auto"/>
        <w:ind w:left="-3" w:leftChars="-15" w:right="-817" w:rightChars="-389" w:hanging="28" w:hangingChars="12"/>
        <w:rPr>
          <w:rFonts w:hint="eastAsia" w:ascii="宋体" w:hAnsi="宋体"/>
          <w:color w:val="000000"/>
          <w:szCs w:val="21"/>
          <w:highlight w:val="none"/>
        </w:rPr>
      </w:pPr>
      <w:r>
        <w:rPr>
          <w:rFonts w:hint="eastAsia" w:ascii="宋体" w:hAnsi="宋体"/>
          <w:color w:val="000000"/>
          <w:sz w:val="24"/>
          <w:highlight w:val="none"/>
        </w:rPr>
        <w:t xml:space="preserve">                                  日期：    年   月   日</w:t>
      </w:r>
    </w:p>
    <w:p w14:paraId="571D8B99">
      <w:pPr>
        <w:rPr>
          <w:rFonts w:hint="eastAsia"/>
          <w:b/>
          <w:color w:val="000000"/>
          <w:sz w:val="28"/>
          <w:szCs w:val="28"/>
          <w:highlight w:val="none"/>
        </w:rPr>
      </w:pPr>
      <w:r>
        <w:rPr>
          <w:rFonts w:ascii="宋体" w:hAnsi="宋体"/>
          <w:b/>
          <w:bCs/>
          <w:color w:val="000000"/>
          <w:sz w:val="24"/>
          <w:highlight w:val="none"/>
        </w:rPr>
        <w:br w:type="page"/>
      </w:r>
      <w:bookmarkStart w:id="156" w:name="_Toc19686837"/>
      <w:r>
        <w:rPr>
          <w:rFonts w:hint="eastAsia"/>
          <w:b/>
          <w:color w:val="000000"/>
          <w:sz w:val="28"/>
          <w:szCs w:val="28"/>
          <w:highlight w:val="none"/>
        </w:rPr>
        <w:t>二、资格证明文件格式</w:t>
      </w:r>
      <w:bookmarkEnd w:id="154"/>
      <w:bookmarkEnd w:id="155"/>
      <w:bookmarkEnd w:id="156"/>
    </w:p>
    <w:p w14:paraId="44A6D720">
      <w:pPr>
        <w:snapToGrid w:val="0"/>
        <w:spacing w:before="120" w:beforeLines="50" w:after="50" w:line="360" w:lineRule="auto"/>
        <w:jc w:val="left"/>
        <w:rPr>
          <w:rFonts w:hint="eastAsia" w:ascii="宋体" w:hAnsi="宋体"/>
          <w:b/>
          <w:color w:val="000000"/>
          <w:sz w:val="24"/>
          <w:highlight w:val="none"/>
        </w:rPr>
      </w:pPr>
      <w:r>
        <w:rPr>
          <w:rFonts w:hint="eastAsia" w:ascii="宋体" w:hAnsi="宋体"/>
          <w:b/>
          <w:color w:val="000000"/>
          <w:sz w:val="24"/>
          <w:highlight w:val="none"/>
        </w:rPr>
        <w:t xml:space="preserve">1.资格证明文件封面格式： </w:t>
      </w:r>
    </w:p>
    <w:p w14:paraId="7C5D08E8">
      <w:pPr>
        <w:snapToGrid w:val="0"/>
        <w:spacing w:before="120" w:beforeLines="50" w:after="50"/>
        <w:jc w:val="center"/>
        <w:rPr>
          <w:rFonts w:hint="eastAsia" w:ascii="宋体" w:hAnsi="宋体" w:eastAsia="方正小标宋简体"/>
          <w:bCs/>
          <w:color w:val="000000"/>
          <w:sz w:val="48"/>
          <w:szCs w:val="48"/>
          <w:highlight w:val="none"/>
        </w:rPr>
      </w:pPr>
      <w:r>
        <w:rPr>
          <w:rFonts w:hint="eastAsia" w:ascii="宋体" w:hAnsi="宋体" w:eastAsia="方正小标宋简体"/>
          <w:bCs/>
          <w:color w:val="000000"/>
          <w:sz w:val="48"/>
          <w:szCs w:val="48"/>
          <w:highlight w:val="none"/>
        </w:rPr>
        <w:t>电子投标文件</w:t>
      </w:r>
    </w:p>
    <w:p w14:paraId="224603DD">
      <w:pPr>
        <w:snapToGrid w:val="0"/>
        <w:spacing w:before="120" w:beforeLines="50" w:after="50"/>
        <w:jc w:val="center"/>
        <w:rPr>
          <w:rFonts w:hint="eastAsia" w:ascii="宋体" w:hAnsi="宋体"/>
          <w:b/>
          <w:color w:val="000000"/>
          <w:sz w:val="24"/>
          <w:szCs w:val="20"/>
          <w:highlight w:val="none"/>
        </w:rPr>
      </w:pPr>
      <w:r>
        <w:rPr>
          <w:rFonts w:hint="eastAsia" w:ascii="宋体" w:hAnsi="宋体"/>
          <w:b/>
          <w:color w:val="000000"/>
          <w:sz w:val="32"/>
          <w:szCs w:val="32"/>
          <w:highlight w:val="none"/>
        </w:rPr>
        <w:t>资格证明文件</w:t>
      </w:r>
    </w:p>
    <w:p w14:paraId="48ABB1BF">
      <w:pPr>
        <w:snapToGrid w:val="0"/>
        <w:spacing w:before="120" w:beforeLines="50" w:after="50"/>
        <w:rPr>
          <w:rFonts w:ascii="宋体" w:hAnsi="宋体"/>
          <w:bCs/>
          <w:color w:val="000000"/>
          <w:sz w:val="24"/>
          <w:szCs w:val="20"/>
          <w:highlight w:val="none"/>
        </w:rPr>
      </w:pPr>
    </w:p>
    <w:p w14:paraId="1CD821AC">
      <w:pPr>
        <w:snapToGrid w:val="0"/>
        <w:spacing w:before="120" w:beforeLines="50" w:after="50"/>
        <w:rPr>
          <w:rFonts w:ascii="宋体" w:hAnsi="宋体"/>
          <w:bCs/>
          <w:color w:val="000000"/>
          <w:sz w:val="24"/>
          <w:szCs w:val="20"/>
          <w:highlight w:val="none"/>
        </w:rPr>
      </w:pPr>
    </w:p>
    <w:p w14:paraId="172DB0ED">
      <w:pPr>
        <w:snapToGrid w:val="0"/>
        <w:spacing w:before="120" w:beforeLines="50" w:after="50"/>
        <w:rPr>
          <w:rFonts w:ascii="宋体" w:hAnsi="宋体"/>
          <w:bCs/>
          <w:color w:val="000000"/>
          <w:sz w:val="24"/>
          <w:szCs w:val="20"/>
          <w:highlight w:val="none"/>
        </w:rPr>
      </w:pPr>
    </w:p>
    <w:p w14:paraId="27C7D2B2">
      <w:pPr>
        <w:snapToGrid w:val="0"/>
        <w:spacing w:before="120" w:beforeLines="50" w:after="50"/>
        <w:rPr>
          <w:rFonts w:ascii="宋体" w:hAnsi="宋体"/>
          <w:bCs/>
          <w:color w:val="000000"/>
          <w:sz w:val="24"/>
          <w:szCs w:val="20"/>
          <w:highlight w:val="none"/>
        </w:rPr>
      </w:pPr>
    </w:p>
    <w:p w14:paraId="00083164">
      <w:pPr>
        <w:snapToGrid w:val="0"/>
        <w:spacing w:before="120" w:beforeLines="50" w:after="50"/>
        <w:rPr>
          <w:rFonts w:ascii="宋体" w:hAnsi="宋体"/>
          <w:bCs/>
          <w:color w:val="000000"/>
          <w:sz w:val="24"/>
          <w:szCs w:val="20"/>
          <w:highlight w:val="none"/>
        </w:rPr>
      </w:pPr>
    </w:p>
    <w:p w14:paraId="784E2E8B">
      <w:pPr>
        <w:snapToGrid w:val="0"/>
        <w:spacing w:before="120" w:beforeLines="50" w:after="50"/>
        <w:rPr>
          <w:rFonts w:ascii="宋体" w:hAnsi="宋体"/>
          <w:bCs/>
          <w:color w:val="000000"/>
          <w:sz w:val="24"/>
          <w:szCs w:val="20"/>
          <w:highlight w:val="none"/>
        </w:rPr>
      </w:pPr>
    </w:p>
    <w:p w14:paraId="519AAC80">
      <w:pPr>
        <w:snapToGrid w:val="0"/>
        <w:spacing w:before="120" w:beforeLines="50" w:after="50"/>
        <w:rPr>
          <w:rFonts w:hint="eastAsia" w:ascii="宋体" w:hAnsi="宋体"/>
          <w:bCs/>
          <w:color w:val="000000"/>
          <w:sz w:val="24"/>
          <w:szCs w:val="20"/>
          <w:highlight w:val="none"/>
        </w:rPr>
      </w:pPr>
    </w:p>
    <w:p w14:paraId="062E763C">
      <w:pPr>
        <w:snapToGrid w:val="0"/>
        <w:spacing w:before="120" w:beforeLines="50" w:after="50"/>
        <w:ind w:firstLine="540" w:firstLineChars="225"/>
        <w:rPr>
          <w:rFonts w:hint="eastAsia" w:ascii="宋体" w:hAnsi="宋体"/>
          <w:bCs/>
          <w:color w:val="000000"/>
          <w:sz w:val="24"/>
          <w:highlight w:val="none"/>
        </w:rPr>
      </w:pPr>
      <w:r>
        <w:rPr>
          <w:rFonts w:hint="eastAsia" w:ascii="宋体" w:hAnsi="宋体"/>
          <w:bCs/>
          <w:color w:val="000000"/>
          <w:sz w:val="24"/>
          <w:highlight w:val="none"/>
        </w:rPr>
        <w:t>项目名称：</w:t>
      </w:r>
    </w:p>
    <w:p w14:paraId="48A1EEF6">
      <w:pPr>
        <w:snapToGrid w:val="0"/>
        <w:spacing w:before="120" w:beforeLines="50" w:after="50"/>
        <w:ind w:firstLine="540" w:firstLineChars="225"/>
        <w:rPr>
          <w:rFonts w:hint="eastAsia" w:ascii="宋体" w:hAnsi="宋体"/>
          <w:bCs/>
          <w:color w:val="000000"/>
          <w:sz w:val="24"/>
          <w:szCs w:val="20"/>
          <w:highlight w:val="none"/>
        </w:rPr>
      </w:pPr>
    </w:p>
    <w:p w14:paraId="1B2D8EA7">
      <w:pPr>
        <w:snapToGrid w:val="0"/>
        <w:spacing w:before="120" w:beforeLines="50" w:after="50"/>
        <w:ind w:firstLine="540" w:firstLineChars="225"/>
        <w:rPr>
          <w:rFonts w:hint="eastAsia" w:ascii="宋体" w:hAnsi="宋体"/>
          <w:bCs/>
          <w:color w:val="000000"/>
          <w:sz w:val="24"/>
          <w:highlight w:val="none"/>
        </w:rPr>
      </w:pPr>
      <w:r>
        <w:rPr>
          <w:rFonts w:hint="eastAsia" w:ascii="宋体" w:hAnsi="宋体"/>
          <w:bCs/>
          <w:color w:val="000000"/>
          <w:sz w:val="24"/>
          <w:highlight w:val="none"/>
        </w:rPr>
        <w:t>项目编号：</w:t>
      </w:r>
    </w:p>
    <w:p w14:paraId="5C9B5298">
      <w:pPr>
        <w:snapToGrid w:val="0"/>
        <w:spacing w:before="120" w:beforeLines="50" w:after="50"/>
        <w:ind w:firstLine="540" w:firstLineChars="225"/>
        <w:rPr>
          <w:rFonts w:hint="eastAsia" w:ascii="宋体" w:hAnsi="宋体"/>
          <w:bCs/>
          <w:color w:val="000000"/>
          <w:sz w:val="24"/>
          <w:szCs w:val="20"/>
          <w:highlight w:val="none"/>
        </w:rPr>
      </w:pPr>
      <w:r>
        <w:rPr>
          <w:rFonts w:hint="eastAsia" w:ascii="宋体" w:hAnsi="宋体"/>
          <w:bCs/>
          <w:color w:val="000000"/>
          <w:sz w:val="24"/>
          <w:highlight w:val="none"/>
        </w:rPr>
        <w:t xml:space="preserve"> </w:t>
      </w:r>
    </w:p>
    <w:p w14:paraId="723D7F2C">
      <w:pPr>
        <w:snapToGrid w:val="0"/>
        <w:spacing w:before="120" w:beforeLines="50" w:after="50"/>
        <w:ind w:firstLine="540" w:firstLineChars="225"/>
        <w:rPr>
          <w:rFonts w:hint="eastAsia" w:ascii="宋体" w:hAnsi="宋体"/>
          <w:bCs/>
          <w:color w:val="000000"/>
          <w:sz w:val="24"/>
          <w:highlight w:val="none"/>
        </w:rPr>
      </w:pPr>
      <w:r>
        <w:rPr>
          <w:rFonts w:hint="eastAsia" w:ascii="宋体" w:hAnsi="宋体"/>
          <w:bCs/>
          <w:color w:val="000000"/>
          <w:sz w:val="24"/>
          <w:highlight w:val="none"/>
        </w:rPr>
        <w:t>所投分标：</w:t>
      </w:r>
    </w:p>
    <w:p w14:paraId="11BC7FA4">
      <w:pPr>
        <w:pStyle w:val="7"/>
        <w:snapToGrid w:val="0"/>
        <w:spacing w:before="50" w:after="50"/>
        <w:ind w:firstLine="540" w:firstLineChars="225"/>
        <w:rPr>
          <w:rFonts w:hint="eastAsia" w:ascii="宋体" w:hAnsi="宋体"/>
          <w:bCs/>
          <w:color w:val="000000"/>
          <w:sz w:val="24"/>
          <w:szCs w:val="24"/>
          <w:highlight w:val="none"/>
        </w:rPr>
      </w:pPr>
    </w:p>
    <w:p w14:paraId="42585EDB">
      <w:pPr>
        <w:pStyle w:val="7"/>
        <w:snapToGrid w:val="0"/>
        <w:spacing w:before="50" w:after="50"/>
        <w:ind w:firstLine="540" w:firstLineChars="225"/>
        <w:rPr>
          <w:rFonts w:hint="eastAsia" w:ascii="宋体" w:hAnsi="宋体"/>
          <w:bCs/>
          <w:color w:val="000000"/>
          <w:sz w:val="24"/>
          <w:szCs w:val="24"/>
          <w:highlight w:val="none"/>
        </w:rPr>
      </w:pPr>
      <w:r>
        <w:rPr>
          <w:rFonts w:hint="eastAsia" w:ascii="宋体" w:hAnsi="宋体"/>
          <w:bCs/>
          <w:color w:val="000000"/>
          <w:sz w:val="24"/>
          <w:szCs w:val="24"/>
          <w:highlight w:val="none"/>
        </w:rPr>
        <w:t>投标人名称：</w:t>
      </w:r>
    </w:p>
    <w:p w14:paraId="0159941C">
      <w:pPr>
        <w:pStyle w:val="7"/>
        <w:snapToGrid w:val="0"/>
        <w:spacing w:before="50" w:after="50"/>
        <w:ind w:firstLine="540" w:firstLineChars="225"/>
        <w:rPr>
          <w:rFonts w:hint="eastAsia" w:ascii="宋体" w:hAnsi="宋体"/>
          <w:bCs/>
          <w:color w:val="000000"/>
          <w:sz w:val="24"/>
          <w:szCs w:val="24"/>
          <w:highlight w:val="none"/>
        </w:rPr>
      </w:pPr>
    </w:p>
    <w:p w14:paraId="48790309">
      <w:pPr>
        <w:pStyle w:val="7"/>
        <w:snapToGrid w:val="0"/>
        <w:spacing w:before="50" w:after="50"/>
        <w:ind w:firstLine="960" w:firstLineChars="400"/>
        <w:rPr>
          <w:rFonts w:hint="eastAsia" w:ascii="宋体" w:hAnsi="宋体"/>
          <w:bCs/>
          <w:color w:val="000000"/>
          <w:sz w:val="24"/>
          <w:szCs w:val="24"/>
          <w:highlight w:val="none"/>
        </w:rPr>
      </w:pPr>
    </w:p>
    <w:p w14:paraId="629FA686">
      <w:pPr>
        <w:snapToGrid w:val="0"/>
        <w:spacing w:before="120" w:beforeLines="50" w:after="50"/>
        <w:ind w:firstLine="645"/>
        <w:jc w:val="center"/>
        <w:rPr>
          <w:rFonts w:ascii="宋体" w:hAnsi="宋体"/>
          <w:color w:val="000000"/>
          <w:sz w:val="24"/>
          <w:highlight w:val="none"/>
        </w:rPr>
      </w:pPr>
      <w:r>
        <w:rPr>
          <w:rFonts w:hint="eastAsia" w:ascii="宋体" w:hAnsi="宋体"/>
          <w:color w:val="000000"/>
          <w:sz w:val="24"/>
          <w:highlight w:val="none"/>
        </w:rPr>
        <w:t>年  月  日</w:t>
      </w:r>
    </w:p>
    <w:p w14:paraId="7F193A30">
      <w:pPr>
        <w:snapToGrid w:val="0"/>
        <w:spacing w:before="120" w:beforeLines="50" w:after="50"/>
        <w:rPr>
          <w:rFonts w:ascii="宋体" w:hAnsi="宋体"/>
          <w:color w:val="000000"/>
          <w:sz w:val="24"/>
          <w:szCs w:val="20"/>
          <w:highlight w:val="none"/>
        </w:rPr>
      </w:pPr>
      <w:r>
        <w:rPr>
          <w:rFonts w:ascii="宋体" w:hAnsi="宋体"/>
          <w:color w:val="000000"/>
          <w:sz w:val="24"/>
          <w:szCs w:val="20"/>
          <w:highlight w:val="none"/>
        </w:rPr>
        <w:t xml:space="preserve"> </w:t>
      </w:r>
    </w:p>
    <w:p w14:paraId="7C517D89">
      <w:pPr>
        <w:snapToGrid w:val="0"/>
        <w:spacing w:before="120" w:beforeLines="50" w:after="50"/>
        <w:rPr>
          <w:rFonts w:hint="eastAsia" w:ascii="宋体" w:hAnsi="宋体"/>
          <w:color w:val="000000"/>
          <w:sz w:val="24"/>
          <w:szCs w:val="20"/>
          <w:highlight w:val="none"/>
        </w:rPr>
      </w:pPr>
    </w:p>
    <w:p w14:paraId="134393B5">
      <w:pPr>
        <w:snapToGrid w:val="0"/>
        <w:spacing w:before="120" w:beforeLines="50" w:after="50" w:line="360" w:lineRule="auto"/>
        <w:jc w:val="left"/>
        <w:rPr>
          <w:rFonts w:hint="eastAsia" w:ascii="宋体" w:hAnsi="宋体"/>
          <w:color w:val="000000"/>
          <w:sz w:val="24"/>
          <w:szCs w:val="20"/>
          <w:highlight w:val="none"/>
        </w:rPr>
      </w:pPr>
      <w:r>
        <w:rPr>
          <w:rFonts w:ascii="宋体" w:hAnsi="宋体"/>
          <w:b/>
          <w:bCs/>
          <w:color w:val="000000"/>
          <w:sz w:val="24"/>
          <w:highlight w:val="none"/>
        </w:rPr>
        <w:br w:type="page"/>
      </w:r>
      <w:r>
        <w:rPr>
          <w:rFonts w:hint="eastAsia" w:ascii="宋体" w:hAnsi="宋体"/>
          <w:b/>
          <w:bCs/>
          <w:color w:val="000000"/>
          <w:sz w:val="24"/>
          <w:highlight w:val="none"/>
        </w:rPr>
        <w:t>2.资格证明文件目录</w:t>
      </w:r>
    </w:p>
    <w:p w14:paraId="1268E927">
      <w:pPr>
        <w:snapToGrid w:val="0"/>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根据招标文件规定及投标人提供的材料自行编写目录。</w:t>
      </w:r>
    </w:p>
    <w:p w14:paraId="6DA2560A">
      <w:pPr>
        <w:snapToGrid w:val="0"/>
        <w:spacing w:before="50" w:after="120" w:afterLines="50"/>
        <w:jc w:val="left"/>
        <w:rPr>
          <w:rFonts w:hint="eastAsia" w:ascii="宋体" w:hAnsi="宋体"/>
          <w:color w:val="000000"/>
          <w:sz w:val="24"/>
          <w:highlight w:val="none"/>
        </w:rPr>
      </w:pPr>
    </w:p>
    <w:p w14:paraId="69849C0D">
      <w:pPr>
        <w:snapToGrid w:val="0"/>
        <w:spacing w:before="50" w:after="120" w:afterLines="50"/>
        <w:jc w:val="left"/>
        <w:rPr>
          <w:rFonts w:hint="eastAsia" w:ascii="宋体" w:hAnsi="宋体"/>
          <w:color w:val="000000"/>
          <w:sz w:val="24"/>
          <w:highlight w:val="none"/>
        </w:rPr>
      </w:pPr>
    </w:p>
    <w:p w14:paraId="6BC4E5EA">
      <w:pPr>
        <w:snapToGrid w:val="0"/>
        <w:spacing w:before="120" w:beforeLines="50" w:after="50"/>
        <w:jc w:val="left"/>
        <w:rPr>
          <w:rFonts w:hint="eastAsia" w:ascii="宋体" w:hAnsi="宋体"/>
          <w:b/>
          <w:color w:val="000000"/>
          <w:sz w:val="24"/>
          <w:highlight w:val="none"/>
        </w:rPr>
      </w:pPr>
      <w:r>
        <w:rPr>
          <w:rFonts w:ascii="宋体" w:hAnsi="宋体"/>
          <w:b/>
          <w:color w:val="000000"/>
          <w:sz w:val="24"/>
          <w:highlight w:val="none"/>
        </w:rPr>
        <w:br w:type="page"/>
      </w:r>
      <w:r>
        <w:rPr>
          <w:rFonts w:hint="eastAsia" w:ascii="宋体" w:hAnsi="宋体"/>
          <w:b/>
          <w:color w:val="000000"/>
          <w:sz w:val="24"/>
          <w:highlight w:val="none"/>
        </w:rPr>
        <w:t>3.</w:t>
      </w:r>
      <w:r>
        <w:rPr>
          <w:rFonts w:hint="eastAsia" w:ascii="宋体" w:hAnsi="宋体"/>
          <w:b/>
          <w:color w:val="000000"/>
          <w:sz w:val="28"/>
          <w:szCs w:val="28"/>
          <w:highlight w:val="none"/>
        </w:rPr>
        <w:t>投标人直接控股股东信息表</w:t>
      </w:r>
    </w:p>
    <w:p w14:paraId="75C6F99D">
      <w:pPr>
        <w:snapToGrid w:val="0"/>
        <w:spacing w:before="50" w:after="120" w:afterLines="50"/>
        <w:jc w:val="center"/>
        <w:rPr>
          <w:rFonts w:hint="eastAsia" w:ascii="宋体" w:hAnsi="宋体"/>
          <w:b/>
          <w:color w:val="000000"/>
          <w:sz w:val="28"/>
          <w:szCs w:val="28"/>
          <w:highlight w:val="none"/>
        </w:rPr>
      </w:pPr>
    </w:p>
    <w:p w14:paraId="52950776">
      <w:pPr>
        <w:snapToGrid w:val="0"/>
        <w:spacing w:before="50" w:after="120" w:afterLines="50" w:line="360" w:lineRule="auto"/>
        <w:jc w:val="center"/>
        <w:rPr>
          <w:rFonts w:hint="eastAsia" w:ascii="宋体" w:hAnsi="宋体"/>
          <w:b/>
          <w:color w:val="000000"/>
          <w:sz w:val="32"/>
          <w:szCs w:val="32"/>
          <w:highlight w:val="none"/>
        </w:rPr>
      </w:pPr>
      <w:r>
        <w:rPr>
          <w:rFonts w:hint="eastAsia" w:ascii="宋体" w:hAnsi="宋体"/>
          <w:b/>
          <w:color w:val="000000"/>
          <w:sz w:val="32"/>
          <w:szCs w:val="32"/>
          <w:highlight w:val="none"/>
        </w:rPr>
        <w:t>投标人直接控股股东信息表</w:t>
      </w:r>
    </w:p>
    <w:tbl>
      <w:tblPr>
        <w:tblStyle w:val="45"/>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04FB3E2">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DB71654">
            <w:pPr>
              <w:spacing w:line="360" w:lineRule="auto"/>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BF83D2C">
            <w:pPr>
              <w:spacing w:line="360" w:lineRule="auto"/>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5D61C0E">
            <w:pPr>
              <w:spacing w:line="360" w:lineRule="auto"/>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055BB47">
            <w:pPr>
              <w:spacing w:line="360" w:lineRule="auto"/>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19DDF94">
            <w:pPr>
              <w:spacing w:line="360" w:lineRule="auto"/>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44F74AF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6133F99">
            <w:pPr>
              <w:spacing w:line="360" w:lineRule="auto"/>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A9E1D10">
            <w:pPr>
              <w:spacing w:line="360" w:lineRule="auto"/>
              <w:jc w:val="center"/>
              <w:rPr>
                <w:rFonts w:ascii="宋体" w:hAnsi="宋体" w:cs="宋体"/>
                <w:color w:val="0000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8FAA25D">
            <w:pPr>
              <w:spacing w:line="360" w:lineRule="auto"/>
              <w:jc w:val="center"/>
              <w:rPr>
                <w:rFonts w:ascii="宋体" w:hAnsi="宋体" w:cs="宋体"/>
                <w:color w:val="0000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EA24C4C">
            <w:pPr>
              <w:spacing w:line="360" w:lineRule="auto"/>
              <w:jc w:val="center"/>
              <w:rPr>
                <w:rFonts w:ascii="宋体" w:hAnsi="宋体" w:cs="宋体"/>
                <w:color w:val="0000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ED38FA">
            <w:pPr>
              <w:spacing w:line="360" w:lineRule="auto"/>
              <w:jc w:val="center"/>
              <w:rPr>
                <w:rFonts w:ascii="宋体" w:hAnsi="宋体" w:cs="宋体"/>
                <w:color w:val="000000"/>
                <w:kern w:val="0"/>
                <w:sz w:val="24"/>
                <w:highlight w:val="none"/>
              </w:rPr>
            </w:pPr>
          </w:p>
        </w:tc>
      </w:tr>
      <w:tr w14:paraId="72AE121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98B3B72">
            <w:pPr>
              <w:spacing w:line="360" w:lineRule="auto"/>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B50652">
            <w:pPr>
              <w:spacing w:line="360" w:lineRule="auto"/>
              <w:jc w:val="center"/>
              <w:rPr>
                <w:rFonts w:ascii="宋体" w:hAnsi="宋体" w:cs="宋体"/>
                <w:color w:val="0000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E604BC">
            <w:pPr>
              <w:spacing w:line="360" w:lineRule="auto"/>
              <w:jc w:val="center"/>
              <w:rPr>
                <w:rFonts w:ascii="宋体" w:hAnsi="宋体" w:cs="宋体"/>
                <w:color w:val="0000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F4EB99">
            <w:pPr>
              <w:spacing w:line="360" w:lineRule="auto"/>
              <w:jc w:val="center"/>
              <w:rPr>
                <w:rFonts w:ascii="宋体" w:hAnsi="宋体" w:cs="宋体"/>
                <w:color w:val="0000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49AA90">
            <w:pPr>
              <w:spacing w:line="360" w:lineRule="auto"/>
              <w:jc w:val="center"/>
              <w:rPr>
                <w:rFonts w:ascii="宋体" w:hAnsi="宋体" w:cs="宋体"/>
                <w:color w:val="000000"/>
                <w:kern w:val="0"/>
                <w:sz w:val="24"/>
                <w:highlight w:val="none"/>
              </w:rPr>
            </w:pPr>
          </w:p>
        </w:tc>
      </w:tr>
      <w:tr w14:paraId="791291CC">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402ADBB">
            <w:pPr>
              <w:spacing w:line="360" w:lineRule="auto"/>
              <w:jc w:val="center"/>
              <w:rPr>
                <w:rFonts w:ascii="宋体" w:hAnsi="宋体" w:cs="宋体"/>
                <w:color w:val="000000"/>
                <w:kern w:val="0"/>
                <w:sz w:val="24"/>
                <w:highlight w:val="none"/>
              </w:rPr>
            </w:pPr>
            <w:r>
              <w:rPr>
                <w:rFonts w:hint="eastAsia" w:ascii="宋体" w:hAnsi="宋体" w:cs="宋体"/>
                <w:color w:val="000000"/>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118D21">
            <w:pPr>
              <w:spacing w:line="360" w:lineRule="auto"/>
              <w:jc w:val="center"/>
              <w:rPr>
                <w:rFonts w:ascii="宋体" w:hAnsi="宋体" w:cs="宋体"/>
                <w:color w:val="0000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DF4F30">
            <w:pPr>
              <w:spacing w:line="360" w:lineRule="auto"/>
              <w:jc w:val="center"/>
              <w:rPr>
                <w:rFonts w:ascii="宋体" w:hAnsi="宋体" w:cs="宋体"/>
                <w:color w:val="0000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718527">
            <w:pPr>
              <w:spacing w:line="360" w:lineRule="auto"/>
              <w:jc w:val="center"/>
              <w:rPr>
                <w:rFonts w:ascii="宋体" w:hAnsi="宋体" w:cs="宋体"/>
                <w:color w:val="0000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8A869B">
            <w:pPr>
              <w:spacing w:line="360" w:lineRule="auto"/>
              <w:jc w:val="center"/>
              <w:rPr>
                <w:rFonts w:ascii="宋体" w:hAnsi="宋体" w:cs="宋体"/>
                <w:color w:val="000000"/>
                <w:kern w:val="0"/>
                <w:sz w:val="24"/>
                <w:highlight w:val="none"/>
              </w:rPr>
            </w:pPr>
          </w:p>
        </w:tc>
      </w:tr>
      <w:tr w14:paraId="1A19B1AF">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F520A7">
            <w:pPr>
              <w:spacing w:line="360" w:lineRule="auto"/>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BCE61F">
            <w:pPr>
              <w:spacing w:line="360" w:lineRule="auto"/>
              <w:jc w:val="center"/>
              <w:rPr>
                <w:rFonts w:ascii="宋体" w:hAnsi="宋体" w:cs="宋体"/>
                <w:color w:val="0000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A10C65">
            <w:pPr>
              <w:spacing w:line="360" w:lineRule="auto"/>
              <w:jc w:val="center"/>
              <w:rPr>
                <w:rFonts w:ascii="宋体" w:hAnsi="宋体" w:cs="宋体"/>
                <w:color w:val="0000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9042CA8">
            <w:pPr>
              <w:spacing w:line="360" w:lineRule="auto"/>
              <w:jc w:val="center"/>
              <w:rPr>
                <w:rFonts w:ascii="宋体" w:hAnsi="宋体" w:cs="宋体"/>
                <w:color w:val="0000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8939167">
            <w:pPr>
              <w:spacing w:line="360" w:lineRule="auto"/>
              <w:jc w:val="center"/>
              <w:rPr>
                <w:rFonts w:ascii="宋体" w:hAnsi="宋体" w:cs="宋体"/>
                <w:color w:val="000000"/>
                <w:kern w:val="0"/>
                <w:sz w:val="24"/>
                <w:highlight w:val="none"/>
              </w:rPr>
            </w:pPr>
          </w:p>
        </w:tc>
      </w:tr>
    </w:tbl>
    <w:p w14:paraId="64F4ACE1">
      <w:pPr>
        <w:snapToGrid w:val="0"/>
        <w:spacing w:line="360" w:lineRule="auto"/>
        <w:jc w:val="left"/>
        <w:rPr>
          <w:rFonts w:hint="eastAsia" w:ascii="宋体" w:hAnsi="宋体"/>
          <w:color w:val="000000"/>
          <w:sz w:val="24"/>
          <w:highlight w:val="none"/>
        </w:rPr>
      </w:pPr>
      <w:r>
        <w:rPr>
          <w:rFonts w:hint="eastAsia" w:ascii="宋体" w:hAnsi="宋体"/>
          <w:color w:val="000000"/>
          <w:sz w:val="24"/>
          <w:highlight w:val="none"/>
        </w:rPr>
        <w:t>注：</w:t>
      </w:r>
    </w:p>
    <w:p w14:paraId="4D8C5371">
      <w:pPr>
        <w:snapToGrid w:val="0"/>
        <w:spacing w:line="360" w:lineRule="auto"/>
        <w:jc w:val="left"/>
        <w:rPr>
          <w:rFonts w:hint="eastAsia" w:ascii="宋体" w:hAnsi="宋体"/>
          <w:color w:val="000000"/>
          <w:sz w:val="24"/>
          <w:highlight w:val="none"/>
        </w:rPr>
      </w:pPr>
      <w:r>
        <w:rPr>
          <w:rFonts w:hint="eastAsia" w:ascii="宋体" w:hAnsi="宋体"/>
          <w:color w:val="00000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B4A9B61">
      <w:pPr>
        <w:snapToGrid w:val="0"/>
        <w:spacing w:line="360" w:lineRule="auto"/>
        <w:jc w:val="left"/>
        <w:rPr>
          <w:rFonts w:hint="eastAsia" w:ascii="宋体" w:hAnsi="宋体"/>
          <w:color w:val="000000"/>
          <w:sz w:val="24"/>
          <w:highlight w:val="none"/>
        </w:rPr>
      </w:pPr>
      <w:r>
        <w:rPr>
          <w:rFonts w:hint="eastAsia" w:ascii="宋体" w:hAnsi="宋体"/>
          <w:color w:val="000000"/>
          <w:sz w:val="24"/>
          <w:highlight w:val="none"/>
        </w:rPr>
        <w:t>2.本表所指的控股关系仅限于直接控股关系，不包括间接的控股关系。公司实际控制人与公司之间的关系不属于本表所指的直接控股关系。</w:t>
      </w:r>
    </w:p>
    <w:p w14:paraId="5820CF85">
      <w:pPr>
        <w:snapToGrid w:val="0"/>
        <w:spacing w:line="360" w:lineRule="auto"/>
        <w:jc w:val="left"/>
        <w:rPr>
          <w:rFonts w:hint="eastAsia" w:ascii="宋体" w:hAnsi="宋体"/>
          <w:color w:val="000000"/>
          <w:sz w:val="24"/>
          <w:highlight w:val="none"/>
        </w:rPr>
      </w:pPr>
      <w:r>
        <w:rPr>
          <w:rFonts w:hint="eastAsia" w:ascii="宋体" w:hAnsi="宋体"/>
          <w:color w:val="000000"/>
          <w:sz w:val="24"/>
          <w:highlight w:val="none"/>
        </w:rPr>
        <w:t>3.供应商不存在直接控股股东的，则在“</w:t>
      </w:r>
      <w:r>
        <w:rPr>
          <w:rFonts w:hint="eastAsia" w:ascii="宋体" w:hAnsi="宋体" w:cs="宋体"/>
          <w:b/>
          <w:bCs/>
          <w:color w:val="000000"/>
          <w:kern w:val="0"/>
          <w:sz w:val="24"/>
          <w:highlight w:val="none"/>
        </w:rPr>
        <w:t>直接控股股东名称</w:t>
      </w:r>
      <w:r>
        <w:rPr>
          <w:rFonts w:hint="eastAsia" w:ascii="宋体" w:hAnsi="宋体"/>
          <w:color w:val="000000"/>
          <w:sz w:val="24"/>
          <w:highlight w:val="none"/>
        </w:rPr>
        <w:t>”中填“无”。</w:t>
      </w:r>
    </w:p>
    <w:p w14:paraId="05C44163">
      <w:pPr>
        <w:snapToGrid w:val="0"/>
        <w:spacing w:line="360" w:lineRule="auto"/>
        <w:jc w:val="left"/>
        <w:rPr>
          <w:rFonts w:hint="eastAsia" w:ascii="宋体" w:hAnsi="宋体"/>
          <w:color w:val="000000"/>
          <w:sz w:val="24"/>
          <w:highlight w:val="none"/>
        </w:rPr>
      </w:pPr>
    </w:p>
    <w:p w14:paraId="5265DA38">
      <w:pPr>
        <w:snapToGrid w:val="0"/>
        <w:spacing w:line="360" w:lineRule="auto"/>
        <w:jc w:val="left"/>
        <w:rPr>
          <w:rFonts w:hint="eastAsia" w:ascii="宋体" w:hAnsi="宋体"/>
          <w:color w:val="000000"/>
          <w:sz w:val="24"/>
          <w:highlight w:val="none"/>
        </w:rPr>
      </w:pPr>
    </w:p>
    <w:p w14:paraId="567676D4">
      <w:pPr>
        <w:snapToGrid w:val="0"/>
        <w:spacing w:line="360" w:lineRule="auto"/>
        <w:jc w:val="left"/>
        <w:rPr>
          <w:rFonts w:hint="eastAsia" w:ascii="宋体" w:hAnsi="宋体"/>
          <w:color w:val="000000"/>
          <w:sz w:val="24"/>
          <w:highlight w:val="none"/>
        </w:rPr>
      </w:pPr>
    </w:p>
    <w:p w14:paraId="7AD6E0DF">
      <w:pPr>
        <w:snapToGrid w:val="0"/>
        <w:spacing w:line="360" w:lineRule="auto"/>
        <w:ind w:left="-2" w:leftChars="-1" w:right="-817" w:rightChars="-389"/>
        <w:rPr>
          <w:rFonts w:hint="eastAsia" w:ascii="宋体" w:hAnsi="宋体"/>
          <w:color w:val="000000"/>
          <w:sz w:val="24"/>
          <w:highlight w:val="none"/>
        </w:rPr>
      </w:pPr>
      <w:r>
        <w:rPr>
          <w:rFonts w:hint="eastAsia" w:ascii="宋体" w:hAnsi="宋体"/>
          <w:color w:val="000000"/>
          <w:sz w:val="24"/>
          <w:highlight w:val="none"/>
        </w:rPr>
        <w:t xml:space="preserve">             法定代表人或者委托代理人（签字或者电子签名）：</w:t>
      </w:r>
    </w:p>
    <w:p w14:paraId="0BED7414">
      <w:pPr>
        <w:snapToGrid w:val="0"/>
        <w:spacing w:line="360" w:lineRule="auto"/>
        <w:ind w:left="-3" w:leftChars="-15" w:right="-817" w:rightChars="-389" w:hanging="28" w:hangingChars="12"/>
        <w:rPr>
          <w:rFonts w:hint="eastAsia" w:ascii="宋体" w:hAnsi="宋体"/>
          <w:color w:val="000000"/>
          <w:sz w:val="24"/>
          <w:highlight w:val="none"/>
        </w:rPr>
      </w:pPr>
      <w:r>
        <w:rPr>
          <w:rFonts w:hint="eastAsia" w:ascii="宋体" w:hAnsi="宋体"/>
          <w:color w:val="000000"/>
          <w:sz w:val="24"/>
          <w:highlight w:val="none"/>
        </w:rPr>
        <w:t xml:space="preserve">                                    投标人名称（电子签章）：</w:t>
      </w:r>
    </w:p>
    <w:p w14:paraId="232C50CD">
      <w:pPr>
        <w:snapToGrid w:val="0"/>
        <w:spacing w:line="360" w:lineRule="auto"/>
        <w:jc w:val="left"/>
        <w:rPr>
          <w:rFonts w:hint="eastAsia" w:ascii="宋体" w:hAnsi="宋体"/>
          <w:color w:val="000000"/>
          <w:szCs w:val="21"/>
          <w:highlight w:val="none"/>
        </w:rPr>
      </w:pPr>
      <w:r>
        <w:rPr>
          <w:rFonts w:hint="eastAsia" w:ascii="宋体" w:hAnsi="宋体"/>
          <w:color w:val="000000"/>
          <w:sz w:val="24"/>
          <w:highlight w:val="none"/>
        </w:rPr>
        <w:t xml:space="preserve">                                    日期：    年   月   日</w:t>
      </w:r>
    </w:p>
    <w:p w14:paraId="7C3321F7">
      <w:pPr>
        <w:snapToGrid w:val="0"/>
        <w:jc w:val="center"/>
        <w:rPr>
          <w:rFonts w:hint="eastAsia" w:ascii="宋体" w:hAnsi="宋体"/>
          <w:b/>
          <w:color w:val="000000"/>
          <w:sz w:val="28"/>
          <w:szCs w:val="28"/>
          <w:highlight w:val="none"/>
        </w:rPr>
      </w:pPr>
    </w:p>
    <w:p w14:paraId="454379F7">
      <w:pPr>
        <w:snapToGrid w:val="0"/>
        <w:spacing w:line="360" w:lineRule="auto"/>
        <w:jc w:val="left"/>
        <w:rPr>
          <w:rFonts w:hint="eastAsia" w:ascii="宋体" w:hAnsi="宋体"/>
          <w:b/>
          <w:color w:val="000000"/>
          <w:sz w:val="32"/>
          <w:szCs w:val="32"/>
          <w:highlight w:val="none"/>
        </w:rPr>
      </w:pPr>
      <w:r>
        <w:rPr>
          <w:rFonts w:ascii="宋体" w:hAnsi="宋体"/>
          <w:b/>
          <w:color w:val="000000"/>
          <w:sz w:val="32"/>
          <w:szCs w:val="32"/>
          <w:highlight w:val="none"/>
        </w:rPr>
        <w:br w:type="page"/>
      </w:r>
      <w:r>
        <w:rPr>
          <w:rFonts w:hint="eastAsia" w:ascii="宋体" w:hAnsi="宋体"/>
          <w:b/>
          <w:color w:val="000000"/>
          <w:sz w:val="24"/>
          <w:highlight w:val="none"/>
        </w:rPr>
        <w:t>4.</w:t>
      </w:r>
      <w:r>
        <w:rPr>
          <w:rFonts w:hint="eastAsia"/>
          <w:color w:val="000000"/>
          <w:highlight w:val="none"/>
        </w:rPr>
        <w:t xml:space="preserve"> </w:t>
      </w:r>
      <w:r>
        <w:rPr>
          <w:rFonts w:hint="eastAsia" w:ascii="宋体" w:hAnsi="宋体"/>
          <w:b/>
          <w:color w:val="000000"/>
          <w:sz w:val="28"/>
          <w:szCs w:val="28"/>
          <w:highlight w:val="none"/>
        </w:rPr>
        <w:t>投标人直接管理关系信息表</w:t>
      </w:r>
    </w:p>
    <w:p w14:paraId="13AD7E03">
      <w:pPr>
        <w:snapToGrid w:val="0"/>
        <w:spacing w:line="360" w:lineRule="auto"/>
        <w:jc w:val="center"/>
        <w:rPr>
          <w:rFonts w:hint="eastAsia" w:ascii="宋体" w:hAnsi="宋体"/>
          <w:color w:val="000000"/>
          <w:sz w:val="32"/>
          <w:szCs w:val="32"/>
          <w:highlight w:val="none"/>
        </w:rPr>
      </w:pPr>
      <w:r>
        <w:rPr>
          <w:rFonts w:hint="eastAsia" w:ascii="宋体" w:hAnsi="宋体"/>
          <w:b/>
          <w:color w:val="000000"/>
          <w:sz w:val="32"/>
          <w:szCs w:val="32"/>
          <w:highlight w:val="none"/>
        </w:rPr>
        <w:t>投标人直接管理关系信息表</w:t>
      </w:r>
    </w:p>
    <w:tbl>
      <w:tblPr>
        <w:tblStyle w:val="45"/>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200EBDC0">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3014BD3">
            <w:pPr>
              <w:spacing w:line="360" w:lineRule="auto"/>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035C72B">
            <w:pPr>
              <w:spacing w:line="360" w:lineRule="auto"/>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DB9F49B">
            <w:pPr>
              <w:spacing w:line="360" w:lineRule="auto"/>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406A30F">
            <w:pPr>
              <w:spacing w:line="360" w:lineRule="auto"/>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5525AA9D">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1EAC3D">
            <w:pPr>
              <w:spacing w:line="360" w:lineRule="auto"/>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E964D86">
            <w:pPr>
              <w:spacing w:line="360" w:lineRule="auto"/>
              <w:jc w:val="center"/>
              <w:rPr>
                <w:rFonts w:ascii="宋体" w:hAnsi="宋体" w:cs="宋体"/>
                <w:color w:val="0000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956EEA">
            <w:pPr>
              <w:spacing w:line="360" w:lineRule="auto"/>
              <w:jc w:val="center"/>
              <w:rPr>
                <w:rFonts w:ascii="宋体" w:hAnsi="宋体" w:cs="宋体"/>
                <w:color w:val="0000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DCB0156">
            <w:pPr>
              <w:spacing w:line="360" w:lineRule="auto"/>
              <w:jc w:val="center"/>
              <w:rPr>
                <w:rFonts w:ascii="宋体" w:hAnsi="宋体" w:cs="宋体"/>
                <w:color w:val="000000"/>
                <w:kern w:val="0"/>
                <w:sz w:val="24"/>
                <w:highlight w:val="none"/>
              </w:rPr>
            </w:pPr>
          </w:p>
        </w:tc>
      </w:tr>
      <w:tr w14:paraId="72F99A3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AC86E2">
            <w:pPr>
              <w:spacing w:line="360" w:lineRule="auto"/>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AEA0786">
            <w:pPr>
              <w:spacing w:line="360" w:lineRule="auto"/>
              <w:jc w:val="center"/>
              <w:rPr>
                <w:rFonts w:ascii="宋体" w:hAnsi="宋体" w:cs="宋体"/>
                <w:color w:val="0000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6EC1C8">
            <w:pPr>
              <w:spacing w:line="360" w:lineRule="auto"/>
              <w:jc w:val="center"/>
              <w:rPr>
                <w:rFonts w:ascii="宋体" w:hAnsi="宋体" w:cs="宋体"/>
                <w:color w:val="0000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3DC52EF">
            <w:pPr>
              <w:spacing w:line="360" w:lineRule="auto"/>
              <w:jc w:val="center"/>
              <w:rPr>
                <w:rFonts w:ascii="宋体" w:hAnsi="宋体" w:cs="宋体"/>
                <w:color w:val="000000"/>
                <w:kern w:val="0"/>
                <w:sz w:val="24"/>
                <w:highlight w:val="none"/>
              </w:rPr>
            </w:pPr>
          </w:p>
        </w:tc>
      </w:tr>
      <w:tr w14:paraId="24A3ACC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BBDBF3">
            <w:pPr>
              <w:spacing w:line="360" w:lineRule="auto"/>
              <w:jc w:val="center"/>
              <w:rPr>
                <w:rFonts w:ascii="宋体" w:hAnsi="宋体" w:cs="宋体"/>
                <w:color w:val="000000"/>
                <w:kern w:val="0"/>
                <w:sz w:val="24"/>
                <w:highlight w:val="none"/>
              </w:rPr>
            </w:pPr>
            <w:r>
              <w:rPr>
                <w:rFonts w:hint="eastAsia" w:ascii="宋体" w:hAnsi="宋体" w:cs="宋体"/>
                <w:color w:val="000000"/>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BAB90B">
            <w:pPr>
              <w:spacing w:line="360" w:lineRule="auto"/>
              <w:jc w:val="center"/>
              <w:rPr>
                <w:rFonts w:ascii="宋体" w:hAnsi="宋体" w:cs="宋体"/>
                <w:color w:val="0000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A99B5D4">
            <w:pPr>
              <w:spacing w:line="360" w:lineRule="auto"/>
              <w:jc w:val="center"/>
              <w:rPr>
                <w:rFonts w:ascii="宋体" w:hAnsi="宋体" w:cs="宋体"/>
                <w:color w:val="0000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608A995">
            <w:pPr>
              <w:spacing w:line="360" w:lineRule="auto"/>
              <w:jc w:val="center"/>
              <w:rPr>
                <w:rFonts w:ascii="宋体" w:hAnsi="宋体" w:cs="宋体"/>
                <w:color w:val="000000"/>
                <w:kern w:val="0"/>
                <w:sz w:val="24"/>
                <w:highlight w:val="none"/>
              </w:rPr>
            </w:pPr>
          </w:p>
        </w:tc>
      </w:tr>
      <w:tr w14:paraId="115B981E">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1E4C10">
            <w:pPr>
              <w:spacing w:line="360" w:lineRule="auto"/>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587CF49">
            <w:pPr>
              <w:spacing w:line="360" w:lineRule="auto"/>
              <w:jc w:val="center"/>
              <w:rPr>
                <w:rFonts w:ascii="宋体" w:hAnsi="宋体" w:cs="宋体"/>
                <w:color w:val="0000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428D2D">
            <w:pPr>
              <w:spacing w:line="360" w:lineRule="auto"/>
              <w:jc w:val="center"/>
              <w:rPr>
                <w:rFonts w:ascii="宋体" w:hAnsi="宋体" w:cs="宋体"/>
                <w:color w:val="0000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04014D">
            <w:pPr>
              <w:spacing w:line="360" w:lineRule="auto"/>
              <w:jc w:val="center"/>
              <w:rPr>
                <w:rFonts w:ascii="宋体" w:hAnsi="宋体" w:cs="宋体"/>
                <w:color w:val="000000"/>
                <w:kern w:val="0"/>
                <w:sz w:val="24"/>
                <w:highlight w:val="none"/>
              </w:rPr>
            </w:pPr>
          </w:p>
        </w:tc>
      </w:tr>
    </w:tbl>
    <w:p w14:paraId="4D8EBC22">
      <w:pPr>
        <w:snapToGrid w:val="0"/>
        <w:spacing w:line="360" w:lineRule="auto"/>
        <w:jc w:val="left"/>
        <w:rPr>
          <w:rFonts w:hint="eastAsia" w:ascii="宋体" w:hAnsi="宋体"/>
          <w:color w:val="000000"/>
          <w:sz w:val="24"/>
          <w:highlight w:val="none"/>
        </w:rPr>
      </w:pPr>
      <w:r>
        <w:rPr>
          <w:rFonts w:hint="eastAsia" w:ascii="宋体" w:hAnsi="宋体"/>
          <w:color w:val="000000"/>
          <w:sz w:val="24"/>
          <w:highlight w:val="none"/>
        </w:rPr>
        <w:t>注：</w:t>
      </w:r>
    </w:p>
    <w:p w14:paraId="5974B929">
      <w:pPr>
        <w:snapToGrid w:val="0"/>
        <w:spacing w:line="360" w:lineRule="auto"/>
        <w:ind w:firstLine="480" w:firstLineChars="200"/>
        <w:jc w:val="left"/>
        <w:rPr>
          <w:rFonts w:hint="eastAsia" w:ascii="宋体" w:hAnsi="宋体"/>
          <w:color w:val="000000"/>
          <w:sz w:val="24"/>
          <w:highlight w:val="none"/>
        </w:rPr>
      </w:pPr>
      <w:r>
        <w:rPr>
          <w:rFonts w:hint="eastAsia" w:ascii="宋体" w:hAnsi="宋体"/>
          <w:color w:val="000000"/>
          <w:sz w:val="24"/>
          <w:highlight w:val="none"/>
        </w:rPr>
        <w:t>1.管理关系：是指不具有出资持股关系的其他单位之间存在的管理与被管理关系，如一些上下级关系的事业单位和团体组织。</w:t>
      </w:r>
    </w:p>
    <w:p w14:paraId="62E58527">
      <w:pPr>
        <w:snapToGrid w:val="0"/>
        <w:spacing w:line="360" w:lineRule="auto"/>
        <w:ind w:firstLine="480" w:firstLineChars="200"/>
        <w:jc w:val="left"/>
        <w:rPr>
          <w:rFonts w:hint="eastAsia" w:ascii="宋体" w:hAnsi="宋体"/>
          <w:color w:val="000000"/>
          <w:sz w:val="24"/>
          <w:highlight w:val="none"/>
        </w:rPr>
      </w:pPr>
      <w:r>
        <w:rPr>
          <w:rFonts w:hint="eastAsia" w:ascii="宋体" w:hAnsi="宋体"/>
          <w:color w:val="000000"/>
          <w:sz w:val="24"/>
          <w:highlight w:val="none"/>
        </w:rPr>
        <w:t>2.</w:t>
      </w:r>
      <w:r>
        <w:rPr>
          <w:rFonts w:hint="eastAsia" w:ascii="宋体" w:hAnsi="宋体"/>
          <w:color w:val="000000"/>
          <w:spacing w:val="-6"/>
          <w:sz w:val="24"/>
          <w:highlight w:val="none"/>
        </w:rPr>
        <w:t>本表所指的管理关系仅限于直接管理关系，不包括间接的管理关系。</w:t>
      </w:r>
    </w:p>
    <w:p w14:paraId="3A114907">
      <w:pPr>
        <w:snapToGrid w:val="0"/>
        <w:spacing w:line="360" w:lineRule="auto"/>
        <w:ind w:firstLine="480" w:firstLineChars="200"/>
        <w:jc w:val="left"/>
        <w:rPr>
          <w:rFonts w:hint="eastAsia" w:ascii="宋体" w:hAnsi="宋体"/>
          <w:color w:val="000000"/>
          <w:sz w:val="24"/>
          <w:highlight w:val="none"/>
        </w:rPr>
      </w:pPr>
      <w:r>
        <w:rPr>
          <w:rFonts w:hint="eastAsia" w:ascii="宋体" w:hAnsi="宋体"/>
          <w:color w:val="000000"/>
          <w:sz w:val="24"/>
          <w:highlight w:val="none"/>
        </w:rPr>
        <w:t>3.供应商不存在直接管理关系的，则在“</w:t>
      </w:r>
      <w:r>
        <w:rPr>
          <w:rFonts w:hint="eastAsia" w:ascii="宋体" w:hAnsi="宋体" w:cs="宋体"/>
          <w:b/>
          <w:bCs/>
          <w:color w:val="000000"/>
          <w:kern w:val="0"/>
          <w:sz w:val="24"/>
          <w:highlight w:val="none"/>
        </w:rPr>
        <w:t>直接管理关系单位名称</w:t>
      </w:r>
      <w:r>
        <w:rPr>
          <w:rFonts w:hint="eastAsia" w:ascii="宋体" w:hAnsi="宋体"/>
          <w:color w:val="000000"/>
          <w:sz w:val="24"/>
          <w:highlight w:val="none"/>
        </w:rPr>
        <w:t>”中填“无”。</w:t>
      </w:r>
    </w:p>
    <w:p w14:paraId="134AF107">
      <w:pPr>
        <w:snapToGrid w:val="0"/>
        <w:spacing w:line="360" w:lineRule="auto"/>
        <w:jc w:val="left"/>
        <w:rPr>
          <w:rFonts w:hint="eastAsia" w:ascii="宋体" w:hAnsi="宋体"/>
          <w:color w:val="000000"/>
          <w:sz w:val="24"/>
          <w:highlight w:val="none"/>
        </w:rPr>
      </w:pPr>
    </w:p>
    <w:p w14:paraId="11572890">
      <w:pPr>
        <w:snapToGrid w:val="0"/>
        <w:spacing w:line="360" w:lineRule="auto"/>
        <w:jc w:val="left"/>
        <w:rPr>
          <w:rFonts w:hint="eastAsia" w:ascii="宋体" w:hAnsi="宋体"/>
          <w:color w:val="000000"/>
          <w:sz w:val="24"/>
          <w:highlight w:val="none"/>
        </w:rPr>
      </w:pPr>
    </w:p>
    <w:p w14:paraId="54157AB6">
      <w:pPr>
        <w:snapToGrid w:val="0"/>
        <w:spacing w:line="360" w:lineRule="auto"/>
        <w:jc w:val="left"/>
        <w:rPr>
          <w:rFonts w:hint="eastAsia" w:ascii="宋体" w:hAnsi="宋体"/>
          <w:color w:val="000000"/>
          <w:sz w:val="24"/>
          <w:highlight w:val="none"/>
        </w:rPr>
      </w:pPr>
    </w:p>
    <w:p w14:paraId="4CBC461C">
      <w:pPr>
        <w:snapToGrid w:val="0"/>
        <w:spacing w:line="360" w:lineRule="auto"/>
        <w:jc w:val="left"/>
        <w:rPr>
          <w:rFonts w:hint="eastAsia"/>
          <w:color w:val="000000"/>
          <w:sz w:val="24"/>
          <w:highlight w:val="none"/>
        </w:rPr>
      </w:pPr>
    </w:p>
    <w:p w14:paraId="0AA97D30">
      <w:pPr>
        <w:snapToGrid w:val="0"/>
        <w:spacing w:line="360" w:lineRule="auto"/>
        <w:ind w:left="-2" w:leftChars="-1" w:right="-817" w:rightChars="-389"/>
        <w:rPr>
          <w:rFonts w:hint="eastAsia" w:ascii="宋体" w:hAnsi="宋体"/>
          <w:color w:val="000000"/>
          <w:sz w:val="24"/>
          <w:highlight w:val="none"/>
        </w:rPr>
      </w:pPr>
      <w:r>
        <w:rPr>
          <w:rFonts w:hint="eastAsia" w:ascii="宋体" w:hAnsi="宋体"/>
          <w:color w:val="000000"/>
          <w:sz w:val="24"/>
          <w:highlight w:val="none"/>
        </w:rPr>
        <w:t xml:space="preserve">            法定代表人或者委托代理人（签字或者电子签名）：</w:t>
      </w:r>
    </w:p>
    <w:p w14:paraId="65F8E775">
      <w:pPr>
        <w:snapToGrid w:val="0"/>
        <w:spacing w:line="360" w:lineRule="auto"/>
        <w:ind w:left="-3" w:leftChars="-15" w:right="-817" w:rightChars="-389" w:hanging="28" w:hangingChars="12"/>
        <w:rPr>
          <w:rFonts w:hint="eastAsia" w:ascii="宋体" w:hAnsi="宋体"/>
          <w:color w:val="000000"/>
          <w:sz w:val="24"/>
          <w:highlight w:val="none"/>
        </w:rPr>
      </w:pPr>
      <w:r>
        <w:rPr>
          <w:rFonts w:hint="eastAsia" w:ascii="宋体" w:hAnsi="宋体"/>
          <w:color w:val="000000"/>
          <w:sz w:val="24"/>
          <w:highlight w:val="none"/>
        </w:rPr>
        <w:t xml:space="preserve">                                  投标人名称（电子签章）：</w:t>
      </w:r>
    </w:p>
    <w:p w14:paraId="356C45DB">
      <w:pPr>
        <w:snapToGrid w:val="0"/>
        <w:spacing w:line="360" w:lineRule="auto"/>
        <w:ind w:right="480" w:firstLine="240" w:firstLineChars="100"/>
        <w:jc w:val="left"/>
        <w:rPr>
          <w:rFonts w:hint="eastAsia" w:ascii="宋体" w:hAnsi="宋体"/>
          <w:color w:val="000000"/>
          <w:szCs w:val="21"/>
          <w:highlight w:val="none"/>
        </w:rPr>
      </w:pPr>
      <w:r>
        <w:rPr>
          <w:rFonts w:hint="eastAsia" w:ascii="宋体" w:hAnsi="宋体"/>
          <w:color w:val="000000"/>
          <w:sz w:val="24"/>
          <w:highlight w:val="none"/>
        </w:rPr>
        <w:t xml:space="preserve">                                日期：    年   月   日</w:t>
      </w:r>
    </w:p>
    <w:p w14:paraId="328FDE99">
      <w:pPr>
        <w:snapToGrid w:val="0"/>
        <w:spacing w:before="120" w:beforeLines="50" w:after="50"/>
        <w:jc w:val="left"/>
        <w:rPr>
          <w:rFonts w:hint="eastAsia" w:ascii="宋体" w:hAnsi="宋体"/>
          <w:b/>
          <w:color w:val="000000"/>
          <w:sz w:val="24"/>
          <w:szCs w:val="20"/>
          <w:highlight w:val="none"/>
        </w:rPr>
      </w:pPr>
    </w:p>
    <w:p w14:paraId="6B1FEC54">
      <w:pPr>
        <w:snapToGrid w:val="0"/>
        <w:spacing w:before="120" w:beforeLines="50" w:after="50"/>
        <w:jc w:val="left"/>
        <w:rPr>
          <w:rFonts w:hint="eastAsia" w:ascii="宋体" w:hAnsi="宋体"/>
          <w:b/>
          <w:color w:val="000000"/>
          <w:sz w:val="24"/>
          <w:szCs w:val="20"/>
          <w:highlight w:val="none"/>
        </w:rPr>
      </w:pPr>
      <w:r>
        <w:rPr>
          <w:rFonts w:ascii="宋体" w:hAnsi="宋体"/>
          <w:b/>
          <w:color w:val="000000"/>
          <w:sz w:val="24"/>
          <w:highlight w:val="none"/>
        </w:rPr>
        <w:br w:type="page"/>
      </w:r>
      <w:r>
        <w:rPr>
          <w:rFonts w:hint="eastAsia" w:ascii="宋体" w:hAnsi="宋体"/>
          <w:b/>
          <w:color w:val="000000"/>
          <w:sz w:val="24"/>
          <w:highlight w:val="none"/>
        </w:rPr>
        <w:t>5.投标声明</w:t>
      </w:r>
    </w:p>
    <w:p w14:paraId="7BB1ED2E">
      <w:pPr>
        <w:snapToGrid w:val="0"/>
        <w:spacing w:before="50" w:after="120" w:afterLines="50"/>
        <w:jc w:val="left"/>
        <w:rPr>
          <w:rFonts w:hint="eastAsia" w:ascii="宋体" w:hAnsi="宋体"/>
          <w:color w:val="000000"/>
          <w:highlight w:val="none"/>
        </w:rPr>
      </w:pPr>
    </w:p>
    <w:p w14:paraId="407E8FD8">
      <w:pPr>
        <w:snapToGrid w:val="0"/>
        <w:spacing w:before="50" w:after="120" w:afterLines="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投标声明</w:t>
      </w:r>
    </w:p>
    <w:p w14:paraId="30F497A7">
      <w:pPr>
        <w:spacing w:line="400" w:lineRule="exact"/>
        <w:contextualSpacing/>
        <w:jc w:val="left"/>
        <w:rPr>
          <w:rFonts w:hint="eastAsia"/>
          <w:color w:val="000000"/>
          <w:sz w:val="24"/>
          <w:highlight w:val="none"/>
        </w:rPr>
      </w:pPr>
      <w:r>
        <w:rPr>
          <w:rFonts w:hint="eastAsia"/>
          <w:color w:val="000000"/>
          <w:sz w:val="24"/>
          <w:highlight w:val="none"/>
        </w:rPr>
        <w:t>（采购人名称）：</w:t>
      </w:r>
    </w:p>
    <w:p w14:paraId="55F66C66">
      <w:pPr>
        <w:spacing w:line="400" w:lineRule="exact"/>
        <w:ind w:firstLine="523" w:firstLineChars="218"/>
        <w:contextualSpacing/>
        <w:jc w:val="left"/>
        <w:rPr>
          <w:rFonts w:hint="eastAsia" w:ascii="宋体" w:hAnsi="宋体"/>
          <w:color w:val="000000"/>
          <w:sz w:val="24"/>
          <w:highlight w:val="none"/>
        </w:rPr>
      </w:pPr>
      <w:r>
        <w:rPr>
          <w:rFonts w:hint="eastAsia" w:ascii="宋体" w:hAnsi="宋体"/>
          <w:color w:val="000000"/>
          <w:sz w:val="24"/>
          <w:highlight w:val="none"/>
        </w:rPr>
        <w:t>我方参加贵单位组织</w:t>
      </w:r>
      <w:r>
        <w:rPr>
          <w:rFonts w:hint="eastAsia" w:ascii="宋体" w:hAnsi="宋体"/>
          <w:color w:val="000000"/>
          <w:sz w:val="24"/>
          <w:highlight w:val="none"/>
          <w:u w:val="single"/>
        </w:rPr>
        <w:t xml:space="preserve">             </w:t>
      </w:r>
      <w:r>
        <w:rPr>
          <w:rFonts w:hint="eastAsia" w:ascii="宋体" w:hAnsi="宋体"/>
          <w:color w:val="000000"/>
          <w:sz w:val="24"/>
          <w:highlight w:val="none"/>
        </w:rPr>
        <w:t>项目（项目编号：</w:t>
      </w:r>
      <w:r>
        <w:rPr>
          <w:rFonts w:hint="eastAsia" w:ascii="宋体" w:hAnsi="宋体"/>
          <w:color w:val="000000"/>
          <w:sz w:val="24"/>
          <w:highlight w:val="none"/>
          <w:u w:val="single"/>
        </w:rPr>
        <w:t xml:space="preserve">       </w:t>
      </w:r>
      <w:r>
        <w:rPr>
          <w:rFonts w:hint="eastAsia" w:ascii="宋体" w:hAnsi="宋体"/>
          <w:color w:val="000000"/>
          <w:sz w:val="24"/>
          <w:highlight w:val="none"/>
        </w:rPr>
        <w:t>）的政府采购活动。我方在此郑重声明：</w:t>
      </w:r>
    </w:p>
    <w:p w14:paraId="37E6195E">
      <w:pPr>
        <w:spacing w:line="400" w:lineRule="exact"/>
        <w:ind w:firstLine="480" w:firstLineChars="200"/>
        <w:contextualSpacing/>
        <w:jc w:val="left"/>
        <w:rPr>
          <w:rFonts w:hint="eastAsia" w:ascii="宋体" w:hAnsi="宋体"/>
          <w:color w:val="000000"/>
          <w:sz w:val="24"/>
          <w:highlight w:val="none"/>
        </w:rPr>
      </w:pPr>
      <w:r>
        <w:rPr>
          <w:rFonts w:hint="eastAsia" w:ascii="宋体" w:hAnsi="宋体"/>
          <w:color w:val="000000"/>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D7C834E">
      <w:pPr>
        <w:spacing w:line="400" w:lineRule="exact"/>
        <w:ind w:firstLine="480" w:firstLineChars="200"/>
        <w:contextualSpacing/>
        <w:jc w:val="left"/>
        <w:rPr>
          <w:rFonts w:hint="eastAsia" w:ascii="宋体" w:hAnsi="宋体"/>
          <w:color w:val="000000"/>
          <w:sz w:val="24"/>
          <w:highlight w:val="none"/>
        </w:rPr>
      </w:pPr>
      <w:r>
        <w:rPr>
          <w:rFonts w:hint="eastAsia" w:ascii="宋体" w:hAnsi="宋体"/>
          <w:color w:val="000000"/>
          <w:sz w:val="24"/>
          <w:highlight w:val="none"/>
        </w:rPr>
        <w:t>2.我方不是为本次采购项目提供整体设计、规范编制或者项目管理、监理、检测等服务的供应商。</w:t>
      </w:r>
    </w:p>
    <w:p w14:paraId="5EC7E9B4">
      <w:pPr>
        <w:spacing w:line="400" w:lineRule="exact"/>
        <w:ind w:firstLine="480" w:firstLineChars="200"/>
        <w:contextualSpacing/>
        <w:jc w:val="left"/>
        <w:rPr>
          <w:rFonts w:hint="eastAsia" w:ascii="宋体" w:hAnsi="宋体"/>
          <w:color w:val="000000"/>
          <w:sz w:val="24"/>
          <w:highlight w:val="none"/>
        </w:rPr>
      </w:pPr>
      <w:r>
        <w:rPr>
          <w:rFonts w:hint="eastAsia" w:ascii="宋体" w:hAnsi="宋体"/>
          <w:color w:val="000000"/>
          <w:sz w:val="24"/>
          <w:highlight w:val="none"/>
        </w:rPr>
        <w:t>3. 我方承诺符合《中华人民共和国政府采购法》第二十二条规定：</w:t>
      </w:r>
    </w:p>
    <w:p w14:paraId="5D84F696">
      <w:pPr>
        <w:spacing w:line="400" w:lineRule="exact"/>
        <w:ind w:firstLine="480" w:firstLineChars="200"/>
        <w:contextualSpacing/>
        <w:jc w:val="left"/>
        <w:rPr>
          <w:rFonts w:ascii="宋体" w:hAnsi="宋体"/>
          <w:color w:val="000000"/>
          <w:sz w:val="24"/>
          <w:highlight w:val="none"/>
        </w:rPr>
      </w:pPr>
      <w:r>
        <w:rPr>
          <w:rFonts w:hint="eastAsia" w:ascii="宋体" w:hAnsi="宋体"/>
          <w:color w:val="000000"/>
          <w:sz w:val="24"/>
          <w:highlight w:val="none"/>
        </w:rPr>
        <w:t>（一）具有独立承担民事责任的能力；</w:t>
      </w:r>
    </w:p>
    <w:p w14:paraId="326A25E6">
      <w:pPr>
        <w:spacing w:line="400" w:lineRule="exact"/>
        <w:ind w:firstLine="480" w:firstLineChars="200"/>
        <w:contextualSpacing/>
        <w:jc w:val="left"/>
        <w:rPr>
          <w:rFonts w:ascii="宋体" w:hAnsi="宋体"/>
          <w:color w:val="000000"/>
          <w:sz w:val="24"/>
          <w:highlight w:val="none"/>
        </w:rPr>
      </w:pPr>
      <w:r>
        <w:rPr>
          <w:rFonts w:hint="eastAsia" w:ascii="宋体" w:hAnsi="宋体"/>
          <w:color w:val="000000"/>
          <w:sz w:val="24"/>
          <w:highlight w:val="none"/>
        </w:rPr>
        <w:t>（二）具有良好的商业信誉和健全的财务会计制度；</w:t>
      </w:r>
    </w:p>
    <w:p w14:paraId="05139DF1">
      <w:pPr>
        <w:spacing w:line="400" w:lineRule="exact"/>
        <w:ind w:firstLine="480" w:firstLineChars="200"/>
        <w:contextualSpacing/>
        <w:jc w:val="left"/>
        <w:rPr>
          <w:rFonts w:ascii="宋体" w:hAnsi="宋体"/>
          <w:color w:val="000000"/>
          <w:sz w:val="24"/>
          <w:highlight w:val="none"/>
        </w:rPr>
      </w:pPr>
      <w:r>
        <w:rPr>
          <w:rFonts w:hint="eastAsia" w:ascii="宋体" w:hAnsi="宋体"/>
          <w:color w:val="000000"/>
          <w:sz w:val="24"/>
          <w:highlight w:val="none"/>
        </w:rPr>
        <w:t>（三）具有履行合同所必需的设备和专业技术能力；</w:t>
      </w:r>
    </w:p>
    <w:p w14:paraId="78D82A9A">
      <w:pPr>
        <w:spacing w:line="400" w:lineRule="exact"/>
        <w:ind w:firstLine="480" w:firstLineChars="200"/>
        <w:contextualSpacing/>
        <w:jc w:val="left"/>
        <w:rPr>
          <w:rFonts w:ascii="宋体" w:hAnsi="宋体"/>
          <w:color w:val="000000"/>
          <w:sz w:val="24"/>
          <w:highlight w:val="none"/>
        </w:rPr>
      </w:pPr>
      <w:r>
        <w:rPr>
          <w:rFonts w:hint="eastAsia" w:ascii="宋体" w:hAnsi="宋体"/>
          <w:color w:val="000000"/>
          <w:sz w:val="24"/>
          <w:highlight w:val="none"/>
        </w:rPr>
        <w:t>（四）有依法缴纳税收和社会保障资金的良好记录；</w:t>
      </w:r>
    </w:p>
    <w:p w14:paraId="1A6AF53D">
      <w:pPr>
        <w:spacing w:line="400" w:lineRule="exact"/>
        <w:ind w:firstLine="480" w:firstLineChars="200"/>
        <w:contextualSpacing/>
        <w:jc w:val="left"/>
        <w:rPr>
          <w:rFonts w:ascii="宋体" w:hAnsi="宋体"/>
          <w:color w:val="000000"/>
          <w:sz w:val="24"/>
          <w:highlight w:val="none"/>
        </w:rPr>
      </w:pPr>
      <w:r>
        <w:rPr>
          <w:rFonts w:hint="eastAsia" w:ascii="宋体" w:hAnsi="宋体"/>
          <w:color w:val="000000"/>
          <w:sz w:val="24"/>
          <w:highlight w:val="none"/>
        </w:rPr>
        <w:t>（五）参加政府采购活动前三年内，在经营活动中没有重大违法记录；</w:t>
      </w:r>
    </w:p>
    <w:p w14:paraId="4477F282">
      <w:pPr>
        <w:spacing w:line="400" w:lineRule="exact"/>
        <w:ind w:firstLine="480" w:firstLineChars="200"/>
        <w:contextualSpacing/>
        <w:jc w:val="left"/>
        <w:rPr>
          <w:rFonts w:hint="eastAsia" w:ascii="宋体" w:hAnsi="宋体"/>
          <w:color w:val="000000"/>
          <w:sz w:val="24"/>
          <w:highlight w:val="none"/>
        </w:rPr>
      </w:pPr>
      <w:r>
        <w:rPr>
          <w:rFonts w:hint="eastAsia" w:ascii="宋体" w:hAnsi="宋体"/>
          <w:color w:val="000000"/>
          <w:sz w:val="24"/>
          <w:highlight w:val="none"/>
        </w:rPr>
        <w:t>（六）法律、行政法规规定的其他条件。</w:t>
      </w:r>
    </w:p>
    <w:p w14:paraId="07B18F69">
      <w:pPr>
        <w:spacing w:line="400" w:lineRule="exact"/>
        <w:ind w:firstLine="480" w:firstLineChars="200"/>
        <w:contextualSpacing/>
        <w:jc w:val="left"/>
        <w:rPr>
          <w:rFonts w:hint="eastAsia" w:ascii="宋体" w:hAnsi="宋体"/>
          <w:color w:val="000000"/>
          <w:sz w:val="24"/>
          <w:highlight w:val="none"/>
        </w:rPr>
      </w:pPr>
      <w:r>
        <w:rPr>
          <w:rFonts w:hint="eastAsia" w:ascii="宋体" w:hAnsi="宋体"/>
          <w:color w:val="000000"/>
          <w:sz w:val="24"/>
          <w:highlight w:val="none"/>
        </w:rPr>
        <w:t>4.以上事项如有虚假或者隐瞒，我方愿意承担一切后果，并不再寻求任何旨在减轻或者免除法律责任的辩解。</w:t>
      </w:r>
    </w:p>
    <w:p w14:paraId="2DAC4B75">
      <w:pPr>
        <w:spacing w:line="400" w:lineRule="exact"/>
        <w:contextualSpacing/>
        <w:jc w:val="left"/>
        <w:rPr>
          <w:rFonts w:ascii="宋体" w:hAnsi="宋体"/>
          <w:color w:val="000000"/>
          <w:sz w:val="24"/>
          <w:highlight w:val="none"/>
        </w:rPr>
      </w:pPr>
      <w:r>
        <w:rPr>
          <w:rFonts w:hint="eastAsia" w:ascii="宋体" w:hAnsi="宋体"/>
          <w:color w:val="000000"/>
          <w:sz w:val="24"/>
          <w:highlight w:val="none"/>
        </w:rPr>
        <w:t xml:space="preserve">    特此承诺。</w:t>
      </w:r>
    </w:p>
    <w:p w14:paraId="65E3677A">
      <w:pPr>
        <w:snapToGrid w:val="0"/>
        <w:spacing w:before="50" w:after="50"/>
        <w:rPr>
          <w:rFonts w:ascii="宋体" w:hAnsi="宋体"/>
          <w:color w:val="000000"/>
          <w:sz w:val="24"/>
          <w:highlight w:val="none"/>
        </w:rPr>
      </w:pPr>
      <w:r>
        <w:rPr>
          <w:rFonts w:hint="eastAsia" w:ascii="宋体" w:hAnsi="宋体"/>
          <w:b/>
          <w:color w:val="000000"/>
          <w:sz w:val="24"/>
          <w:highlight w:val="none"/>
        </w:rPr>
        <w:t xml:space="preserve">    </w:t>
      </w:r>
      <w:r>
        <w:rPr>
          <w:rFonts w:hint="eastAsia" w:ascii="宋体" w:hAnsi="宋体"/>
          <w:color w:val="000000"/>
          <w:sz w:val="24"/>
          <w:highlight w:val="none"/>
        </w:rPr>
        <w:t xml:space="preserve">            </w:t>
      </w:r>
    </w:p>
    <w:p w14:paraId="07D7670B">
      <w:pPr>
        <w:snapToGrid w:val="0"/>
        <w:spacing w:before="50" w:after="50"/>
        <w:ind w:firstLine="840" w:firstLineChars="350"/>
        <w:rPr>
          <w:rFonts w:hint="eastAsia" w:ascii="宋体" w:hAnsi="宋体"/>
          <w:color w:val="000000"/>
          <w:spacing w:val="20"/>
          <w:sz w:val="24"/>
          <w:highlight w:val="none"/>
          <w:u w:val="single"/>
        </w:rPr>
      </w:pPr>
      <w:r>
        <w:rPr>
          <w:rFonts w:hint="eastAsia" w:ascii="宋体" w:hAnsi="宋体"/>
          <w:color w:val="000000"/>
          <w:sz w:val="24"/>
          <w:highlight w:val="none"/>
        </w:rPr>
        <w:t>法定代表人或者委托代理人</w:t>
      </w:r>
      <w:r>
        <w:rPr>
          <w:rFonts w:hint="eastAsia" w:ascii="宋体" w:hAnsi="宋体"/>
          <w:color w:val="000000"/>
          <w:spacing w:val="20"/>
          <w:sz w:val="24"/>
          <w:highlight w:val="none"/>
        </w:rPr>
        <w:t>（签字或者电子签名）：</w:t>
      </w:r>
      <w:r>
        <w:rPr>
          <w:rFonts w:hint="eastAsia" w:ascii="宋体" w:hAnsi="宋体"/>
          <w:color w:val="000000"/>
          <w:spacing w:val="20"/>
          <w:sz w:val="24"/>
          <w:highlight w:val="none"/>
          <w:u w:val="single"/>
        </w:rPr>
        <w:t xml:space="preserve">        </w:t>
      </w:r>
    </w:p>
    <w:p w14:paraId="0B08BCFE">
      <w:pPr>
        <w:spacing w:line="400" w:lineRule="exact"/>
        <w:contextualSpacing/>
        <w:jc w:val="left"/>
        <w:rPr>
          <w:rFonts w:hint="eastAsia" w:ascii="宋体" w:hAnsi="宋体"/>
          <w:color w:val="000000"/>
          <w:sz w:val="24"/>
          <w:highlight w:val="none"/>
        </w:rPr>
      </w:pPr>
    </w:p>
    <w:p w14:paraId="2088C999">
      <w:pPr>
        <w:spacing w:line="400" w:lineRule="exact"/>
        <w:contextualSpacing/>
        <w:jc w:val="left"/>
        <w:rPr>
          <w:rFonts w:hint="eastAsia" w:ascii="宋体" w:hAnsi="宋体"/>
          <w:color w:val="000000"/>
          <w:sz w:val="24"/>
          <w:highlight w:val="none"/>
        </w:rPr>
      </w:pPr>
      <w:r>
        <w:rPr>
          <w:rFonts w:hint="eastAsia" w:ascii="宋体" w:hAnsi="宋体"/>
          <w:color w:val="000000"/>
          <w:sz w:val="24"/>
          <w:highlight w:val="none"/>
        </w:rPr>
        <w:t xml:space="preserve">                           投标人名称（电子签章）：</w:t>
      </w:r>
      <w:r>
        <w:rPr>
          <w:rFonts w:hint="eastAsia" w:ascii="宋体" w:hAnsi="宋体"/>
          <w:color w:val="000000"/>
          <w:sz w:val="24"/>
          <w:highlight w:val="none"/>
          <w:u w:val="single"/>
        </w:rPr>
        <w:t xml:space="preserve">                 </w:t>
      </w:r>
    </w:p>
    <w:p w14:paraId="5CB5E32B">
      <w:pPr>
        <w:spacing w:line="400" w:lineRule="exact"/>
        <w:contextualSpacing/>
        <w:jc w:val="left"/>
        <w:rPr>
          <w:rFonts w:hint="eastAsia" w:ascii="宋体" w:hAnsi="宋体"/>
          <w:color w:val="000000"/>
          <w:highlight w:val="none"/>
        </w:rPr>
      </w:pPr>
      <w:r>
        <w:rPr>
          <w:rFonts w:hint="eastAsia" w:ascii="宋体" w:hAnsi="宋体"/>
          <w:color w:val="000000"/>
          <w:sz w:val="24"/>
          <w:highlight w:val="none"/>
        </w:rPr>
        <w:t xml:space="preserve">                                                  年    月    日</w:t>
      </w:r>
    </w:p>
    <w:p w14:paraId="59C667F4">
      <w:pPr>
        <w:spacing w:line="440" w:lineRule="exact"/>
        <w:contextualSpacing/>
        <w:rPr>
          <w:rFonts w:hint="eastAsia" w:ascii="宋体" w:hAnsi="宋体"/>
          <w:b/>
          <w:color w:val="000000"/>
          <w:sz w:val="24"/>
          <w:highlight w:val="none"/>
        </w:rPr>
      </w:pPr>
      <w:bookmarkStart w:id="157" w:name="_Toc19686838"/>
      <w:r>
        <w:rPr>
          <w:rFonts w:hint="eastAsia" w:ascii="宋体" w:hAnsi="宋体"/>
          <w:b/>
          <w:color w:val="000000"/>
          <w:sz w:val="24"/>
          <w:highlight w:val="none"/>
        </w:rPr>
        <w:t>注：如为联合体投标，盖章处须加盖联合体牵头人电子签章并由联合体牵头人法定代表人签字或者盖章或者电子签名，否则投标无效。</w:t>
      </w:r>
    </w:p>
    <w:p w14:paraId="53B176E8">
      <w:pPr>
        <w:rPr>
          <w:rFonts w:hint="eastAsia"/>
          <w:b/>
          <w:color w:val="000000"/>
          <w:sz w:val="28"/>
          <w:szCs w:val="28"/>
          <w:highlight w:val="none"/>
        </w:rPr>
      </w:pPr>
      <w:r>
        <w:rPr>
          <w:b/>
          <w:color w:val="000000"/>
          <w:sz w:val="28"/>
          <w:szCs w:val="28"/>
          <w:highlight w:val="none"/>
        </w:rPr>
        <w:br w:type="page"/>
      </w:r>
      <w:r>
        <w:rPr>
          <w:rFonts w:hint="eastAsia"/>
          <w:b/>
          <w:color w:val="000000"/>
          <w:sz w:val="28"/>
          <w:szCs w:val="28"/>
          <w:highlight w:val="none"/>
        </w:rPr>
        <w:t>三、商务及技术文件格式</w:t>
      </w:r>
      <w:bookmarkEnd w:id="157"/>
    </w:p>
    <w:p w14:paraId="61B4B908">
      <w:pPr>
        <w:snapToGrid w:val="0"/>
        <w:spacing w:before="120" w:beforeLines="50" w:after="50" w:line="360" w:lineRule="auto"/>
        <w:jc w:val="left"/>
        <w:rPr>
          <w:rFonts w:hint="eastAsia" w:ascii="宋体" w:hAnsi="宋体"/>
          <w:b/>
          <w:color w:val="000000"/>
          <w:sz w:val="24"/>
          <w:highlight w:val="none"/>
        </w:rPr>
      </w:pPr>
      <w:r>
        <w:rPr>
          <w:rFonts w:hint="eastAsia" w:ascii="宋体" w:hAnsi="宋体"/>
          <w:b/>
          <w:color w:val="000000"/>
          <w:sz w:val="24"/>
          <w:highlight w:val="none"/>
        </w:rPr>
        <w:t xml:space="preserve">1.商务及技术文件封面格式： </w:t>
      </w:r>
    </w:p>
    <w:p w14:paraId="109B15C6">
      <w:pPr>
        <w:snapToGrid w:val="0"/>
        <w:spacing w:before="120" w:beforeLines="50" w:after="50"/>
        <w:jc w:val="center"/>
        <w:rPr>
          <w:rFonts w:hint="eastAsia" w:ascii="宋体" w:hAnsi="宋体"/>
          <w:color w:val="000000"/>
          <w:sz w:val="24"/>
          <w:highlight w:val="none"/>
        </w:rPr>
      </w:pPr>
      <w:r>
        <w:rPr>
          <w:rFonts w:hint="eastAsia" w:ascii="宋体" w:hAnsi="宋体" w:eastAsia="方正小标宋简体"/>
          <w:bCs/>
          <w:color w:val="000000"/>
          <w:sz w:val="48"/>
          <w:szCs w:val="48"/>
          <w:highlight w:val="none"/>
        </w:rPr>
        <w:t>电子投标文件</w:t>
      </w:r>
    </w:p>
    <w:p w14:paraId="246CF465">
      <w:pPr>
        <w:snapToGrid w:val="0"/>
        <w:spacing w:before="120" w:beforeLines="50" w:after="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商务及技术文件</w:t>
      </w:r>
    </w:p>
    <w:p w14:paraId="35C28512">
      <w:pPr>
        <w:snapToGrid w:val="0"/>
        <w:spacing w:before="120" w:beforeLines="50" w:after="50"/>
        <w:rPr>
          <w:rFonts w:hint="eastAsia" w:ascii="宋体" w:hAnsi="宋体"/>
          <w:bCs/>
          <w:color w:val="000000"/>
          <w:sz w:val="24"/>
          <w:szCs w:val="20"/>
          <w:highlight w:val="none"/>
        </w:rPr>
      </w:pPr>
    </w:p>
    <w:p w14:paraId="79C6CC14">
      <w:pPr>
        <w:snapToGrid w:val="0"/>
        <w:spacing w:before="120" w:beforeLines="50" w:after="50"/>
        <w:ind w:firstLine="540" w:firstLineChars="225"/>
        <w:rPr>
          <w:rFonts w:hint="eastAsia" w:ascii="宋体" w:hAnsi="宋体"/>
          <w:bCs/>
          <w:color w:val="000000"/>
          <w:sz w:val="24"/>
          <w:highlight w:val="none"/>
        </w:rPr>
      </w:pPr>
      <w:r>
        <w:rPr>
          <w:rFonts w:hint="eastAsia" w:ascii="宋体" w:hAnsi="宋体"/>
          <w:bCs/>
          <w:color w:val="000000"/>
          <w:sz w:val="24"/>
          <w:highlight w:val="none"/>
        </w:rPr>
        <w:t>项目名称：</w:t>
      </w:r>
    </w:p>
    <w:p w14:paraId="23882ABA">
      <w:pPr>
        <w:snapToGrid w:val="0"/>
        <w:spacing w:before="120" w:beforeLines="50" w:after="50"/>
        <w:ind w:firstLine="540" w:firstLineChars="225"/>
        <w:rPr>
          <w:rFonts w:hint="eastAsia" w:ascii="宋体" w:hAnsi="宋体"/>
          <w:bCs/>
          <w:color w:val="000000"/>
          <w:sz w:val="24"/>
          <w:szCs w:val="20"/>
          <w:highlight w:val="none"/>
        </w:rPr>
      </w:pPr>
    </w:p>
    <w:p w14:paraId="155B18E0">
      <w:pPr>
        <w:snapToGrid w:val="0"/>
        <w:spacing w:before="120" w:beforeLines="50" w:after="50"/>
        <w:ind w:firstLine="540" w:firstLineChars="225"/>
        <w:rPr>
          <w:rFonts w:hint="eastAsia" w:ascii="宋体" w:hAnsi="宋体"/>
          <w:bCs/>
          <w:color w:val="000000"/>
          <w:sz w:val="24"/>
          <w:highlight w:val="none"/>
        </w:rPr>
      </w:pPr>
      <w:r>
        <w:rPr>
          <w:rFonts w:hint="eastAsia" w:ascii="宋体" w:hAnsi="宋体"/>
          <w:bCs/>
          <w:color w:val="000000"/>
          <w:sz w:val="24"/>
          <w:highlight w:val="none"/>
        </w:rPr>
        <w:t>项目编号：</w:t>
      </w:r>
    </w:p>
    <w:p w14:paraId="4362540B">
      <w:pPr>
        <w:snapToGrid w:val="0"/>
        <w:spacing w:before="120" w:beforeLines="50" w:after="50"/>
        <w:ind w:firstLine="540" w:firstLineChars="225"/>
        <w:rPr>
          <w:rFonts w:hint="eastAsia" w:ascii="宋体" w:hAnsi="宋体"/>
          <w:bCs/>
          <w:color w:val="000000"/>
          <w:sz w:val="24"/>
          <w:szCs w:val="20"/>
          <w:highlight w:val="none"/>
        </w:rPr>
      </w:pPr>
      <w:r>
        <w:rPr>
          <w:rFonts w:hint="eastAsia" w:ascii="宋体" w:hAnsi="宋体"/>
          <w:bCs/>
          <w:color w:val="000000"/>
          <w:sz w:val="24"/>
          <w:highlight w:val="none"/>
        </w:rPr>
        <w:t xml:space="preserve"> </w:t>
      </w:r>
    </w:p>
    <w:p w14:paraId="21F8B8D7">
      <w:pPr>
        <w:snapToGrid w:val="0"/>
        <w:spacing w:before="120" w:beforeLines="50" w:after="50"/>
        <w:ind w:firstLine="540" w:firstLineChars="225"/>
        <w:rPr>
          <w:rFonts w:hint="eastAsia" w:ascii="宋体" w:hAnsi="宋体"/>
          <w:bCs/>
          <w:color w:val="000000"/>
          <w:sz w:val="24"/>
          <w:highlight w:val="none"/>
        </w:rPr>
      </w:pPr>
      <w:r>
        <w:rPr>
          <w:rFonts w:hint="eastAsia" w:ascii="宋体" w:hAnsi="宋体"/>
          <w:bCs/>
          <w:color w:val="000000"/>
          <w:sz w:val="24"/>
          <w:highlight w:val="none"/>
        </w:rPr>
        <w:t>所投分标：</w:t>
      </w:r>
    </w:p>
    <w:p w14:paraId="746B5512">
      <w:pPr>
        <w:snapToGrid w:val="0"/>
        <w:spacing w:before="120" w:beforeLines="50" w:after="50"/>
        <w:ind w:firstLine="540" w:firstLineChars="225"/>
        <w:rPr>
          <w:rFonts w:hint="eastAsia" w:ascii="宋体" w:hAnsi="宋体"/>
          <w:bCs/>
          <w:color w:val="000000"/>
          <w:sz w:val="24"/>
          <w:szCs w:val="20"/>
          <w:highlight w:val="none"/>
        </w:rPr>
      </w:pPr>
    </w:p>
    <w:p w14:paraId="0137A06A">
      <w:pPr>
        <w:pStyle w:val="7"/>
        <w:snapToGrid w:val="0"/>
        <w:spacing w:before="50" w:after="50"/>
        <w:ind w:firstLine="540" w:firstLineChars="225"/>
        <w:rPr>
          <w:rFonts w:hint="eastAsia" w:ascii="宋体" w:hAnsi="宋体"/>
          <w:bCs/>
          <w:color w:val="000000"/>
          <w:sz w:val="24"/>
          <w:szCs w:val="24"/>
          <w:highlight w:val="none"/>
        </w:rPr>
      </w:pPr>
      <w:r>
        <w:rPr>
          <w:rFonts w:hint="eastAsia" w:ascii="宋体" w:hAnsi="宋体"/>
          <w:bCs/>
          <w:color w:val="000000"/>
          <w:sz w:val="24"/>
          <w:szCs w:val="24"/>
          <w:highlight w:val="none"/>
        </w:rPr>
        <w:t>投标人名称：</w:t>
      </w:r>
    </w:p>
    <w:p w14:paraId="082BF543">
      <w:pPr>
        <w:pStyle w:val="7"/>
        <w:snapToGrid w:val="0"/>
        <w:spacing w:before="50" w:after="50"/>
        <w:ind w:firstLine="540" w:firstLineChars="225"/>
        <w:rPr>
          <w:rFonts w:hint="eastAsia" w:ascii="宋体" w:hAnsi="宋体"/>
          <w:bCs/>
          <w:color w:val="000000"/>
          <w:sz w:val="24"/>
          <w:szCs w:val="24"/>
          <w:highlight w:val="none"/>
        </w:rPr>
      </w:pPr>
    </w:p>
    <w:p w14:paraId="4A8AB236">
      <w:pPr>
        <w:pStyle w:val="7"/>
        <w:snapToGrid w:val="0"/>
        <w:spacing w:before="50" w:after="50"/>
        <w:ind w:firstLine="540" w:firstLineChars="225"/>
        <w:rPr>
          <w:rFonts w:hint="eastAsia" w:ascii="宋体" w:hAnsi="宋体"/>
          <w:bCs/>
          <w:color w:val="000000"/>
          <w:sz w:val="24"/>
          <w:szCs w:val="24"/>
          <w:highlight w:val="none"/>
        </w:rPr>
      </w:pPr>
      <w:r>
        <w:rPr>
          <w:rFonts w:hint="eastAsia" w:ascii="宋体" w:hAnsi="宋体"/>
          <w:bCs/>
          <w:color w:val="000000"/>
          <w:sz w:val="24"/>
          <w:szCs w:val="24"/>
          <w:highlight w:val="none"/>
        </w:rPr>
        <w:t>投标人地址：</w:t>
      </w:r>
    </w:p>
    <w:p w14:paraId="14EFF7C7">
      <w:pPr>
        <w:pStyle w:val="7"/>
        <w:snapToGrid w:val="0"/>
        <w:spacing w:before="50" w:after="50"/>
        <w:ind w:firstLine="960" w:firstLineChars="400"/>
        <w:rPr>
          <w:rFonts w:hint="eastAsia" w:ascii="宋体" w:hAnsi="宋体"/>
          <w:bCs/>
          <w:color w:val="000000"/>
          <w:sz w:val="24"/>
          <w:szCs w:val="24"/>
          <w:highlight w:val="none"/>
        </w:rPr>
      </w:pPr>
    </w:p>
    <w:p w14:paraId="527DE13B">
      <w:pPr>
        <w:snapToGrid w:val="0"/>
        <w:spacing w:before="120" w:beforeLines="50" w:after="50"/>
        <w:ind w:firstLine="645"/>
        <w:rPr>
          <w:rFonts w:ascii="宋体" w:hAnsi="宋体"/>
          <w:color w:val="000000"/>
          <w:sz w:val="24"/>
          <w:highlight w:val="none"/>
        </w:rPr>
      </w:pPr>
      <w:r>
        <w:rPr>
          <w:rFonts w:hint="eastAsia" w:ascii="宋体" w:hAnsi="宋体"/>
          <w:color w:val="000000"/>
          <w:sz w:val="24"/>
          <w:highlight w:val="none"/>
        </w:rPr>
        <w:t xml:space="preserve">                        年  月  日</w:t>
      </w:r>
    </w:p>
    <w:p w14:paraId="3432729C">
      <w:pPr>
        <w:snapToGrid w:val="0"/>
        <w:spacing w:before="120" w:beforeLines="50" w:after="50"/>
        <w:rPr>
          <w:rFonts w:ascii="宋体" w:hAnsi="宋体"/>
          <w:color w:val="000000"/>
          <w:sz w:val="24"/>
          <w:szCs w:val="20"/>
          <w:highlight w:val="none"/>
        </w:rPr>
      </w:pPr>
      <w:r>
        <w:rPr>
          <w:rFonts w:ascii="宋体" w:hAnsi="宋体"/>
          <w:color w:val="000000"/>
          <w:sz w:val="24"/>
          <w:szCs w:val="20"/>
          <w:highlight w:val="none"/>
        </w:rPr>
        <w:t xml:space="preserve"> </w:t>
      </w:r>
    </w:p>
    <w:p w14:paraId="6FAC85A7">
      <w:pPr>
        <w:snapToGrid w:val="0"/>
        <w:spacing w:line="360" w:lineRule="auto"/>
        <w:jc w:val="left"/>
        <w:rPr>
          <w:rFonts w:hint="eastAsia" w:ascii="宋体" w:hAnsi="宋体"/>
          <w:b/>
          <w:color w:val="000000"/>
          <w:sz w:val="24"/>
          <w:highlight w:val="none"/>
        </w:rPr>
      </w:pPr>
      <w:r>
        <w:rPr>
          <w:rFonts w:ascii="宋体" w:hAnsi="宋体"/>
          <w:color w:val="000000"/>
          <w:sz w:val="24"/>
          <w:szCs w:val="20"/>
          <w:highlight w:val="none"/>
        </w:rPr>
        <w:br w:type="page"/>
      </w:r>
      <w:r>
        <w:rPr>
          <w:rFonts w:hint="eastAsia" w:ascii="宋体" w:hAnsi="宋体"/>
          <w:b/>
          <w:color w:val="000000"/>
          <w:sz w:val="24"/>
          <w:highlight w:val="none"/>
        </w:rPr>
        <w:t>2.商务及技术文件目录</w:t>
      </w:r>
    </w:p>
    <w:p w14:paraId="3F6D7E63">
      <w:pPr>
        <w:snapToGrid w:val="0"/>
        <w:spacing w:before="50" w:after="120" w:afterLines="50" w:line="360" w:lineRule="auto"/>
        <w:ind w:firstLine="560" w:firstLineChars="200"/>
        <w:jc w:val="left"/>
        <w:rPr>
          <w:rFonts w:ascii="微软雅黑" w:hAnsi="微软雅黑" w:eastAsia="微软雅黑"/>
          <w:b/>
          <w:bCs/>
          <w:color w:val="000000"/>
          <w:sz w:val="32"/>
          <w:szCs w:val="32"/>
          <w:highlight w:val="none"/>
        </w:rPr>
      </w:pPr>
      <w:r>
        <w:rPr>
          <w:rFonts w:hint="eastAsia" w:ascii="宋体" w:hAnsi="宋体"/>
          <w:color w:val="000000"/>
          <w:sz w:val="28"/>
          <w:szCs w:val="28"/>
          <w:highlight w:val="none"/>
        </w:rPr>
        <w:t>根据招标文件规定及投标人提供的材料自行编写目录。</w:t>
      </w:r>
    </w:p>
    <w:p w14:paraId="27B61BAE">
      <w:pPr>
        <w:snapToGrid w:val="0"/>
        <w:spacing w:before="50" w:after="120" w:afterLines="50"/>
        <w:jc w:val="left"/>
        <w:rPr>
          <w:rFonts w:hint="eastAsia" w:ascii="宋体" w:hAnsi="宋体"/>
          <w:color w:val="000000"/>
          <w:highlight w:val="none"/>
        </w:rPr>
      </w:pPr>
    </w:p>
    <w:p w14:paraId="7D8E5EEA">
      <w:pPr>
        <w:snapToGrid w:val="0"/>
        <w:spacing w:before="120" w:beforeLines="50" w:after="50"/>
        <w:jc w:val="left"/>
        <w:rPr>
          <w:rFonts w:hint="eastAsia" w:ascii="宋体" w:hAnsi="宋体"/>
          <w:b/>
          <w:color w:val="000000"/>
          <w:sz w:val="24"/>
          <w:highlight w:val="none"/>
        </w:rPr>
      </w:pPr>
      <w:r>
        <w:rPr>
          <w:rFonts w:ascii="宋体" w:hAnsi="宋体"/>
          <w:b/>
          <w:color w:val="000000"/>
          <w:sz w:val="24"/>
          <w:highlight w:val="none"/>
        </w:rPr>
        <w:br w:type="page"/>
      </w:r>
      <w:r>
        <w:rPr>
          <w:rFonts w:hint="eastAsia" w:ascii="宋体" w:hAnsi="宋体"/>
          <w:b/>
          <w:color w:val="000000"/>
          <w:sz w:val="24"/>
          <w:highlight w:val="none"/>
        </w:rPr>
        <w:t>3.投标人参加本项目无围标串标行为的承诺</w:t>
      </w:r>
    </w:p>
    <w:p w14:paraId="52D51B13">
      <w:pPr>
        <w:snapToGrid w:val="0"/>
        <w:spacing w:before="120" w:beforeLines="50" w:after="50"/>
        <w:jc w:val="left"/>
        <w:rPr>
          <w:rFonts w:hint="eastAsia" w:ascii="宋体" w:hAnsi="宋体"/>
          <w:b/>
          <w:color w:val="000000"/>
          <w:sz w:val="24"/>
          <w:highlight w:val="none"/>
        </w:rPr>
      </w:pPr>
    </w:p>
    <w:p w14:paraId="581282CB">
      <w:pPr>
        <w:spacing w:line="360" w:lineRule="auto"/>
        <w:ind w:left="420"/>
        <w:contextualSpacing/>
        <w:jc w:val="center"/>
        <w:rPr>
          <w:rFonts w:ascii="宋体" w:hAnsi="宋体"/>
          <w:b/>
          <w:color w:val="000000"/>
          <w:sz w:val="24"/>
          <w:highlight w:val="none"/>
        </w:rPr>
      </w:pPr>
      <w:r>
        <w:rPr>
          <w:rFonts w:hint="eastAsia" w:ascii="方正小标宋简体" w:hAnsi="方正小标宋简体" w:eastAsia="方正小标宋简体" w:cs="方正小标宋简体"/>
          <w:bCs/>
          <w:color w:val="000000"/>
          <w:spacing w:val="-11"/>
          <w:sz w:val="44"/>
          <w:szCs w:val="44"/>
          <w:highlight w:val="none"/>
        </w:rPr>
        <w:t>投标人参加本项目无围标串标行为的承诺函</w:t>
      </w:r>
    </w:p>
    <w:p w14:paraId="1B2A6D88">
      <w:pPr>
        <w:spacing w:line="440" w:lineRule="exact"/>
        <w:contextualSpacing/>
        <w:jc w:val="left"/>
        <w:rPr>
          <w:rFonts w:hint="eastAsia" w:ascii="宋体" w:hAnsi="宋体"/>
          <w:b/>
          <w:color w:val="000000"/>
          <w:sz w:val="24"/>
          <w:highlight w:val="none"/>
        </w:rPr>
      </w:pPr>
      <w:r>
        <w:rPr>
          <w:rFonts w:hint="eastAsia" w:ascii="宋体" w:hAnsi="宋体"/>
          <w:b/>
          <w:color w:val="000000"/>
          <w:sz w:val="24"/>
          <w:highlight w:val="none"/>
        </w:rPr>
        <w:t>一、我方承诺无下列相互串通投标的情形：</w:t>
      </w:r>
    </w:p>
    <w:p w14:paraId="7D558F9D">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1.不同投标人的投标文件由同一单位或者个人编制；</w:t>
      </w:r>
    </w:p>
    <w:p w14:paraId="1297B4FC">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2.不同投标人委托同一单位或者个人办理投标事宜；</w:t>
      </w:r>
    </w:p>
    <w:p w14:paraId="47AAB7C7">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3.不同的投标人的投标文件载明的项目管理员为同一个人；</w:t>
      </w:r>
    </w:p>
    <w:p w14:paraId="5A08A1CC">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4.不同投标人的投标文件异常一致或者投标报价呈规律性差异；</w:t>
      </w:r>
    </w:p>
    <w:p w14:paraId="378D0299">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5.不同投标人的投标文件相互混装；</w:t>
      </w:r>
    </w:p>
    <w:p w14:paraId="68A852EB">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6.不同投标人的投标保证金从同一单位或者个人账户转出。</w:t>
      </w:r>
    </w:p>
    <w:p w14:paraId="743F035D">
      <w:pPr>
        <w:spacing w:line="440" w:lineRule="exact"/>
        <w:contextualSpacing/>
        <w:jc w:val="left"/>
        <w:rPr>
          <w:rFonts w:hint="eastAsia" w:ascii="宋体" w:hAnsi="宋体"/>
          <w:color w:val="000000"/>
          <w:sz w:val="24"/>
          <w:highlight w:val="none"/>
        </w:rPr>
      </w:pPr>
      <w:r>
        <w:rPr>
          <w:rFonts w:hint="eastAsia" w:ascii="宋体" w:hAnsi="宋体"/>
          <w:b/>
          <w:color w:val="000000"/>
          <w:sz w:val="24"/>
          <w:highlight w:val="none"/>
        </w:rPr>
        <w:t>二、我方承诺无下列恶意串通的情形：</w:t>
      </w:r>
    </w:p>
    <w:p w14:paraId="6271B52F">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1.投标人直接或者间接从采购人或者采购代理机构处获得其他投标人的相关信息并修改其投标文件或者响应文件；</w:t>
      </w:r>
    </w:p>
    <w:p w14:paraId="24EF6BA6">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2.投标人按照采购人或者采购代理机构的授意撤换、修改投标文件或者响应文件；</w:t>
      </w:r>
    </w:p>
    <w:p w14:paraId="57573405">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3.投标人之间协商报价、技术方案等投标文件或者响应文件的实质性内容；</w:t>
      </w:r>
    </w:p>
    <w:p w14:paraId="53806179">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4.属于同一集团、协会、商会等组织成员的投标人按照该组织要求协同参加政府采购活动；</w:t>
      </w:r>
    </w:p>
    <w:p w14:paraId="21666230">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5.投标人之间事先约定一致抬高或者压低投标报价，或者在招标项目中事先约定轮流以高价位或者低价位中标，或者事先约定由某一特定投标人中标，然后再参加投标；</w:t>
      </w:r>
    </w:p>
    <w:p w14:paraId="33E47484">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6.投标人之间商定部分投标人放弃参加政府采购活动或者放弃中标；</w:t>
      </w:r>
    </w:p>
    <w:p w14:paraId="4751F21D">
      <w:pPr>
        <w:spacing w:line="440" w:lineRule="exact"/>
        <w:ind w:firstLine="470" w:firstLineChars="196"/>
        <w:contextualSpacing/>
        <w:jc w:val="left"/>
        <w:rPr>
          <w:rFonts w:hint="eastAsia" w:ascii="宋体" w:hAnsi="宋体"/>
          <w:color w:val="000000"/>
          <w:sz w:val="24"/>
          <w:highlight w:val="none"/>
        </w:rPr>
      </w:pPr>
      <w:r>
        <w:rPr>
          <w:rFonts w:hint="eastAsia" w:ascii="宋体" w:hAnsi="宋体"/>
          <w:color w:val="000000"/>
          <w:sz w:val="24"/>
          <w:highlight w:val="none"/>
        </w:rPr>
        <w:t>7.投标人与采购人或者采购代理机构之间、投标人相互之间，为谋求特定投标人中标或者排斥其他投标人的其他串通行为。</w:t>
      </w:r>
    </w:p>
    <w:p w14:paraId="672A6EDD">
      <w:pPr>
        <w:spacing w:line="440" w:lineRule="exact"/>
        <w:ind w:firstLine="472" w:firstLineChars="196"/>
        <w:contextualSpacing/>
        <w:jc w:val="left"/>
        <w:rPr>
          <w:rFonts w:hint="eastAsia" w:ascii="宋体" w:hAnsi="宋体"/>
          <w:b/>
          <w:color w:val="000000"/>
          <w:sz w:val="24"/>
          <w:highlight w:val="none"/>
        </w:rPr>
      </w:pPr>
      <w:r>
        <w:rPr>
          <w:rFonts w:hint="eastAsia" w:ascii="宋体" w:hAnsi="宋体"/>
          <w:b/>
          <w:color w:val="000000"/>
          <w:sz w:val="24"/>
          <w:highlight w:val="none"/>
        </w:rPr>
        <w:t>以上情形一经核查属实，我方愿意承担一切后果，并不再寻求任何旨在减轻或者免除法律责任的辩解。</w:t>
      </w:r>
    </w:p>
    <w:p w14:paraId="3ED2ED80">
      <w:pPr>
        <w:pStyle w:val="24"/>
        <w:spacing w:line="440" w:lineRule="exact"/>
        <w:ind w:firstLine="960" w:firstLineChars="400"/>
        <w:contextualSpacing/>
        <w:rPr>
          <w:rFonts w:hint="eastAsia" w:hAnsi="宋体"/>
          <w:color w:val="000000"/>
          <w:sz w:val="24"/>
          <w:szCs w:val="24"/>
          <w:highlight w:val="none"/>
        </w:rPr>
      </w:pPr>
      <w:r>
        <w:rPr>
          <w:rFonts w:hint="eastAsia" w:hAnsi="宋体"/>
          <w:color w:val="000000"/>
          <w:sz w:val="24"/>
          <w:highlight w:val="none"/>
        </w:rPr>
        <w:t>法定代表人或者委托代理人</w:t>
      </w:r>
      <w:r>
        <w:rPr>
          <w:rFonts w:hint="eastAsia" w:hAnsi="宋体"/>
          <w:color w:val="000000"/>
          <w:spacing w:val="20"/>
          <w:sz w:val="24"/>
          <w:highlight w:val="none"/>
        </w:rPr>
        <w:t>（签字或者电子签名）：</w:t>
      </w:r>
      <w:r>
        <w:rPr>
          <w:rFonts w:hint="eastAsia" w:hAnsi="宋体"/>
          <w:color w:val="000000"/>
          <w:spacing w:val="20"/>
          <w:sz w:val="24"/>
          <w:highlight w:val="none"/>
          <w:u w:val="single"/>
        </w:rPr>
        <w:t xml:space="preserve">        </w:t>
      </w:r>
    </w:p>
    <w:p w14:paraId="518BC507">
      <w:pPr>
        <w:pStyle w:val="24"/>
        <w:spacing w:line="440" w:lineRule="exact"/>
        <w:contextualSpacing/>
        <w:jc w:val="center"/>
        <w:rPr>
          <w:rFonts w:hint="eastAsia" w:hAnsi="宋体"/>
          <w:color w:val="000000"/>
          <w:sz w:val="24"/>
          <w:szCs w:val="24"/>
          <w:highlight w:val="none"/>
        </w:rPr>
      </w:pPr>
      <w:r>
        <w:rPr>
          <w:rFonts w:hint="eastAsia" w:hAnsi="宋体"/>
          <w:color w:val="000000"/>
          <w:sz w:val="24"/>
          <w:szCs w:val="24"/>
          <w:highlight w:val="none"/>
        </w:rPr>
        <w:t xml:space="preserve"> </w:t>
      </w:r>
      <w:r>
        <w:rPr>
          <w:rFonts w:hAnsi="宋体"/>
          <w:color w:val="000000"/>
          <w:sz w:val="24"/>
          <w:szCs w:val="24"/>
          <w:highlight w:val="none"/>
        </w:rPr>
        <w:t xml:space="preserve">                                   </w:t>
      </w:r>
      <w:r>
        <w:rPr>
          <w:rFonts w:hint="eastAsia" w:hAnsi="宋体"/>
          <w:color w:val="000000"/>
          <w:sz w:val="24"/>
          <w:szCs w:val="24"/>
          <w:highlight w:val="none"/>
        </w:rPr>
        <w:t>投标人名称（电子签章）</w:t>
      </w:r>
    </w:p>
    <w:p w14:paraId="55EB41E7">
      <w:pPr>
        <w:pStyle w:val="24"/>
        <w:spacing w:line="440" w:lineRule="exact"/>
        <w:contextualSpacing/>
        <w:rPr>
          <w:rFonts w:hint="eastAsia" w:hAnsi="宋体"/>
          <w:color w:val="000000"/>
          <w:sz w:val="24"/>
          <w:highlight w:val="none"/>
        </w:rPr>
      </w:pPr>
      <w:r>
        <w:rPr>
          <w:rFonts w:hint="eastAsia" w:hAnsi="宋体"/>
          <w:color w:val="000000"/>
          <w:sz w:val="24"/>
          <w:highlight w:val="none"/>
        </w:rPr>
        <w:t xml:space="preserve">                                                </w:t>
      </w:r>
      <w:r>
        <w:rPr>
          <w:rFonts w:hint="eastAsia" w:hAnsi="宋体"/>
          <w:color w:val="000000"/>
          <w:sz w:val="24"/>
          <w:highlight w:val="none"/>
          <w:u w:val="single"/>
        </w:rPr>
        <w:t xml:space="preserve">      </w:t>
      </w:r>
      <w:r>
        <w:rPr>
          <w:rFonts w:hint="eastAsia" w:hAnsi="宋体"/>
          <w:color w:val="000000"/>
          <w:sz w:val="24"/>
          <w:highlight w:val="none"/>
        </w:rPr>
        <w:t>年</w:t>
      </w:r>
      <w:r>
        <w:rPr>
          <w:rFonts w:hint="eastAsia" w:hAnsi="宋体"/>
          <w:color w:val="000000"/>
          <w:sz w:val="24"/>
          <w:highlight w:val="none"/>
          <w:u w:val="single"/>
        </w:rPr>
        <w:t xml:space="preserve">    </w:t>
      </w:r>
      <w:r>
        <w:rPr>
          <w:rFonts w:hint="eastAsia" w:hAnsi="宋体"/>
          <w:color w:val="000000"/>
          <w:sz w:val="24"/>
          <w:highlight w:val="none"/>
        </w:rPr>
        <w:t>月</w:t>
      </w:r>
      <w:r>
        <w:rPr>
          <w:rFonts w:hint="eastAsia" w:hAnsi="宋体"/>
          <w:color w:val="000000"/>
          <w:sz w:val="24"/>
          <w:highlight w:val="none"/>
          <w:u w:val="single"/>
        </w:rPr>
        <w:t xml:space="preserve">     </w:t>
      </w:r>
      <w:r>
        <w:rPr>
          <w:rFonts w:hint="eastAsia" w:hAnsi="宋体"/>
          <w:color w:val="000000"/>
          <w:sz w:val="24"/>
          <w:highlight w:val="none"/>
        </w:rPr>
        <w:t>日</w:t>
      </w:r>
    </w:p>
    <w:p w14:paraId="502B4551">
      <w:pPr>
        <w:snapToGrid w:val="0"/>
        <w:spacing w:before="120" w:beforeLines="50" w:after="50"/>
        <w:jc w:val="left"/>
        <w:rPr>
          <w:rFonts w:hint="eastAsia" w:ascii="宋体" w:hAnsi="宋体"/>
          <w:b/>
          <w:color w:val="000000"/>
          <w:sz w:val="24"/>
          <w:szCs w:val="20"/>
          <w:highlight w:val="none"/>
        </w:rPr>
      </w:pPr>
      <w:r>
        <w:rPr>
          <w:rFonts w:hint="eastAsia" w:ascii="宋体" w:hAnsi="宋体"/>
          <w:b/>
          <w:color w:val="000000"/>
          <w:sz w:val="24"/>
          <w:highlight w:val="none"/>
        </w:rPr>
        <w:t>4.法定代表人身份证明</w:t>
      </w:r>
    </w:p>
    <w:p w14:paraId="5E163388">
      <w:pPr>
        <w:spacing w:before="240" w:beforeLines="100" w:after="120" w:afterLines="50"/>
        <w:ind w:left="540"/>
        <w:jc w:val="center"/>
        <w:rPr>
          <w:rFonts w:hint="eastAsia" w:ascii="宋体" w:hAnsi="Courier New"/>
          <w:b/>
          <w:color w:val="000000"/>
          <w:sz w:val="32"/>
          <w:szCs w:val="32"/>
          <w:highlight w:val="none"/>
        </w:rPr>
      </w:pPr>
    </w:p>
    <w:p w14:paraId="3217045C">
      <w:pPr>
        <w:spacing w:before="240" w:beforeLines="100" w:after="120" w:afterLines="50"/>
        <w:ind w:left="54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法定代表人身份证明</w:t>
      </w:r>
    </w:p>
    <w:p w14:paraId="6A5959C1">
      <w:pPr>
        <w:spacing w:line="500" w:lineRule="exact"/>
        <w:ind w:left="540"/>
        <w:rPr>
          <w:rFonts w:hint="eastAsia" w:ascii="宋体" w:hAnsi="宋体"/>
          <w:color w:val="000000"/>
          <w:sz w:val="24"/>
          <w:highlight w:val="none"/>
        </w:rPr>
      </w:pPr>
      <w:r>
        <w:rPr>
          <w:rFonts w:hint="eastAsia" w:ascii="宋体" w:hAnsi="宋体"/>
          <w:color w:val="000000"/>
          <w:sz w:val="24"/>
          <w:highlight w:val="none"/>
        </w:rPr>
        <w:t>投 标 人：</w:t>
      </w:r>
      <w:r>
        <w:rPr>
          <w:rFonts w:hint="eastAsia" w:ascii="宋体" w:hAnsi="宋体"/>
          <w:color w:val="000000"/>
          <w:sz w:val="24"/>
          <w:highlight w:val="none"/>
          <w:u w:val="single"/>
        </w:rPr>
        <w:t xml:space="preserve">                                                        </w:t>
      </w:r>
    </w:p>
    <w:p w14:paraId="4BCF2690">
      <w:pPr>
        <w:spacing w:line="500" w:lineRule="exact"/>
        <w:ind w:left="540"/>
        <w:rPr>
          <w:rFonts w:hint="eastAsia" w:ascii="宋体" w:hAnsi="宋体"/>
          <w:color w:val="000000"/>
          <w:sz w:val="24"/>
          <w:highlight w:val="none"/>
        </w:rPr>
      </w:pPr>
      <w:r>
        <w:rPr>
          <w:rFonts w:hint="eastAsia" w:ascii="宋体" w:hAnsi="宋体"/>
          <w:color w:val="000000"/>
          <w:sz w:val="24"/>
          <w:highlight w:val="none"/>
        </w:rPr>
        <w:t>地    址：</w:t>
      </w:r>
      <w:r>
        <w:rPr>
          <w:rFonts w:hint="eastAsia" w:ascii="宋体" w:hAnsi="宋体"/>
          <w:color w:val="000000"/>
          <w:sz w:val="24"/>
          <w:highlight w:val="none"/>
          <w:u w:val="single"/>
        </w:rPr>
        <w:t xml:space="preserve">                                                        </w:t>
      </w:r>
    </w:p>
    <w:p w14:paraId="6C90C4FD">
      <w:pPr>
        <w:spacing w:line="500" w:lineRule="exact"/>
        <w:ind w:left="540"/>
        <w:rPr>
          <w:rFonts w:hint="eastAsia" w:ascii="宋体" w:hAnsi="宋体"/>
          <w:color w:val="000000"/>
          <w:sz w:val="24"/>
          <w:highlight w:val="none"/>
        </w:rPr>
      </w:pPr>
      <w:r>
        <w:rPr>
          <w:rFonts w:hint="eastAsia" w:ascii="宋体" w:hAnsi="宋体"/>
          <w:color w:val="000000"/>
          <w:sz w:val="24"/>
          <w:highlight w:val="none"/>
        </w:rPr>
        <w:t>姓    名：</w:t>
      </w:r>
      <w:r>
        <w:rPr>
          <w:rFonts w:hint="eastAsia" w:ascii="宋体" w:hAnsi="宋体"/>
          <w:color w:val="000000"/>
          <w:sz w:val="24"/>
          <w:highlight w:val="none"/>
          <w:u w:val="single"/>
        </w:rPr>
        <w:t xml:space="preserve">                          </w:t>
      </w:r>
      <w:r>
        <w:rPr>
          <w:rFonts w:hint="eastAsia" w:ascii="宋体" w:hAnsi="宋体"/>
          <w:color w:val="000000"/>
          <w:sz w:val="24"/>
          <w:highlight w:val="none"/>
        </w:rPr>
        <w:t>性      别：</w:t>
      </w:r>
      <w:r>
        <w:rPr>
          <w:rFonts w:hint="eastAsia" w:ascii="宋体" w:hAnsi="宋体"/>
          <w:color w:val="000000"/>
          <w:sz w:val="24"/>
          <w:highlight w:val="none"/>
          <w:u w:val="single"/>
        </w:rPr>
        <w:t xml:space="preserve">                </w:t>
      </w:r>
    </w:p>
    <w:p w14:paraId="2392B926">
      <w:pPr>
        <w:spacing w:line="500" w:lineRule="exact"/>
        <w:ind w:left="540"/>
        <w:rPr>
          <w:rFonts w:hint="eastAsia" w:ascii="宋体" w:hAnsi="宋体"/>
          <w:color w:val="000000"/>
          <w:sz w:val="24"/>
          <w:highlight w:val="none"/>
          <w:u w:val="single"/>
        </w:rPr>
      </w:pPr>
      <w:r>
        <w:rPr>
          <w:rFonts w:hint="eastAsia" w:ascii="宋体" w:hAnsi="宋体"/>
          <w:color w:val="000000"/>
          <w:sz w:val="24"/>
          <w:highlight w:val="none"/>
        </w:rPr>
        <w:t>年    龄：</w:t>
      </w:r>
      <w:r>
        <w:rPr>
          <w:rFonts w:hint="eastAsia" w:ascii="宋体" w:hAnsi="宋体"/>
          <w:color w:val="000000"/>
          <w:sz w:val="24"/>
          <w:highlight w:val="none"/>
          <w:u w:val="single"/>
        </w:rPr>
        <w:t xml:space="preserve">                          </w:t>
      </w:r>
      <w:r>
        <w:rPr>
          <w:rFonts w:hint="eastAsia" w:ascii="宋体" w:hAnsi="宋体"/>
          <w:color w:val="000000"/>
          <w:sz w:val="24"/>
          <w:highlight w:val="none"/>
        </w:rPr>
        <w:t>职      务：</w:t>
      </w:r>
      <w:r>
        <w:rPr>
          <w:rFonts w:hint="eastAsia" w:ascii="宋体" w:hAnsi="宋体"/>
          <w:color w:val="000000"/>
          <w:sz w:val="24"/>
          <w:highlight w:val="none"/>
          <w:u w:val="single"/>
        </w:rPr>
        <w:t xml:space="preserve">                </w:t>
      </w:r>
    </w:p>
    <w:p w14:paraId="0990C44A">
      <w:pPr>
        <w:spacing w:line="500" w:lineRule="exact"/>
        <w:ind w:left="540"/>
        <w:rPr>
          <w:rFonts w:hint="eastAsia" w:ascii="宋体" w:hAnsi="宋体"/>
          <w:color w:val="000000"/>
          <w:sz w:val="24"/>
          <w:highlight w:val="none"/>
        </w:rPr>
      </w:pPr>
      <w:r>
        <w:rPr>
          <w:rFonts w:hint="eastAsia" w:ascii="宋体" w:hAnsi="宋体"/>
          <w:color w:val="000000"/>
          <w:sz w:val="24"/>
          <w:highlight w:val="none"/>
        </w:rPr>
        <w:t>身份证</w:t>
      </w:r>
      <w:r>
        <w:rPr>
          <w:rFonts w:hint="eastAsia"/>
          <w:color w:val="000000"/>
          <w:sz w:val="24"/>
          <w:highlight w:val="none"/>
        </w:rPr>
        <w:t>号码：</w:t>
      </w:r>
      <w:r>
        <w:rPr>
          <w:rFonts w:hint="eastAsia"/>
          <w:color w:val="000000"/>
          <w:sz w:val="24"/>
          <w:highlight w:val="none"/>
          <w:u w:val="single"/>
        </w:rPr>
        <w:t xml:space="preserve">                                 </w:t>
      </w:r>
    </w:p>
    <w:p w14:paraId="42CC6036">
      <w:pPr>
        <w:spacing w:line="500" w:lineRule="exact"/>
        <w:ind w:left="540"/>
        <w:rPr>
          <w:rFonts w:hint="eastAsia" w:ascii="宋体" w:hAnsi="宋体"/>
          <w:color w:val="000000"/>
          <w:sz w:val="24"/>
          <w:highlight w:val="none"/>
        </w:rPr>
      </w:pPr>
      <w:r>
        <w:rPr>
          <w:rFonts w:hint="eastAsia" w:ascii="宋体" w:hAnsi="宋体"/>
          <w:color w:val="000000"/>
          <w:sz w:val="24"/>
          <w:highlight w:val="none"/>
        </w:rPr>
        <w:t>系</w:t>
      </w:r>
      <w:r>
        <w:rPr>
          <w:rFonts w:hint="eastAsia" w:ascii="宋体" w:hAnsi="宋体"/>
          <w:color w:val="000000"/>
          <w:sz w:val="24"/>
          <w:highlight w:val="none"/>
          <w:u w:val="single"/>
        </w:rPr>
        <w:t xml:space="preserve">            （投标人名称）              </w:t>
      </w:r>
      <w:r>
        <w:rPr>
          <w:rFonts w:hint="eastAsia" w:ascii="宋体" w:hAnsi="宋体"/>
          <w:color w:val="000000"/>
          <w:sz w:val="24"/>
          <w:highlight w:val="none"/>
        </w:rPr>
        <w:t>的法定代表人。</w:t>
      </w:r>
    </w:p>
    <w:p w14:paraId="1DB3FFDF">
      <w:pPr>
        <w:spacing w:line="500" w:lineRule="exact"/>
        <w:ind w:left="540"/>
        <w:rPr>
          <w:rFonts w:hint="eastAsia" w:ascii="宋体" w:hAnsi="宋体"/>
          <w:color w:val="000000"/>
          <w:sz w:val="24"/>
          <w:highlight w:val="none"/>
        </w:rPr>
      </w:pPr>
      <w:r>
        <w:rPr>
          <w:rFonts w:hint="eastAsia" w:ascii="宋体" w:hAnsi="宋体"/>
          <w:color w:val="000000"/>
          <w:sz w:val="24"/>
          <w:highlight w:val="none"/>
        </w:rPr>
        <w:t>特此证明。</w:t>
      </w:r>
    </w:p>
    <w:p w14:paraId="7DFDDBCB">
      <w:pPr>
        <w:spacing w:line="500" w:lineRule="exact"/>
        <w:ind w:left="540"/>
        <w:rPr>
          <w:rFonts w:hint="eastAsia" w:ascii="宋体" w:hAnsi="宋体"/>
          <w:color w:val="000000"/>
          <w:sz w:val="24"/>
          <w:highlight w:val="none"/>
        </w:rPr>
      </w:pPr>
    </w:p>
    <w:p w14:paraId="6E9AEB1B">
      <w:pPr>
        <w:spacing w:line="500" w:lineRule="exact"/>
        <w:ind w:left="540"/>
        <w:rPr>
          <w:rFonts w:hint="eastAsia" w:ascii="宋体" w:hAnsi="宋体"/>
          <w:color w:val="000000"/>
          <w:sz w:val="24"/>
          <w:highlight w:val="none"/>
        </w:rPr>
      </w:pPr>
    </w:p>
    <w:p w14:paraId="2EC8B754">
      <w:pPr>
        <w:spacing w:line="500" w:lineRule="exact"/>
        <w:ind w:left="540"/>
        <w:rPr>
          <w:rFonts w:hint="eastAsia" w:ascii="宋体" w:hAnsi="宋体"/>
          <w:color w:val="000000"/>
          <w:sz w:val="24"/>
          <w:highlight w:val="none"/>
        </w:rPr>
      </w:pPr>
      <w:r>
        <w:rPr>
          <w:rFonts w:hint="eastAsia" w:ascii="宋体" w:hAnsi="宋体"/>
          <w:color w:val="000000"/>
          <w:sz w:val="24"/>
          <w:highlight w:val="none"/>
        </w:rPr>
        <w:t>附件：法定代表人有效身份证正反面复印件</w:t>
      </w:r>
    </w:p>
    <w:p w14:paraId="6194C1B6">
      <w:pPr>
        <w:spacing w:line="500" w:lineRule="exact"/>
        <w:ind w:left="540"/>
        <w:rPr>
          <w:rFonts w:hint="eastAsia" w:ascii="宋体" w:hAnsi="宋体"/>
          <w:color w:val="000000"/>
          <w:sz w:val="24"/>
          <w:highlight w:val="none"/>
        </w:rPr>
      </w:pPr>
    </w:p>
    <w:p w14:paraId="19832D60">
      <w:pPr>
        <w:spacing w:line="500" w:lineRule="exact"/>
        <w:ind w:left="540"/>
        <w:jc w:val="right"/>
        <w:rPr>
          <w:rFonts w:hint="eastAsia" w:ascii="宋体" w:hAnsi="宋体"/>
          <w:color w:val="000000"/>
          <w:sz w:val="24"/>
          <w:highlight w:val="none"/>
        </w:rPr>
      </w:pPr>
      <w:r>
        <w:rPr>
          <w:rFonts w:hint="eastAsia" w:ascii="宋体" w:hAnsi="宋体"/>
          <w:color w:val="000000"/>
          <w:sz w:val="24"/>
          <w:highlight w:val="none"/>
        </w:rPr>
        <w:t>投标人名称（电子签章）</w:t>
      </w:r>
    </w:p>
    <w:p w14:paraId="7069F454">
      <w:pPr>
        <w:spacing w:line="500" w:lineRule="exact"/>
        <w:ind w:left="540"/>
        <w:jc w:val="right"/>
        <w:rPr>
          <w:rFonts w:hint="eastAsia" w:ascii="宋体" w:hAnsi="宋体"/>
          <w:color w:val="000000"/>
          <w:sz w:val="24"/>
          <w:highlight w:val="none"/>
        </w:rPr>
      </w:pPr>
    </w:p>
    <w:p w14:paraId="683D970B">
      <w:pPr>
        <w:snapToGrid w:val="0"/>
        <w:spacing w:before="120" w:beforeLines="50" w:after="50"/>
        <w:ind w:left="540"/>
        <w:jc w:val="right"/>
        <w:rPr>
          <w:rFonts w:hint="eastAsia" w:ascii="宋体" w:hAnsi="宋体"/>
          <w:color w:val="000000"/>
          <w:sz w:val="24"/>
          <w:highlight w:val="none"/>
        </w:rPr>
      </w:pPr>
      <w:r>
        <w:rPr>
          <w:rFonts w:hint="eastAsia" w:ascii="宋体" w:hAnsi="宋体"/>
          <w:color w:val="000000"/>
          <w:sz w:val="24"/>
          <w:highlight w:val="none"/>
          <w:u w:val="single"/>
        </w:rPr>
        <w:t xml:space="preserve">         </w:t>
      </w:r>
      <w:r>
        <w:rPr>
          <w:rFonts w:hint="eastAsia" w:ascii="宋体" w:hAnsi="宋体"/>
          <w:color w:val="000000"/>
          <w:sz w:val="24"/>
          <w:highlight w:val="none"/>
        </w:rPr>
        <w:t>年</w:t>
      </w:r>
      <w:r>
        <w:rPr>
          <w:rFonts w:hint="eastAsia" w:ascii="宋体" w:hAnsi="宋体"/>
          <w:color w:val="000000"/>
          <w:sz w:val="24"/>
          <w:highlight w:val="none"/>
          <w:u w:val="single"/>
        </w:rPr>
        <w:t xml:space="preserve">        </w:t>
      </w:r>
      <w:r>
        <w:rPr>
          <w:rFonts w:hint="eastAsia" w:ascii="宋体" w:hAnsi="宋体"/>
          <w:color w:val="000000"/>
          <w:sz w:val="24"/>
          <w:highlight w:val="none"/>
        </w:rPr>
        <w:t>月</w:t>
      </w:r>
      <w:r>
        <w:rPr>
          <w:rFonts w:hint="eastAsia" w:ascii="宋体" w:hAnsi="宋体"/>
          <w:color w:val="000000"/>
          <w:sz w:val="24"/>
          <w:highlight w:val="none"/>
          <w:u w:val="single"/>
        </w:rPr>
        <w:t xml:space="preserve">        </w:t>
      </w:r>
      <w:r>
        <w:rPr>
          <w:rFonts w:hint="eastAsia" w:ascii="宋体" w:hAnsi="宋体"/>
          <w:color w:val="000000"/>
          <w:sz w:val="24"/>
          <w:highlight w:val="none"/>
        </w:rPr>
        <w:t>日</w:t>
      </w:r>
    </w:p>
    <w:p w14:paraId="0E1E3EE9">
      <w:pPr>
        <w:snapToGrid w:val="0"/>
        <w:spacing w:before="120" w:beforeLines="50" w:after="50"/>
        <w:jc w:val="center"/>
        <w:rPr>
          <w:rFonts w:hint="eastAsia" w:ascii="宋体" w:hAnsi="宋体"/>
          <w:b/>
          <w:color w:val="000000"/>
          <w:sz w:val="24"/>
          <w:highlight w:val="none"/>
        </w:rPr>
      </w:pPr>
    </w:p>
    <w:p w14:paraId="22867184">
      <w:pPr>
        <w:snapToGrid w:val="0"/>
        <w:spacing w:before="120" w:beforeLines="50" w:after="50"/>
        <w:jc w:val="left"/>
        <w:rPr>
          <w:rFonts w:hint="eastAsia" w:ascii="宋体" w:hAnsi="宋体"/>
          <w:b/>
          <w:color w:val="000000"/>
          <w:sz w:val="24"/>
          <w:szCs w:val="20"/>
          <w:highlight w:val="none"/>
        </w:rPr>
      </w:pPr>
      <w:r>
        <w:rPr>
          <w:rFonts w:hint="eastAsia" w:ascii="宋体" w:hAnsi="宋体"/>
          <w:color w:val="000000"/>
          <w:sz w:val="24"/>
          <w:highlight w:val="none"/>
        </w:rPr>
        <w:t>注：自然人投标的无需提供</w:t>
      </w:r>
    </w:p>
    <w:p w14:paraId="4AB854A8">
      <w:pPr>
        <w:snapToGrid w:val="0"/>
        <w:spacing w:before="120" w:beforeLines="50" w:after="50"/>
        <w:jc w:val="left"/>
        <w:rPr>
          <w:rFonts w:hint="eastAsia" w:ascii="宋体" w:hAnsi="宋体"/>
          <w:b/>
          <w:color w:val="000000"/>
          <w:sz w:val="24"/>
          <w:szCs w:val="20"/>
          <w:highlight w:val="none"/>
        </w:rPr>
      </w:pPr>
      <w:r>
        <w:rPr>
          <w:rFonts w:ascii="宋体" w:hAnsi="宋体"/>
          <w:b/>
          <w:color w:val="000000"/>
          <w:sz w:val="24"/>
          <w:highlight w:val="none"/>
        </w:rPr>
        <w:br w:type="page"/>
      </w:r>
      <w:r>
        <w:rPr>
          <w:rFonts w:hint="eastAsia" w:ascii="宋体" w:hAnsi="宋体"/>
          <w:b/>
          <w:color w:val="000000"/>
          <w:sz w:val="24"/>
          <w:highlight w:val="none"/>
        </w:rPr>
        <w:t>5.授权委托书格式</w:t>
      </w:r>
    </w:p>
    <w:p w14:paraId="535F0C21">
      <w:pPr>
        <w:snapToGrid w:val="0"/>
        <w:spacing w:before="120" w:beforeLines="50" w:after="50"/>
        <w:jc w:val="center"/>
        <w:rPr>
          <w:rFonts w:hint="eastAsia" w:ascii="宋体" w:hAnsi="宋体"/>
          <w:b/>
          <w:color w:val="000000"/>
          <w:sz w:val="44"/>
          <w:szCs w:val="44"/>
          <w:highlight w:val="none"/>
        </w:rPr>
      </w:pPr>
    </w:p>
    <w:p w14:paraId="2EAF769A">
      <w:pPr>
        <w:spacing w:line="360" w:lineRule="auto"/>
        <w:contextualSpacing/>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授权委托书</w:t>
      </w:r>
    </w:p>
    <w:p w14:paraId="7F9E1B92">
      <w:pPr>
        <w:spacing w:line="360" w:lineRule="auto"/>
        <w:contextualSpacing/>
        <w:jc w:val="center"/>
        <w:rPr>
          <w:rFonts w:hint="eastAsia" w:ascii="方正小标宋简体" w:hAnsi="方正小标宋简体" w:eastAsia="方正小标宋简体" w:cs="方正小标宋简体"/>
          <w:bCs/>
          <w:color w:val="000000"/>
          <w:sz w:val="32"/>
          <w:szCs w:val="32"/>
          <w:highlight w:val="none"/>
        </w:rPr>
      </w:pPr>
      <w:r>
        <w:rPr>
          <w:rFonts w:hint="eastAsia" w:ascii="方正小标宋简体" w:hAnsi="方正小标宋简体" w:eastAsia="方正小标宋简体" w:cs="方正小标宋简体"/>
          <w:bCs/>
          <w:color w:val="000000"/>
          <w:sz w:val="32"/>
          <w:szCs w:val="32"/>
          <w:highlight w:val="none"/>
        </w:rPr>
        <w:t>（非联合体投标格式）</w:t>
      </w:r>
    </w:p>
    <w:p w14:paraId="6EAE64AF">
      <w:pPr>
        <w:spacing w:line="360" w:lineRule="auto"/>
        <w:contextualSpacing/>
        <w:jc w:val="center"/>
        <w:rPr>
          <w:rFonts w:hint="eastAsia" w:ascii="方正小标宋简体" w:hAnsi="方正小标宋简体" w:eastAsia="方正小标宋简体" w:cs="方正小标宋简体"/>
          <w:bCs/>
          <w:color w:val="000000"/>
          <w:sz w:val="24"/>
          <w:highlight w:val="none"/>
        </w:rPr>
      </w:pPr>
      <w:r>
        <w:rPr>
          <w:rFonts w:hint="eastAsia" w:ascii="方正小标宋简体" w:hAnsi="方正小标宋简体" w:eastAsia="方正小标宋简体" w:cs="方正小标宋简体"/>
          <w:bCs/>
          <w:color w:val="000000"/>
          <w:sz w:val="32"/>
          <w:szCs w:val="32"/>
          <w:highlight w:val="none"/>
        </w:rPr>
        <w:t>（如有委托时）</w:t>
      </w:r>
    </w:p>
    <w:p w14:paraId="7670C44A">
      <w:pPr>
        <w:spacing w:line="440" w:lineRule="exact"/>
        <w:contextualSpacing/>
        <w:jc w:val="center"/>
        <w:rPr>
          <w:rFonts w:hint="eastAsia" w:ascii="宋体" w:hAnsi="宋体"/>
          <w:b/>
          <w:color w:val="000000"/>
          <w:sz w:val="24"/>
          <w:highlight w:val="none"/>
        </w:rPr>
      </w:pPr>
    </w:p>
    <w:p w14:paraId="0D5B94BA">
      <w:pPr>
        <w:spacing w:line="440" w:lineRule="exact"/>
        <w:contextualSpacing/>
        <w:rPr>
          <w:rFonts w:hint="eastAsia" w:ascii="宋体" w:hAnsi="宋体"/>
          <w:b/>
          <w:bCs/>
          <w:color w:val="000000"/>
          <w:sz w:val="24"/>
          <w:highlight w:val="none"/>
        </w:rPr>
      </w:pPr>
      <w:r>
        <w:rPr>
          <w:rFonts w:hint="eastAsia" w:ascii="宋体" w:hAnsi="宋体"/>
          <w:bCs/>
          <w:color w:val="000000"/>
          <w:sz w:val="24"/>
          <w:highlight w:val="none"/>
        </w:rPr>
        <w:t>致：</w:t>
      </w:r>
      <w:r>
        <w:rPr>
          <w:rFonts w:hint="eastAsia" w:ascii="宋体" w:hAnsi="宋体"/>
          <w:color w:val="000000"/>
          <w:sz w:val="24"/>
          <w:highlight w:val="none"/>
          <w:u w:val="single"/>
        </w:rPr>
        <w:t>采购人名称</w:t>
      </w:r>
      <w:r>
        <w:rPr>
          <w:rFonts w:hint="eastAsia" w:ascii="宋体" w:hAnsi="宋体"/>
          <w:color w:val="000000"/>
          <w:sz w:val="24"/>
          <w:highlight w:val="none"/>
        </w:rPr>
        <w:t>：</w:t>
      </w:r>
    </w:p>
    <w:p w14:paraId="69BE29ED">
      <w:pPr>
        <w:spacing w:line="440" w:lineRule="exact"/>
        <w:ind w:firstLine="566" w:firstLineChars="236"/>
        <w:contextualSpacing/>
        <w:rPr>
          <w:rFonts w:hint="eastAsia" w:ascii="宋体" w:hAnsi="宋体"/>
          <w:color w:val="000000"/>
          <w:sz w:val="24"/>
          <w:highlight w:val="none"/>
        </w:rPr>
      </w:pPr>
      <w:r>
        <w:rPr>
          <w:rFonts w:hint="eastAsia" w:ascii="宋体" w:hAnsi="宋体"/>
          <w:color w:val="000000"/>
          <w:sz w:val="24"/>
          <w:highlight w:val="none"/>
        </w:rPr>
        <w:t>我</w:t>
      </w:r>
      <w:r>
        <w:rPr>
          <w:rFonts w:hint="eastAsia" w:ascii="宋体" w:hAnsi="宋体"/>
          <w:color w:val="000000"/>
          <w:sz w:val="24"/>
          <w:highlight w:val="none"/>
          <w:u w:val="single"/>
        </w:rPr>
        <w:t xml:space="preserve">       </w:t>
      </w:r>
      <w:r>
        <w:rPr>
          <w:rFonts w:hint="eastAsia" w:ascii="宋体" w:hAnsi="宋体"/>
          <w:color w:val="000000"/>
          <w:sz w:val="24"/>
          <w:highlight w:val="none"/>
        </w:rPr>
        <w:t>（姓名）系</w:t>
      </w:r>
      <w:r>
        <w:rPr>
          <w:rFonts w:hint="eastAsia" w:ascii="宋体" w:hAnsi="宋体"/>
          <w:color w:val="000000"/>
          <w:sz w:val="24"/>
          <w:highlight w:val="none"/>
          <w:u w:val="single"/>
        </w:rPr>
        <w:t xml:space="preserve">      </w:t>
      </w:r>
      <w:r>
        <w:rPr>
          <w:rFonts w:hint="eastAsia" w:ascii="宋体" w:hAnsi="宋体"/>
          <w:color w:val="000000"/>
          <w:sz w:val="24"/>
          <w:highlight w:val="none"/>
        </w:rPr>
        <w:t>（投标人名称）的法定代表人，现授权委托</w:t>
      </w:r>
      <w:r>
        <w:rPr>
          <w:rFonts w:hint="eastAsia" w:ascii="宋体" w:hAnsi="宋体"/>
          <w:color w:val="000000"/>
          <w:sz w:val="24"/>
          <w:highlight w:val="none"/>
          <w:u w:val="single"/>
        </w:rPr>
        <w:t xml:space="preserve">              （姓名）</w:t>
      </w:r>
      <w:r>
        <w:rPr>
          <w:rFonts w:hint="eastAsia" w:ascii="宋体" w:hAnsi="宋体"/>
          <w:color w:val="000000"/>
          <w:sz w:val="24"/>
          <w:highlight w:val="none"/>
        </w:rPr>
        <w:t>以我方的名义参加</w:t>
      </w:r>
      <w:r>
        <w:rPr>
          <w:rFonts w:hint="eastAsia" w:ascii="宋体" w:hAnsi="宋体"/>
          <w:color w:val="000000"/>
          <w:sz w:val="24"/>
          <w:highlight w:val="none"/>
          <w:u w:val="single"/>
        </w:rPr>
        <w:t xml:space="preserve">              </w:t>
      </w:r>
      <w:r>
        <w:rPr>
          <w:rFonts w:hint="eastAsia" w:ascii="宋体" w:hAnsi="宋体"/>
          <w:color w:val="000000"/>
          <w:sz w:val="24"/>
          <w:highlight w:val="none"/>
        </w:rPr>
        <w:t>项目的投标活动，并代表我方全权办理针对上述项目的所有采购程序和环节的具体事务和签署相关文件。</w:t>
      </w:r>
    </w:p>
    <w:p w14:paraId="32D7D95E">
      <w:pPr>
        <w:spacing w:line="440" w:lineRule="exact"/>
        <w:contextualSpacing/>
        <w:rPr>
          <w:rFonts w:hint="eastAsia" w:ascii="宋体" w:hAnsi="宋体"/>
          <w:color w:val="000000"/>
          <w:sz w:val="24"/>
          <w:highlight w:val="none"/>
        </w:rPr>
      </w:pPr>
      <w:r>
        <w:rPr>
          <w:rFonts w:hint="eastAsia" w:ascii="宋体" w:hAnsi="宋体"/>
          <w:color w:val="000000"/>
          <w:sz w:val="24"/>
          <w:highlight w:val="none"/>
        </w:rPr>
        <w:t xml:space="preserve">    我方对委托代理人的签字或者电子签名事项负全部责任。</w:t>
      </w:r>
    </w:p>
    <w:p w14:paraId="0799C1B6">
      <w:pPr>
        <w:spacing w:line="440" w:lineRule="exact"/>
        <w:ind w:firstLine="480"/>
        <w:contextualSpacing/>
        <w:rPr>
          <w:rFonts w:hint="eastAsia" w:ascii="宋体" w:hAnsi="宋体"/>
          <w:color w:val="000000"/>
          <w:sz w:val="24"/>
          <w:highlight w:val="none"/>
        </w:rPr>
      </w:pPr>
      <w:r>
        <w:rPr>
          <w:rFonts w:hint="eastAsia" w:ascii="宋体" w:hAnsi="宋体"/>
          <w:color w:val="000000"/>
          <w:sz w:val="24"/>
          <w:highlight w:val="none"/>
          <w:u w:val="single"/>
        </w:rPr>
        <w:t>本授权书自签署之日起生效，在撤销授权的书面通知以前，本授权书一直有效。委托代理人在授权书有效期内签署的所有文件不因授权的撤销而失效。</w:t>
      </w:r>
    </w:p>
    <w:p w14:paraId="65E507AB">
      <w:pPr>
        <w:spacing w:line="440" w:lineRule="exact"/>
        <w:ind w:firstLine="480"/>
        <w:contextualSpacing/>
        <w:rPr>
          <w:rFonts w:hint="eastAsia" w:ascii="宋体" w:hAnsi="宋体"/>
          <w:color w:val="000000"/>
          <w:sz w:val="24"/>
          <w:highlight w:val="none"/>
        </w:rPr>
      </w:pPr>
      <w:r>
        <w:rPr>
          <w:rFonts w:hint="eastAsia" w:ascii="宋体" w:hAnsi="宋体"/>
          <w:color w:val="000000"/>
          <w:sz w:val="24"/>
          <w:highlight w:val="none"/>
        </w:rPr>
        <w:t>委托代理人无转委托权，特此委托。</w:t>
      </w:r>
    </w:p>
    <w:p w14:paraId="48B5270A">
      <w:pPr>
        <w:spacing w:line="440" w:lineRule="exact"/>
        <w:ind w:firstLine="480"/>
        <w:contextualSpacing/>
        <w:rPr>
          <w:rFonts w:hint="eastAsia" w:ascii="宋体" w:hAnsi="宋体"/>
          <w:color w:val="000000"/>
          <w:sz w:val="24"/>
          <w:highlight w:val="none"/>
        </w:rPr>
      </w:pPr>
      <w:r>
        <w:rPr>
          <w:rFonts w:hint="eastAsia" w:ascii="宋体" w:hAnsi="宋体"/>
          <w:color w:val="000000"/>
          <w:sz w:val="24"/>
          <w:highlight w:val="none"/>
        </w:rPr>
        <w:t>附：法定代表人身份证明及委托代理人有效身份证正反面复印件</w:t>
      </w:r>
    </w:p>
    <w:p w14:paraId="7A6F4C79">
      <w:pPr>
        <w:spacing w:line="440" w:lineRule="exact"/>
        <w:contextualSpacing/>
        <w:rPr>
          <w:rFonts w:hint="eastAsia" w:ascii="宋体" w:hAnsi="宋体"/>
          <w:color w:val="000000"/>
          <w:sz w:val="24"/>
          <w:highlight w:val="none"/>
        </w:rPr>
      </w:pPr>
    </w:p>
    <w:p w14:paraId="6C9C02DF">
      <w:pPr>
        <w:spacing w:line="440" w:lineRule="exact"/>
        <w:contextualSpacing/>
        <w:rPr>
          <w:rFonts w:hint="eastAsia" w:ascii="宋体" w:hAnsi="宋体"/>
          <w:color w:val="000000"/>
          <w:sz w:val="24"/>
          <w:highlight w:val="none"/>
        </w:rPr>
      </w:pPr>
      <w:r>
        <w:rPr>
          <w:rFonts w:hint="eastAsia" w:ascii="宋体" w:hAnsi="宋体"/>
          <w:color w:val="000000"/>
          <w:sz w:val="24"/>
          <w:highlight w:val="none"/>
        </w:rPr>
        <w:t>委托代理人（签字或者电子签名）：</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w:t>
      </w:r>
    </w:p>
    <w:p w14:paraId="0B573BD8">
      <w:pPr>
        <w:spacing w:line="440" w:lineRule="exact"/>
        <w:contextualSpacing/>
        <w:rPr>
          <w:rFonts w:hint="eastAsia" w:ascii="宋体" w:hAnsi="宋体"/>
          <w:color w:val="000000"/>
          <w:sz w:val="24"/>
          <w:highlight w:val="none"/>
          <w:u w:val="single"/>
        </w:rPr>
      </w:pPr>
      <w:r>
        <w:rPr>
          <w:rFonts w:hint="eastAsia" w:ascii="宋体" w:hAnsi="宋体"/>
          <w:color w:val="000000"/>
          <w:sz w:val="24"/>
          <w:highlight w:val="none"/>
        </w:rPr>
        <w:t>委托代理人身份证号码：</w:t>
      </w:r>
      <w:r>
        <w:rPr>
          <w:rFonts w:hint="eastAsia" w:ascii="宋体" w:hAnsi="宋体"/>
          <w:color w:val="000000"/>
          <w:sz w:val="24"/>
          <w:highlight w:val="none"/>
          <w:u w:val="single"/>
        </w:rPr>
        <w:t xml:space="preserve">                             </w:t>
      </w:r>
    </w:p>
    <w:p w14:paraId="1157E0A9">
      <w:pPr>
        <w:spacing w:line="440" w:lineRule="exact"/>
        <w:contextualSpacing/>
        <w:rPr>
          <w:rFonts w:hint="eastAsia" w:ascii="宋体" w:hAnsi="宋体"/>
          <w:color w:val="000000"/>
          <w:sz w:val="24"/>
          <w:highlight w:val="none"/>
          <w:u w:val="single"/>
        </w:rPr>
      </w:pPr>
      <w:r>
        <w:rPr>
          <w:rFonts w:hint="eastAsia" w:ascii="宋体" w:hAnsi="宋体"/>
          <w:color w:val="000000"/>
          <w:sz w:val="24"/>
          <w:highlight w:val="none"/>
        </w:rPr>
        <w:t>法定代表人（签字或者盖章或者电子签名）：</w:t>
      </w:r>
      <w:r>
        <w:rPr>
          <w:rFonts w:hint="eastAsia" w:ascii="宋体" w:hAnsi="宋体"/>
          <w:color w:val="000000"/>
          <w:sz w:val="24"/>
          <w:highlight w:val="none"/>
          <w:u w:val="single"/>
        </w:rPr>
        <w:t xml:space="preserve">              </w:t>
      </w:r>
    </w:p>
    <w:p w14:paraId="6C94D09E">
      <w:pPr>
        <w:spacing w:line="440" w:lineRule="exact"/>
        <w:contextualSpacing/>
        <w:rPr>
          <w:rFonts w:hint="eastAsia" w:ascii="宋体" w:hAnsi="宋体"/>
          <w:color w:val="000000"/>
          <w:sz w:val="24"/>
          <w:highlight w:val="none"/>
        </w:rPr>
      </w:pPr>
      <w:r>
        <w:rPr>
          <w:rFonts w:hint="eastAsia" w:ascii="宋体" w:hAnsi="宋体"/>
          <w:color w:val="000000"/>
          <w:sz w:val="24"/>
          <w:highlight w:val="none"/>
        </w:rPr>
        <w:t xml:space="preserve"> </w:t>
      </w:r>
    </w:p>
    <w:p w14:paraId="42969834">
      <w:pPr>
        <w:spacing w:line="440" w:lineRule="exact"/>
        <w:contextualSpacing/>
        <w:jc w:val="center"/>
        <w:rPr>
          <w:rFonts w:hint="eastAsia" w:ascii="宋体" w:hAnsi="宋体"/>
          <w:color w:val="000000"/>
          <w:sz w:val="24"/>
          <w:highlight w:val="none"/>
        </w:rPr>
      </w:pPr>
      <w:r>
        <w:rPr>
          <w:rFonts w:hint="eastAsia" w:ascii="宋体" w:hAnsi="宋体"/>
          <w:color w:val="000000"/>
          <w:sz w:val="24"/>
          <w:highlight w:val="none"/>
        </w:rPr>
        <w:t xml:space="preserve">                                                投标人名称（电子签章）：</w:t>
      </w:r>
    </w:p>
    <w:p w14:paraId="77645A19">
      <w:pPr>
        <w:spacing w:line="440" w:lineRule="exact"/>
        <w:contextualSpacing/>
        <w:jc w:val="center"/>
        <w:rPr>
          <w:rFonts w:hint="eastAsia" w:ascii="宋体" w:hAnsi="宋体"/>
          <w:color w:val="000000"/>
          <w:sz w:val="24"/>
          <w:highlight w:val="none"/>
        </w:rPr>
      </w:pPr>
      <w:r>
        <w:rPr>
          <w:rFonts w:hint="eastAsia" w:ascii="宋体" w:hAnsi="宋体"/>
          <w:color w:val="000000"/>
          <w:sz w:val="24"/>
          <w:highlight w:val="none"/>
        </w:rPr>
        <w:t xml:space="preserve">                                              年    月    日</w:t>
      </w:r>
    </w:p>
    <w:p w14:paraId="01CE476C">
      <w:pPr>
        <w:spacing w:line="440" w:lineRule="exact"/>
        <w:contextualSpacing/>
        <w:rPr>
          <w:rFonts w:hint="eastAsia" w:ascii="宋体" w:hAnsi="宋体" w:cs="仿宋_GB2312"/>
          <w:color w:val="000000"/>
          <w:sz w:val="24"/>
          <w:highlight w:val="none"/>
        </w:rPr>
      </w:pPr>
      <w:r>
        <w:rPr>
          <w:rFonts w:hint="eastAsia" w:ascii="宋体" w:hAnsi="宋体" w:cs="仿宋_GB2312"/>
          <w:color w:val="000000"/>
          <w:sz w:val="24"/>
          <w:highlight w:val="none"/>
        </w:rPr>
        <w:t>注：1.</w:t>
      </w:r>
      <w:bookmarkStart w:id="158" w:name="_Hlk65851555"/>
      <w:bookmarkStart w:id="159" w:name="_Hlk65851620"/>
      <w:r>
        <w:rPr>
          <w:rFonts w:hint="eastAsia" w:ascii="宋体" w:hAnsi="宋体" w:cs="仿宋_GB2312"/>
          <w:color w:val="000000"/>
          <w:sz w:val="24"/>
          <w:highlight w:val="none"/>
        </w:rPr>
        <w:t>法定代表人必须在授权委托书上签字或者盖章</w:t>
      </w:r>
      <w:r>
        <w:rPr>
          <w:rFonts w:hint="eastAsia" w:ascii="宋体" w:hAnsi="宋体"/>
          <w:color w:val="000000"/>
          <w:sz w:val="24"/>
          <w:highlight w:val="none"/>
        </w:rPr>
        <w:t>或者电子签名</w:t>
      </w:r>
      <w:r>
        <w:rPr>
          <w:rFonts w:hint="eastAsia" w:ascii="宋体" w:hAnsi="宋体" w:cs="仿宋_GB2312"/>
          <w:color w:val="000000"/>
          <w:sz w:val="24"/>
          <w:highlight w:val="none"/>
        </w:rPr>
        <w:t>，</w:t>
      </w:r>
      <w:bookmarkEnd w:id="158"/>
      <w:r>
        <w:rPr>
          <w:rFonts w:hint="eastAsia" w:ascii="宋体" w:hAnsi="宋体" w:cs="仿宋_GB2312"/>
          <w:color w:val="000000"/>
          <w:sz w:val="24"/>
          <w:highlight w:val="none"/>
        </w:rPr>
        <w:t>委托代理人必须在授权委托书上签字</w:t>
      </w:r>
      <w:r>
        <w:rPr>
          <w:rFonts w:hint="eastAsia" w:ascii="宋体" w:hAnsi="宋体"/>
          <w:color w:val="000000"/>
          <w:sz w:val="24"/>
          <w:highlight w:val="none"/>
        </w:rPr>
        <w:t>或者电子签名</w:t>
      </w:r>
      <w:r>
        <w:rPr>
          <w:rFonts w:hint="eastAsia" w:ascii="宋体" w:hAnsi="宋体" w:cs="仿宋_GB2312"/>
          <w:color w:val="000000"/>
          <w:sz w:val="24"/>
          <w:highlight w:val="none"/>
        </w:rPr>
        <w:t>，</w:t>
      </w:r>
      <w:r>
        <w:rPr>
          <w:rFonts w:hint="eastAsia" w:ascii="宋体" w:hAnsi="宋体" w:cs="仿宋_GB2312"/>
          <w:b/>
          <w:bCs/>
          <w:color w:val="000000"/>
          <w:sz w:val="24"/>
          <w:highlight w:val="none"/>
        </w:rPr>
        <w:t>否则按无效投标处理</w:t>
      </w:r>
      <w:r>
        <w:rPr>
          <w:rFonts w:hint="eastAsia" w:ascii="宋体" w:hAnsi="宋体" w:cs="仿宋_GB2312"/>
          <w:color w:val="000000"/>
          <w:sz w:val="24"/>
          <w:highlight w:val="none"/>
        </w:rPr>
        <w:t>；</w:t>
      </w:r>
      <w:bookmarkEnd w:id="159"/>
    </w:p>
    <w:p w14:paraId="661E21DF">
      <w:pPr>
        <w:spacing w:line="440" w:lineRule="exact"/>
        <w:ind w:firstLine="480" w:firstLineChars="200"/>
        <w:contextualSpacing/>
        <w:jc w:val="left"/>
        <w:rPr>
          <w:rFonts w:hint="eastAsia" w:ascii="宋体" w:hAnsi="宋体"/>
          <w:color w:val="000000"/>
          <w:sz w:val="24"/>
          <w:highlight w:val="none"/>
        </w:rPr>
      </w:pPr>
      <w:r>
        <w:rPr>
          <w:rFonts w:hint="eastAsia" w:ascii="宋体" w:hAnsi="宋体" w:cs="仿宋_GB2312"/>
          <w:color w:val="000000"/>
          <w:sz w:val="24"/>
          <w:highlight w:val="none"/>
        </w:rPr>
        <w:t>2.法人、其他组织投标时“我方”是指“我单位”，自然人投标时“我方”是指“本人”。</w:t>
      </w:r>
      <w:r>
        <w:rPr>
          <w:rFonts w:hint="eastAsia" w:ascii="宋体" w:hAnsi="宋体"/>
          <w:color w:val="000000"/>
          <w:sz w:val="24"/>
          <w:highlight w:val="none"/>
        </w:rPr>
        <w:t xml:space="preserve"> </w:t>
      </w:r>
    </w:p>
    <w:p w14:paraId="4055A812">
      <w:pPr>
        <w:snapToGrid w:val="0"/>
        <w:spacing w:before="50" w:after="120" w:afterLines="50"/>
        <w:ind w:firstLine="480" w:firstLineChars="200"/>
        <w:jc w:val="left"/>
        <w:rPr>
          <w:rFonts w:hint="eastAsia" w:ascii="宋体" w:hAnsi="宋体"/>
          <w:color w:val="000000"/>
          <w:sz w:val="24"/>
          <w:highlight w:val="none"/>
        </w:rPr>
        <w:sectPr>
          <w:footerReference r:id="rId6" w:type="first"/>
          <w:headerReference r:id="rId3" w:type="default"/>
          <w:footerReference r:id="rId4" w:type="default"/>
          <w:footerReference r:id="rId5" w:type="even"/>
          <w:pgSz w:w="11906" w:h="16838"/>
          <w:pgMar w:top="1701" w:right="1701" w:bottom="1701" w:left="1701" w:header="851" w:footer="992" w:gutter="0"/>
          <w:cols w:space="720" w:num="1"/>
          <w:titlePg/>
          <w:docGrid w:linePitch="312" w:charSpace="0"/>
        </w:sectPr>
      </w:pPr>
    </w:p>
    <w:p w14:paraId="0220C2EF">
      <w:pPr>
        <w:rPr>
          <w:rFonts w:hint="eastAsia" w:ascii="宋体" w:hAnsi="宋体"/>
          <w:color w:val="000000"/>
          <w:sz w:val="24"/>
          <w:highlight w:val="none"/>
        </w:rPr>
      </w:pPr>
    </w:p>
    <w:p w14:paraId="25FBA6EB">
      <w:pPr>
        <w:rPr>
          <w:rFonts w:hint="eastAsia" w:ascii="宋体" w:hAnsi="宋体"/>
          <w:b/>
          <w:color w:val="000000"/>
          <w:sz w:val="24"/>
          <w:szCs w:val="20"/>
          <w:highlight w:val="none"/>
        </w:rPr>
      </w:pPr>
      <w:r>
        <w:rPr>
          <w:rFonts w:hint="eastAsia" w:ascii="宋体" w:hAnsi="宋体"/>
          <w:b/>
          <w:color w:val="000000"/>
          <w:sz w:val="24"/>
          <w:highlight w:val="none"/>
        </w:rPr>
        <w:t>6.商务要求偏离表格式（注：按项目需求表具体项目修改）</w:t>
      </w:r>
    </w:p>
    <w:p w14:paraId="46607FB1">
      <w:pPr>
        <w:snapToGrid w:val="0"/>
        <w:spacing w:before="50"/>
        <w:jc w:val="left"/>
        <w:rPr>
          <w:rFonts w:hint="eastAsia" w:ascii="宋体" w:hAnsi="宋体"/>
          <w:color w:val="000000"/>
          <w:sz w:val="24"/>
          <w:highlight w:val="none"/>
        </w:rPr>
      </w:pPr>
    </w:p>
    <w:p w14:paraId="0B76F93A">
      <w:pPr>
        <w:pStyle w:val="24"/>
        <w:rPr>
          <w:rFonts w:hint="eastAsia" w:hAnsi="宋体"/>
          <w:color w:val="000000"/>
          <w:sz w:val="24"/>
          <w:szCs w:val="24"/>
          <w:highlight w:val="none"/>
        </w:rPr>
      </w:pPr>
      <w:r>
        <w:rPr>
          <w:rFonts w:hint="eastAsia" w:hAnsi="宋体"/>
          <w:color w:val="000000"/>
          <w:sz w:val="24"/>
          <w:szCs w:val="24"/>
          <w:highlight w:val="none"/>
        </w:rPr>
        <w:t>所投分标：</w:t>
      </w:r>
      <w:r>
        <w:rPr>
          <w:rFonts w:hint="eastAsia" w:hAnsi="宋体"/>
          <w:color w:val="000000"/>
          <w:sz w:val="24"/>
          <w:szCs w:val="24"/>
          <w:highlight w:val="none"/>
          <w:u w:val="single"/>
        </w:rPr>
        <w:t xml:space="preserve">     </w:t>
      </w:r>
      <w:r>
        <w:rPr>
          <w:rFonts w:hint="eastAsia" w:hAnsi="宋体"/>
          <w:color w:val="000000"/>
          <w:sz w:val="24"/>
          <w:szCs w:val="24"/>
          <w:highlight w:val="none"/>
        </w:rPr>
        <w:t>分标</w:t>
      </w:r>
    </w:p>
    <w:p w14:paraId="68A08D7F">
      <w:pPr>
        <w:snapToGrid w:val="0"/>
        <w:spacing w:before="50"/>
        <w:jc w:val="left"/>
        <w:rPr>
          <w:rFonts w:hint="eastAsia" w:ascii="宋体" w:hAnsi="宋体"/>
          <w:color w:val="000000"/>
          <w:sz w:val="24"/>
          <w:highlight w:val="none"/>
          <w:u w:val="single"/>
        </w:rPr>
      </w:pPr>
    </w:p>
    <w:tbl>
      <w:tblPr>
        <w:tblStyle w:val="45"/>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60B524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noWrap w:val="0"/>
            <w:vAlign w:val="top"/>
          </w:tcPr>
          <w:p w14:paraId="0B4089D7">
            <w:pPr>
              <w:snapToGrid w:val="0"/>
              <w:spacing w:before="120" w:beforeLines="50"/>
              <w:jc w:val="center"/>
              <w:rPr>
                <w:rFonts w:hint="eastAsia" w:ascii="宋体" w:hAnsi="宋体"/>
                <w:color w:val="000000"/>
                <w:sz w:val="24"/>
                <w:highlight w:val="none"/>
              </w:rPr>
            </w:pPr>
            <w:r>
              <w:rPr>
                <w:rFonts w:hint="eastAsia" w:ascii="宋体" w:hAnsi="宋体"/>
                <w:color w:val="000000"/>
                <w:sz w:val="24"/>
                <w:highlight w:val="none"/>
              </w:rPr>
              <w:t>项目</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6EEE2862">
            <w:pPr>
              <w:snapToGrid w:val="0"/>
              <w:spacing w:before="120" w:beforeLines="50"/>
              <w:jc w:val="center"/>
              <w:rPr>
                <w:rFonts w:hint="eastAsia" w:ascii="宋体" w:hAnsi="宋体"/>
                <w:color w:val="000000"/>
                <w:sz w:val="24"/>
                <w:highlight w:val="none"/>
              </w:rPr>
            </w:pPr>
            <w:r>
              <w:rPr>
                <w:rFonts w:hint="eastAsia" w:ascii="宋体" w:hAnsi="宋体"/>
                <w:color w:val="000000"/>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5EA5B607">
            <w:pPr>
              <w:snapToGrid w:val="0"/>
              <w:spacing w:before="120" w:beforeLines="50"/>
              <w:jc w:val="center"/>
              <w:rPr>
                <w:rFonts w:hint="eastAsia" w:ascii="宋体" w:hAnsi="宋体"/>
                <w:color w:val="000000"/>
                <w:sz w:val="24"/>
                <w:highlight w:val="none"/>
              </w:rPr>
            </w:pPr>
            <w:r>
              <w:rPr>
                <w:rFonts w:hint="eastAsia" w:ascii="宋体" w:hAnsi="宋体"/>
                <w:color w:val="000000"/>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14:paraId="561A90BD">
            <w:pPr>
              <w:snapToGrid w:val="0"/>
              <w:spacing w:before="120" w:beforeLines="50"/>
              <w:jc w:val="center"/>
              <w:rPr>
                <w:rFonts w:hint="eastAsia" w:ascii="宋体" w:hAnsi="宋体"/>
                <w:color w:val="000000"/>
                <w:sz w:val="24"/>
                <w:highlight w:val="none"/>
              </w:rPr>
            </w:pPr>
            <w:r>
              <w:rPr>
                <w:rFonts w:hint="eastAsia" w:ascii="宋体" w:hAnsi="宋体"/>
                <w:color w:val="000000"/>
                <w:sz w:val="24"/>
                <w:highlight w:val="none"/>
              </w:rPr>
              <w:t>偏离说明</w:t>
            </w:r>
          </w:p>
        </w:tc>
      </w:tr>
      <w:tr w14:paraId="6082CE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56C88DC6">
            <w:pPr>
              <w:jc w:val="center"/>
              <w:rPr>
                <w:rFonts w:ascii="宋体" w:hAnsi="宋体"/>
                <w:i/>
                <w:color w:val="000000"/>
                <w:sz w:val="24"/>
                <w:highlight w:val="none"/>
              </w:rPr>
            </w:pPr>
            <w:r>
              <w:rPr>
                <w:rFonts w:hint="eastAsia" w:ascii="宋体" w:hAnsi="宋体"/>
                <w:i/>
                <w:color w:val="000000"/>
                <w:sz w:val="24"/>
                <w:highlight w:val="none"/>
              </w:rPr>
              <w:t>▲质保期</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4DD93E97">
            <w:pPr>
              <w:snapToGrid w:val="0"/>
              <w:spacing w:before="120" w:beforeLines="50"/>
              <w:jc w:val="center"/>
              <w:rPr>
                <w:rFonts w:hint="eastAsia" w:ascii="宋体" w:hAnsi="宋体"/>
                <w:color w:val="000000"/>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3364E4C7">
            <w:pPr>
              <w:snapToGrid w:val="0"/>
              <w:spacing w:before="120" w:beforeLines="50"/>
              <w:jc w:val="center"/>
              <w:rPr>
                <w:rFonts w:hint="eastAsia" w:ascii="宋体" w:hAnsi="宋体"/>
                <w:color w:val="000000"/>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726B352C">
            <w:pPr>
              <w:snapToGrid w:val="0"/>
              <w:spacing w:before="120" w:beforeLines="50"/>
              <w:jc w:val="center"/>
              <w:rPr>
                <w:rFonts w:hint="eastAsia" w:ascii="宋体" w:hAnsi="宋体"/>
                <w:color w:val="000000"/>
                <w:sz w:val="24"/>
                <w:highlight w:val="none"/>
              </w:rPr>
            </w:pPr>
          </w:p>
        </w:tc>
      </w:tr>
      <w:tr w14:paraId="426674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29E3C6D7">
            <w:pPr>
              <w:jc w:val="center"/>
              <w:rPr>
                <w:rFonts w:ascii="宋体" w:hAnsi="宋体"/>
                <w:i/>
                <w:color w:val="000000"/>
                <w:sz w:val="24"/>
                <w:highlight w:val="none"/>
              </w:rPr>
            </w:pPr>
            <w:r>
              <w:rPr>
                <w:rFonts w:hint="eastAsia" w:ascii="宋体" w:hAnsi="宋体"/>
                <w:i/>
                <w:color w:val="000000"/>
                <w:sz w:val="24"/>
                <w:highlight w:val="none"/>
              </w:rPr>
              <w:t>▲售后服务要求</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26BAE797">
            <w:pPr>
              <w:snapToGrid w:val="0"/>
              <w:spacing w:before="120" w:beforeLines="50"/>
              <w:rPr>
                <w:rFonts w:hint="eastAsia" w:ascii="宋体" w:hAnsi="宋体"/>
                <w:color w:val="000000"/>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0FB75A3F">
            <w:pPr>
              <w:snapToGrid w:val="0"/>
              <w:spacing w:before="120" w:beforeLines="50"/>
              <w:ind w:left="43"/>
              <w:jc w:val="center"/>
              <w:rPr>
                <w:rFonts w:hint="eastAsia" w:ascii="宋体" w:hAnsi="宋体"/>
                <w:color w:val="000000"/>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68C7B0DC">
            <w:pPr>
              <w:snapToGrid w:val="0"/>
              <w:spacing w:before="120" w:beforeLines="50"/>
              <w:ind w:left="43"/>
              <w:jc w:val="center"/>
              <w:rPr>
                <w:rFonts w:hint="eastAsia" w:ascii="宋体" w:hAnsi="宋体"/>
                <w:color w:val="000000"/>
                <w:sz w:val="24"/>
                <w:highlight w:val="none"/>
              </w:rPr>
            </w:pPr>
          </w:p>
        </w:tc>
      </w:tr>
      <w:tr w14:paraId="0C52C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top"/>
          </w:tcPr>
          <w:p w14:paraId="07C8B581">
            <w:pPr>
              <w:snapToGrid w:val="0"/>
              <w:spacing w:before="120" w:beforeLines="50"/>
              <w:jc w:val="center"/>
              <w:rPr>
                <w:rFonts w:hint="eastAsia" w:ascii="宋体" w:hAnsi="宋体"/>
                <w:color w:val="000000"/>
                <w:sz w:val="24"/>
                <w:highlight w:val="none"/>
              </w:rPr>
            </w:pPr>
            <w:r>
              <w:rPr>
                <w:rFonts w:hint="eastAsia" w:ascii="宋体" w:hAnsi="宋体"/>
                <w:color w:val="000000"/>
                <w:sz w:val="24"/>
                <w:highlight w:val="none"/>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24310EF4">
            <w:pPr>
              <w:snapToGrid w:val="0"/>
              <w:spacing w:before="120" w:beforeLines="50"/>
              <w:jc w:val="center"/>
              <w:rPr>
                <w:rFonts w:hint="eastAsia" w:ascii="宋体" w:hAnsi="宋体"/>
                <w:color w:val="000000"/>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6509615E">
            <w:pPr>
              <w:snapToGrid w:val="0"/>
              <w:spacing w:before="120" w:beforeLines="50"/>
              <w:jc w:val="center"/>
              <w:rPr>
                <w:rFonts w:hint="eastAsia" w:ascii="宋体" w:hAnsi="宋体"/>
                <w:color w:val="000000"/>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7FC6A4EB">
            <w:pPr>
              <w:snapToGrid w:val="0"/>
              <w:spacing w:before="120" w:beforeLines="50"/>
              <w:jc w:val="center"/>
              <w:rPr>
                <w:rFonts w:hint="eastAsia" w:ascii="宋体" w:hAnsi="宋体"/>
                <w:color w:val="000000"/>
                <w:sz w:val="24"/>
                <w:highlight w:val="none"/>
              </w:rPr>
            </w:pPr>
          </w:p>
        </w:tc>
      </w:tr>
    </w:tbl>
    <w:p w14:paraId="66F6BF3F">
      <w:pPr>
        <w:pStyle w:val="17"/>
        <w:rPr>
          <w:rFonts w:hint="eastAsia" w:ascii="宋体" w:hAnsi="宋体"/>
          <w:color w:val="000000"/>
          <w:highlight w:val="none"/>
        </w:rPr>
      </w:pPr>
      <w:r>
        <w:rPr>
          <w:rFonts w:hint="eastAsia" w:ascii="宋体" w:hAnsi="宋体"/>
          <w:color w:val="000000"/>
          <w:highlight w:val="none"/>
        </w:rPr>
        <w:t>注：</w:t>
      </w:r>
    </w:p>
    <w:p w14:paraId="39BB365E">
      <w:pPr>
        <w:pStyle w:val="19"/>
        <w:spacing w:line="520" w:lineRule="exact"/>
        <w:ind w:firstLine="0" w:firstLineChars="0"/>
        <w:rPr>
          <w:rFonts w:hint="eastAsia" w:hAnsi="仿宋_GB2312" w:cs="仿宋_GB2312"/>
          <w:color w:val="000000"/>
          <w:szCs w:val="32"/>
          <w:highlight w:val="none"/>
        </w:rPr>
      </w:pPr>
      <w:r>
        <w:rPr>
          <w:rFonts w:hint="eastAsia" w:ascii="宋体" w:hAnsi="宋体" w:eastAsia="宋体"/>
          <w:color w:val="000000"/>
          <w:sz w:val="24"/>
          <w:szCs w:val="24"/>
          <w:highlight w:val="none"/>
        </w:rPr>
        <w:t>1.</w:t>
      </w:r>
      <w:r>
        <w:rPr>
          <w:rFonts w:hint="eastAsia"/>
          <w:color w:val="000000"/>
          <w:highlight w:val="none"/>
        </w:rPr>
        <w:t xml:space="preserve"> </w:t>
      </w:r>
      <w:r>
        <w:rPr>
          <w:rFonts w:hint="eastAsia" w:ascii="宋体" w:hAnsi="宋体" w:eastAsia="宋体"/>
          <w:color w:val="000000"/>
          <w:sz w:val="24"/>
          <w:szCs w:val="24"/>
          <w:highlight w:val="none"/>
        </w:rPr>
        <w:t>说明：应对照招标文件“第二章 采购需求”中的商务要求逐条作明确的投标响应，并作出偏离说明。</w:t>
      </w:r>
    </w:p>
    <w:p w14:paraId="7DFAE502">
      <w:pPr>
        <w:pStyle w:val="17"/>
        <w:rPr>
          <w:rFonts w:ascii="宋体" w:hAnsi="宋体"/>
          <w:b w:val="0"/>
          <w:bCs w:val="0"/>
          <w:color w:val="000000"/>
          <w:highlight w:val="none"/>
        </w:rPr>
      </w:pPr>
      <w:r>
        <w:rPr>
          <w:rFonts w:ascii="宋体" w:hAnsi="宋体"/>
          <w:b w:val="0"/>
          <w:bCs w:val="0"/>
          <w:color w:val="000000"/>
          <w:highlight w:val="none"/>
        </w:rPr>
        <w:t>2.</w:t>
      </w:r>
      <w:r>
        <w:rPr>
          <w:rFonts w:hint="eastAsia" w:ascii="宋体" w:hAnsi="宋体"/>
          <w:b w:val="0"/>
          <w:bCs w:val="0"/>
          <w:color w:val="000000"/>
          <w:highlight w:val="none"/>
        </w:rPr>
        <w:t>投标人应根据自身的承诺，对照招标文件要求在“偏离说明”中注明“</w:t>
      </w:r>
      <w:r>
        <w:rPr>
          <w:rFonts w:hint="eastAsia" w:ascii="宋体" w:hAnsi="宋体"/>
          <w:color w:val="000000"/>
          <w:highlight w:val="none"/>
        </w:rPr>
        <w:t>正偏离</w:t>
      </w:r>
      <w:r>
        <w:rPr>
          <w:rFonts w:hint="eastAsia" w:ascii="宋体" w:hAnsi="宋体"/>
          <w:b w:val="0"/>
          <w:bCs w:val="0"/>
          <w:color w:val="000000"/>
          <w:highlight w:val="none"/>
        </w:rPr>
        <w:t>”、“</w:t>
      </w:r>
      <w:r>
        <w:rPr>
          <w:rFonts w:hint="eastAsia" w:ascii="宋体" w:hAnsi="宋体"/>
          <w:color w:val="000000"/>
          <w:highlight w:val="none"/>
        </w:rPr>
        <w:t>负偏离</w:t>
      </w:r>
      <w:r>
        <w:rPr>
          <w:rFonts w:hint="eastAsia" w:ascii="宋体" w:hAnsi="宋体"/>
          <w:b w:val="0"/>
          <w:bCs w:val="0"/>
          <w:color w:val="000000"/>
          <w:highlight w:val="none"/>
        </w:rPr>
        <w:t>”或者“</w:t>
      </w:r>
      <w:r>
        <w:rPr>
          <w:rFonts w:hint="eastAsia" w:ascii="宋体" w:hAnsi="宋体"/>
          <w:color w:val="000000"/>
          <w:highlight w:val="none"/>
        </w:rPr>
        <w:t>无偏离</w:t>
      </w:r>
      <w:r>
        <w:rPr>
          <w:rFonts w:hint="eastAsia" w:ascii="宋体" w:hAnsi="宋体"/>
          <w:b w:val="0"/>
          <w:bCs w:val="0"/>
          <w:color w:val="000000"/>
          <w:highlight w:val="none"/>
        </w:rPr>
        <w:t>”。既不属于“</w:t>
      </w:r>
      <w:r>
        <w:rPr>
          <w:rFonts w:hint="eastAsia" w:ascii="宋体" w:hAnsi="宋体"/>
          <w:color w:val="000000"/>
          <w:highlight w:val="none"/>
        </w:rPr>
        <w:t>正偏离</w:t>
      </w:r>
      <w:r>
        <w:rPr>
          <w:rFonts w:hint="eastAsia" w:ascii="宋体" w:hAnsi="宋体"/>
          <w:b w:val="0"/>
          <w:bCs w:val="0"/>
          <w:color w:val="000000"/>
          <w:highlight w:val="none"/>
        </w:rPr>
        <w:t>”也不属于“</w:t>
      </w:r>
      <w:r>
        <w:rPr>
          <w:rFonts w:hint="eastAsia" w:ascii="宋体" w:hAnsi="宋体"/>
          <w:color w:val="000000"/>
          <w:highlight w:val="none"/>
        </w:rPr>
        <w:t>负偏离</w:t>
      </w:r>
      <w:r>
        <w:rPr>
          <w:rFonts w:hint="eastAsia" w:ascii="宋体" w:hAnsi="宋体"/>
          <w:b w:val="0"/>
          <w:bCs w:val="0"/>
          <w:color w:val="000000"/>
          <w:highlight w:val="none"/>
        </w:rPr>
        <w:t>”即为“</w:t>
      </w:r>
      <w:r>
        <w:rPr>
          <w:rFonts w:hint="eastAsia" w:ascii="宋体" w:hAnsi="宋体"/>
          <w:color w:val="000000"/>
          <w:highlight w:val="none"/>
        </w:rPr>
        <w:t>无偏离</w:t>
      </w:r>
      <w:r>
        <w:rPr>
          <w:rFonts w:hint="eastAsia" w:ascii="宋体" w:hAnsi="宋体"/>
          <w:b w:val="0"/>
          <w:bCs w:val="0"/>
          <w:color w:val="000000"/>
          <w:highlight w:val="none"/>
        </w:rPr>
        <w:t>”。</w:t>
      </w:r>
    </w:p>
    <w:p w14:paraId="6386B592">
      <w:pPr>
        <w:snapToGrid w:val="0"/>
        <w:spacing w:before="50" w:after="50"/>
        <w:rPr>
          <w:rFonts w:ascii="宋体" w:hAnsi="宋体"/>
          <w:color w:val="000000"/>
          <w:sz w:val="24"/>
          <w:highlight w:val="none"/>
        </w:rPr>
      </w:pPr>
    </w:p>
    <w:p w14:paraId="394B1560">
      <w:pPr>
        <w:snapToGrid w:val="0"/>
        <w:spacing w:before="50" w:after="50"/>
        <w:rPr>
          <w:rFonts w:hint="eastAsia" w:ascii="宋体" w:hAnsi="宋体"/>
          <w:color w:val="000000"/>
          <w:spacing w:val="20"/>
          <w:sz w:val="24"/>
          <w:highlight w:val="none"/>
          <w:u w:val="single"/>
        </w:rPr>
      </w:pPr>
      <w:r>
        <w:rPr>
          <w:rFonts w:hint="eastAsia" w:ascii="宋体" w:hAnsi="宋体"/>
          <w:color w:val="000000"/>
          <w:sz w:val="24"/>
          <w:highlight w:val="none"/>
        </w:rPr>
        <w:t>法定代表人或者委托代理人</w:t>
      </w:r>
      <w:r>
        <w:rPr>
          <w:rFonts w:hint="eastAsia" w:ascii="宋体" w:hAnsi="宋体"/>
          <w:color w:val="000000"/>
          <w:spacing w:val="20"/>
          <w:sz w:val="24"/>
          <w:highlight w:val="none"/>
        </w:rPr>
        <w:t>（签字或者电子签名）：</w:t>
      </w:r>
      <w:r>
        <w:rPr>
          <w:rFonts w:hint="eastAsia" w:ascii="宋体" w:hAnsi="宋体"/>
          <w:color w:val="000000"/>
          <w:spacing w:val="20"/>
          <w:sz w:val="24"/>
          <w:highlight w:val="none"/>
          <w:u w:val="single"/>
        </w:rPr>
        <w:t xml:space="preserve">        </w:t>
      </w:r>
    </w:p>
    <w:p w14:paraId="62B935AD">
      <w:pPr>
        <w:snapToGrid w:val="0"/>
        <w:spacing w:before="120" w:beforeLines="50"/>
        <w:rPr>
          <w:rFonts w:hint="eastAsia" w:ascii="宋体" w:hAnsi="宋体"/>
          <w:color w:val="000000"/>
          <w:spacing w:val="20"/>
          <w:sz w:val="24"/>
          <w:highlight w:val="none"/>
        </w:rPr>
      </w:pPr>
      <w:r>
        <w:rPr>
          <w:rFonts w:hint="eastAsia" w:ascii="宋体" w:hAnsi="宋体"/>
          <w:color w:val="000000"/>
          <w:spacing w:val="20"/>
          <w:sz w:val="24"/>
          <w:highlight w:val="none"/>
        </w:rPr>
        <w:t>投标人名称（电子签章）：</w:t>
      </w:r>
      <w:r>
        <w:rPr>
          <w:rFonts w:hint="eastAsia" w:ascii="宋体" w:hAnsi="宋体"/>
          <w:color w:val="000000"/>
          <w:spacing w:val="20"/>
          <w:sz w:val="24"/>
          <w:highlight w:val="none"/>
          <w:u w:val="single"/>
        </w:rPr>
        <w:t xml:space="preserve">            </w:t>
      </w:r>
      <w:r>
        <w:rPr>
          <w:rFonts w:hint="eastAsia" w:ascii="宋体" w:hAnsi="宋体"/>
          <w:color w:val="000000"/>
          <w:spacing w:val="20"/>
          <w:sz w:val="24"/>
          <w:highlight w:val="none"/>
        </w:rPr>
        <w:t xml:space="preserve">   </w:t>
      </w:r>
    </w:p>
    <w:p w14:paraId="0A16C73D">
      <w:pPr>
        <w:snapToGrid w:val="0"/>
        <w:spacing w:before="120" w:beforeLines="50"/>
        <w:rPr>
          <w:rFonts w:hint="eastAsia" w:ascii="宋体" w:hAnsi="宋体"/>
          <w:color w:val="000000"/>
          <w:sz w:val="24"/>
          <w:szCs w:val="20"/>
          <w:highlight w:val="none"/>
        </w:rPr>
      </w:pPr>
      <w:r>
        <w:rPr>
          <w:rFonts w:hint="eastAsia" w:ascii="宋体" w:hAnsi="宋体"/>
          <w:color w:val="000000"/>
          <w:spacing w:val="20"/>
          <w:sz w:val="24"/>
          <w:highlight w:val="none"/>
        </w:rPr>
        <w:t>日  期：</w:t>
      </w:r>
      <w:r>
        <w:rPr>
          <w:rFonts w:hint="eastAsia" w:ascii="宋体" w:hAnsi="宋体"/>
          <w:color w:val="000000"/>
          <w:spacing w:val="20"/>
          <w:sz w:val="24"/>
          <w:highlight w:val="none"/>
          <w:u w:val="single"/>
        </w:rPr>
        <w:t xml:space="preserve">         </w:t>
      </w:r>
    </w:p>
    <w:p w14:paraId="68337B85">
      <w:pPr>
        <w:snapToGrid w:val="0"/>
        <w:spacing w:before="120" w:beforeLines="50"/>
        <w:rPr>
          <w:rFonts w:hint="eastAsia" w:ascii="宋体" w:hAnsi="宋体"/>
          <w:color w:val="000000"/>
          <w:sz w:val="24"/>
          <w:szCs w:val="20"/>
          <w:highlight w:val="none"/>
        </w:rPr>
      </w:pPr>
    </w:p>
    <w:p w14:paraId="1BBEC6E7">
      <w:pPr>
        <w:snapToGrid w:val="0"/>
        <w:spacing w:before="120" w:beforeLines="50" w:after="50"/>
        <w:jc w:val="left"/>
        <w:rPr>
          <w:rFonts w:ascii="宋体" w:hAnsi="宋体"/>
          <w:color w:val="000000"/>
          <w:sz w:val="24"/>
          <w:szCs w:val="20"/>
          <w:highlight w:val="none"/>
        </w:rPr>
      </w:pPr>
    </w:p>
    <w:p w14:paraId="2D014E58">
      <w:pPr>
        <w:snapToGrid w:val="0"/>
        <w:spacing w:before="120" w:beforeLines="50" w:after="50"/>
        <w:jc w:val="left"/>
        <w:rPr>
          <w:rFonts w:hint="eastAsia" w:ascii="宋体" w:hAnsi="宋体"/>
          <w:b/>
          <w:color w:val="000000"/>
          <w:sz w:val="24"/>
          <w:highlight w:val="none"/>
        </w:rPr>
      </w:pPr>
      <w:r>
        <w:rPr>
          <w:rFonts w:ascii="宋体" w:hAnsi="宋体"/>
          <w:color w:val="000000"/>
          <w:sz w:val="24"/>
          <w:szCs w:val="20"/>
          <w:highlight w:val="none"/>
        </w:rPr>
        <w:br w:type="page"/>
      </w:r>
      <w:r>
        <w:rPr>
          <w:rFonts w:hint="eastAsia" w:ascii="宋体" w:hAnsi="宋体"/>
          <w:b/>
          <w:color w:val="000000"/>
          <w:sz w:val="24"/>
          <w:highlight w:val="none"/>
        </w:rPr>
        <w:t>7.投标人业绩证明材料</w:t>
      </w:r>
    </w:p>
    <w:p w14:paraId="146D4E3C">
      <w:pPr>
        <w:pStyle w:val="34"/>
        <w:snapToGrid w:val="0"/>
        <w:ind w:left="480" w:hanging="480"/>
        <w:rPr>
          <w:rFonts w:hint="eastAsia" w:ascii="宋体" w:hAnsi="宋体"/>
          <w:color w:val="000000"/>
          <w:sz w:val="24"/>
          <w:highlight w:val="none"/>
        </w:rPr>
      </w:pPr>
    </w:p>
    <w:p w14:paraId="463C8A01">
      <w:pPr>
        <w:pStyle w:val="34"/>
        <w:snapToGrid w:val="0"/>
        <w:ind w:left="480" w:hanging="480"/>
        <w:rPr>
          <w:rFonts w:hint="eastAsia" w:ascii="宋体" w:hAnsi="宋体"/>
          <w:color w:val="000000"/>
          <w:sz w:val="24"/>
          <w:highlight w:val="none"/>
        </w:rPr>
      </w:pPr>
      <w:r>
        <w:rPr>
          <w:rFonts w:hint="eastAsia" w:ascii="宋体" w:hAnsi="宋体"/>
          <w:color w:val="000000"/>
          <w:sz w:val="24"/>
          <w:highlight w:val="none"/>
        </w:rPr>
        <w:t xml:space="preserve">投标人业绩情况一览表格式： </w:t>
      </w:r>
    </w:p>
    <w:tbl>
      <w:tblPr>
        <w:tblStyle w:val="4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08F44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2F11BB6D">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0E6A7EF1">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3FB3FA9B">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合同金额</w:t>
            </w:r>
          </w:p>
          <w:p w14:paraId="379865BC">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279C1FAC">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采购人联系人及</w:t>
            </w:r>
          </w:p>
          <w:p w14:paraId="0E707AD2">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联系电话</w:t>
            </w:r>
          </w:p>
        </w:tc>
      </w:tr>
      <w:tr w14:paraId="38DBA4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7E9F74AE">
            <w:pPr>
              <w:jc w:val="left"/>
              <w:rPr>
                <w:rFonts w:hint="eastAsia" w:ascii="宋体" w:hAnsi="宋体"/>
                <w:color w:val="000000"/>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208626F8">
            <w:pPr>
              <w:jc w:val="left"/>
              <w:rPr>
                <w:rFonts w:hint="eastAsia" w:ascii="宋体" w:hAnsi="宋体"/>
                <w:color w:val="000000"/>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68478E88">
            <w:pPr>
              <w:jc w:val="left"/>
              <w:rPr>
                <w:rFonts w:hint="eastAsia" w:ascii="宋体" w:hAnsi="宋体"/>
                <w:color w:val="000000"/>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4A7C77F3">
            <w:pPr>
              <w:jc w:val="left"/>
              <w:rPr>
                <w:rFonts w:hint="eastAsia" w:ascii="宋体" w:hAnsi="宋体"/>
                <w:color w:val="000000"/>
                <w:sz w:val="24"/>
                <w:highlight w:val="none"/>
              </w:rPr>
            </w:pPr>
          </w:p>
        </w:tc>
      </w:tr>
      <w:tr w14:paraId="28268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3AC4F927">
            <w:pPr>
              <w:snapToGrid w:val="0"/>
              <w:spacing w:line="240" w:lineRule="exact"/>
              <w:jc w:val="left"/>
              <w:rPr>
                <w:rFonts w:hint="eastAsia" w:ascii="宋体" w:hAnsi="宋体"/>
                <w:color w:val="000000"/>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3BB93BD">
            <w:pPr>
              <w:snapToGrid w:val="0"/>
              <w:spacing w:line="240" w:lineRule="exact"/>
              <w:jc w:val="left"/>
              <w:rPr>
                <w:rFonts w:hint="eastAsia" w:ascii="宋体" w:hAnsi="宋体"/>
                <w:color w:val="000000"/>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A8D2E4B">
            <w:pPr>
              <w:snapToGrid w:val="0"/>
              <w:spacing w:line="240" w:lineRule="exact"/>
              <w:jc w:val="left"/>
              <w:rPr>
                <w:rFonts w:hint="eastAsia" w:ascii="宋体" w:hAnsi="宋体"/>
                <w:color w:val="000000"/>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300EDC31">
            <w:pPr>
              <w:snapToGrid w:val="0"/>
              <w:spacing w:line="240" w:lineRule="exact"/>
              <w:jc w:val="left"/>
              <w:rPr>
                <w:rFonts w:hint="eastAsia" w:ascii="宋体" w:hAnsi="宋体"/>
                <w:color w:val="000000"/>
                <w:sz w:val="24"/>
                <w:highlight w:val="none"/>
              </w:rPr>
            </w:pPr>
          </w:p>
        </w:tc>
      </w:tr>
      <w:tr w14:paraId="2B3BA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290D459E">
            <w:pPr>
              <w:snapToGrid w:val="0"/>
              <w:spacing w:before="50" w:after="120" w:afterLines="50" w:line="400" w:lineRule="exact"/>
              <w:jc w:val="left"/>
              <w:rPr>
                <w:rFonts w:hint="eastAsia" w:ascii="宋体" w:hAnsi="宋体"/>
                <w:color w:val="000000"/>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651CA3C9">
            <w:pPr>
              <w:snapToGrid w:val="0"/>
              <w:spacing w:before="50" w:after="120" w:afterLines="50" w:line="400" w:lineRule="exact"/>
              <w:jc w:val="left"/>
              <w:rPr>
                <w:rFonts w:hint="eastAsia" w:ascii="宋体" w:hAnsi="宋体"/>
                <w:color w:val="000000"/>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57C2921">
            <w:pPr>
              <w:snapToGrid w:val="0"/>
              <w:spacing w:before="50" w:after="120" w:afterLines="50" w:line="400" w:lineRule="exact"/>
              <w:jc w:val="left"/>
              <w:rPr>
                <w:rFonts w:hint="eastAsia" w:ascii="宋体" w:hAnsi="宋体"/>
                <w:color w:val="000000"/>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79550BF4">
            <w:pPr>
              <w:snapToGrid w:val="0"/>
              <w:spacing w:before="50" w:after="120" w:afterLines="50" w:line="400" w:lineRule="exact"/>
              <w:jc w:val="left"/>
              <w:rPr>
                <w:rFonts w:hint="eastAsia" w:ascii="宋体" w:hAnsi="宋体"/>
                <w:color w:val="000000"/>
                <w:sz w:val="24"/>
                <w:highlight w:val="none"/>
              </w:rPr>
            </w:pPr>
          </w:p>
        </w:tc>
      </w:tr>
      <w:tr w14:paraId="5DA0E1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02A14D79">
            <w:pPr>
              <w:snapToGrid w:val="0"/>
              <w:spacing w:before="50" w:after="120" w:afterLines="50" w:line="400" w:lineRule="exact"/>
              <w:jc w:val="left"/>
              <w:rPr>
                <w:rFonts w:hint="eastAsia" w:ascii="宋体" w:hAnsi="宋体"/>
                <w:color w:val="000000"/>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4AA59F8">
            <w:pPr>
              <w:snapToGrid w:val="0"/>
              <w:spacing w:before="50" w:after="120" w:afterLines="50" w:line="400" w:lineRule="exact"/>
              <w:jc w:val="left"/>
              <w:rPr>
                <w:rFonts w:hint="eastAsia" w:ascii="宋体" w:hAnsi="宋体"/>
                <w:color w:val="000000"/>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AFFDDFE">
            <w:pPr>
              <w:snapToGrid w:val="0"/>
              <w:spacing w:before="50" w:after="120" w:afterLines="50" w:line="400" w:lineRule="exact"/>
              <w:jc w:val="left"/>
              <w:rPr>
                <w:rFonts w:hint="eastAsia" w:ascii="宋体" w:hAnsi="宋体"/>
                <w:color w:val="000000"/>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24B2ED3">
            <w:pPr>
              <w:snapToGrid w:val="0"/>
              <w:spacing w:before="50" w:after="120" w:afterLines="50" w:line="400" w:lineRule="exact"/>
              <w:jc w:val="left"/>
              <w:rPr>
                <w:rFonts w:hint="eastAsia" w:ascii="宋体" w:hAnsi="宋体"/>
                <w:color w:val="000000"/>
                <w:sz w:val="24"/>
                <w:highlight w:val="none"/>
              </w:rPr>
            </w:pPr>
          </w:p>
        </w:tc>
      </w:tr>
      <w:tr w14:paraId="12572F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57F05EF9">
            <w:pPr>
              <w:snapToGrid w:val="0"/>
              <w:spacing w:before="50" w:after="120" w:afterLines="50" w:line="400" w:lineRule="exact"/>
              <w:jc w:val="left"/>
              <w:rPr>
                <w:rFonts w:hint="eastAsia" w:ascii="宋体" w:hAnsi="宋体"/>
                <w:color w:val="000000"/>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110324D">
            <w:pPr>
              <w:snapToGrid w:val="0"/>
              <w:spacing w:before="50" w:after="120" w:afterLines="50" w:line="400" w:lineRule="exact"/>
              <w:jc w:val="left"/>
              <w:rPr>
                <w:rFonts w:hint="eastAsia" w:ascii="宋体" w:hAnsi="宋体"/>
                <w:color w:val="000000"/>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5CDBD0A">
            <w:pPr>
              <w:snapToGrid w:val="0"/>
              <w:spacing w:before="50" w:after="120" w:afterLines="50" w:line="400" w:lineRule="exact"/>
              <w:jc w:val="left"/>
              <w:rPr>
                <w:rFonts w:hint="eastAsia" w:ascii="宋体" w:hAnsi="宋体"/>
                <w:color w:val="000000"/>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37E49EF">
            <w:pPr>
              <w:snapToGrid w:val="0"/>
              <w:spacing w:before="50" w:after="120" w:afterLines="50" w:line="400" w:lineRule="exact"/>
              <w:jc w:val="left"/>
              <w:rPr>
                <w:rFonts w:hint="eastAsia" w:ascii="宋体" w:hAnsi="宋体"/>
                <w:color w:val="000000"/>
                <w:sz w:val="24"/>
                <w:highlight w:val="none"/>
              </w:rPr>
            </w:pPr>
          </w:p>
        </w:tc>
      </w:tr>
      <w:tr w14:paraId="4B66F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78173147">
            <w:pPr>
              <w:snapToGrid w:val="0"/>
              <w:spacing w:before="50" w:after="120" w:afterLines="50" w:line="400" w:lineRule="exact"/>
              <w:jc w:val="left"/>
              <w:rPr>
                <w:rFonts w:hint="eastAsia" w:ascii="宋体" w:hAnsi="宋体"/>
                <w:color w:val="000000"/>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76D42E9">
            <w:pPr>
              <w:snapToGrid w:val="0"/>
              <w:spacing w:before="50" w:after="120" w:afterLines="50" w:line="400" w:lineRule="exact"/>
              <w:jc w:val="left"/>
              <w:rPr>
                <w:rFonts w:hint="eastAsia" w:ascii="宋体" w:hAnsi="宋体"/>
                <w:color w:val="000000"/>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DDB4FF9">
            <w:pPr>
              <w:snapToGrid w:val="0"/>
              <w:spacing w:before="50" w:after="120" w:afterLines="50" w:line="400" w:lineRule="exact"/>
              <w:jc w:val="left"/>
              <w:rPr>
                <w:rFonts w:hint="eastAsia" w:ascii="宋体" w:hAnsi="宋体"/>
                <w:color w:val="000000"/>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3B162592">
            <w:pPr>
              <w:snapToGrid w:val="0"/>
              <w:spacing w:before="50" w:after="120" w:afterLines="50" w:line="400" w:lineRule="exact"/>
              <w:jc w:val="left"/>
              <w:rPr>
                <w:rFonts w:hint="eastAsia" w:ascii="宋体" w:hAnsi="宋体"/>
                <w:color w:val="000000"/>
                <w:sz w:val="24"/>
                <w:highlight w:val="none"/>
              </w:rPr>
            </w:pPr>
          </w:p>
        </w:tc>
      </w:tr>
    </w:tbl>
    <w:p w14:paraId="55A8DE04">
      <w:pPr>
        <w:pStyle w:val="14"/>
        <w:spacing w:before="0" w:after="0" w:line="360" w:lineRule="auto"/>
        <w:contextualSpacing/>
        <w:rPr>
          <w:rFonts w:hint="eastAsia" w:ascii="宋体" w:hAnsi="宋体" w:eastAsia="宋体"/>
          <w:color w:val="000000"/>
          <w:sz w:val="24"/>
          <w:szCs w:val="24"/>
          <w:highlight w:val="none"/>
        </w:rPr>
      </w:pPr>
    </w:p>
    <w:p w14:paraId="19B21868">
      <w:pPr>
        <w:pStyle w:val="14"/>
        <w:spacing w:before="0" w:after="0" w:line="360" w:lineRule="auto"/>
        <w:contextualSpacing/>
        <w:rPr>
          <w:rFonts w:hint="eastAsia" w:ascii="宋体" w:hAnsi="宋体" w:eastAsia="宋体"/>
          <w:color w:val="000000"/>
          <w:sz w:val="24"/>
          <w:szCs w:val="24"/>
          <w:highlight w:val="none"/>
        </w:rPr>
      </w:pPr>
      <w:r>
        <w:rPr>
          <w:rFonts w:hint="eastAsia" w:ascii="宋体" w:hAnsi="宋体" w:eastAsia="宋体"/>
          <w:color w:val="000000"/>
          <w:sz w:val="24"/>
          <w:szCs w:val="24"/>
          <w:highlight w:val="none"/>
        </w:rPr>
        <w:t>注：</w:t>
      </w:r>
      <w:r>
        <w:rPr>
          <w:rFonts w:hint="eastAsia" w:ascii="宋体" w:hAnsi="宋体"/>
          <w:color w:val="000000"/>
          <w:sz w:val="24"/>
          <w:highlight w:val="none"/>
        </w:rPr>
        <w:t>投标人根据评标标准具体要求附业绩证明材料。</w:t>
      </w:r>
    </w:p>
    <w:p w14:paraId="09761DF8">
      <w:pPr>
        <w:pStyle w:val="14"/>
        <w:spacing w:before="0" w:after="0" w:line="360" w:lineRule="auto"/>
        <w:contextualSpacing/>
        <w:jc w:val="left"/>
        <w:rPr>
          <w:rFonts w:hint="eastAsia" w:ascii="宋体" w:hAnsi="宋体" w:eastAsia="宋体"/>
          <w:color w:val="000000"/>
          <w:sz w:val="24"/>
          <w:szCs w:val="24"/>
          <w:highlight w:val="none"/>
          <w:u w:val="single"/>
        </w:rPr>
      </w:pPr>
      <w:r>
        <w:rPr>
          <w:rFonts w:hint="eastAsia" w:ascii="宋体" w:hAnsi="宋体" w:eastAsia="宋体"/>
          <w:color w:val="000000"/>
          <w:sz w:val="24"/>
          <w:szCs w:val="24"/>
          <w:highlight w:val="none"/>
        </w:rPr>
        <w:t>法定代表人或者委托代理人（签字或者电子签名）：</w:t>
      </w:r>
      <w:r>
        <w:rPr>
          <w:rFonts w:hint="eastAsia" w:ascii="宋体" w:hAnsi="宋体" w:eastAsia="宋体"/>
          <w:color w:val="000000"/>
          <w:sz w:val="24"/>
          <w:szCs w:val="24"/>
          <w:highlight w:val="none"/>
          <w:u w:val="single"/>
        </w:rPr>
        <w:t>　　　　　</w:t>
      </w:r>
    </w:p>
    <w:p w14:paraId="7FDC48EF">
      <w:pPr>
        <w:spacing w:line="360" w:lineRule="auto"/>
        <w:ind w:right="480"/>
        <w:contextualSpacing/>
        <w:jc w:val="left"/>
        <w:rPr>
          <w:rFonts w:hint="eastAsia" w:ascii="宋体" w:hAnsi="宋体"/>
          <w:color w:val="000000"/>
          <w:sz w:val="24"/>
          <w:szCs w:val="20"/>
          <w:highlight w:val="none"/>
        </w:rPr>
      </w:pPr>
      <w:r>
        <w:rPr>
          <w:rFonts w:hint="eastAsia" w:ascii="宋体" w:hAnsi="宋体" w:cs="Arial"/>
          <w:color w:val="000000"/>
          <w:sz w:val="24"/>
          <w:highlight w:val="none"/>
        </w:rPr>
        <w:t xml:space="preserve">投标人名称（电子签章）： </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年    月    日</w:t>
      </w:r>
    </w:p>
    <w:p w14:paraId="685F2C3F">
      <w:pPr>
        <w:snapToGrid w:val="0"/>
        <w:spacing w:before="50"/>
        <w:ind w:firstLine="480" w:firstLineChars="200"/>
        <w:jc w:val="left"/>
        <w:rPr>
          <w:rFonts w:hint="eastAsia" w:ascii="宋体" w:hAnsi="宋体"/>
          <w:color w:val="000000"/>
          <w:sz w:val="24"/>
          <w:szCs w:val="20"/>
          <w:highlight w:val="none"/>
        </w:rPr>
      </w:pPr>
    </w:p>
    <w:p w14:paraId="2183CE5E">
      <w:pPr>
        <w:snapToGrid w:val="0"/>
        <w:spacing w:before="120" w:beforeLines="50" w:after="50"/>
        <w:jc w:val="left"/>
        <w:rPr>
          <w:rFonts w:ascii="方正小标宋简体" w:hAnsi="方正小标宋简体" w:eastAsia="方正小标宋简体" w:cs="方正小标宋简体"/>
          <w:bCs/>
          <w:color w:val="000000"/>
          <w:szCs w:val="21"/>
          <w:highlight w:val="none"/>
        </w:rPr>
      </w:pPr>
      <w:r>
        <w:rPr>
          <w:rFonts w:ascii="宋体" w:hAnsi="宋体"/>
          <w:color w:val="000000"/>
          <w:sz w:val="24"/>
          <w:highlight w:val="none"/>
        </w:rPr>
        <w:br w:type="page"/>
      </w:r>
      <w:r>
        <w:rPr>
          <w:rFonts w:hint="eastAsia" w:ascii="宋体" w:hAnsi="宋体"/>
          <w:color w:val="000000"/>
          <w:sz w:val="24"/>
          <w:highlight w:val="none"/>
        </w:rPr>
        <w:t>8.</w:t>
      </w:r>
      <w:r>
        <w:rPr>
          <w:rFonts w:hint="eastAsia" w:ascii="方正小标宋简体" w:hAnsi="方正小标宋简体" w:eastAsia="方正小标宋简体" w:cs="方正小标宋简体"/>
          <w:bCs/>
          <w:color w:val="000000"/>
          <w:szCs w:val="21"/>
          <w:highlight w:val="none"/>
        </w:rPr>
        <w:t xml:space="preserve"> 代理服务费承诺书（如本项目为采购人支付代理服务费的，无需提供）</w:t>
      </w:r>
    </w:p>
    <w:p w14:paraId="4607953A">
      <w:pPr>
        <w:snapToGrid w:val="0"/>
        <w:spacing w:before="120" w:beforeLines="50" w:after="50"/>
        <w:jc w:val="left"/>
        <w:rPr>
          <w:rFonts w:hint="eastAsia" w:ascii="方正小标宋简体" w:hAnsi="方正小标宋简体" w:eastAsia="方正小标宋简体" w:cs="方正小标宋简体"/>
          <w:bCs/>
          <w:color w:val="000000"/>
          <w:szCs w:val="21"/>
          <w:highlight w:val="none"/>
        </w:rPr>
      </w:pPr>
    </w:p>
    <w:p w14:paraId="3CC6B818">
      <w:pPr>
        <w:snapToGrid w:val="0"/>
        <w:spacing w:before="120" w:beforeLines="50" w:after="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代理服务费承诺书</w:t>
      </w:r>
    </w:p>
    <w:p w14:paraId="2DD0BC47">
      <w:pPr>
        <w:snapToGrid w:val="0"/>
        <w:spacing w:before="120" w:beforeLines="50" w:after="50"/>
        <w:jc w:val="center"/>
        <w:rPr>
          <w:rFonts w:hint="eastAsia" w:ascii="宋体" w:hAnsi="宋体"/>
          <w:b/>
          <w:color w:val="000000"/>
          <w:sz w:val="24"/>
          <w:highlight w:val="none"/>
        </w:rPr>
      </w:pPr>
    </w:p>
    <w:p w14:paraId="380E67E1">
      <w:pPr>
        <w:spacing w:line="360" w:lineRule="auto"/>
        <w:rPr>
          <w:rFonts w:hint="eastAsia" w:ascii="宋体" w:hAnsi="宋体"/>
          <w:b/>
          <w:bCs/>
          <w:color w:val="000000"/>
          <w:sz w:val="24"/>
          <w:highlight w:val="none"/>
        </w:rPr>
      </w:pPr>
      <w:r>
        <w:rPr>
          <w:rFonts w:hint="eastAsia" w:ascii="宋体" w:hAnsi="宋体"/>
          <w:bCs/>
          <w:color w:val="000000"/>
          <w:sz w:val="24"/>
          <w:highlight w:val="none"/>
        </w:rPr>
        <w:t>致：</w:t>
      </w:r>
      <w:r>
        <w:rPr>
          <w:rFonts w:hint="eastAsia" w:ascii="宋体" w:hAnsi="宋体"/>
          <w:color w:val="000000"/>
          <w:sz w:val="24"/>
          <w:highlight w:val="none"/>
          <w:u w:val="single"/>
        </w:rPr>
        <w:t>招标代理机构名称</w:t>
      </w:r>
      <w:r>
        <w:rPr>
          <w:rFonts w:hint="eastAsia" w:ascii="宋体" w:hAnsi="宋体"/>
          <w:color w:val="000000"/>
          <w:sz w:val="24"/>
          <w:highlight w:val="none"/>
        </w:rPr>
        <w:t>：</w:t>
      </w:r>
    </w:p>
    <w:p w14:paraId="0B18EF06">
      <w:pPr>
        <w:spacing w:line="360" w:lineRule="auto"/>
        <w:ind w:firstLine="480" w:firstLineChars="200"/>
        <w:rPr>
          <w:rFonts w:hint="eastAsia" w:ascii="宋体" w:hAnsi="宋体"/>
          <w:color w:val="000000"/>
          <w:sz w:val="24"/>
          <w:highlight w:val="none"/>
        </w:rPr>
      </w:pPr>
      <w:r>
        <w:rPr>
          <w:rFonts w:hint="eastAsia" w:ascii="宋体" w:hAnsi="宋体"/>
          <w:color w:val="000000"/>
          <w:sz w:val="24"/>
          <w:highlight w:val="none"/>
        </w:rPr>
        <w:t>本单位参加了贵方组织的</w:t>
      </w:r>
      <w:r>
        <w:rPr>
          <w:rFonts w:hint="eastAsia" w:ascii="宋体" w:hAnsi="宋体"/>
          <w:color w:val="000000"/>
          <w:sz w:val="24"/>
          <w:highlight w:val="none"/>
          <w:u w:val="single"/>
        </w:rPr>
        <w:t xml:space="preserve">  项目名称（项目编号）  </w:t>
      </w:r>
      <w:r>
        <w:rPr>
          <w:rFonts w:hint="eastAsia" w:ascii="宋体" w:hAnsi="宋体"/>
          <w:color w:val="000000"/>
          <w:sz w:val="24"/>
          <w:highlight w:val="none"/>
        </w:rPr>
        <w:t>项目， 在此说明如下：</w:t>
      </w:r>
    </w:p>
    <w:p w14:paraId="67C10003">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1.我方承诺，若本单位中标，保证在发出中标通知书之后，按本项目招标文件的规定标准向贵单位一次性足额支付代理服务费, 在领取中标通知书后，由于被质疑、投诉或者其他原因而导致中标结果改变，我方将放弃对已缴纳的中标服务费追还的一切权利。</w:t>
      </w:r>
    </w:p>
    <w:p w14:paraId="62553B4B">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2.本单位选择第</w:t>
      </w:r>
      <w:r>
        <w:rPr>
          <w:rFonts w:hint="eastAsia" w:ascii="宋体" w:hAnsi="宋体"/>
          <w:color w:val="000000"/>
          <w:sz w:val="24"/>
          <w:highlight w:val="none"/>
          <w:u w:val="single"/>
        </w:rPr>
        <w:t xml:space="preserve">     </w:t>
      </w:r>
      <w:r>
        <w:rPr>
          <w:rFonts w:hint="eastAsia" w:ascii="宋体" w:hAnsi="宋体"/>
          <w:color w:val="000000"/>
          <w:sz w:val="24"/>
          <w:highlight w:val="none"/>
        </w:rPr>
        <w:t>种方式作为代理服务费开票类型：</w:t>
      </w:r>
    </w:p>
    <w:p w14:paraId="298B2CD4">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第一种方式：开具增值税普通发票。开票信息如下：</w:t>
      </w:r>
    </w:p>
    <w:p w14:paraId="36075315">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（1）公司名称</w:t>
      </w:r>
      <w:r>
        <w:rPr>
          <w:rFonts w:hint="eastAsia" w:ascii="宋体" w:hAnsi="宋体"/>
          <w:color w:val="000000"/>
          <w:sz w:val="24"/>
          <w:highlight w:val="none"/>
          <w:u w:val="single"/>
        </w:rPr>
        <w:t xml:space="preserve">_                       </w:t>
      </w:r>
      <w:r>
        <w:rPr>
          <w:rFonts w:hint="eastAsia" w:ascii="宋体" w:hAnsi="宋体"/>
          <w:color w:val="000000"/>
          <w:sz w:val="24"/>
          <w:highlight w:val="none"/>
        </w:rPr>
        <w:t>；</w:t>
      </w:r>
    </w:p>
    <w:p w14:paraId="5690B1D9">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（2）纳税人识别号</w:t>
      </w:r>
      <w:r>
        <w:rPr>
          <w:rFonts w:hint="eastAsia" w:ascii="宋体" w:hAnsi="宋体"/>
          <w:color w:val="000000"/>
          <w:sz w:val="24"/>
          <w:highlight w:val="none"/>
          <w:u w:val="single"/>
        </w:rPr>
        <w:t xml:space="preserve">_                   </w:t>
      </w:r>
      <w:r>
        <w:rPr>
          <w:rFonts w:hint="eastAsia" w:ascii="宋体" w:hAnsi="宋体"/>
          <w:color w:val="000000"/>
          <w:sz w:val="24"/>
          <w:highlight w:val="none"/>
        </w:rPr>
        <w:t>。</w:t>
      </w:r>
    </w:p>
    <w:p w14:paraId="4161F211">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第二种方式：开具增值税专用发票，开票信息如下：</w:t>
      </w:r>
    </w:p>
    <w:p w14:paraId="028AF77B">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（1）公司名称</w:t>
      </w:r>
      <w:r>
        <w:rPr>
          <w:rFonts w:hint="eastAsia" w:ascii="宋体" w:hAnsi="宋体"/>
          <w:color w:val="000000"/>
          <w:sz w:val="24"/>
          <w:highlight w:val="none"/>
          <w:u w:val="single"/>
        </w:rPr>
        <w:t xml:space="preserve">_                           </w:t>
      </w:r>
      <w:r>
        <w:rPr>
          <w:rFonts w:hint="eastAsia" w:ascii="宋体" w:hAnsi="宋体"/>
          <w:color w:val="000000"/>
          <w:sz w:val="24"/>
          <w:highlight w:val="none"/>
        </w:rPr>
        <w:t>；</w:t>
      </w:r>
    </w:p>
    <w:p w14:paraId="53E83695">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（2）纳税人识别号</w:t>
      </w:r>
      <w:r>
        <w:rPr>
          <w:rFonts w:hint="eastAsia" w:ascii="宋体" w:hAnsi="宋体"/>
          <w:color w:val="000000"/>
          <w:sz w:val="24"/>
          <w:highlight w:val="none"/>
          <w:u w:val="single"/>
        </w:rPr>
        <w:t xml:space="preserve">_                       </w:t>
      </w:r>
      <w:r>
        <w:rPr>
          <w:rFonts w:hint="eastAsia" w:ascii="宋体" w:hAnsi="宋体"/>
          <w:color w:val="000000"/>
          <w:sz w:val="24"/>
          <w:highlight w:val="none"/>
        </w:rPr>
        <w:t>；</w:t>
      </w:r>
    </w:p>
    <w:p w14:paraId="05A93A0A">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（3）在税局登记的地址</w:t>
      </w:r>
      <w:r>
        <w:rPr>
          <w:rFonts w:hint="eastAsia" w:ascii="宋体" w:hAnsi="宋体"/>
          <w:color w:val="000000"/>
          <w:sz w:val="24"/>
          <w:highlight w:val="none"/>
          <w:u w:val="single"/>
        </w:rPr>
        <w:t xml:space="preserve">_                   </w:t>
      </w:r>
      <w:r>
        <w:rPr>
          <w:rFonts w:hint="eastAsia" w:ascii="宋体" w:hAnsi="宋体"/>
          <w:color w:val="000000"/>
          <w:sz w:val="24"/>
          <w:highlight w:val="none"/>
        </w:rPr>
        <w:t>；</w:t>
      </w:r>
    </w:p>
    <w:p w14:paraId="47102402">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（4）在税局登记的电话</w:t>
      </w:r>
      <w:r>
        <w:rPr>
          <w:rFonts w:hint="eastAsia" w:ascii="宋体" w:hAnsi="宋体"/>
          <w:color w:val="000000"/>
          <w:sz w:val="24"/>
          <w:highlight w:val="none"/>
          <w:u w:val="single"/>
        </w:rPr>
        <w:t xml:space="preserve">_                   </w:t>
      </w:r>
      <w:r>
        <w:rPr>
          <w:rFonts w:hint="eastAsia" w:ascii="宋体" w:hAnsi="宋体"/>
          <w:color w:val="000000"/>
          <w:sz w:val="24"/>
          <w:highlight w:val="none"/>
        </w:rPr>
        <w:t>；</w:t>
      </w:r>
    </w:p>
    <w:p w14:paraId="01977081">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（5）开户银行</w:t>
      </w:r>
      <w:r>
        <w:rPr>
          <w:rFonts w:hint="eastAsia" w:ascii="宋体" w:hAnsi="宋体"/>
          <w:color w:val="000000"/>
          <w:sz w:val="24"/>
          <w:highlight w:val="none"/>
          <w:u w:val="single"/>
        </w:rPr>
        <w:t xml:space="preserve">_                           </w:t>
      </w:r>
      <w:r>
        <w:rPr>
          <w:rFonts w:hint="eastAsia" w:ascii="宋体" w:hAnsi="宋体"/>
          <w:color w:val="000000"/>
          <w:sz w:val="24"/>
          <w:highlight w:val="none"/>
        </w:rPr>
        <w:t>；</w:t>
      </w:r>
    </w:p>
    <w:p w14:paraId="35160710">
      <w:pPr>
        <w:spacing w:line="360" w:lineRule="auto"/>
        <w:ind w:firstLine="360" w:firstLineChars="150"/>
        <w:rPr>
          <w:rFonts w:hint="eastAsia" w:ascii="宋体" w:hAnsi="宋体"/>
          <w:color w:val="000000"/>
          <w:sz w:val="24"/>
          <w:highlight w:val="none"/>
        </w:rPr>
      </w:pPr>
      <w:r>
        <w:rPr>
          <w:rFonts w:hint="eastAsia" w:ascii="宋体" w:hAnsi="宋体"/>
          <w:color w:val="000000"/>
          <w:sz w:val="24"/>
          <w:highlight w:val="none"/>
        </w:rPr>
        <w:t>（6）银行账户</w:t>
      </w:r>
      <w:r>
        <w:rPr>
          <w:rFonts w:hint="eastAsia" w:ascii="宋体" w:hAnsi="宋体"/>
          <w:color w:val="000000"/>
          <w:sz w:val="24"/>
          <w:highlight w:val="none"/>
          <w:u w:val="single"/>
        </w:rPr>
        <w:t xml:space="preserve">_                           </w:t>
      </w:r>
      <w:r>
        <w:rPr>
          <w:rFonts w:hint="eastAsia" w:ascii="宋体" w:hAnsi="宋体"/>
          <w:color w:val="000000"/>
          <w:sz w:val="24"/>
          <w:highlight w:val="none"/>
        </w:rPr>
        <w:t>。</w:t>
      </w:r>
    </w:p>
    <w:p w14:paraId="4960B88F">
      <w:pPr>
        <w:spacing w:line="440" w:lineRule="exact"/>
        <w:rPr>
          <w:rFonts w:hint="eastAsia" w:ascii="宋体" w:hAnsi="宋体"/>
          <w:color w:val="000000"/>
          <w:sz w:val="24"/>
          <w:highlight w:val="none"/>
        </w:rPr>
      </w:pPr>
    </w:p>
    <w:p w14:paraId="54F9B200">
      <w:pPr>
        <w:spacing w:line="440" w:lineRule="exact"/>
        <w:rPr>
          <w:rFonts w:hint="eastAsia" w:ascii="宋体" w:hAnsi="宋体"/>
          <w:color w:val="000000"/>
          <w:sz w:val="24"/>
          <w:highlight w:val="none"/>
        </w:rPr>
      </w:pPr>
    </w:p>
    <w:p w14:paraId="51F19850">
      <w:pPr>
        <w:spacing w:line="440" w:lineRule="exact"/>
        <w:rPr>
          <w:rFonts w:hint="eastAsia" w:ascii="宋体" w:hAnsi="宋体"/>
          <w:color w:val="000000"/>
          <w:sz w:val="24"/>
          <w:highlight w:val="none"/>
        </w:rPr>
      </w:pPr>
    </w:p>
    <w:p w14:paraId="54004B65">
      <w:pPr>
        <w:snapToGrid w:val="0"/>
        <w:spacing w:line="360" w:lineRule="auto"/>
        <w:ind w:left="-2" w:leftChars="-1" w:right="-817" w:rightChars="-389" w:firstLine="1920" w:firstLineChars="800"/>
        <w:rPr>
          <w:rFonts w:hint="eastAsia" w:ascii="宋体" w:hAnsi="宋体"/>
          <w:color w:val="000000"/>
          <w:sz w:val="24"/>
          <w:highlight w:val="none"/>
        </w:rPr>
      </w:pPr>
      <w:r>
        <w:rPr>
          <w:rFonts w:hint="eastAsia" w:ascii="宋体" w:hAnsi="宋体"/>
          <w:color w:val="000000"/>
          <w:sz w:val="24"/>
          <w:highlight w:val="none"/>
        </w:rPr>
        <w:t xml:space="preserve">法定代表人或者委托代理人（签字或者电子签名）： </w:t>
      </w:r>
    </w:p>
    <w:p w14:paraId="0CC4D1C6">
      <w:pPr>
        <w:snapToGrid w:val="0"/>
        <w:spacing w:line="360" w:lineRule="auto"/>
        <w:ind w:left="-3" w:leftChars="-15" w:right="-817" w:rightChars="-389" w:hanging="28" w:hangingChars="12"/>
        <w:rPr>
          <w:rFonts w:hint="eastAsia" w:ascii="宋体" w:hAnsi="宋体"/>
          <w:color w:val="000000"/>
          <w:sz w:val="24"/>
          <w:highlight w:val="none"/>
        </w:rPr>
      </w:pPr>
      <w:r>
        <w:rPr>
          <w:rFonts w:hint="eastAsia" w:ascii="宋体" w:hAnsi="宋体"/>
          <w:color w:val="000000"/>
          <w:sz w:val="24"/>
          <w:highlight w:val="none"/>
        </w:rPr>
        <w:t xml:space="preserve">                                      供应商公章（电子签章）：</w:t>
      </w:r>
    </w:p>
    <w:p w14:paraId="491564FD">
      <w:pPr>
        <w:snapToGrid w:val="0"/>
        <w:spacing w:line="360" w:lineRule="auto"/>
        <w:ind w:right="480" w:firstLine="240" w:firstLineChars="100"/>
        <w:jc w:val="left"/>
        <w:rPr>
          <w:rFonts w:hint="eastAsia" w:ascii="宋体" w:hAnsi="宋体"/>
          <w:color w:val="000000"/>
          <w:szCs w:val="21"/>
          <w:highlight w:val="none"/>
        </w:rPr>
      </w:pPr>
      <w:r>
        <w:rPr>
          <w:rFonts w:hint="eastAsia" w:ascii="宋体" w:hAnsi="宋体"/>
          <w:color w:val="000000"/>
          <w:sz w:val="24"/>
          <w:highlight w:val="none"/>
        </w:rPr>
        <w:t xml:space="preserve">                                    日期：    年   月   日</w:t>
      </w:r>
    </w:p>
    <w:p w14:paraId="36E7D2BE">
      <w:pPr>
        <w:rPr>
          <w:rFonts w:hint="eastAsia"/>
          <w:color w:val="000000"/>
          <w:highlight w:val="none"/>
        </w:rPr>
      </w:pPr>
    </w:p>
    <w:p w14:paraId="02E2B9F4">
      <w:pPr>
        <w:snapToGrid w:val="0"/>
        <w:spacing w:before="50"/>
        <w:jc w:val="left"/>
        <w:rPr>
          <w:rFonts w:hint="eastAsia" w:ascii="宋体" w:hAnsi="宋体"/>
          <w:color w:val="000000"/>
          <w:sz w:val="24"/>
          <w:highlight w:val="none"/>
        </w:rPr>
      </w:pPr>
    </w:p>
    <w:p w14:paraId="535C8B51">
      <w:pPr>
        <w:snapToGrid w:val="0"/>
        <w:spacing w:before="120" w:beforeLines="50"/>
        <w:rPr>
          <w:rFonts w:ascii="宋体" w:hAnsi="宋体"/>
          <w:color w:val="000000"/>
          <w:sz w:val="24"/>
          <w:szCs w:val="20"/>
          <w:highlight w:val="none"/>
        </w:rPr>
        <w:sectPr>
          <w:pgSz w:w="11906" w:h="16838"/>
          <w:pgMar w:top="1440" w:right="1797" w:bottom="1440" w:left="1797" w:header="851" w:footer="992" w:gutter="0"/>
          <w:cols w:space="720" w:num="1"/>
          <w:docGrid w:linePitch="312" w:charSpace="0"/>
        </w:sectPr>
      </w:pPr>
    </w:p>
    <w:p w14:paraId="27BCF9F8">
      <w:pPr>
        <w:snapToGrid w:val="0"/>
        <w:spacing w:before="120" w:beforeLines="50" w:after="50"/>
        <w:jc w:val="left"/>
        <w:rPr>
          <w:rFonts w:hint="eastAsia" w:ascii="宋体" w:hAnsi="宋体"/>
          <w:b/>
          <w:color w:val="000000"/>
          <w:sz w:val="24"/>
          <w:highlight w:val="none"/>
        </w:rPr>
      </w:pPr>
      <w:r>
        <w:rPr>
          <w:rFonts w:hint="eastAsia" w:ascii="宋体" w:hAnsi="宋体"/>
          <w:b/>
          <w:color w:val="000000"/>
          <w:sz w:val="24"/>
          <w:highlight w:val="none"/>
        </w:rPr>
        <w:t>9. 设备性能配置清单格式</w:t>
      </w:r>
    </w:p>
    <w:p w14:paraId="429BDA90">
      <w:pPr>
        <w:snapToGrid w:val="0"/>
        <w:spacing w:before="120" w:beforeLines="50" w:after="50"/>
        <w:ind w:left="142"/>
        <w:jc w:val="left"/>
        <w:rPr>
          <w:rFonts w:hint="eastAsia" w:ascii="宋体" w:hAnsi="宋体"/>
          <w:b/>
          <w:color w:val="000000"/>
          <w:sz w:val="24"/>
          <w:highlight w:val="none"/>
        </w:rPr>
      </w:pPr>
    </w:p>
    <w:p w14:paraId="6729FAF4">
      <w:pPr>
        <w:snapToGrid w:val="0"/>
        <w:spacing w:before="120" w:beforeLines="50" w:after="50"/>
        <w:ind w:left="142"/>
        <w:jc w:val="center"/>
        <w:rPr>
          <w:rFonts w:hint="eastAsia" w:ascii="宋体" w:hAnsi="宋体"/>
          <w:b/>
          <w:color w:val="000000"/>
          <w:sz w:val="32"/>
          <w:szCs w:val="32"/>
          <w:highlight w:val="none"/>
        </w:rPr>
      </w:pPr>
      <w:r>
        <w:rPr>
          <w:rFonts w:hint="eastAsia" w:ascii="宋体" w:hAnsi="宋体"/>
          <w:b/>
          <w:color w:val="000000"/>
          <w:sz w:val="32"/>
          <w:szCs w:val="32"/>
          <w:highlight w:val="none"/>
        </w:rPr>
        <w:t>设备性能配置清单</w:t>
      </w:r>
    </w:p>
    <w:p w14:paraId="0DE61813">
      <w:pPr>
        <w:pStyle w:val="24"/>
        <w:rPr>
          <w:rFonts w:hint="eastAsia"/>
          <w:color w:val="000000"/>
          <w:sz w:val="24"/>
          <w:szCs w:val="24"/>
          <w:highlight w:val="none"/>
        </w:rPr>
      </w:pPr>
      <w:r>
        <w:rPr>
          <w:rFonts w:hint="eastAsia"/>
          <w:color w:val="000000"/>
          <w:sz w:val="24"/>
          <w:szCs w:val="24"/>
          <w:highlight w:val="none"/>
        </w:rPr>
        <w:t>所投分标：</w:t>
      </w:r>
      <w:r>
        <w:rPr>
          <w:rFonts w:hint="eastAsia"/>
          <w:color w:val="000000"/>
          <w:sz w:val="24"/>
          <w:szCs w:val="24"/>
          <w:highlight w:val="none"/>
          <w:u w:val="single"/>
        </w:rPr>
        <w:t xml:space="preserve">     </w:t>
      </w:r>
      <w:r>
        <w:rPr>
          <w:rFonts w:hint="eastAsia"/>
          <w:color w:val="000000"/>
          <w:sz w:val="24"/>
          <w:szCs w:val="24"/>
          <w:highlight w:val="none"/>
        </w:rPr>
        <w:t>分标</w:t>
      </w:r>
    </w:p>
    <w:tbl>
      <w:tblPr>
        <w:tblStyle w:val="4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56"/>
        <w:gridCol w:w="1495"/>
        <w:gridCol w:w="992"/>
        <w:gridCol w:w="708"/>
        <w:gridCol w:w="1561"/>
        <w:gridCol w:w="1187"/>
        <w:gridCol w:w="703"/>
        <w:gridCol w:w="1426"/>
      </w:tblGrid>
      <w:tr w14:paraId="22F775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267" w:type="pct"/>
            <w:tcBorders>
              <w:top w:val="single" w:color="auto" w:sz="4" w:space="0"/>
              <w:left w:val="single" w:color="auto" w:sz="4" w:space="0"/>
              <w:bottom w:val="single" w:color="auto" w:sz="4" w:space="0"/>
              <w:right w:val="single" w:color="auto" w:sz="4" w:space="0"/>
            </w:tcBorders>
            <w:noWrap w:val="0"/>
            <w:vAlign w:val="center"/>
          </w:tcPr>
          <w:p w14:paraId="6F0F005C">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序号</w:t>
            </w:r>
          </w:p>
        </w:tc>
        <w:tc>
          <w:tcPr>
            <w:tcW w:w="877" w:type="pct"/>
            <w:tcBorders>
              <w:top w:val="single" w:color="auto" w:sz="4" w:space="0"/>
              <w:left w:val="single" w:color="auto" w:sz="4" w:space="0"/>
              <w:bottom w:val="single" w:color="auto" w:sz="4" w:space="0"/>
              <w:right w:val="single" w:color="auto" w:sz="4" w:space="0"/>
            </w:tcBorders>
            <w:noWrap w:val="0"/>
            <w:vAlign w:val="center"/>
          </w:tcPr>
          <w:p w14:paraId="1AF23E63">
            <w:pPr>
              <w:snapToGrid w:val="0"/>
              <w:spacing w:before="50" w:after="50"/>
              <w:jc w:val="center"/>
              <w:rPr>
                <w:rFonts w:hint="eastAsia" w:ascii="宋体" w:hAnsi="宋体"/>
                <w:color w:val="000000"/>
                <w:sz w:val="24"/>
                <w:highlight w:val="none"/>
              </w:rPr>
            </w:pPr>
            <w:r>
              <w:rPr>
                <w:rFonts w:hint="eastAsia" w:hAnsi="宋体" w:cs="Courier New"/>
                <w:color w:val="000000"/>
                <w:sz w:val="24"/>
                <w:highlight w:val="none"/>
              </w:rPr>
              <w:t>标的的名称</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6BAFEBE5">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数量及单位</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7CF4BE20">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品牌</w:t>
            </w:r>
          </w:p>
        </w:tc>
        <w:tc>
          <w:tcPr>
            <w:tcW w:w="915" w:type="pct"/>
            <w:tcBorders>
              <w:top w:val="single" w:color="auto" w:sz="4" w:space="0"/>
              <w:left w:val="single" w:color="auto" w:sz="4" w:space="0"/>
              <w:bottom w:val="single" w:color="auto" w:sz="4" w:space="0"/>
              <w:right w:val="single" w:color="auto" w:sz="4" w:space="0"/>
            </w:tcBorders>
            <w:noWrap w:val="0"/>
            <w:vAlign w:val="top"/>
          </w:tcPr>
          <w:p w14:paraId="243778D2">
            <w:pPr>
              <w:snapToGrid w:val="0"/>
              <w:spacing w:before="50" w:after="50"/>
              <w:jc w:val="center"/>
              <w:rPr>
                <w:rFonts w:ascii="宋体" w:hAnsi="宋体"/>
                <w:color w:val="000000"/>
                <w:sz w:val="24"/>
                <w:highlight w:val="none"/>
              </w:rPr>
            </w:pPr>
          </w:p>
          <w:p w14:paraId="15E513FD">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45B21E86">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0054084E">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2358BF71">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参数性能、指标及配置</w:t>
            </w:r>
          </w:p>
        </w:tc>
      </w:tr>
      <w:tr w14:paraId="4BF3EE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267" w:type="pct"/>
            <w:tcBorders>
              <w:top w:val="single" w:color="auto" w:sz="4" w:space="0"/>
              <w:left w:val="single" w:color="auto" w:sz="4" w:space="0"/>
              <w:bottom w:val="single" w:color="auto" w:sz="4" w:space="0"/>
              <w:right w:val="single" w:color="auto" w:sz="4" w:space="0"/>
            </w:tcBorders>
            <w:noWrap w:val="0"/>
            <w:vAlign w:val="center"/>
          </w:tcPr>
          <w:p w14:paraId="4CE23A0F">
            <w:pPr>
              <w:snapToGrid w:val="0"/>
              <w:spacing w:before="50" w:after="50"/>
              <w:jc w:val="center"/>
              <w:rPr>
                <w:rFonts w:hint="eastAsia" w:ascii="宋体" w:hAnsi="宋体"/>
                <w:color w:val="000000"/>
                <w:sz w:val="24"/>
                <w:highlight w:val="none"/>
              </w:rPr>
            </w:pPr>
          </w:p>
        </w:tc>
        <w:tc>
          <w:tcPr>
            <w:tcW w:w="877" w:type="pct"/>
            <w:tcBorders>
              <w:top w:val="single" w:color="auto" w:sz="4" w:space="0"/>
              <w:left w:val="single" w:color="auto" w:sz="4" w:space="0"/>
              <w:bottom w:val="single" w:color="auto" w:sz="4" w:space="0"/>
              <w:right w:val="single" w:color="auto" w:sz="4" w:space="0"/>
            </w:tcBorders>
            <w:noWrap w:val="0"/>
            <w:vAlign w:val="center"/>
          </w:tcPr>
          <w:p w14:paraId="17310C3C">
            <w:pPr>
              <w:snapToGrid w:val="0"/>
              <w:spacing w:before="50" w:after="50"/>
              <w:jc w:val="center"/>
              <w:rPr>
                <w:rFonts w:hint="eastAsia" w:ascii="宋体" w:hAnsi="宋体"/>
                <w:color w:val="000000"/>
                <w:sz w:val="24"/>
                <w:highlight w:val="none"/>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6EF81AB3">
            <w:pPr>
              <w:snapToGrid w:val="0"/>
              <w:spacing w:before="50" w:after="50"/>
              <w:jc w:val="center"/>
              <w:rPr>
                <w:rFonts w:hint="eastAsia" w:ascii="宋体" w:hAnsi="宋体"/>
                <w:color w:val="000000"/>
                <w:sz w:val="24"/>
                <w:highlight w:val="none"/>
              </w:rPr>
            </w:pPr>
          </w:p>
        </w:tc>
        <w:tc>
          <w:tcPr>
            <w:tcW w:w="415" w:type="pct"/>
            <w:tcBorders>
              <w:top w:val="single" w:color="auto" w:sz="4" w:space="0"/>
              <w:left w:val="single" w:color="auto" w:sz="4" w:space="0"/>
              <w:bottom w:val="single" w:color="auto" w:sz="4" w:space="0"/>
              <w:right w:val="single" w:color="auto" w:sz="4" w:space="0"/>
            </w:tcBorders>
            <w:noWrap w:val="0"/>
            <w:vAlign w:val="center"/>
          </w:tcPr>
          <w:p w14:paraId="34F5048B">
            <w:pPr>
              <w:snapToGrid w:val="0"/>
              <w:spacing w:before="50" w:after="50"/>
              <w:jc w:val="center"/>
              <w:rPr>
                <w:rFonts w:hint="eastAsia" w:ascii="宋体" w:hAnsi="宋体"/>
                <w:color w:val="000000"/>
                <w:sz w:val="24"/>
                <w:highlight w:val="none"/>
              </w:rPr>
            </w:pPr>
          </w:p>
        </w:tc>
        <w:tc>
          <w:tcPr>
            <w:tcW w:w="915" w:type="pct"/>
            <w:tcBorders>
              <w:top w:val="single" w:color="auto" w:sz="4" w:space="0"/>
              <w:left w:val="single" w:color="auto" w:sz="4" w:space="0"/>
              <w:bottom w:val="single" w:color="auto" w:sz="4" w:space="0"/>
              <w:right w:val="single" w:color="auto" w:sz="4" w:space="0"/>
            </w:tcBorders>
            <w:noWrap w:val="0"/>
            <w:vAlign w:val="top"/>
          </w:tcPr>
          <w:p w14:paraId="79279EB4">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70E4D809">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48F9AF19">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2E122835">
            <w:pPr>
              <w:snapToGrid w:val="0"/>
              <w:spacing w:before="50" w:after="50"/>
              <w:jc w:val="center"/>
              <w:rPr>
                <w:rFonts w:hint="eastAsia" w:ascii="宋体" w:hAnsi="宋体"/>
                <w:color w:val="000000"/>
                <w:sz w:val="24"/>
                <w:highlight w:val="none"/>
              </w:rPr>
            </w:pPr>
          </w:p>
        </w:tc>
      </w:tr>
      <w:tr w14:paraId="052A7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267" w:type="pct"/>
            <w:tcBorders>
              <w:top w:val="single" w:color="auto" w:sz="4" w:space="0"/>
              <w:left w:val="single" w:color="auto" w:sz="4" w:space="0"/>
              <w:bottom w:val="single" w:color="auto" w:sz="4" w:space="0"/>
              <w:right w:val="single" w:color="auto" w:sz="4" w:space="0"/>
            </w:tcBorders>
            <w:noWrap w:val="0"/>
            <w:vAlign w:val="center"/>
          </w:tcPr>
          <w:p w14:paraId="3DDD3E36">
            <w:pPr>
              <w:snapToGrid w:val="0"/>
              <w:spacing w:before="50" w:after="50"/>
              <w:jc w:val="center"/>
              <w:rPr>
                <w:rFonts w:hint="eastAsia" w:ascii="宋体" w:hAnsi="宋体"/>
                <w:color w:val="000000"/>
                <w:sz w:val="24"/>
                <w:highlight w:val="none"/>
              </w:rPr>
            </w:pPr>
          </w:p>
        </w:tc>
        <w:tc>
          <w:tcPr>
            <w:tcW w:w="877" w:type="pct"/>
            <w:tcBorders>
              <w:top w:val="single" w:color="auto" w:sz="4" w:space="0"/>
              <w:left w:val="single" w:color="auto" w:sz="4" w:space="0"/>
              <w:bottom w:val="single" w:color="auto" w:sz="4" w:space="0"/>
              <w:right w:val="single" w:color="auto" w:sz="4" w:space="0"/>
            </w:tcBorders>
            <w:noWrap w:val="0"/>
            <w:vAlign w:val="center"/>
          </w:tcPr>
          <w:p w14:paraId="056BB730">
            <w:pPr>
              <w:snapToGrid w:val="0"/>
              <w:spacing w:before="50" w:after="50"/>
              <w:jc w:val="center"/>
              <w:rPr>
                <w:rFonts w:hint="eastAsia" w:ascii="宋体" w:hAnsi="宋体"/>
                <w:color w:val="000000"/>
                <w:sz w:val="24"/>
                <w:highlight w:val="none"/>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3488023B">
            <w:pPr>
              <w:snapToGrid w:val="0"/>
              <w:spacing w:before="50" w:after="50"/>
              <w:jc w:val="center"/>
              <w:rPr>
                <w:rFonts w:hint="eastAsia" w:ascii="宋体" w:hAnsi="宋体"/>
                <w:color w:val="000000"/>
                <w:sz w:val="24"/>
                <w:highlight w:val="none"/>
              </w:rPr>
            </w:pPr>
          </w:p>
        </w:tc>
        <w:tc>
          <w:tcPr>
            <w:tcW w:w="415" w:type="pct"/>
            <w:tcBorders>
              <w:top w:val="single" w:color="auto" w:sz="4" w:space="0"/>
              <w:left w:val="single" w:color="auto" w:sz="4" w:space="0"/>
              <w:bottom w:val="single" w:color="auto" w:sz="4" w:space="0"/>
              <w:right w:val="single" w:color="auto" w:sz="4" w:space="0"/>
            </w:tcBorders>
            <w:noWrap w:val="0"/>
            <w:vAlign w:val="center"/>
          </w:tcPr>
          <w:p w14:paraId="6C2A4A4D">
            <w:pPr>
              <w:snapToGrid w:val="0"/>
              <w:spacing w:before="50" w:after="50"/>
              <w:jc w:val="center"/>
              <w:rPr>
                <w:rFonts w:hint="eastAsia" w:ascii="宋体" w:hAnsi="宋体"/>
                <w:color w:val="000000"/>
                <w:sz w:val="24"/>
                <w:highlight w:val="none"/>
              </w:rPr>
            </w:pPr>
          </w:p>
        </w:tc>
        <w:tc>
          <w:tcPr>
            <w:tcW w:w="915" w:type="pct"/>
            <w:tcBorders>
              <w:top w:val="single" w:color="auto" w:sz="4" w:space="0"/>
              <w:left w:val="single" w:color="auto" w:sz="4" w:space="0"/>
              <w:bottom w:val="single" w:color="auto" w:sz="4" w:space="0"/>
              <w:right w:val="single" w:color="auto" w:sz="4" w:space="0"/>
            </w:tcBorders>
            <w:noWrap w:val="0"/>
            <w:vAlign w:val="top"/>
          </w:tcPr>
          <w:p w14:paraId="70858E80">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13AADC01">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47F323B4">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21B77655">
            <w:pPr>
              <w:snapToGrid w:val="0"/>
              <w:spacing w:before="50" w:after="50"/>
              <w:jc w:val="center"/>
              <w:rPr>
                <w:rFonts w:hint="eastAsia" w:ascii="宋体" w:hAnsi="宋体"/>
                <w:color w:val="000000"/>
                <w:sz w:val="24"/>
                <w:highlight w:val="none"/>
              </w:rPr>
            </w:pPr>
          </w:p>
        </w:tc>
      </w:tr>
      <w:tr w14:paraId="0CF10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267" w:type="pct"/>
            <w:tcBorders>
              <w:top w:val="single" w:color="auto" w:sz="4" w:space="0"/>
              <w:left w:val="single" w:color="auto" w:sz="4" w:space="0"/>
              <w:bottom w:val="single" w:color="auto" w:sz="4" w:space="0"/>
              <w:right w:val="single" w:color="auto" w:sz="4" w:space="0"/>
            </w:tcBorders>
            <w:noWrap w:val="0"/>
            <w:vAlign w:val="center"/>
          </w:tcPr>
          <w:p w14:paraId="1B75955C">
            <w:pPr>
              <w:snapToGrid w:val="0"/>
              <w:spacing w:before="50" w:after="50"/>
              <w:jc w:val="center"/>
              <w:rPr>
                <w:rFonts w:hint="eastAsia" w:ascii="宋体" w:hAnsi="宋体"/>
                <w:color w:val="000000"/>
                <w:sz w:val="24"/>
                <w:highlight w:val="none"/>
              </w:rPr>
            </w:pPr>
          </w:p>
        </w:tc>
        <w:tc>
          <w:tcPr>
            <w:tcW w:w="877" w:type="pct"/>
            <w:tcBorders>
              <w:top w:val="single" w:color="auto" w:sz="4" w:space="0"/>
              <w:left w:val="single" w:color="auto" w:sz="4" w:space="0"/>
              <w:bottom w:val="single" w:color="auto" w:sz="4" w:space="0"/>
              <w:right w:val="single" w:color="auto" w:sz="4" w:space="0"/>
            </w:tcBorders>
            <w:noWrap w:val="0"/>
            <w:vAlign w:val="center"/>
          </w:tcPr>
          <w:p w14:paraId="0EF52AE3">
            <w:pPr>
              <w:snapToGrid w:val="0"/>
              <w:spacing w:before="50" w:after="50"/>
              <w:jc w:val="center"/>
              <w:rPr>
                <w:rFonts w:hint="eastAsia" w:ascii="宋体" w:hAnsi="宋体"/>
                <w:color w:val="000000"/>
                <w:sz w:val="24"/>
                <w:highlight w:val="none"/>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1425D303">
            <w:pPr>
              <w:snapToGrid w:val="0"/>
              <w:spacing w:before="50" w:after="50"/>
              <w:jc w:val="center"/>
              <w:rPr>
                <w:rFonts w:hint="eastAsia" w:ascii="宋体" w:hAnsi="宋体"/>
                <w:color w:val="000000"/>
                <w:sz w:val="24"/>
                <w:highlight w:val="none"/>
              </w:rPr>
            </w:pPr>
          </w:p>
        </w:tc>
        <w:tc>
          <w:tcPr>
            <w:tcW w:w="415" w:type="pct"/>
            <w:tcBorders>
              <w:top w:val="single" w:color="auto" w:sz="4" w:space="0"/>
              <w:left w:val="single" w:color="auto" w:sz="4" w:space="0"/>
              <w:bottom w:val="single" w:color="auto" w:sz="4" w:space="0"/>
              <w:right w:val="single" w:color="auto" w:sz="4" w:space="0"/>
            </w:tcBorders>
            <w:noWrap w:val="0"/>
            <w:vAlign w:val="center"/>
          </w:tcPr>
          <w:p w14:paraId="56E87F5B">
            <w:pPr>
              <w:snapToGrid w:val="0"/>
              <w:spacing w:before="50" w:after="50"/>
              <w:jc w:val="center"/>
              <w:rPr>
                <w:rFonts w:hint="eastAsia" w:ascii="宋体" w:hAnsi="宋体"/>
                <w:color w:val="000000"/>
                <w:sz w:val="24"/>
                <w:highlight w:val="none"/>
              </w:rPr>
            </w:pPr>
          </w:p>
        </w:tc>
        <w:tc>
          <w:tcPr>
            <w:tcW w:w="915" w:type="pct"/>
            <w:tcBorders>
              <w:top w:val="single" w:color="auto" w:sz="4" w:space="0"/>
              <w:left w:val="single" w:color="auto" w:sz="4" w:space="0"/>
              <w:bottom w:val="single" w:color="auto" w:sz="4" w:space="0"/>
              <w:right w:val="single" w:color="auto" w:sz="4" w:space="0"/>
            </w:tcBorders>
            <w:noWrap w:val="0"/>
            <w:vAlign w:val="top"/>
          </w:tcPr>
          <w:p w14:paraId="7C127CD8">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1F30DD7">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B6ADCC1">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68BC9E70">
            <w:pPr>
              <w:snapToGrid w:val="0"/>
              <w:spacing w:before="50" w:after="50"/>
              <w:jc w:val="center"/>
              <w:rPr>
                <w:rFonts w:hint="eastAsia" w:ascii="宋体" w:hAnsi="宋体"/>
                <w:color w:val="000000"/>
                <w:sz w:val="24"/>
                <w:highlight w:val="none"/>
              </w:rPr>
            </w:pPr>
          </w:p>
        </w:tc>
      </w:tr>
    </w:tbl>
    <w:p w14:paraId="21072E27">
      <w:pPr>
        <w:spacing w:line="360" w:lineRule="auto"/>
        <w:contextualSpacing/>
        <w:rPr>
          <w:rFonts w:hint="eastAsia" w:ascii="宋体" w:hAnsi="宋体"/>
          <w:color w:val="000000"/>
          <w:sz w:val="24"/>
          <w:highlight w:val="none"/>
        </w:rPr>
      </w:pPr>
      <w:r>
        <w:rPr>
          <w:rFonts w:hint="eastAsia" w:ascii="宋体" w:hAnsi="宋体"/>
          <w:color w:val="000000"/>
          <w:sz w:val="24"/>
          <w:highlight w:val="none"/>
        </w:rPr>
        <w:t>备注：</w:t>
      </w:r>
    </w:p>
    <w:p w14:paraId="766D7F33">
      <w:pPr>
        <w:spacing w:line="360" w:lineRule="auto"/>
        <w:ind w:firstLine="480" w:firstLineChars="200"/>
        <w:contextualSpacing/>
        <w:rPr>
          <w:rFonts w:hint="eastAsia" w:ascii="宋体" w:hAnsi="宋体"/>
          <w:b/>
          <w:color w:val="000000"/>
          <w:sz w:val="24"/>
          <w:highlight w:val="none"/>
        </w:rPr>
      </w:pPr>
      <w:r>
        <w:rPr>
          <w:rFonts w:hint="eastAsia" w:ascii="宋体" w:hAnsi="宋体"/>
          <w:color w:val="000000"/>
          <w:sz w:val="24"/>
          <w:highlight w:val="none"/>
        </w:rPr>
        <w:t>以上设备性能配置清单中“货物名称、数量及单位、品牌、规格型号、制造商、原产地、参数性能、指标及配置”必须如实填写完整，品牌、规格型号没有则填无，填写有缺漏</w:t>
      </w:r>
      <w:r>
        <w:rPr>
          <w:rFonts w:hint="eastAsia" w:ascii="宋体" w:hAnsi="宋体"/>
          <w:bCs/>
          <w:color w:val="000000"/>
          <w:sz w:val="24"/>
          <w:highlight w:val="none"/>
        </w:rPr>
        <w:t>的，</w:t>
      </w:r>
      <w:r>
        <w:rPr>
          <w:rFonts w:hint="eastAsia" w:ascii="宋体" w:hAnsi="宋体"/>
          <w:b/>
          <w:color w:val="000000"/>
          <w:sz w:val="24"/>
          <w:highlight w:val="none"/>
        </w:rPr>
        <w:t>作无效投标处理。</w:t>
      </w:r>
      <w:r>
        <w:rPr>
          <w:rFonts w:hint="eastAsia" w:hAnsi="宋体" w:cs="Courier New"/>
          <w:color w:val="000000"/>
          <w:sz w:val="24"/>
          <w:highlight w:val="none"/>
        </w:rPr>
        <w:t>标的的名称</w:t>
      </w:r>
      <w:r>
        <w:rPr>
          <w:rFonts w:hint="eastAsia" w:ascii="宋体" w:hAnsi="宋体"/>
          <w:color w:val="000000"/>
          <w:sz w:val="24"/>
          <w:highlight w:val="none"/>
        </w:rPr>
        <w:t>、数量及单位、品牌必须与“开标一览表”一致，</w:t>
      </w:r>
      <w:r>
        <w:rPr>
          <w:rFonts w:hint="eastAsia" w:ascii="宋体" w:hAnsi="宋体"/>
          <w:b/>
          <w:color w:val="000000"/>
          <w:sz w:val="24"/>
          <w:highlight w:val="none"/>
        </w:rPr>
        <w:t>否则按无效投标处理。</w:t>
      </w:r>
    </w:p>
    <w:p w14:paraId="1755E1B0">
      <w:pPr>
        <w:spacing w:line="360" w:lineRule="auto"/>
        <w:ind w:firstLine="480" w:firstLineChars="200"/>
        <w:contextualSpacing/>
        <w:rPr>
          <w:rFonts w:hint="eastAsia" w:ascii="宋体" w:hAnsi="宋体"/>
          <w:color w:val="000000"/>
          <w:sz w:val="24"/>
          <w:highlight w:val="none"/>
        </w:rPr>
      </w:pPr>
    </w:p>
    <w:p w14:paraId="478E124C">
      <w:pPr>
        <w:spacing w:line="360" w:lineRule="auto"/>
        <w:contextualSpacing/>
        <w:rPr>
          <w:rFonts w:hint="eastAsia" w:ascii="宋体" w:hAnsi="宋体"/>
          <w:color w:val="000000"/>
          <w:spacing w:val="20"/>
          <w:sz w:val="24"/>
          <w:highlight w:val="none"/>
          <w:u w:val="single"/>
        </w:rPr>
      </w:pPr>
      <w:r>
        <w:rPr>
          <w:rFonts w:hint="eastAsia" w:ascii="宋体" w:hAnsi="宋体"/>
          <w:color w:val="000000"/>
          <w:sz w:val="24"/>
          <w:highlight w:val="none"/>
        </w:rPr>
        <w:t>法定代表人或者委托代理人</w:t>
      </w:r>
      <w:r>
        <w:rPr>
          <w:rFonts w:hint="eastAsia" w:ascii="宋体" w:hAnsi="宋体"/>
          <w:color w:val="000000"/>
          <w:spacing w:val="20"/>
          <w:sz w:val="24"/>
          <w:highlight w:val="none"/>
        </w:rPr>
        <w:t>（签字或者电子签名）：</w:t>
      </w:r>
      <w:r>
        <w:rPr>
          <w:rFonts w:hint="eastAsia" w:ascii="宋体" w:hAnsi="宋体"/>
          <w:color w:val="000000"/>
          <w:spacing w:val="20"/>
          <w:sz w:val="24"/>
          <w:highlight w:val="none"/>
          <w:u w:val="single"/>
        </w:rPr>
        <w:t xml:space="preserve">        </w:t>
      </w:r>
    </w:p>
    <w:p w14:paraId="27C4F1FF">
      <w:pPr>
        <w:spacing w:line="360" w:lineRule="auto"/>
        <w:contextualSpacing/>
        <w:rPr>
          <w:rFonts w:hint="eastAsia" w:ascii="宋体" w:hAnsi="宋体"/>
          <w:color w:val="000000"/>
          <w:spacing w:val="20"/>
          <w:sz w:val="24"/>
          <w:highlight w:val="none"/>
        </w:rPr>
      </w:pPr>
      <w:r>
        <w:rPr>
          <w:rFonts w:hint="eastAsia" w:ascii="宋体" w:hAnsi="宋体"/>
          <w:color w:val="000000"/>
          <w:spacing w:val="20"/>
          <w:sz w:val="24"/>
          <w:highlight w:val="none"/>
        </w:rPr>
        <w:t>投标人名称（电子签章）：</w:t>
      </w:r>
      <w:r>
        <w:rPr>
          <w:rFonts w:hint="eastAsia" w:ascii="宋体" w:hAnsi="宋体"/>
          <w:color w:val="000000"/>
          <w:spacing w:val="20"/>
          <w:sz w:val="24"/>
          <w:highlight w:val="none"/>
          <w:u w:val="single"/>
        </w:rPr>
        <w:t xml:space="preserve">            </w:t>
      </w:r>
      <w:r>
        <w:rPr>
          <w:rFonts w:hint="eastAsia" w:ascii="宋体" w:hAnsi="宋体"/>
          <w:color w:val="000000"/>
          <w:spacing w:val="20"/>
          <w:sz w:val="24"/>
          <w:highlight w:val="none"/>
        </w:rPr>
        <w:t xml:space="preserve">              </w:t>
      </w:r>
    </w:p>
    <w:p w14:paraId="653A4BAC">
      <w:pPr>
        <w:spacing w:line="360" w:lineRule="auto"/>
        <w:contextualSpacing/>
        <w:rPr>
          <w:rFonts w:hint="eastAsia" w:ascii="宋体" w:hAnsi="宋体"/>
          <w:color w:val="000000"/>
          <w:sz w:val="24"/>
          <w:szCs w:val="20"/>
          <w:highlight w:val="none"/>
        </w:rPr>
      </w:pPr>
      <w:r>
        <w:rPr>
          <w:rFonts w:hint="eastAsia" w:ascii="宋体" w:hAnsi="宋体"/>
          <w:color w:val="000000"/>
          <w:spacing w:val="20"/>
          <w:sz w:val="24"/>
          <w:highlight w:val="none"/>
        </w:rPr>
        <w:t>日  期：</w:t>
      </w:r>
      <w:r>
        <w:rPr>
          <w:rFonts w:hint="eastAsia" w:ascii="宋体" w:hAnsi="宋体"/>
          <w:color w:val="000000"/>
          <w:spacing w:val="20"/>
          <w:sz w:val="24"/>
          <w:highlight w:val="none"/>
          <w:u w:val="single"/>
        </w:rPr>
        <w:t xml:space="preserve">          </w:t>
      </w:r>
    </w:p>
    <w:p w14:paraId="022ECB65">
      <w:pPr>
        <w:snapToGrid w:val="0"/>
        <w:spacing w:before="50" w:after="120" w:afterLines="50"/>
        <w:jc w:val="left"/>
        <w:rPr>
          <w:rFonts w:hint="eastAsia" w:ascii="宋体" w:hAnsi="宋体"/>
          <w:color w:val="000000"/>
          <w:sz w:val="24"/>
          <w:szCs w:val="20"/>
          <w:highlight w:val="none"/>
        </w:rPr>
      </w:pPr>
    </w:p>
    <w:p w14:paraId="3A913490">
      <w:pPr>
        <w:snapToGrid w:val="0"/>
        <w:spacing w:before="50" w:after="120" w:afterLines="50"/>
        <w:jc w:val="left"/>
        <w:rPr>
          <w:rFonts w:hint="eastAsia" w:ascii="宋体" w:hAnsi="宋体"/>
          <w:color w:val="000000"/>
          <w:sz w:val="24"/>
          <w:szCs w:val="20"/>
          <w:highlight w:val="none"/>
        </w:rPr>
      </w:pPr>
    </w:p>
    <w:p w14:paraId="5986CE75">
      <w:pPr>
        <w:snapToGrid w:val="0"/>
        <w:spacing w:before="120" w:beforeLines="50" w:after="50"/>
        <w:ind w:left="142"/>
        <w:jc w:val="left"/>
        <w:rPr>
          <w:rFonts w:hint="eastAsia" w:ascii="宋体" w:hAnsi="宋体"/>
          <w:b/>
          <w:color w:val="000000"/>
          <w:sz w:val="24"/>
          <w:highlight w:val="none"/>
        </w:rPr>
      </w:pPr>
      <w:r>
        <w:rPr>
          <w:rFonts w:ascii="宋体" w:hAnsi="宋体"/>
          <w:b/>
          <w:color w:val="000000"/>
          <w:sz w:val="24"/>
          <w:highlight w:val="none"/>
        </w:rPr>
        <w:br w:type="page"/>
      </w:r>
      <w:r>
        <w:rPr>
          <w:rFonts w:hint="eastAsia" w:ascii="宋体" w:hAnsi="宋体"/>
          <w:b/>
          <w:color w:val="000000"/>
          <w:sz w:val="24"/>
          <w:highlight w:val="none"/>
        </w:rPr>
        <w:t>10. 技术要求偏离表格式</w:t>
      </w:r>
    </w:p>
    <w:p w14:paraId="41B95F13">
      <w:pPr>
        <w:snapToGrid w:val="0"/>
        <w:spacing w:before="120" w:beforeLines="50" w:after="50"/>
        <w:ind w:left="142"/>
        <w:jc w:val="left"/>
        <w:rPr>
          <w:rFonts w:hint="eastAsia" w:ascii="宋体" w:hAnsi="宋体"/>
          <w:b/>
          <w:color w:val="000000"/>
          <w:sz w:val="24"/>
          <w:highlight w:val="none"/>
        </w:rPr>
      </w:pPr>
    </w:p>
    <w:p w14:paraId="0B564AB6">
      <w:pPr>
        <w:snapToGrid w:val="0"/>
        <w:spacing w:before="120" w:beforeLines="50" w:after="50"/>
        <w:ind w:left="142"/>
        <w:jc w:val="center"/>
        <w:rPr>
          <w:rFonts w:hint="eastAsia" w:ascii="宋体" w:hAnsi="宋体"/>
          <w:b/>
          <w:color w:val="000000"/>
          <w:sz w:val="32"/>
          <w:szCs w:val="32"/>
          <w:highlight w:val="none"/>
        </w:rPr>
      </w:pPr>
      <w:r>
        <w:rPr>
          <w:rFonts w:hint="eastAsia" w:ascii="宋体" w:hAnsi="宋体"/>
          <w:b/>
          <w:color w:val="000000"/>
          <w:sz w:val="32"/>
          <w:szCs w:val="32"/>
          <w:highlight w:val="none"/>
        </w:rPr>
        <w:t>技术要求偏离表</w:t>
      </w:r>
    </w:p>
    <w:p w14:paraId="04EA8130">
      <w:pPr>
        <w:pStyle w:val="24"/>
        <w:rPr>
          <w:rFonts w:hint="eastAsia" w:hAnsi="宋体"/>
          <w:color w:val="000000"/>
          <w:sz w:val="24"/>
          <w:szCs w:val="24"/>
          <w:highlight w:val="none"/>
        </w:rPr>
      </w:pPr>
      <w:r>
        <w:rPr>
          <w:rFonts w:hint="eastAsia" w:hAnsi="宋体"/>
          <w:color w:val="000000"/>
          <w:sz w:val="24"/>
          <w:szCs w:val="24"/>
          <w:highlight w:val="none"/>
        </w:rPr>
        <w:t>所投分标：</w:t>
      </w:r>
      <w:r>
        <w:rPr>
          <w:rFonts w:hint="eastAsia" w:hAnsi="宋体"/>
          <w:color w:val="000000"/>
          <w:sz w:val="24"/>
          <w:szCs w:val="24"/>
          <w:highlight w:val="none"/>
          <w:u w:val="single"/>
        </w:rPr>
        <w:t xml:space="preserve">     </w:t>
      </w:r>
      <w:r>
        <w:rPr>
          <w:rFonts w:hint="eastAsia" w:hAnsi="宋体"/>
          <w:color w:val="000000"/>
          <w:sz w:val="24"/>
          <w:szCs w:val="24"/>
          <w:highlight w:val="none"/>
        </w:rPr>
        <w:t>分标</w:t>
      </w:r>
    </w:p>
    <w:tbl>
      <w:tblPr>
        <w:tblStyle w:val="45"/>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2149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31604311">
            <w:pPr>
              <w:pStyle w:val="24"/>
              <w:spacing w:line="400" w:lineRule="exact"/>
              <w:jc w:val="center"/>
              <w:rPr>
                <w:rFonts w:hint="eastAsia" w:hAnsi="宋体" w:cs="Courier New"/>
                <w:color w:val="000000"/>
                <w:kern w:val="2"/>
                <w:sz w:val="24"/>
                <w:szCs w:val="24"/>
                <w:highlight w:val="none"/>
                <w:lang w:val="en-US" w:eastAsia="zh-CN"/>
              </w:rPr>
            </w:pPr>
            <w:r>
              <w:rPr>
                <w:rFonts w:hint="eastAsia" w:hAnsi="宋体" w:cs="Courier New"/>
                <w:color w:val="000000"/>
                <w:kern w:val="2"/>
                <w:sz w:val="24"/>
                <w:szCs w:val="24"/>
                <w:highlight w:val="none"/>
                <w:lang w:val="en-US" w:eastAsia="zh-CN"/>
              </w:rPr>
              <w:t>项号</w:t>
            </w:r>
          </w:p>
        </w:tc>
        <w:tc>
          <w:tcPr>
            <w:tcW w:w="2143" w:type="dxa"/>
            <w:noWrap w:val="0"/>
            <w:vAlign w:val="center"/>
          </w:tcPr>
          <w:p w14:paraId="063C45F8">
            <w:pPr>
              <w:pStyle w:val="24"/>
              <w:spacing w:line="400" w:lineRule="exact"/>
              <w:jc w:val="center"/>
              <w:rPr>
                <w:rFonts w:hint="eastAsia" w:hAnsi="宋体" w:cs="Courier New"/>
                <w:color w:val="000000"/>
                <w:kern w:val="2"/>
                <w:sz w:val="24"/>
                <w:szCs w:val="24"/>
                <w:highlight w:val="none"/>
                <w:lang w:val="en-US" w:eastAsia="zh-CN"/>
              </w:rPr>
            </w:pPr>
            <w:r>
              <w:rPr>
                <w:rFonts w:hint="eastAsia" w:hAnsi="宋体" w:cs="Courier New"/>
                <w:color w:val="000000"/>
                <w:kern w:val="2"/>
                <w:sz w:val="24"/>
                <w:szCs w:val="24"/>
                <w:highlight w:val="none"/>
                <w:lang w:val="en-US" w:eastAsia="zh-CN"/>
              </w:rPr>
              <w:t>标的的名称</w:t>
            </w:r>
          </w:p>
        </w:tc>
        <w:tc>
          <w:tcPr>
            <w:tcW w:w="1834" w:type="dxa"/>
            <w:noWrap w:val="0"/>
            <w:vAlign w:val="center"/>
          </w:tcPr>
          <w:p w14:paraId="73CE5E43">
            <w:pPr>
              <w:pStyle w:val="24"/>
              <w:spacing w:line="400" w:lineRule="exact"/>
              <w:jc w:val="center"/>
              <w:rPr>
                <w:rFonts w:hAnsi="宋体" w:cs="Courier New"/>
                <w:color w:val="000000"/>
                <w:kern w:val="2"/>
                <w:sz w:val="24"/>
                <w:szCs w:val="24"/>
                <w:highlight w:val="none"/>
                <w:lang w:val="en-US" w:eastAsia="zh-CN"/>
              </w:rPr>
            </w:pPr>
            <w:r>
              <w:rPr>
                <w:rFonts w:hint="eastAsia" w:hAnsi="宋体" w:cs="Courier New"/>
                <w:color w:val="000000"/>
                <w:kern w:val="2"/>
                <w:sz w:val="24"/>
                <w:szCs w:val="24"/>
                <w:highlight w:val="none"/>
                <w:lang w:val="en-US" w:eastAsia="zh-CN"/>
              </w:rPr>
              <w:t>技术要求</w:t>
            </w:r>
          </w:p>
        </w:tc>
        <w:tc>
          <w:tcPr>
            <w:tcW w:w="2181" w:type="dxa"/>
            <w:noWrap w:val="0"/>
            <w:vAlign w:val="center"/>
          </w:tcPr>
          <w:p w14:paraId="4016A7BA">
            <w:pPr>
              <w:pStyle w:val="24"/>
              <w:spacing w:line="400" w:lineRule="exact"/>
              <w:jc w:val="center"/>
              <w:rPr>
                <w:rFonts w:hint="eastAsia" w:hAnsi="宋体" w:cs="Courier New"/>
                <w:color w:val="000000"/>
                <w:kern w:val="2"/>
                <w:sz w:val="24"/>
                <w:szCs w:val="24"/>
                <w:highlight w:val="none"/>
                <w:lang w:val="en-US" w:eastAsia="zh-CN"/>
              </w:rPr>
            </w:pPr>
            <w:r>
              <w:rPr>
                <w:rFonts w:hint="eastAsia" w:hAnsi="宋体" w:cs="Courier New"/>
                <w:color w:val="000000"/>
                <w:kern w:val="2"/>
                <w:sz w:val="24"/>
                <w:szCs w:val="24"/>
                <w:highlight w:val="none"/>
                <w:lang w:val="en-US" w:eastAsia="zh-CN"/>
              </w:rPr>
              <w:t>投标响应</w:t>
            </w:r>
          </w:p>
        </w:tc>
        <w:tc>
          <w:tcPr>
            <w:tcW w:w="1934" w:type="dxa"/>
            <w:noWrap w:val="0"/>
            <w:vAlign w:val="center"/>
          </w:tcPr>
          <w:p w14:paraId="4175F2EC">
            <w:pPr>
              <w:pStyle w:val="24"/>
              <w:spacing w:line="400" w:lineRule="exact"/>
              <w:jc w:val="center"/>
              <w:rPr>
                <w:rFonts w:hint="eastAsia" w:hAnsi="宋体" w:cs="Courier New"/>
                <w:color w:val="000000"/>
                <w:kern w:val="2"/>
                <w:sz w:val="24"/>
                <w:szCs w:val="24"/>
                <w:highlight w:val="none"/>
                <w:lang w:val="en-US" w:eastAsia="zh-CN"/>
              </w:rPr>
            </w:pPr>
            <w:r>
              <w:rPr>
                <w:rFonts w:hint="eastAsia" w:hAnsi="宋体" w:cs="Courier New"/>
                <w:color w:val="000000"/>
                <w:kern w:val="2"/>
                <w:sz w:val="24"/>
                <w:szCs w:val="24"/>
                <w:highlight w:val="none"/>
                <w:lang w:val="en-US" w:eastAsia="zh-CN"/>
              </w:rPr>
              <w:t>偏离说明</w:t>
            </w:r>
          </w:p>
        </w:tc>
      </w:tr>
      <w:tr w14:paraId="0EE3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01C8C12">
            <w:pPr>
              <w:pStyle w:val="24"/>
              <w:spacing w:line="600" w:lineRule="exact"/>
              <w:jc w:val="center"/>
              <w:rPr>
                <w:rFonts w:hint="eastAsia" w:hAnsi="宋体" w:cs="Courier New"/>
                <w:color w:val="000000"/>
                <w:kern w:val="2"/>
                <w:sz w:val="24"/>
                <w:szCs w:val="24"/>
                <w:highlight w:val="none"/>
                <w:lang w:val="en-US" w:eastAsia="zh-CN"/>
              </w:rPr>
            </w:pPr>
          </w:p>
        </w:tc>
        <w:tc>
          <w:tcPr>
            <w:tcW w:w="2143" w:type="dxa"/>
            <w:noWrap w:val="0"/>
            <w:vAlign w:val="center"/>
          </w:tcPr>
          <w:p w14:paraId="38E0F5E3">
            <w:pPr>
              <w:pStyle w:val="24"/>
              <w:spacing w:line="600" w:lineRule="exact"/>
              <w:jc w:val="center"/>
              <w:rPr>
                <w:rFonts w:hint="eastAsia" w:hAnsi="宋体" w:cs="Courier New"/>
                <w:color w:val="000000"/>
                <w:kern w:val="2"/>
                <w:sz w:val="24"/>
                <w:szCs w:val="24"/>
                <w:highlight w:val="none"/>
                <w:lang w:val="en-US" w:eastAsia="zh-CN"/>
              </w:rPr>
            </w:pPr>
          </w:p>
        </w:tc>
        <w:tc>
          <w:tcPr>
            <w:tcW w:w="1834" w:type="dxa"/>
            <w:noWrap w:val="0"/>
            <w:vAlign w:val="center"/>
          </w:tcPr>
          <w:p w14:paraId="51D53B02">
            <w:pPr>
              <w:pStyle w:val="24"/>
              <w:spacing w:line="600" w:lineRule="exact"/>
              <w:jc w:val="center"/>
              <w:rPr>
                <w:rFonts w:hint="eastAsia" w:hAnsi="宋体" w:cs="Courier New"/>
                <w:color w:val="000000"/>
                <w:kern w:val="2"/>
                <w:sz w:val="24"/>
                <w:szCs w:val="24"/>
                <w:highlight w:val="none"/>
                <w:lang w:val="en-US" w:eastAsia="zh-CN"/>
              </w:rPr>
            </w:pPr>
          </w:p>
        </w:tc>
        <w:tc>
          <w:tcPr>
            <w:tcW w:w="2181" w:type="dxa"/>
            <w:noWrap w:val="0"/>
            <w:vAlign w:val="center"/>
          </w:tcPr>
          <w:p w14:paraId="6A4BCC62">
            <w:pPr>
              <w:pStyle w:val="24"/>
              <w:spacing w:line="600" w:lineRule="exact"/>
              <w:jc w:val="center"/>
              <w:rPr>
                <w:rFonts w:hint="eastAsia" w:hAnsi="宋体" w:cs="Courier New"/>
                <w:color w:val="000000"/>
                <w:kern w:val="2"/>
                <w:sz w:val="24"/>
                <w:szCs w:val="24"/>
                <w:highlight w:val="none"/>
                <w:lang w:val="en-US" w:eastAsia="zh-CN"/>
              </w:rPr>
            </w:pPr>
          </w:p>
        </w:tc>
        <w:tc>
          <w:tcPr>
            <w:tcW w:w="1934" w:type="dxa"/>
            <w:noWrap w:val="0"/>
            <w:vAlign w:val="center"/>
          </w:tcPr>
          <w:p w14:paraId="702392F6">
            <w:pPr>
              <w:pStyle w:val="24"/>
              <w:spacing w:line="600" w:lineRule="exact"/>
              <w:jc w:val="center"/>
              <w:rPr>
                <w:rFonts w:hint="eastAsia" w:hAnsi="宋体" w:cs="Courier New"/>
                <w:color w:val="000000"/>
                <w:kern w:val="2"/>
                <w:sz w:val="24"/>
                <w:szCs w:val="24"/>
                <w:highlight w:val="none"/>
                <w:lang w:val="en-US" w:eastAsia="zh-CN"/>
              </w:rPr>
            </w:pPr>
          </w:p>
        </w:tc>
      </w:tr>
      <w:tr w14:paraId="3C35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66A02B2C">
            <w:pPr>
              <w:pStyle w:val="24"/>
              <w:spacing w:line="600" w:lineRule="exact"/>
              <w:rPr>
                <w:rFonts w:hint="eastAsia" w:hAnsi="宋体" w:cs="Courier New"/>
                <w:color w:val="000000"/>
                <w:kern w:val="2"/>
                <w:sz w:val="24"/>
                <w:szCs w:val="24"/>
                <w:highlight w:val="none"/>
                <w:lang w:val="en-US" w:eastAsia="zh-CN"/>
              </w:rPr>
            </w:pPr>
          </w:p>
        </w:tc>
        <w:tc>
          <w:tcPr>
            <w:tcW w:w="2143" w:type="dxa"/>
            <w:noWrap w:val="0"/>
            <w:vAlign w:val="top"/>
          </w:tcPr>
          <w:p w14:paraId="28F9C23C">
            <w:pPr>
              <w:pStyle w:val="24"/>
              <w:spacing w:line="600" w:lineRule="exact"/>
              <w:rPr>
                <w:rFonts w:hint="eastAsia" w:hAnsi="宋体" w:cs="Courier New"/>
                <w:color w:val="000000"/>
                <w:kern w:val="2"/>
                <w:sz w:val="24"/>
                <w:szCs w:val="24"/>
                <w:highlight w:val="none"/>
                <w:lang w:val="en-US" w:eastAsia="zh-CN"/>
              </w:rPr>
            </w:pPr>
          </w:p>
        </w:tc>
        <w:tc>
          <w:tcPr>
            <w:tcW w:w="1834" w:type="dxa"/>
            <w:noWrap w:val="0"/>
            <w:vAlign w:val="top"/>
          </w:tcPr>
          <w:p w14:paraId="2E70D475">
            <w:pPr>
              <w:pStyle w:val="24"/>
              <w:spacing w:line="600" w:lineRule="exact"/>
              <w:rPr>
                <w:rFonts w:hint="eastAsia" w:hAnsi="宋体" w:cs="Courier New"/>
                <w:color w:val="000000"/>
                <w:kern w:val="2"/>
                <w:sz w:val="24"/>
                <w:szCs w:val="24"/>
                <w:highlight w:val="none"/>
                <w:lang w:val="en-US" w:eastAsia="zh-CN"/>
              </w:rPr>
            </w:pPr>
          </w:p>
        </w:tc>
        <w:tc>
          <w:tcPr>
            <w:tcW w:w="2181" w:type="dxa"/>
            <w:noWrap w:val="0"/>
            <w:vAlign w:val="top"/>
          </w:tcPr>
          <w:p w14:paraId="1FF4EBC5">
            <w:pPr>
              <w:pStyle w:val="24"/>
              <w:spacing w:line="600" w:lineRule="exact"/>
              <w:rPr>
                <w:rFonts w:hint="eastAsia" w:hAnsi="宋体" w:cs="Courier New"/>
                <w:color w:val="000000"/>
                <w:kern w:val="2"/>
                <w:sz w:val="24"/>
                <w:szCs w:val="24"/>
                <w:highlight w:val="none"/>
                <w:lang w:val="en-US" w:eastAsia="zh-CN"/>
              </w:rPr>
            </w:pPr>
          </w:p>
        </w:tc>
        <w:tc>
          <w:tcPr>
            <w:tcW w:w="1934" w:type="dxa"/>
            <w:noWrap w:val="0"/>
            <w:vAlign w:val="top"/>
          </w:tcPr>
          <w:p w14:paraId="745BBABB">
            <w:pPr>
              <w:pStyle w:val="24"/>
              <w:spacing w:line="600" w:lineRule="exact"/>
              <w:rPr>
                <w:rFonts w:hint="eastAsia" w:hAnsi="宋体" w:cs="Courier New"/>
                <w:color w:val="000000"/>
                <w:kern w:val="2"/>
                <w:sz w:val="24"/>
                <w:szCs w:val="24"/>
                <w:highlight w:val="none"/>
                <w:lang w:val="en-US" w:eastAsia="zh-CN"/>
              </w:rPr>
            </w:pPr>
          </w:p>
        </w:tc>
      </w:tr>
      <w:tr w14:paraId="6A20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4B482A98">
            <w:pPr>
              <w:pStyle w:val="24"/>
              <w:spacing w:line="600" w:lineRule="exact"/>
              <w:rPr>
                <w:rFonts w:hint="eastAsia" w:hAnsi="宋体" w:cs="Courier New"/>
                <w:color w:val="000000"/>
                <w:kern w:val="2"/>
                <w:sz w:val="24"/>
                <w:szCs w:val="24"/>
                <w:highlight w:val="none"/>
                <w:lang w:val="en-US" w:eastAsia="zh-CN"/>
              </w:rPr>
            </w:pPr>
          </w:p>
        </w:tc>
        <w:tc>
          <w:tcPr>
            <w:tcW w:w="2143" w:type="dxa"/>
            <w:noWrap w:val="0"/>
            <w:vAlign w:val="top"/>
          </w:tcPr>
          <w:p w14:paraId="4D874013">
            <w:pPr>
              <w:pStyle w:val="24"/>
              <w:spacing w:line="600" w:lineRule="exact"/>
              <w:rPr>
                <w:rFonts w:hint="eastAsia" w:hAnsi="宋体" w:cs="Courier New"/>
                <w:color w:val="000000"/>
                <w:kern w:val="2"/>
                <w:sz w:val="24"/>
                <w:szCs w:val="24"/>
                <w:highlight w:val="none"/>
                <w:lang w:val="en-US" w:eastAsia="zh-CN"/>
              </w:rPr>
            </w:pPr>
          </w:p>
        </w:tc>
        <w:tc>
          <w:tcPr>
            <w:tcW w:w="1834" w:type="dxa"/>
            <w:noWrap w:val="0"/>
            <w:vAlign w:val="top"/>
          </w:tcPr>
          <w:p w14:paraId="50E09FAD">
            <w:pPr>
              <w:pStyle w:val="24"/>
              <w:spacing w:line="600" w:lineRule="exact"/>
              <w:rPr>
                <w:rFonts w:hint="eastAsia" w:hAnsi="宋体" w:cs="Courier New"/>
                <w:color w:val="000000"/>
                <w:kern w:val="2"/>
                <w:sz w:val="24"/>
                <w:szCs w:val="24"/>
                <w:highlight w:val="none"/>
                <w:lang w:val="en-US" w:eastAsia="zh-CN"/>
              </w:rPr>
            </w:pPr>
          </w:p>
        </w:tc>
        <w:tc>
          <w:tcPr>
            <w:tcW w:w="2181" w:type="dxa"/>
            <w:noWrap w:val="0"/>
            <w:vAlign w:val="top"/>
          </w:tcPr>
          <w:p w14:paraId="72FE81B7">
            <w:pPr>
              <w:pStyle w:val="24"/>
              <w:spacing w:line="600" w:lineRule="exact"/>
              <w:rPr>
                <w:rFonts w:hint="eastAsia" w:hAnsi="宋体" w:cs="Courier New"/>
                <w:color w:val="000000"/>
                <w:kern w:val="2"/>
                <w:sz w:val="24"/>
                <w:szCs w:val="24"/>
                <w:highlight w:val="none"/>
                <w:lang w:val="en-US" w:eastAsia="zh-CN"/>
              </w:rPr>
            </w:pPr>
          </w:p>
        </w:tc>
        <w:tc>
          <w:tcPr>
            <w:tcW w:w="1934" w:type="dxa"/>
            <w:noWrap w:val="0"/>
            <w:vAlign w:val="top"/>
          </w:tcPr>
          <w:p w14:paraId="50B785E3">
            <w:pPr>
              <w:pStyle w:val="24"/>
              <w:spacing w:line="600" w:lineRule="exact"/>
              <w:rPr>
                <w:rFonts w:hint="eastAsia" w:hAnsi="宋体" w:cs="Courier New"/>
                <w:color w:val="000000"/>
                <w:kern w:val="2"/>
                <w:sz w:val="24"/>
                <w:szCs w:val="24"/>
                <w:highlight w:val="none"/>
                <w:lang w:val="en-US" w:eastAsia="zh-CN"/>
              </w:rPr>
            </w:pPr>
          </w:p>
        </w:tc>
      </w:tr>
      <w:tr w14:paraId="117B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CAD9699">
            <w:pPr>
              <w:pStyle w:val="24"/>
              <w:spacing w:line="600" w:lineRule="exact"/>
              <w:rPr>
                <w:rFonts w:hint="eastAsia" w:hAnsi="宋体" w:cs="Courier New"/>
                <w:color w:val="000000"/>
                <w:kern w:val="2"/>
                <w:sz w:val="24"/>
                <w:szCs w:val="24"/>
                <w:highlight w:val="none"/>
                <w:lang w:val="en-US" w:eastAsia="zh-CN"/>
              </w:rPr>
            </w:pPr>
          </w:p>
        </w:tc>
        <w:tc>
          <w:tcPr>
            <w:tcW w:w="2143" w:type="dxa"/>
            <w:noWrap w:val="0"/>
            <w:vAlign w:val="top"/>
          </w:tcPr>
          <w:p w14:paraId="3A23B550">
            <w:pPr>
              <w:pStyle w:val="24"/>
              <w:spacing w:line="600" w:lineRule="exact"/>
              <w:rPr>
                <w:rFonts w:hint="eastAsia" w:hAnsi="宋体" w:cs="Courier New"/>
                <w:color w:val="000000"/>
                <w:kern w:val="2"/>
                <w:sz w:val="24"/>
                <w:szCs w:val="24"/>
                <w:highlight w:val="none"/>
                <w:lang w:val="en-US" w:eastAsia="zh-CN"/>
              </w:rPr>
            </w:pPr>
          </w:p>
        </w:tc>
        <w:tc>
          <w:tcPr>
            <w:tcW w:w="1834" w:type="dxa"/>
            <w:noWrap w:val="0"/>
            <w:vAlign w:val="top"/>
          </w:tcPr>
          <w:p w14:paraId="6C19F581">
            <w:pPr>
              <w:pStyle w:val="24"/>
              <w:spacing w:line="600" w:lineRule="exact"/>
              <w:rPr>
                <w:rFonts w:hint="eastAsia" w:hAnsi="宋体" w:cs="Courier New"/>
                <w:color w:val="000000"/>
                <w:kern w:val="2"/>
                <w:sz w:val="24"/>
                <w:szCs w:val="24"/>
                <w:highlight w:val="none"/>
                <w:lang w:val="en-US" w:eastAsia="zh-CN"/>
              </w:rPr>
            </w:pPr>
          </w:p>
        </w:tc>
        <w:tc>
          <w:tcPr>
            <w:tcW w:w="2181" w:type="dxa"/>
            <w:noWrap w:val="0"/>
            <w:vAlign w:val="top"/>
          </w:tcPr>
          <w:p w14:paraId="56ACA0B7">
            <w:pPr>
              <w:pStyle w:val="24"/>
              <w:spacing w:line="600" w:lineRule="exact"/>
              <w:rPr>
                <w:rFonts w:hint="eastAsia" w:hAnsi="宋体" w:cs="Courier New"/>
                <w:color w:val="000000"/>
                <w:kern w:val="2"/>
                <w:sz w:val="24"/>
                <w:szCs w:val="24"/>
                <w:highlight w:val="none"/>
                <w:lang w:val="en-US" w:eastAsia="zh-CN"/>
              </w:rPr>
            </w:pPr>
          </w:p>
        </w:tc>
        <w:tc>
          <w:tcPr>
            <w:tcW w:w="1934" w:type="dxa"/>
            <w:noWrap w:val="0"/>
            <w:vAlign w:val="top"/>
          </w:tcPr>
          <w:p w14:paraId="72C850ED">
            <w:pPr>
              <w:pStyle w:val="24"/>
              <w:spacing w:line="600" w:lineRule="exact"/>
              <w:rPr>
                <w:rFonts w:hint="eastAsia" w:hAnsi="宋体" w:cs="Courier New"/>
                <w:color w:val="000000"/>
                <w:kern w:val="2"/>
                <w:sz w:val="24"/>
                <w:szCs w:val="24"/>
                <w:highlight w:val="none"/>
                <w:lang w:val="en-US" w:eastAsia="zh-CN"/>
              </w:rPr>
            </w:pPr>
          </w:p>
        </w:tc>
      </w:tr>
      <w:tr w14:paraId="2B52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E02395B">
            <w:pPr>
              <w:pStyle w:val="24"/>
              <w:spacing w:line="600" w:lineRule="exact"/>
              <w:rPr>
                <w:rFonts w:hint="eastAsia" w:hAnsi="宋体" w:cs="Courier New"/>
                <w:color w:val="000000"/>
                <w:kern w:val="2"/>
                <w:sz w:val="24"/>
                <w:szCs w:val="24"/>
                <w:highlight w:val="none"/>
                <w:lang w:val="en-US" w:eastAsia="zh-CN"/>
              </w:rPr>
            </w:pPr>
          </w:p>
        </w:tc>
        <w:tc>
          <w:tcPr>
            <w:tcW w:w="2143" w:type="dxa"/>
            <w:noWrap w:val="0"/>
            <w:vAlign w:val="top"/>
          </w:tcPr>
          <w:p w14:paraId="41E453AA">
            <w:pPr>
              <w:pStyle w:val="24"/>
              <w:spacing w:line="600" w:lineRule="exact"/>
              <w:rPr>
                <w:rFonts w:hint="eastAsia" w:hAnsi="宋体" w:cs="Courier New"/>
                <w:color w:val="000000"/>
                <w:kern w:val="2"/>
                <w:sz w:val="24"/>
                <w:szCs w:val="24"/>
                <w:highlight w:val="none"/>
                <w:lang w:val="en-US" w:eastAsia="zh-CN"/>
              </w:rPr>
            </w:pPr>
          </w:p>
        </w:tc>
        <w:tc>
          <w:tcPr>
            <w:tcW w:w="1834" w:type="dxa"/>
            <w:noWrap w:val="0"/>
            <w:vAlign w:val="top"/>
          </w:tcPr>
          <w:p w14:paraId="22656771">
            <w:pPr>
              <w:pStyle w:val="24"/>
              <w:spacing w:line="600" w:lineRule="exact"/>
              <w:rPr>
                <w:rFonts w:hint="eastAsia" w:hAnsi="宋体" w:cs="Courier New"/>
                <w:color w:val="000000"/>
                <w:kern w:val="2"/>
                <w:sz w:val="24"/>
                <w:szCs w:val="24"/>
                <w:highlight w:val="none"/>
                <w:lang w:val="en-US" w:eastAsia="zh-CN"/>
              </w:rPr>
            </w:pPr>
          </w:p>
        </w:tc>
        <w:tc>
          <w:tcPr>
            <w:tcW w:w="2181" w:type="dxa"/>
            <w:noWrap w:val="0"/>
            <w:vAlign w:val="top"/>
          </w:tcPr>
          <w:p w14:paraId="16261E26">
            <w:pPr>
              <w:pStyle w:val="24"/>
              <w:spacing w:line="600" w:lineRule="exact"/>
              <w:rPr>
                <w:rFonts w:hint="eastAsia" w:hAnsi="宋体" w:cs="Courier New"/>
                <w:color w:val="000000"/>
                <w:kern w:val="2"/>
                <w:sz w:val="24"/>
                <w:szCs w:val="24"/>
                <w:highlight w:val="none"/>
                <w:lang w:val="en-US" w:eastAsia="zh-CN"/>
              </w:rPr>
            </w:pPr>
          </w:p>
        </w:tc>
        <w:tc>
          <w:tcPr>
            <w:tcW w:w="1934" w:type="dxa"/>
            <w:noWrap w:val="0"/>
            <w:vAlign w:val="top"/>
          </w:tcPr>
          <w:p w14:paraId="74AE556A">
            <w:pPr>
              <w:pStyle w:val="24"/>
              <w:spacing w:line="600" w:lineRule="exact"/>
              <w:rPr>
                <w:rFonts w:hint="eastAsia" w:hAnsi="宋体" w:cs="Courier New"/>
                <w:color w:val="000000"/>
                <w:kern w:val="2"/>
                <w:sz w:val="24"/>
                <w:szCs w:val="24"/>
                <w:highlight w:val="none"/>
                <w:lang w:val="en-US" w:eastAsia="zh-CN"/>
              </w:rPr>
            </w:pPr>
          </w:p>
        </w:tc>
      </w:tr>
      <w:tr w14:paraId="1ED3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48C9B1FB">
            <w:pPr>
              <w:pStyle w:val="24"/>
              <w:spacing w:line="600" w:lineRule="exact"/>
              <w:rPr>
                <w:rFonts w:hint="eastAsia" w:hAnsi="宋体" w:cs="Courier New"/>
                <w:color w:val="000000"/>
                <w:kern w:val="2"/>
                <w:sz w:val="24"/>
                <w:szCs w:val="24"/>
                <w:highlight w:val="none"/>
                <w:lang w:val="en-US" w:eastAsia="zh-CN"/>
              </w:rPr>
            </w:pPr>
          </w:p>
        </w:tc>
        <w:tc>
          <w:tcPr>
            <w:tcW w:w="2143" w:type="dxa"/>
            <w:noWrap w:val="0"/>
            <w:vAlign w:val="top"/>
          </w:tcPr>
          <w:p w14:paraId="76E1DB99">
            <w:pPr>
              <w:pStyle w:val="24"/>
              <w:spacing w:line="600" w:lineRule="exact"/>
              <w:rPr>
                <w:rFonts w:hint="eastAsia" w:hAnsi="宋体" w:cs="Courier New"/>
                <w:color w:val="000000"/>
                <w:kern w:val="2"/>
                <w:sz w:val="24"/>
                <w:szCs w:val="24"/>
                <w:highlight w:val="none"/>
                <w:lang w:val="en-US" w:eastAsia="zh-CN"/>
              </w:rPr>
            </w:pPr>
          </w:p>
        </w:tc>
        <w:tc>
          <w:tcPr>
            <w:tcW w:w="1834" w:type="dxa"/>
            <w:noWrap w:val="0"/>
            <w:vAlign w:val="top"/>
          </w:tcPr>
          <w:p w14:paraId="08D2A5B2">
            <w:pPr>
              <w:pStyle w:val="24"/>
              <w:spacing w:line="600" w:lineRule="exact"/>
              <w:rPr>
                <w:rFonts w:hint="eastAsia" w:hAnsi="宋体" w:cs="Courier New"/>
                <w:color w:val="000000"/>
                <w:kern w:val="2"/>
                <w:sz w:val="24"/>
                <w:szCs w:val="24"/>
                <w:highlight w:val="none"/>
                <w:lang w:val="en-US" w:eastAsia="zh-CN"/>
              </w:rPr>
            </w:pPr>
          </w:p>
        </w:tc>
        <w:tc>
          <w:tcPr>
            <w:tcW w:w="2181" w:type="dxa"/>
            <w:noWrap w:val="0"/>
            <w:vAlign w:val="top"/>
          </w:tcPr>
          <w:p w14:paraId="0545BE46">
            <w:pPr>
              <w:pStyle w:val="24"/>
              <w:spacing w:line="600" w:lineRule="exact"/>
              <w:rPr>
                <w:rFonts w:hint="eastAsia" w:hAnsi="宋体" w:cs="Courier New"/>
                <w:color w:val="000000"/>
                <w:kern w:val="2"/>
                <w:sz w:val="24"/>
                <w:szCs w:val="24"/>
                <w:highlight w:val="none"/>
                <w:lang w:val="en-US" w:eastAsia="zh-CN"/>
              </w:rPr>
            </w:pPr>
          </w:p>
        </w:tc>
        <w:tc>
          <w:tcPr>
            <w:tcW w:w="1934" w:type="dxa"/>
            <w:noWrap w:val="0"/>
            <w:vAlign w:val="top"/>
          </w:tcPr>
          <w:p w14:paraId="2365D1E4">
            <w:pPr>
              <w:pStyle w:val="24"/>
              <w:spacing w:line="600" w:lineRule="exact"/>
              <w:rPr>
                <w:rFonts w:hint="eastAsia" w:hAnsi="宋体" w:cs="Courier New"/>
                <w:color w:val="000000"/>
                <w:kern w:val="2"/>
                <w:sz w:val="24"/>
                <w:szCs w:val="24"/>
                <w:highlight w:val="none"/>
                <w:lang w:val="en-US" w:eastAsia="zh-CN"/>
              </w:rPr>
            </w:pPr>
          </w:p>
        </w:tc>
      </w:tr>
    </w:tbl>
    <w:p w14:paraId="5D62C226">
      <w:pPr>
        <w:pStyle w:val="17"/>
        <w:rPr>
          <w:rFonts w:hint="eastAsia" w:ascii="宋体" w:hAnsi="宋体"/>
          <w:color w:val="000000"/>
          <w:highlight w:val="none"/>
        </w:rPr>
      </w:pPr>
      <w:r>
        <w:rPr>
          <w:rFonts w:hint="eastAsia" w:ascii="宋体" w:hAnsi="宋体"/>
          <w:color w:val="000000"/>
          <w:highlight w:val="none"/>
        </w:rPr>
        <w:t>注：</w:t>
      </w:r>
    </w:p>
    <w:p w14:paraId="2D66BD19">
      <w:pPr>
        <w:pStyle w:val="19"/>
        <w:spacing w:line="360" w:lineRule="auto"/>
        <w:ind w:firstLine="0" w:firstLineChars="0"/>
        <w:rPr>
          <w:rFonts w:hint="eastAsia" w:hAnsi="仿宋_GB2312" w:cs="仿宋_GB2312"/>
          <w:color w:val="000000"/>
          <w:szCs w:val="32"/>
          <w:highlight w:val="none"/>
        </w:rPr>
      </w:pPr>
      <w:r>
        <w:rPr>
          <w:rFonts w:hint="eastAsia" w:ascii="宋体" w:hAnsi="宋体" w:eastAsia="宋体"/>
          <w:color w:val="000000"/>
          <w:sz w:val="24"/>
          <w:szCs w:val="24"/>
          <w:highlight w:val="none"/>
        </w:rPr>
        <w:t>1. 说明：应对照招标文件“第二章 采购需求”中的“技术要求”逐条作明确的投标响应，并作出偏离说明。</w:t>
      </w:r>
    </w:p>
    <w:p w14:paraId="13C66299">
      <w:pPr>
        <w:pStyle w:val="17"/>
        <w:spacing w:line="360" w:lineRule="auto"/>
        <w:rPr>
          <w:rFonts w:hint="eastAsia" w:ascii="宋体" w:hAnsi="宋体"/>
          <w:b w:val="0"/>
          <w:bCs w:val="0"/>
          <w:color w:val="000000"/>
          <w:highlight w:val="none"/>
        </w:rPr>
      </w:pPr>
      <w:r>
        <w:rPr>
          <w:rFonts w:ascii="宋体" w:hAnsi="宋体"/>
          <w:b w:val="0"/>
          <w:bCs w:val="0"/>
          <w:color w:val="000000"/>
          <w:highlight w:val="none"/>
        </w:rPr>
        <w:t>2.</w:t>
      </w:r>
      <w:r>
        <w:rPr>
          <w:rFonts w:hint="eastAsia" w:ascii="宋体" w:hAnsi="宋体"/>
          <w:b w:val="0"/>
          <w:bCs w:val="0"/>
          <w:color w:val="000000"/>
          <w:highlight w:val="none"/>
        </w:rPr>
        <w:t>投标人根据投标货物的性能指标，对照招标文件技术要求，在“偏离说明”中注明“</w:t>
      </w:r>
      <w:r>
        <w:rPr>
          <w:rFonts w:hint="eastAsia" w:ascii="宋体" w:hAnsi="宋体"/>
          <w:color w:val="000000"/>
          <w:highlight w:val="none"/>
        </w:rPr>
        <w:t>正偏离</w:t>
      </w:r>
      <w:r>
        <w:rPr>
          <w:rFonts w:hint="eastAsia" w:ascii="宋体" w:hAnsi="宋体"/>
          <w:b w:val="0"/>
          <w:bCs w:val="0"/>
          <w:color w:val="000000"/>
          <w:highlight w:val="none"/>
        </w:rPr>
        <w:t>”、“</w:t>
      </w:r>
      <w:r>
        <w:rPr>
          <w:rFonts w:hint="eastAsia" w:ascii="宋体" w:hAnsi="宋体"/>
          <w:color w:val="000000"/>
          <w:highlight w:val="none"/>
        </w:rPr>
        <w:t>负偏离</w:t>
      </w:r>
      <w:r>
        <w:rPr>
          <w:rFonts w:hint="eastAsia" w:ascii="宋体" w:hAnsi="宋体"/>
          <w:b w:val="0"/>
          <w:bCs w:val="0"/>
          <w:color w:val="000000"/>
          <w:highlight w:val="none"/>
        </w:rPr>
        <w:t>”或者“</w:t>
      </w:r>
      <w:r>
        <w:rPr>
          <w:rFonts w:hint="eastAsia" w:ascii="宋体" w:hAnsi="宋体"/>
          <w:color w:val="000000"/>
          <w:highlight w:val="none"/>
        </w:rPr>
        <w:t>无偏离</w:t>
      </w:r>
      <w:r>
        <w:rPr>
          <w:rFonts w:hint="eastAsia" w:ascii="宋体" w:hAnsi="宋体"/>
          <w:b w:val="0"/>
          <w:bCs w:val="0"/>
          <w:color w:val="000000"/>
          <w:highlight w:val="none"/>
        </w:rPr>
        <w:t>”。既不属于“</w:t>
      </w:r>
      <w:r>
        <w:rPr>
          <w:rFonts w:hint="eastAsia" w:ascii="宋体" w:hAnsi="宋体"/>
          <w:color w:val="000000"/>
          <w:highlight w:val="none"/>
        </w:rPr>
        <w:t>正偏离</w:t>
      </w:r>
      <w:r>
        <w:rPr>
          <w:rFonts w:hint="eastAsia" w:ascii="宋体" w:hAnsi="宋体"/>
          <w:b w:val="0"/>
          <w:bCs w:val="0"/>
          <w:color w:val="000000"/>
          <w:highlight w:val="none"/>
        </w:rPr>
        <w:t>”也不属于“</w:t>
      </w:r>
      <w:r>
        <w:rPr>
          <w:rFonts w:hint="eastAsia" w:ascii="宋体" w:hAnsi="宋体"/>
          <w:color w:val="000000"/>
          <w:highlight w:val="none"/>
        </w:rPr>
        <w:t>负偏离</w:t>
      </w:r>
      <w:r>
        <w:rPr>
          <w:rFonts w:hint="eastAsia" w:ascii="宋体" w:hAnsi="宋体"/>
          <w:b w:val="0"/>
          <w:bCs w:val="0"/>
          <w:color w:val="000000"/>
          <w:highlight w:val="none"/>
        </w:rPr>
        <w:t>”即为“</w:t>
      </w:r>
      <w:r>
        <w:rPr>
          <w:rFonts w:hint="eastAsia" w:ascii="宋体" w:hAnsi="宋体"/>
          <w:color w:val="000000"/>
          <w:highlight w:val="none"/>
        </w:rPr>
        <w:t>无偏离</w:t>
      </w:r>
      <w:r>
        <w:rPr>
          <w:rFonts w:hint="eastAsia" w:ascii="宋体" w:hAnsi="宋体"/>
          <w:b w:val="0"/>
          <w:bCs w:val="0"/>
          <w:color w:val="000000"/>
          <w:highlight w:val="none"/>
        </w:rPr>
        <w:t>”。</w:t>
      </w:r>
    </w:p>
    <w:p w14:paraId="6686A39F">
      <w:pPr>
        <w:pStyle w:val="19"/>
        <w:spacing w:line="360" w:lineRule="auto"/>
        <w:ind w:firstLine="0" w:firstLineChars="0"/>
        <w:rPr>
          <w:rFonts w:hint="eastAsia" w:ascii="宋体" w:hAnsi="宋体" w:eastAsia="宋体"/>
          <w:color w:val="000000"/>
          <w:sz w:val="24"/>
          <w:szCs w:val="24"/>
          <w:highlight w:val="none"/>
        </w:rPr>
      </w:pPr>
      <w:r>
        <w:rPr>
          <w:rFonts w:hint="eastAsia" w:ascii="宋体" w:hAnsi="宋体" w:eastAsia="宋体"/>
          <w:color w:val="000000"/>
          <w:sz w:val="24"/>
          <w:szCs w:val="24"/>
          <w:highlight w:val="none"/>
        </w:rPr>
        <w:t>3</w:t>
      </w:r>
      <w:r>
        <w:rPr>
          <w:rFonts w:ascii="宋体" w:hAnsi="宋体" w:eastAsia="宋体"/>
          <w:color w:val="000000"/>
          <w:sz w:val="24"/>
          <w:szCs w:val="24"/>
          <w:highlight w:val="none"/>
        </w:rPr>
        <w:t>.</w:t>
      </w:r>
      <w:r>
        <w:rPr>
          <w:rFonts w:hint="eastAsia" w:ascii="宋体" w:hAnsi="宋体" w:eastAsia="宋体"/>
          <w:color w:val="000000"/>
          <w:sz w:val="24"/>
          <w:szCs w:val="24"/>
          <w:highlight w:val="none"/>
        </w:rPr>
        <w:t xml:space="preserve"> 如技术要求偏离表中的投标响应与佐证材料不一致的，以佐证材料为准。</w:t>
      </w:r>
    </w:p>
    <w:p w14:paraId="6ABC07F5">
      <w:pPr>
        <w:snapToGrid w:val="0"/>
        <w:spacing w:before="50" w:after="50" w:line="360" w:lineRule="auto"/>
        <w:rPr>
          <w:rFonts w:ascii="宋体" w:hAnsi="宋体"/>
          <w:color w:val="000000"/>
          <w:sz w:val="24"/>
          <w:highlight w:val="none"/>
        </w:rPr>
      </w:pPr>
    </w:p>
    <w:p w14:paraId="743A6082">
      <w:pPr>
        <w:snapToGrid w:val="0"/>
        <w:spacing w:before="50" w:after="50" w:line="360" w:lineRule="auto"/>
        <w:rPr>
          <w:rFonts w:hint="eastAsia" w:ascii="宋体" w:hAnsi="宋体"/>
          <w:color w:val="000000"/>
          <w:spacing w:val="20"/>
          <w:sz w:val="24"/>
          <w:highlight w:val="none"/>
          <w:u w:val="single"/>
        </w:rPr>
      </w:pPr>
      <w:r>
        <w:rPr>
          <w:rFonts w:hint="eastAsia" w:ascii="宋体" w:hAnsi="宋体"/>
          <w:color w:val="000000"/>
          <w:sz w:val="24"/>
          <w:highlight w:val="none"/>
        </w:rPr>
        <w:t>法定代表人或者委托代理人</w:t>
      </w:r>
      <w:r>
        <w:rPr>
          <w:rFonts w:hint="eastAsia" w:ascii="宋体" w:hAnsi="宋体"/>
          <w:color w:val="000000"/>
          <w:spacing w:val="20"/>
          <w:sz w:val="24"/>
          <w:highlight w:val="none"/>
        </w:rPr>
        <w:t>（签字或者电子签名）：</w:t>
      </w:r>
      <w:r>
        <w:rPr>
          <w:rFonts w:hint="eastAsia" w:ascii="宋体" w:hAnsi="宋体"/>
          <w:color w:val="000000"/>
          <w:spacing w:val="20"/>
          <w:sz w:val="24"/>
          <w:highlight w:val="none"/>
          <w:u w:val="single"/>
        </w:rPr>
        <w:t xml:space="preserve">        </w:t>
      </w:r>
    </w:p>
    <w:p w14:paraId="754AB923">
      <w:pPr>
        <w:snapToGrid w:val="0"/>
        <w:spacing w:before="50" w:after="50" w:line="360" w:lineRule="auto"/>
        <w:rPr>
          <w:rFonts w:hint="eastAsia" w:ascii="宋体" w:hAnsi="宋体"/>
          <w:color w:val="000000"/>
          <w:spacing w:val="20"/>
          <w:sz w:val="24"/>
          <w:highlight w:val="none"/>
        </w:rPr>
      </w:pPr>
      <w:r>
        <w:rPr>
          <w:rFonts w:hint="eastAsia" w:ascii="宋体" w:hAnsi="宋体"/>
          <w:color w:val="000000"/>
          <w:spacing w:val="20"/>
          <w:sz w:val="24"/>
          <w:highlight w:val="none"/>
        </w:rPr>
        <w:t>投标人名称（电子签章）：</w:t>
      </w:r>
      <w:r>
        <w:rPr>
          <w:rFonts w:hint="eastAsia" w:ascii="宋体" w:hAnsi="宋体"/>
          <w:color w:val="000000"/>
          <w:spacing w:val="20"/>
          <w:sz w:val="24"/>
          <w:highlight w:val="none"/>
          <w:u w:val="single"/>
        </w:rPr>
        <w:t xml:space="preserve">            </w:t>
      </w:r>
      <w:r>
        <w:rPr>
          <w:rFonts w:hint="eastAsia" w:ascii="宋体" w:hAnsi="宋体"/>
          <w:color w:val="000000"/>
          <w:spacing w:val="20"/>
          <w:sz w:val="24"/>
          <w:highlight w:val="none"/>
        </w:rPr>
        <w:t xml:space="preserve">              </w:t>
      </w:r>
    </w:p>
    <w:p w14:paraId="6F96BF2F">
      <w:pPr>
        <w:snapToGrid w:val="0"/>
        <w:spacing w:before="50" w:after="50" w:line="360" w:lineRule="auto"/>
        <w:rPr>
          <w:rFonts w:hint="eastAsia" w:ascii="宋体" w:hAnsi="宋体"/>
          <w:color w:val="000000"/>
          <w:spacing w:val="20"/>
          <w:sz w:val="24"/>
          <w:highlight w:val="none"/>
          <w:u w:val="single"/>
        </w:rPr>
      </w:pPr>
      <w:r>
        <w:rPr>
          <w:rFonts w:hint="eastAsia" w:ascii="宋体" w:hAnsi="宋体"/>
          <w:color w:val="000000"/>
          <w:spacing w:val="20"/>
          <w:sz w:val="24"/>
          <w:highlight w:val="none"/>
        </w:rPr>
        <w:t>日 期：</w:t>
      </w:r>
      <w:r>
        <w:rPr>
          <w:rFonts w:hint="eastAsia" w:ascii="宋体" w:hAnsi="宋体"/>
          <w:color w:val="000000"/>
          <w:spacing w:val="20"/>
          <w:sz w:val="24"/>
          <w:highlight w:val="none"/>
          <w:u w:val="single"/>
        </w:rPr>
        <w:t xml:space="preserve">        </w:t>
      </w:r>
    </w:p>
    <w:p w14:paraId="38395472">
      <w:pPr>
        <w:snapToGrid w:val="0"/>
        <w:spacing w:before="50" w:after="50" w:line="360" w:lineRule="auto"/>
        <w:rPr>
          <w:rFonts w:hint="eastAsia" w:ascii="宋体" w:hAnsi="宋体"/>
          <w:color w:val="000000"/>
          <w:sz w:val="24"/>
          <w:szCs w:val="20"/>
          <w:highlight w:val="none"/>
        </w:rPr>
      </w:pPr>
    </w:p>
    <w:p w14:paraId="4EC8C20F">
      <w:pPr>
        <w:snapToGrid w:val="0"/>
        <w:spacing w:before="120" w:beforeLines="50" w:after="50"/>
        <w:ind w:left="142"/>
        <w:jc w:val="left"/>
        <w:rPr>
          <w:rFonts w:hint="eastAsia" w:ascii="宋体" w:hAnsi="宋体"/>
          <w:b/>
          <w:color w:val="000000"/>
          <w:sz w:val="24"/>
          <w:highlight w:val="none"/>
        </w:rPr>
      </w:pPr>
      <w:r>
        <w:rPr>
          <w:rFonts w:ascii="宋体" w:hAnsi="宋体"/>
          <w:b/>
          <w:color w:val="000000"/>
          <w:sz w:val="24"/>
          <w:highlight w:val="none"/>
        </w:rPr>
        <w:br w:type="page"/>
      </w:r>
      <w:r>
        <w:rPr>
          <w:rFonts w:hint="eastAsia" w:ascii="宋体" w:hAnsi="宋体"/>
          <w:b/>
          <w:color w:val="000000"/>
          <w:sz w:val="24"/>
          <w:highlight w:val="none"/>
        </w:rPr>
        <w:t>11. 项目实施人员一览表格式</w:t>
      </w:r>
    </w:p>
    <w:p w14:paraId="00ECA182">
      <w:pPr>
        <w:snapToGrid w:val="0"/>
        <w:spacing w:before="120" w:beforeLines="50" w:after="50"/>
        <w:ind w:left="142"/>
        <w:jc w:val="left"/>
        <w:rPr>
          <w:rFonts w:hint="eastAsia" w:ascii="宋体" w:hAnsi="宋体"/>
          <w:b/>
          <w:color w:val="000000"/>
          <w:sz w:val="24"/>
          <w:highlight w:val="none"/>
        </w:rPr>
      </w:pPr>
    </w:p>
    <w:p w14:paraId="7543AD1F">
      <w:pPr>
        <w:snapToGrid w:val="0"/>
        <w:spacing w:before="120" w:beforeLines="50" w:after="50"/>
        <w:ind w:left="142"/>
        <w:jc w:val="center"/>
        <w:rPr>
          <w:rFonts w:hint="eastAsia" w:ascii="宋体" w:hAnsi="宋体"/>
          <w:b/>
          <w:color w:val="000000"/>
          <w:sz w:val="32"/>
          <w:szCs w:val="32"/>
          <w:highlight w:val="none"/>
        </w:rPr>
      </w:pPr>
      <w:r>
        <w:rPr>
          <w:rFonts w:hint="eastAsia" w:ascii="宋体" w:hAnsi="宋体"/>
          <w:b/>
          <w:color w:val="000000"/>
          <w:sz w:val="32"/>
          <w:szCs w:val="32"/>
          <w:highlight w:val="none"/>
        </w:rPr>
        <w:t>项目实施人员一览表</w:t>
      </w:r>
    </w:p>
    <w:p w14:paraId="7EF657F9">
      <w:pPr>
        <w:pStyle w:val="24"/>
        <w:rPr>
          <w:rFonts w:hint="eastAsia"/>
          <w:color w:val="000000"/>
          <w:sz w:val="24"/>
          <w:szCs w:val="24"/>
          <w:highlight w:val="none"/>
        </w:rPr>
      </w:pPr>
      <w:r>
        <w:rPr>
          <w:rFonts w:hint="eastAsia"/>
          <w:color w:val="000000"/>
          <w:sz w:val="24"/>
          <w:szCs w:val="24"/>
          <w:highlight w:val="none"/>
        </w:rPr>
        <w:t>所投分标：</w:t>
      </w:r>
      <w:r>
        <w:rPr>
          <w:rFonts w:hint="eastAsia"/>
          <w:color w:val="000000"/>
          <w:sz w:val="24"/>
          <w:szCs w:val="24"/>
          <w:highlight w:val="none"/>
          <w:u w:val="single"/>
        </w:rPr>
        <w:t xml:space="preserve">     </w:t>
      </w:r>
      <w:r>
        <w:rPr>
          <w:rFonts w:hint="eastAsia"/>
          <w:color w:val="000000"/>
          <w:sz w:val="24"/>
          <w:szCs w:val="24"/>
          <w:highlight w:val="none"/>
        </w:rPr>
        <w:t>分标</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3798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1E013C30">
            <w:pPr>
              <w:snapToGrid w:val="0"/>
              <w:spacing w:before="50" w:after="120" w:afterLines="50"/>
              <w:jc w:val="center"/>
              <w:rPr>
                <w:rFonts w:hint="eastAsia" w:ascii="宋体" w:hAnsi="宋体"/>
                <w:color w:val="000000"/>
                <w:sz w:val="24"/>
                <w:szCs w:val="20"/>
                <w:highlight w:val="none"/>
              </w:rPr>
            </w:pPr>
            <w:r>
              <w:rPr>
                <w:rFonts w:hint="eastAsia" w:ascii="宋体" w:hAnsi="宋体"/>
                <w:color w:val="000000"/>
                <w:sz w:val="24"/>
                <w:szCs w:val="20"/>
                <w:highlight w:val="none"/>
              </w:rPr>
              <w:t>姓名</w:t>
            </w:r>
          </w:p>
        </w:tc>
        <w:tc>
          <w:tcPr>
            <w:tcW w:w="709" w:type="dxa"/>
            <w:noWrap w:val="0"/>
            <w:vAlign w:val="center"/>
          </w:tcPr>
          <w:p w14:paraId="16D8E17C">
            <w:pPr>
              <w:snapToGrid w:val="0"/>
              <w:spacing w:before="50" w:after="120" w:afterLines="50"/>
              <w:jc w:val="center"/>
              <w:rPr>
                <w:rFonts w:hint="eastAsia" w:ascii="宋体" w:hAnsi="宋体"/>
                <w:color w:val="000000"/>
                <w:sz w:val="24"/>
                <w:szCs w:val="20"/>
                <w:highlight w:val="none"/>
              </w:rPr>
            </w:pPr>
            <w:r>
              <w:rPr>
                <w:rFonts w:hint="eastAsia" w:ascii="宋体" w:hAnsi="宋体"/>
                <w:color w:val="000000"/>
                <w:sz w:val="24"/>
                <w:szCs w:val="20"/>
                <w:highlight w:val="none"/>
              </w:rPr>
              <w:t>职务</w:t>
            </w:r>
          </w:p>
        </w:tc>
        <w:tc>
          <w:tcPr>
            <w:tcW w:w="1701" w:type="dxa"/>
            <w:noWrap w:val="0"/>
            <w:vAlign w:val="center"/>
          </w:tcPr>
          <w:p w14:paraId="6FA4BE29">
            <w:pPr>
              <w:snapToGrid w:val="0"/>
              <w:spacing w:before="50" w:after="120" w:afterLines="50"/>
              <w:jc w:val="center"/>
              <w:rPr>
                <w:rFonts w:hint="eastAsia" w:ascii="宋体" w:hAnsi="宋体"/>
                <w:color w:val="000000"/>
                <w:sz w:val="24"/>
                <w:szCs w:val="20"/>
                <w:highlight w:val="none"/>
              </w:rPr>
            </w:pPr>
            <w:r>
              <w:rPr>
                <w:rFonts w:hint="eastAsia" w:ascii="宋体" w:hAnsi="宋体"/>
                <w:color w:val="000000"/>
                <w:sz w:val="24"/>
                <w:szCs w:val="20"/>
                <w:highlight w:val="none"/>
              </w:rPr>
              <w:t>专业技术资格（职称）或者职业资格或者执业资格证或者其他证书</w:t>
            </w:r>
          </w:p>
        </w:tc>
        <w:tc>
          <w:tcPr>
            <w:tcW w:w="1420" w:type="dxa"/>
            <w:noWrap w:val="0"/>
            <w:vAlign w:val="center"/>
          </w:tcPr>
          <w:p w14:paraId="553693E7">
            <w:pPr>
              <w:snapToGrid w:val="0"/>
              <w:spacing w:before="50" w:after="120" w:afterLines="50"/>
              <w:jc w:val="center"/>
              <w:rPr>
                <w:rFonts w:hint="eastAsia" w:ascii="宋体" w:hAnsi="宋体"/>
                <w:color w:val="000000"/>
                <w:sz w:val="24"/>
                <w:szCs w:val="20"/>
                <w:highlight w:val="none"/>
              </w:rPr>
            </w:pPr>
            <w:r>
              <w:rPr>
                <w:rFonts w:hint="eastAsia" w:ascii="宋体" w:hAnsi="宋体"/>
                <w:color w:val="000000"/>
                <w:sz w:val="24"/>
                <w:szCs w:val="20"/>
                <w:highlight w:val="none"/>
              </w:rPr>
              <w:t>证书编号</w:t>
            </w:r>
          </w:p>
        </w:tc>
        <w:tc>
          <w:tcPr>
            <w:tcW w:w="1698" w:type="dxa"/>
            <w:noWrap w:val="0"/>
            <w:vAlign w:val="center"/>
          </w:tcPr>
          <w:p w14:paraId="24C6BE76">
            <w:pPr>
              <w:snapToGrid w:val="0"/>
              <w:spacing w:before="50" w:after="120" w:afterLines="50"/>
              <w:jc w:val="center"/>
              <w:rPr>
                <w:rFonts w:hint="eastAsia" w:ascii="宋体" w:hAnsi="宋体"/>
                <w:color w:val="000000"/>
                <w:sz w:val="24"/>
                <w:szCs w:val="20"/>
                <w:highlight w:val="none"/>
              </w:rPr>
            </w:pPr>
            <w:r>
              <w:rPr>
                <w:rFonts w:hint="eastAsia" w:ascii="宋体" w:hAnsi="宋体"/>
                <w:color w:val="000000"/>
                <w:sz w:val="24"/>
                <w:szCs w:val="20"/>
                <w:highlight w:val="none"/>
              </w:rPr>
              <w:t>参加本单位</w:t>
            </w:r>
          </w:p>
          <w:p w14:paraId="7E864CD9">
            <w:pPr>
              <w:snapToGrid w:val="0"/>
              <w:spacing w:before="50" w:after="120" w:afterLines="50"/>
              <w:jc w:val="center"/>
              <w:rPr>
                <w:rFonts w:hint="eastAsia" w:ascii="宋体" w:hAnsi="宋体"/>
                <w:color w:val="000000"/>
                <w:sz w:val="24"/>
                <w:szCs w:val="20"/>
                <w:highlight w:val="none"/>
              </w:rPr>
            </w:pPr>
            <w:r>
              <w:rPr>
                <w:rFonts w:hint="eastAsia" w:ascii="宋体" w:hAnsi="宋体"/>
                <w:color w:val="000000"/>
                <w:sz w:val="24"/>
                <w:szCs w:val="20"/>
                <w:highlight w:val="none"/>
              </w:rPr>
              <w:t>工作时间</w:t>
            </w:r>
          </w:p>
        </w:tc>
        <w:tc>
          <w:tcPr>
            <w:tcW w:w="1843" w:type="dxa"/>
            <w:noWrap w:val="0"/>
            <w:vAlign w:val="center"/>
          </w:tcPr>
          <w:p w14:paraId="789CFB0F">
            <w:pPr>
              <w:snapToGrid w:val="0"/>
              <w:spacing w:before="50" w:after="120" w:afterLines="50"/>
              <w:jc w:val="center"/>
              <w:rPr>
                <w:rFonts w:hint="eastAsia" w:ascii="宋体" w:hAnsi="宋体"/>
                <w:color w:val="000000"/>
                <w:sz w:val="24"/>
                <w:szCs w:val="20"/>
                <w:highlight w:val="none"/>
              </w:rPr>
            </w:pPr>
            <w:r>
              <w:rPr>
                <w:rFonts w:hint="eastAsia" w:ascii="宋体" w:hAnsi="宋体"/>
                <w:color w:val="000000"/>
                <w:sz w:val="24"/>
                <w:szCs w:val="20"/>
                <w:highlight w:val="none"/>
              </w:rPr>
              <w:t>劳动合同编号</w:t>
            </w:r>
          </w:p>
        </w:tc>
      </w:tr>
      <w:tr w14:paraId="7B73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2505BB2F">
            <w:pPr>
              <w:snapToGrid w:val="0"/>
              <w:spacing w:before="50" w:after="120" w:afterLines="50"/>
              <w:jc w:val="center"/>
              <w:rPr>
                <w:rFonts w:hint="eastAsia" w:ascii="宋体" w:hAnsi="宋体"/>
                <w:color w:val="000000"/>
                <w:sz w:val="24"/>
                <w:szCs w:val="20"/>
                <w:highlight w:val="none"/>
              </w:rPr>
            </w:pPr>
          </w:p>
        </w:tc>
        <w:tc>
          <w:tcPr>
            <w:tcW w:w="709" w:type="dxa"/>
            <w:noWrap w:val="0"/>
            <w:vAlign w:val="center"/>
          </w:tcPr>
          <w:p w14:paraId="72755AC5">
            <w:pPr>
              <w:snapToGrid w:val="0"/>
              <w:spacing w:before="50" w:after="120" w:afterLines="50"/>
              <w:jc w:val="center"/>
              <w:rPr>
                <w:rFonts w:hint="eastAsia" w:ascii="宋体" w:hAnsi="宋体"/>
                <w:color w:val="000000"/>
                <w:sz w:val="24"/>
                <w:szCs w:val="20"/>
                <w:highlight w:val="none"/>
              </w:rPr>
            </w:pPr>
          </w:p>
        </w:tc>
        <w:tc>
          <w:tcPr>
            <w:tcW w:w="1701" w:type="dxa"/>
            <w:noWrap w:val="0"/>
            <w:vAlign w:val="center"/>
          </w:tcPr>
          <w:p w14:paraId="3E93BFD3">
            <w:pPr>
              <w:snapToGrid w:val="0"/>
              <w:spacing w:before="50" w:after="120" w:afterLines="50"/>
              <w:jc w:val="center"/>
              <w:rPr>
                <w:rFonts w:hint="eastAsia" w:ascii="宋体" w:hAnsi="宋体"/>
                <w:color w:val="000000"/>
                <w:sz w:val="24"/>
                <w:szCs w:val="20"/>
                <w:highlight w:val="none"/>
              </w:rPr>
            </w:pPr>
          </w:p>
        </w:tc>
        <w:tc>
          <w:tcPr>
            <w:tcW w:w="1420" w:type="dxa"/>
            <w:noWrap w:val="0"/>
            <w:vAlign w:val="center"/>
          </w:tcPr>
          <w:p w14:paraId="36A80695">
            <w:pPr>
              <w:snapToGrid w:val="0"/>
              <w:spacing w:before="50" w:after="120" w:afterLines="50"/>
              <w:jc w:val="center"/>
              <w:rPr>
                <w:rFonts w:hint="eastAsia" w:ascii="宋体" w:hAnsi="宋体"/>
                <w:color w:val="000000"/>
                <w:sz w:val="24"/>
                <w:szCs w:val="20"/>
                <w:highlight w:val="none"/>
              </w:rPr>
            </w:pPr>
          </w:p>
        </w:tc>
        <w:tc>
          <w:tcPr>
            <w:tcW w:w="1698" w:type="dxa"/>
            <w:noWrap w:val="0"/>
            <w:vAlign w:val="center"/>
          </w:tcPr>
          <w:p w14:paraId="3EBF34BA">
            <w:pPr>
              <w:snapToGrid w:val="0"/>
              <w:spacing w:before="50" w:after="120" w:afterLines="50"/>
              <w:jc w:val="center"/>
              <w:rPr>
                <w:rFonts w:hint="eastAsia" w:ascii="宋体" w:hAnsi="宋体"/>
                <w:color w:val="000000"/>
                <w:sz w:val="24"/>
                <w:szCs w:val="20"/>
                <w:highlight w:val="none"/>
              </w:rPr>
            </w:pPr>
          </w:p>
        </w:tc>
        <w:tc>
          <w:tcPr>
            <w:tcW w:w="1843" w:type="dxa"/>
            <w:noWrap w:val="0"/>
            <w:vAlign w:val="center"/>
          </w:tcPr>
          <w:p w14:paraId="7E19B4EB">
            <w:pPr>
              <w:snapToGrid w:val="0"/>
              <w:spacing w:before="50" w:after="120" w:afterLines="50"/>
              <w:jc w:val="center"/>
              <w:rPr>
                <w:rFonts w:hint="eastAsia" w:ascii="宋体" w:hAnsi="宋体"/>
                <w:color w:val="000000"/>
                <w:sz w:val="24"/>
                <w:szCs w:val="20"/>
                <w:highlight w:val="none"/>
              </w:rPr>
            </w:pPr>
          </w:p>
        </w:tc>
      </w:tr>
      <w:tr w14:paraId="26AF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4054A519">
            <w:pPr>
              <w:snapToGrid w:val="0"/>
              <w:spacing w:before="50" w:after="120" w:afterLines="50"/>
              <w:jc w:val="center"/>
              <w:rPr>
                <w:rFonts w:hint="eastAsia" w:ascii="宋体" w:hAnsi="宋体"/>
                <w:color w:val="000000"/>
                <w:sz w:val="24"/>
                <w:szCs w:val="20"/>
                <w:highlight w:val="none"/>
              </w:rPr>
            </w:pPr>
          </w:p>
        </w:tc>
        <w:tc>
          <w:tcPr>
            <w:tcW w:w="709" w:type="dxa"/>
            <w:noWrap w:val="0"/>
            <w:vAlign w:val="center"/>
          </w:tcPr>
          <w:p w14:paraId="38CC30A6">
            <w:pPr>
              <w:snapToGrid w:val="0"/>
              <w:spacing w:before="50" w:after="120" w:afterLines="50"/>
              <w:jc w:val="center"/>
              <w:rPr>
                <w:rFonts w:hint="eastAsia" w:ascii="宋体" w:hAnsi="宋体"/>
                <w:color w:val="000000"/>
                <w:sz w:val="24"/>
                <w:szCs w:val="20"/>
                <w:highlight w:val="none"/>
              </w:rPr>
            </w:pPr>
          </w:p>
        </w:tc>
        <w:tc>
          <w:tcPr>
            <w:tcW w:w="1701" w:type="dxa"/>
            <w:noWrap w:val="0"/>
            <w:vAlign w:val="center"/>
          </w:tcPr>
          <w:p w14:paraId="35202BA4">
            <w:pPr>
              <w:snapToGrid w:val="0"/>
              <w:spacing w:before="50" w:after="120" w:afterLines="50"/>
              <w:jc w:val="center"/>
              <w:rPr>
                <w:rFonts w:hint="eastAsia" w:ascii="宋体" w:hAnsi="宋体"/>
                <w:color w:val="000000"/>
                <w:sz w:val="24"/>
                <w:szCs w:val="20"/>
                <w:highlight w:val="none"/>
              </w:rPr>
            </w:pPr>
          </w:p>
        </w:tc>
        <w:tc>
          <w:tcPr>
            <w:tcW w:w="1420" w:type="dxa"/>
            <w:noWrap w:val="0"/>
            <w:vAlign w:val="center"/>
          </w:tcPr>
          <w:p w14:paraId="5D5D6F81">
            <w:pPr>
              <w:snapToGrid w:val="0"/>
              <w:spacing w:before="50" w:after="120" w:afterLines="50"/>
              <w:jc w:val="center"/>
              <w:rPr>
                <w:rFonts w:hint="eastAsia" w:ascii="宋体" w:hAnsi="宋体"/>
                <w:color w:val="000000"/>
                <w:sz w:val="24"/>
                <w:szCs w:val="20"/>
                <w:highlight w:val="none"/>
              </w:rPr>
            </w:pPr>
          </w:p>
        </w:tc>
        <w:tc>
          <w:tcPr>
            <w:tcW w:w="1698" w:type="dxa"/>
            <w:noWrap w:val="0"/>
            <w:vAlign w:val="center"/>
          </w:tcPr>
          <w:p w14:paraId="27B293AE">
            <w:pPr>
              <w:snapToGrid w:val="0"/>
              <w:spacing w:before="50" w:after="120" w:afterLines="50"/>
              <w:jc w:val="center"/>
              <w:rPr>
                <w:rFonts w:hint="eastAsia" w:ascii="宋体" w:hAnsi="宋体"/>
                <w:color w:val="000000"/>
                <w:sz w:val="24"/>
                <w:szCs w:val="20"/>
                <w:highlight w:val="none"/>
              </w:rPr>
            </w:pPr>
          </w:p>
        </w:tc>
        <w:tc>
          <w:tcPr>
            <w:tcW w:w="1843" w:type="dxa"/>
            <w:noWrap w:val="0"/>
            <w:vAlign w:val="center"/>
          </w:tcPr>
          <w:p w14:paraId="57315199">
            <w:pPr>
              <w:snapToGrid w:val="0"/>
              <w:spacing w:before="50" w:after="120" w:afterLines="50"/>
              <w:jc w:val="center"/>
              <w:rPr>
                <w:rFonts w:hint="eastAsia" w:ascii="宋体" w:hAnsi="宋体"/>
                <w:color w:val="000000"/>
                <w:sz w:val="24"/>
                <w:szCs w:val="20"/>
                <w:highlight w:val="none"/>
              </w:rPr>
            </w:pPr>
          </w:p>
        </w:tc>
      </w:tr>
      <w:tr w14:paraId="70EB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04597B08">
            <w:pPr>
              <w:snapToGrid w:val="0"/>
              <w:spacing w:before="50" w:after="120" w:afterLines="50"/>
              <w:jc w:val="center"/>
              <w:rPr>
                <w:rFonts w:hint="eastAsia" w:ascii="宋体" w:hAnsi="宋体"/>
                <w:color w:val="000000"/>
                <w:sz w:val="24"/>
                <w:szCs w:val="20"/>
                <w:highlight w:val="none"/>
              </w:rPr>
            </w:pPr>
          </w:p>
        </w:tc>
        <w:tc>
          <w:tcPr>
            <w:tcW w:w="709" w:type="dxa"/>
            <w:noWrap w:val="0"/>
            <w:vAlign w:val="center"/>
          </w:tcPr>
          <w:p w14:paraId="21566D9B">
            <w:pPr>
              <w:snapToGrid w:val="0"/>
              <w:spacing w:before="50" w:after="120" w:afterLines="50"/>
              <w:jc w:val="center"/>
              <w:rPr>
                <w:rFonts w:hint="eastAsia" w:ascii="宋体" w:hAnsi="宋体"/>
                <w:color w:val="000000"/>
                <w:sz w:val="24"/>
                <w:szCs w:val="20"/>
                <w:highlight w:val="none"/>
              </w:rPr>
            </w:pPr>
          </w:p>
        </w:tc>
        <w:tc>
          <w:tcPr>
            <w:tcW w:w="1701" w:type="dxa"/>
            <w:noWrap w:val="0"/>
            <w:vAlign w:val="center"/>
          </w:tcPr>
          <w:p w14:paraId="537AFADA">
            <w:pPr>
              <w:snapToGrid w:val="0"/>
              <w:spacing w:before="50" w:after="120" w:afterLines="50"/>
              <w:jc w:val="center"/>
              <w:rPr>
                <w:rFonts w:hint="eastAsia" w:ascii="宋体" w:hAnsi="宋体"/>
                <w:color w:val="000000"/>
                <w:sz w:val="24"/>
                <w:szCs w:val="20"/>
                <w:highlight w:val="none"/>
              </w:rPr>
            </w:pPr>
          </w:p>
        </w:tc>
        <w:tc>
          <w:tcPr>
            <w:tcW w:w="1420" w:type="dxa"/>
            <w:noWrap w:val="0"/>
            <w:vAlign w:val="center"/>
          </w:tcPr>
          <w:p w14:paraId="20F6818E">
            <w:pPr>
              <w:snapToGrid w:val="0"/>
              <w:spacing w:before="50" w:after="120" w:afterLines="50"/>
              <w:jc w:val="center"/>
              <w:rPr>
                <w:rFonts w:hint="eastAsia" w:ascii="宋体" w:hAnsi="宋体"/>
                <w:color w:val="000000"/>
                <w:sz w:val="24"/>
                <w:szCs w:val="20"/>
                <w:highlight w:val="none"/>
              </w:rPr>
            </w:pPr>
          </w:p>
        </w:tc>
        <w:tc>
          <w:tcPr>
            <w:tcW w:w="1698" w:type="dxa"/>
            <w:noWrap w:val="0"/>
            <w:vAlign w:val="center"/>
          </w:tcPr>
          <w:p w14:paraId="5E02772E">
            <w:pPr>
              <w:snapToGrid w:val="0"/>
              <w:spacing w:before="50" w:after="120" w:afterLines="50"/>
              <w:jc w:val="center"/>
              <w:rPr>
                <w:rFonts w:hint="eastAsia" w:ascii="宋体" w:hAnsi="宋体"/>
                <w:color w:val="000000"/>
                <w:sz w:val="24"/>
                <w:szCs w:val="20"/>
                <w:highlight w:val="none"/>
              </w:rPr>
            </w:pPr>
          </w:p>
        </w:tc>
        <w:tc>
          <w:tcPr>
            <w:tcW w:w="1843" w:type="dxa"/>
            <w:noWrap w:val="0"/>
            <w:vAlign w:val="center"/>
          </w:tcPr>
          <w:p w14:paraId="3670C392">
            <w:pPr>
              <w:snapToGrid w:val="0"/>
              <w:spacing w:before="50" w:after="120" w:afterLines="50"/>
              <w:jc w:val="center"/>
              <w:rPr>
                <w:rFonts w:hint="eastAsia" w:ascii="宋体" w:hAnsi="宋体"/>
                <w:color w:val="000000"/>
                <w:sz w:val="24"/>
                <w:szCs w:val="20"/>
                <w:highlight w:val="none"/>
              </w:rPr>
            </w:pPr>
          </w:p>
        </w:tc>
      </w:tr>
    </w:tbl>
    <w:p w14:paraId="7C345964">
      <w:pPr>
        <w:snapToGrid w:val="0"/>
        <w:spacing w:before="50" w:after="120" w:afterLines="50"/>
        <w:jc w:val="left"/>
        <w:rPr>
          <w:rFonts w:hint="eastAsia" w:ascii="宋体" w:hAnsi="宋体"/>
          <w:color w:val="000000"/>
          <w:sz w:val="24"/>
          <w:szCs w:val="20"/>
          <w:highlight w:val="none"/>
        </w:rPr>
      </w:pPr>
    </w:p>
    <w:p w14:paraId="378EB796">
      <w:pPr>
        <w:spacing w:line="360" w:lineRule="auto"/>
        <w:contextualSpacing/>
        <w:jc w:val="left"/>
        <w:rPr>
          <w:rFonts w:ascii="宋体" w:hAnsi="宋体"/>
          <w:color w:val="000000"/>
          <w:sz w:val="24"/>
          <w:szCs w:val="20"/>
          <w:highlight w:val="none"/>
        </w:rPr>
      </w:pPr>
      <w:r>
        <w:rPr>
          <w:rFonts w:hint="eastAsia" w:ascii="宋体" w:hAnsi="宋体"/>
          <w:color w:val="000000"/>
          <w:sz w:val="24"/>
          <w:szCs w:val="20"/>
          <w:highlight w:val="none"/>
        </w:rPr>
        <w:t>注：</w:t>
      </w:r>
    </w:p>
    <w:p w14:paraId="760F16EC">
      <w:pPr>
        <w:spacing w:line="360" w:lineRule="auto"/>
        <w:contextualSpacing/>
        <w:jc w:val="left"/>
        <w:rPr>
          <w:rFonts w:ascii="宋体" w:hAnsi="宋体"/>
          <w:color w:val="000000"/>
          <w:sz w:val="24"/>
          <w:szCs w:val="20"/>
          <w:highlight w:val="none"/>
        </w:rPr>
      </w:pPr>
      <w:r>
        <w:rPr>
          <w:rFonts w:hint="eastAsia" w:ascii="宋体" w:hAnsi="宋体"/>
          <w:color w:val="000000"/>
          <w:sz w:val="24"/>
          <w:szCs w:val="20"/>
          <w:highlight w:val="none"/>
        </w:rPr>
        <w:t>1</w:t>
      </w:r>
      <w:r>
        <w:rPr>
          <w:rFonts w:ascii="宋体" w:hAnsi="宋体"/>
          <w:color w:val="000000"/>
          <w:sz w:val="24"/>
          <w:szCs w:val="20"/>
          <w:highlight w:val="none"/>
        </w:rPr>
        <w:t>.</w:t>
      </w:r>
      <w:r>
        <w:rPr>
          <w:rFonts w:hint="eastAsia" w:ascii="宋体" w:hAnsi="宋体"/>
          <w:color w:val="000000"/>
          <w:sz w:val="24"/>
          <w:szCs w:val="20"/>
          <w:highlight w:val="none"/>
        </w:rPr>
        <w:t>在填写时，如本表格不适合投标单位的实际情况，可根据本表格式自行制表填写。</w:t>
      </w:r>
    </w:p>
    <w:p w14:paraId="726C4AEB">
      <w:pPr>
        <w:spacing w:line="360" w:lineRule="auto"/>
        <w:contextualSpacing/>
        <w:jc w:val="left"/>
        <w:rPr>
          <w:rFonts w:hint="eastAsia" w:ascii="宋体" w:hAnsi="宋体"/>
          <w:color w:val="000000"/>
          <w:sz w:val="24"/>
          <w:szCs w:val="20"/>
          <w:highlight w:val="none"/>
        </w:rPr>
      </w:pPr>
      <w:r>
        <w:rPr>
          <w:rFonts w:ascii="宋体" w:hAnsi="宋体"/>
          <w:color w:val="000000"/>
          <w:sz w:val="24"/>
          <w:szCs w:val="20"/>
          <w:highlight w:val="none"/>
        </w:rPr>
        <w:t>2.</w:t>
      </w:r>
      <w:r>
        <w:rPr>
          <w:rFonts w:hint="eastAsia" w:ascii="宋体" w:hAnsi="宋体"/>
          <w:color w:val="000000"/>
          <w:sz w:val="24"/>
          <w:szCs w:val="20"/>
          <w:highlight w:val="none"/>
        </w:rPr>
        <w:t>投标人应当附本表所列证书的复印件并加盖投标人电子签章。</w:t>
      </w:r>
    </w:p>
    <w:p w14:paraId="12EA1DA5">
      <w:pPr>
        <w:spacing w:line="360" w:lineRule="auto"/>
        <w:contextualSpacing/>
        <w:jc w:val="left"/>
        <w:rPr>
          <w:rFonts w:hint="eastAsia" w:ascii="宋体" w:hAnsi="宋体"/>
          <w:color w:val="000000"/>
          <w:sz w:val="24"/>
          <w:szCs w:val="20"/>
          <w:highlight w:val="none"/>
        </w:rPr>
      </w:pPr>
    </w:p>
    <w:p w14:paraId="16292257">
      <w:pPr>
        <w:spacing w:line="360" w:lineRule="auto"/>
        <w:contextualSpacing/>
        <w:jc w:val="left"/>
        <w:rPr>
          <w:rFonts w:hint="eastAsia" w:ascii="宋体" w:hAnsi="宋体"/>
          <w:color w:val="000000"/>
          <w:sz w:val="24"/>
          <w:szCs w:val="20"/>
          <w:highlight w:val="none"/>
        </w:rPr>
      </w:pPr>
    </w:p>
    <w:p w14:paraId="69B180C5">
      <w:pPr>
        <w:spacing w:line="360" w:lineRule="auto"/>
        <w:contextualSpacing/>
        <w:rPr>
          <w:rFonts w:hint="eastAsia" w:ascii="宋体" w:hAnsi="宋体"/>
          <w:color w:val="000000"/>
          <w:spacing w:val="20"/>
          <w:sz w:val="24"/>
          <w:szCs w:val="20"/>
          <w:highlight w:val="none"/>
          <w:u w:val="single"/>
        </w:rPr>
      </w:pPr>
      <w:r>
        <w:rPr>
          <w:rFonts w:hint="eastAsia" w:ascii="宋体" w:hAnsi="宋体"/>
          <w:color w:val="000000"/>
          <w:sz w:val="24"/>
          <w:highlight w:val="none"/>
        </w:rPr>
        <w:t>法定代表人或者委托代理人</w:t>
      </w:r>
      <w:r>
        <w:rPr>
          <w:rFonts w:hint="eastAsia" w:ascii="宋体" w:hAnsi="宋体"/>
          <w:color w:val="000000"/>
          <w:spacing w:val="20"/>
          <w:sz w:val="24"/>
          <w:highlight w:val="none"/>
        </w:rPr>
        <w:t>（签字或者电子签名）：</w:t>
      </w:r>
      <w:r>
        <w:rPr>
          <w:rFonts w:hint="eastAsia" w:ascii="宋体" w:hAnsi="宋体"/>
          <w:color w:val="000000"/>
          <w:spacing w:val="20"/>
          <w:sz w:val="24"/>
          <w:highlight w:val="none"/>
          <w:u w:val="single"/>
        </w:rPr>
        <w:t xml:space="preserve">        </w:t>
      </w:r>
    </w:p>
    <w:p w14:paraId="239D0650">
      <w:pPr>
        <w:spacing w:line="360" w:lineRule="auto"/>
        <w:contextualSpacing/>
        <w:jc w:val="left"/>
        <w:rPr>
          <w:rFonts w:hint="eastAsia" w:ascii="宋体" w:hAnsi="宋体"/>
          <w:color w:val="000000"/>
          <w:spacing w:val="20"/>
          <w:sz w:val="24"/>
          <w:highlight w:val="none"/>
        </w:rPr>
      </w:pPr>
      <w:r>
        <w:rPr>
          <w:rFonts w:hint="eastAsia" w:ascii="宋体" w:hAnsi="宋体"/>
          <w:color w:val="000000"/>
          <w:spacing w:val="20"/>
          <w:sz w:val="24"/>
          <w:highlight w:val="none"/>
        </w:rPr>
        <w:t>投标人名称（电子签章）：</w:t>
      </w:r>
      <w:r>
        <w:rPr>
          <w:rFonts w:hint="eastAsia" w:ascii="宋体" w:hAnsi="宋体"/>
          <w:color w:val="000000"/>
          <w:spacing w:val="20"/>
          <w:sz w:val="24"/>
          <w:highlight w:val="none"/>
          <w:u w:val="single"/>
        </w:rPr>
        <w:t xml:space="preserve">            </w:t>
      </w:r>
      <w:r>
        <w:rPr>
          <w:rFonts w:hint="eastAsia" w:ascii="宋体" w:hAnsi="宋体"/>
          <w:color w:val="000000"/>
          <w:spacing w:val="20"/>
          <w:sz w:val="24"/>
          <w:highlight w:val="none"/>
        </w:rPr>
        <w:t xml:space="preserve">              </w:t>
      </w:r>
    </w:p>
    <w:p w14:paraId="3DEA5235">
      <w:pPr>
        <w:spacing w:line="360" w:lineRule="auto"/>
        <w:contextualSpacing/>
        <w:jc w:val="left"/>
        <w:rPr>
          <w:rFonts w:hint="eastAsia" w:ascii="宋体" w:hAnsi="宋体"/>
          <w:color w:val="000000"/>
          <w:sz w:val="24"/>
          <w:szCs w:val="20"/>
          <w:highlight w:val="none"/>
        </w:rPr>
      </w:pPr>
      <w:r>
        <w:rPr>
          <w:rFonts w:hint="eastAsia" w:ascii="宋体" w:hAnsi="宋体"/>
          <w:color w:val="000000"/>
          <w:spacing w:val="20"/>
          <w:sz w:val="24"/>
          <w:highlight w:val="none"/>
        </w:rPr>
        <w:t>日 期：</w:t>
      </w:r>
      <w:r>
        <w:rPr>
          <w:rFonts w:hint="eastAsia" w:ascii="宋体" w:hAnsi="宋体"/>
          <w:color w:val="000000"/>
          <w:spacing w:val="20"/>
          <w:sz w:val="24"/>
          <w:highlight w:val="none"/>
          <w:u w:val="single"/>
        </w:rPr>
        <w:t xml:space="preserve">         </w:t>
      </w:r>
    </w:p>
    <w:p w14:paraId="55FAE348">
      <w:pPr>
        <w:snapToGrid w:val="0"/>
        <w:spacing w:before="50" w:after="120" w:afterLines="50"/>
        <w:jc w:val="left"/>
        <w:rPr>
          <w:rFonts w:hint="eastAsia" w:ascii="宋体" w:hAnsi="宋体"/>
          <w:color w:val="000000"/>
          <w:sz w:val="24"/>
          <w:szCs w:val="20"/>
          <w:highlight w:val="none"/>
        </w:rPr>
      </w:pPr>
    </w:p>
    <w:p w14:paraId="37E36FCD">
      <w:pPr>
        <w:snapToGrid w:val="0"/>
        <w:spacing w:before="120" w:beforeLines="50" w:after="50"/>
        <w:ind w:left="142"/>
        <w:jc w:val="left"/>
        <w:rPr>
          <w:rFonts w:hint="eastAsia" w:ascii="宋体" w:hAnsi="宋体"/>
          <w:b/>
          <w:color w:val="000000"/>
          <w:sz w:val="24"/>
          <w:highlight w:val="none"/>
        </w:rPr>
      </w:pPr>
      <w:r>
        <w:rPr>
          <w:rFonts w:ascii="宋体" w:hAnsi="宋体"/>
          <w:b/>
          <w:color w:val="000000"/>
          <w:sz w:val="24"/>
          <w:highlight w:val="none"/>
        </w:rPr>
        <w:br w:type="page"/>
      </w:r>
      <w:r>
        <w:rPr>
          <w:rFonts w:hint="eastAsia" w:ascii="宋体" w:hAnsi="宋体"/>
          <w:b/>
          <w:color w:val="000000"/>
          <w:sz w:val="24"/>
          <w:highlight w:val="none"/>
        </w:rPr>
        <w:t>12. 选配件、专用耗材、售后服务优惠表格式（注：按项目需求表具体项目修改）</w:t>
      </w:r>
    </w:p>
    <w:p w14:paraId="68E4CF05">
      <w:pPr>
        <w:snapToGrid w:val="0"/>
        <w:spacing w:before="120" w:beforeLines="50" w:after="50"/>
        <w:ind w:left="142"/>
        <w:jc w:val="left"/>
        <w:rPr>
          <w:rFonts w:hint="eastAsia" w:ascii="宋体" w:hAnsi="宋体"/>
          <w:b/>
          <w:color w:val="000000"/>
          <w:sz w:val="24"/>
          <w:highlight w:val="none"/>
        </w:rPr>
      </w:pPr>
    </w:p>
    <w:p w14:paraId="050DF6EA">
      <w:pPr>
        <w:snapToGrid w:val="0"/>
        <w:spacing w:before="120" w:beforeLines="50" w:after="50"/>
        <w:ind w:left="142"/>
        <w:jc w:val="center"/>
        <w:rPr>
          <w:rFonts w:hint="eastAsia" w:ascii="宋体" w:hAnsi="宋体"/>
          <w:b/>
          <w:color w:val="000000"/>
          <w:sz w:val="32"/>
          <w:szCs w:val="32"/>
          <w:highlight w:val="none"/>
        </w:rPr>
      </w:pPr>
      <w:r>
        <w:rPr>
          <w:rFonts w:hint="eastAsia" w:ascii="宋体" w:hAnsi="宋体"/>
          <w:b/>
          <w:color w:val="000000"/>
          <w:sz w:val="32"/>
          <w:szCs w:val="32"/>
          <w:highlight w:val="none"/>
        </w:rPr>
        <w:t>选配件、专用耗材、售后服务优惠表</w:t>
      </w:r>
    </w:p>
    <w:p w14:paraId="23EA9FAA">
      <w:pPr>
        <w:pStyle w:val="24"/>
        <w:rPr>
          <w:rFonts w:hint="eastAsia"/>
          <w:color w:val="000000"/>
          <w:sz w:val="24"/>
          <w:szCs w:val="24"/>
          <w:highlight w:val="none"/>
        </w:rPr>
      </w:pPr>
      <w:r>
        <w:rPr>
          <w:rFonts w:hint="eastAsia"/>
          <w:color w:val="000000"/>
          <w:sz w:val="24"/>
          <w:szCs w:val="24"/>
          <w:highlight w:val="none"/>
        </w:rPr>
        <w:t>所投分标：</w:t>
      </w:r>
      <w:r>
        <w:rPr>
          <w:rFonts w:hint="eastAsia"/>
          <w:color w:val="000000"/>
          <w:sz w:val="24"/>
          <w:szCs w:val="24"/>
          <w:highlight w:val="none"/>
          <w:u w:val="single"/>
        </w:rPr>
        <w:t xml:space="preserve">     </w:t>
      </w:r>
      <w:r>
        <w:rPr>
          <w:rFonts w:hint="eastAsia"/>
          <w:color w:val="000000"/>
          <w:sz w:val="24"/>
          <w:szCs w:val="24"/>
          <w:highlight w:val="none"/>
        </w:rPr>
        <w:t>分标</w:t>
      </w:r>
    </w:p>
    <w:tbl>
      <w:tblPr>
        <w:tblStyle w:val="4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14:paraId="2CF7C1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D3B6059">
            <w:pPr>
              <w:pStyle w:val="24"/>
              <w:snapToGrid w:val="0"/>
              <w:spacing w:before="295" w:after="295"/>
              <w:jc w:val="center"/>
              <w:rPr>
                <w:rFonts w:hint="eastAsia" w:hAnsi="宋体" w:cs="Courier New"/>
                <w:color w:val="000000"/>
                <w:kern w:val="2"/>
                <w:sz w:val="24"/>
                <w:szCs w:val="24"/>
                <w:highlight w:val="none"/>
                <w:lang w:val="en-US" w:eastAsia="zh-CN"/>
              </w:rPr>
            </w:pPr>
            <w:r>
              <w:rPr>
                <w:rFonts w:hint="eastAsia" w:hAnsi="宋体" w:cs="Courier New"/>
                <w:color w:val="000000"/>
                <w:kern w:val="2"/>
                <w:sz w:val="24"/>
                <w:szCs w:val="24"/>
                <w:highlight w:val="none"/>
                <w:lang w:val="en-US" w:eastAsia="zh-CN"/>
              </w:rPr>
              <w:t>序号</w:t>
            </w:r>
          </w:p>
        </w:tc>
        <w:tc>
          <w:tcPr>
            <w:tcW w:w="2700" w:type="dxa"/>
            <w:tcBorders>
              <w:top w:val="single" w:color="auto" w:sz="4" w:space="0"/>
              <w:left w:val="single" w:color="auto" w:sz="4" w:space="0"/>
              <w:bottom w:val="single" w:color="auto" w:sz="2" w:space="0"/>
              <w:right w:val="single" w:color="auto" w:sz="4" w:space="0"/>
            </w:tcBorders>
            <w:noWrap w:val="0"/>
            <w:vAlign w:val="center"/>
          </w:tcPr>
          <w:p w14:paraId="221FDD5A">
            <w:pPr>
              <w:pStyle w:val="24"/>
              <w:snapToGrid w:val="0"/>
              <w:spacing w:before="295" w:after="295"/>
              <w:jc w:val="center"/>
              <w:rPr>
                <w:rFonts w:hint="eastAsia" w:hAnsi="宋体" w:cs="Courier New"/>
                <w:color w:val="000000"/>
                <w:kern w:val="2"/>
                <w:sz w:val="24"/>
                <w:szCs w:val="24"/>
                <w:highlight w:val="none"/>
                <w:lang w:val="en-US" w:eastAsia="zh-CN"/>
              </w:rPr>
            </w:pPr>
            <w:r>
              <w:rPr>
                <w:rFonts w:hint="eastAsia" w:hAnsi="宋体" w:cs="Courier New"/>
                <w:color w:val="000000"/>
                <w:kern w:val="2"/>
                <w:sz w:val="24"/>
                <w:szCs w:val="24"/>
                <w:highlight w:val="none"/>
                <w:lang w:val="en-US" w:eastAsia="zh-CN"/>
              </w:rPr>
              <w:t>优惠内容</w:t>
            </w:r>
          </w:p>
        </w:tc>
        <w:tc>
          <w:tcPr>
            <w:tcW w:w="1440" w:type="dxa"/>
            <w:tcBorders>
              <w:top w:val="single" w:color="auto" w:sz="4" w:space="0"/>
              <w:left w:val="single" w:color="auto" w:sz="4" w:space="0"/>
              <w:bottom w:val="single" w:color="auto" w:sz="2" w:space="0"/>
              <w:right w:val="single" w:color="auto" w:sz="4" w:space="0"/>
            </w:tcBorders>
            <w:noWrap w:val="0"/>
            <w:vAlign w:val="center"/>
          </w:tcPr>
          <w:p w14:paraId="22F59A2C">
            <w:pPr>
              <w:pStyle w:val="24"/>
              <w:snapToGrid w:val="0"/>
              <w:spacing w:before="295" w:after="295"/>
              <w:jc w:val="center"/>
              <w:rPr>
                <w:rFonts w:hint="eastAsia" w:hAnsi="宋体" w:cs="Courier New"/>
                <w:color w:val="000000"/>
                <w:kern w:val="2"/>
                <w:sz w:val="24"/>
                <w:szCs w:val="24"/>
                <w:highlight w:val="none"/>
                <w:lang w:val="en-US" w:eastAsia="zh-CN"/>
              </w:rPr>
            </w:pPr>
            <w:r>
              <w:rPr>
                <w:rFonts w:hint="eastAsia" w:hAnsi="宋体" w:cs="Courier New"/>
                <w:color w:val="000000"/>
                <w:kern w:val="2"/>
                <w:sz w:val="24"/>
                <w:szCs w:val="24"/>
                <w:highlight w:val="none"/>
                <w:lang w:val="en-US" w:eastAsia="zh-CN"/>
              </w:rPr>
              <w:t>适用机型</w:t>
            </w:r>
          </w:p>
        </w:tc>
        <w:tc>
          <w:tcPr>
            <w:tcW w:w="1440"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14:paraId="3141DD97">
            <w:pPr>
              <w:pStyle w:val="24"/>
              <w:snapToGrid w:val="0"/>
              <w:spacing w:before="295" w:after="295"/>
              <w:jc w:val="center"/>
              <w:rPr>
                <w:rFonts w:hint="eastAsia" w:hAnsi="宋体" w:cs="Courier New"/>
                <w:color w:val="000000"/>
                <w:kern w:val="2"/>
                <w:sz w:val="24"/>
                <w:szCs w:val="24"/>
                <w:highlight w:val="none"/>
                <w:lang w:val="en-US" w:eastAsia="zh-CN"/>
              </w:rPr>
            </w:pPr>
            <w:r>
              <w:rPr>
                <w:rFonts w:hint="eastAsia" w:hAnsi="宋体" w:cs="Courier New"/>
                <w:color w:val="000000"/>
                <w:kern w:val="2"/>
                <w:sz w:val="24"/>
                <w:szCs w:val="24"/>
                <w:highlight w:val="none"/>
                <w:lang w:val="en-US" w:eastAsia="zh-CN"/>
              </w:rPr>
              <w:t>单价</w:t>
            </w:r>
          </w:p>
        </w:tc>
        <w:tc>
          <w:tcPr>
            <w:tcW w:w="2340" w:type="dxa"/>
            <w:tcBorders>
              <w:top w:val="single" w:color="auto" w:sz="4" w:space="0"/>
              <w:left w:val="single" w:color="auto" w:sz="4" w:space="0"/>
              <w:bottom w:val="single" w:color="auto" w:sz="2" w:space="0"/>
              <w:right w:val="single" w:color="auto" w:sz="4" w:space="0"/>
            </w:tcBorders>
            <w:noWrap w:val="0"/>
            <w:vAlign w:val="center"/>
          </w:tcPr>
          <w:p w14:paraId="2B4FDF19">
            <w:pPr>
              <w:pStyle w:val="24"/>
              <w:snapToGrid w:val="0"/>
              <w:spacing w:before="295" w:after="295"/>
              <w:jc w:val="center"/>
              <w:rPr>
                <w:rFonts w:hint="eastAsia" w:hAnsi="宋体" w:cs="Courier New"/>
                <w:color w:val="000000"/>
                <w:kern w:val="2"/>
                <w:sz w:val="24"/>
                <w:szCs w:val="24"/>
                <w:highlight w:val="none"/>
                <w:lang w:val="en-US" w:eastAsia="zh-CN"/>
              </w:rPr>
            </w:pPr>
            <w:r>
              <w:rPr>
                <w:rFonts w:hint="eastAsia" w:hAnsi="宋体" w:cs="Courier New"/>
                <w:color w:val="000000"/>
                <w:kern w:val="2"/>
                <w:sz w:val="24"/>
                <w:szCs w:val="24"/>
                <w:highlight w:val="none"/>
                <w:lang w:val="en-US" w:eastAsia="zh-CN"/>
              </w:rPr>
              <w:t>比市场价优惠率</w:t>
            </w:r>
          </w:p>
        </w:tc>
      </w:tr>
      <w:tr w14:paraId="1C8082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02C88ADA">
            <w:pPr>
              <w:pStyle w:val="24"/>
              <w:snapToGrid w:val="0"/>
              <w:spacing w:before="295" w:after="295"/>
              <w:jc w:val="center"/>
              <w:rPr>
                <w:rFonts w:hint="eastAsia" w:hAnsi="宋体"/>
                <w:color w:val="000000"/>
                <w:kern w:val="2"/>
                <w:sz w:val="24"/>
                <w:szCs w:val="24"/>
                <w:highlight w:val="none"/>
                <w:lang w:val="en-US" w:eastAsia="zh-CN"/>
              </w:rPr>
            </w:pPr>
            <w:r>
              <w:rPr>
                <w:rFonts w:hint="eastAsia" w:hAnsi="宋体"/>
                <w:color w:val="000000"/>
                <w:kern w:val="2"/>
                <w:sz w:val="24"/>
                <w:szCs w:val="24"/>
                <w:highlight w:val="none"/>
                <w:lang w:val="en-US" w:eastAsia="zh-CN"/>
              </w:rPr>
              <w:t>1</w:t>
            </w:r>
          </w:p>
        </w:tc>
        <w:tc>
          <w:tcPr>
            <w:tcW w:w="2700" w:type="dxa"/>
            <w:tcBorders>
              <w:top w:val="single" w:color="auto" w:sz="2" w:space="0"/>
              <w:left w:val="single" w:color="auto" w:sz="2" w:space="0"/>
              <w:bottom w:val="single" w:color="auto" w:sz="6" w:space="0"/>
              <w:right w:val="single" w:color="auto" w:sz="4" w:space="0"/>
            </w:tcBorders>
            <w:noWrap w:val="0"/>
            <w:vAlign w:val="center"/>
          </w:tcPr>
          <w:p w14:paraId="65AAEEE3">
            <w:pPr>
              <w:pStyle w:val="24"/>
              <w:snapToGrid w:val="0"/>
              <w:spacing w:before="295" w:after="295"/>
              <w:jc w:val="center"/>
              <w:rPr>
                <w:rFonts w:hint="eastAsia" w:hAnsi="宋体"/>
                <w:color w:val="000000"/>
                <w:kern w:val="2"/>
                <w:sz w:val="24"/>
                <w:szCs w:val="24"/>
                <w:highlight w:val="none"/>
                <w:lang w:val="en-US" w:eastAsia="zh-CN"/>
              </w:rPr>
            </w:pPr>
          </w:p>
        </w:tc>
        <w:tc>
          <w:tcPr>
            <w:tcW w:w="1440" w:type="dxa"/>
            <w:tcBorders>
              <w:top w:val="single" w:color="auto" w:sz="2" w:space="0"/>
              <w:left w:val="single" w:color="auto" w:sz="4" w:space="0"/>
              <w:bottom w:val="single" w:color="auto" w:sz="6" w:space="0"/>
              <w:right w:val="single" w:color="auto" w:sz="6" w:space="0"/>
            </w:tcBorders>
            <w:noWrap w:val="0"/>
            <w:vAlign w:val="center"/>
          </w:tcPr>
          <w:p w14:paraId="5491F67B">
            <w:pPr>
              <w:pStyle w:val="24"/>
              <w:snapToGrid w:val="0"/>
              <w:spacing w:before="295" w:after="295"/>
              <w:jc w:val="center"/>
              <w:rPr>
                <w:rFonts w:hint="eastAsia" w:hAnsi="宋体"/>
                <w:color w:val="000000"/>
                <w:kern w:val="2"/>
                <w:sz w:val="24"/>
                <w:szCs w:val="24"/>
                <w:highlight w:val="none"/>
                <w:lang w:val="en-US" w:eastAsia="zh-CN"/>
              </w:rPr>
            </w:pPr>
          </w:p>
        </w:tc>
        <w:tc>
          <w:tcPr>
            <w:tcW w:w="1440"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0511C32D">
            <w:pPr>
              <w:pStyle w:val="24"/>
              <w:snapToGrid w:val="0"/>
              <w:spacing w:before="295" w:after="295"/>
              <w:jc w:val="center"/>
              <w:rPr>
                <w:rFonts w:hint="eastAsia" w:hAnsi="宋体"/>
                <w:color w:val="000000"/>
                <w:kern w:val="2"/>
                <w:sz w:val="24"/>
                <w:szCs w:val="24"/>
                <w:highlight w:val="none"/>
                <w:lang w:val="en-US" w:eastAsia="zh-CN"/>
              </w:rPr>
            </w:pPr>
          </w:p>
        </w:tc>
        <w:tc>
          <w:tcPr>
            <w:tcW w:w="2340" w:type="dxa"/>
            <w:tcBorders>
              <w:top w:val="single" w:color="auto" w:sz="2" w:space="0"/>
              <w:left w:val="single" w:color="auto" w:sz="6" w:space="0"/>
              <w:bottom w:val="single" w:color="auto" w:sz="6" w:space="0"/>
              <w:right w:val="single" w:color="auto" w:sz="2" w:space="0"/>
            </w:tcBorders>
            <w:noWrap w:val="0"/>
            <w:vAlign w:val="center"/>
          </w:tcPr>
          <w:p w14:paraId="75F5828E">
            <w:pPr>
              <w:pStyle w:val="24"/>
              <w:snapToGrid w:val="0"/>
              <w:spacing w:before="295" w:after="295"/>
              <w:jc w:val="center"/>
              <w:rPr>
                <w:rFonts w:hint="eastAsia" w:hAnsi="宋体"/>
                <w:color w:val="000000"/>
                <w:kern w:val="2"/>
                <w:sz w:val="24"/>
                <w:szCs w:val="24"/>
                <w:highlight w:val="none"/>
                <w:lang w:val="en-US" w:eastAsia="zh-CN"/>
              </w:rPr>
            </w:pPr>
            <w:r>
              <w:rPr>
                <w:rFonts w:hint="eastAsia" w:hAnsi="宋体"/>
                <w:color w:val="000000"/>
                <w:kern w:val="2"/>
                <w:sz w:val="24"/>
                <w:szCs w:val="24"/>
                <w:highlight w:val="none"/>
                <w:lang w:val="en-US" w:eastAsia="zh-CN"/>
              </w:rPr>
              <w:t xml:space="preserve"> </w:t>
            </w:r>
            <w:r>
              <w:rPr>
                <w:rFonts w:hint="eastAsia" w:hAnsi="宋体"/>
                <w:color w:val="000000"/>
                <w:kern w:val="2"/>
                <w:sz w:val="24"/>
                <w:szCs w:val="24"/>
                <w:highlight w:val="none"/>
                <w:u w:val="single"/>
                <w:lang w:val="en-US" w:eastAsia="zh-CN"/>
              </w:rPr>
              <w:t xml:space="preserve">           </w:t>
            </w:r>
            <w:r>
              <w:rPr>
                <w:rFonts w:hint="eastAsia" w:hAnsi="宋体"/>
                <w:color w:val="000000"/>
                <w:kern w:val="2"/>
                <w:sz w:val="24"/>
                <w:szCs w:val="24"/>
                <w:highlight w:val="none"/>
                <w:lang w:val="en-US" w:eastAsia="zh-CN"/>
              </w:rPr>
              <w:t>%</w:t>
            </w:r>
          </w:p>
        </w:tc>
      </w:tr>
      <w:tr w14:paraId="4CC2D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780C66AE">
            <w:pPr>
              <w:pStyle w:val="24"/>
              <w:snapToGrid w:val="0"/>
              <w:spacing w:before="295" w:after="295"/>
              <w:jc w:val="center"/>
              <w:rPr>
                <w:rFonts w:hint="eastAsia" w:hAnsi="宋体"/>
                <w:color w:val="000000"/>
                <w:kern w:val="2"/>
                <w:sz w:val="24"/>
                <w:szCs w:val="24"/>
                <w:highlight w:val="none"/>
                <w:lang w:val="en-US" w:eastAsia="zh-CN"/>
              </w:rPr>
            </w:pPr>
            <w:r>
              <w:rPr>
                <w:rFonts w:hint="eastAsia" w:hAnsi="宋体"/>
                <w:color w:val="000000"/>
                <w:kern w:val="2"/>
                <w:sz w:val="24"/>
                <w:szCs w:val="24"/>
                <w:highlight w:val="none"/>
                <w:lang w:val="en-US" w:eastAsia="zh-CN"/>
              </w:rPr>
              <w:t>2</w:t>
            </w:r>
          </w:p>
        </w:tc>
        <w:tc>
          <w:tcPr>
            <w:tcW w:w="2700" w:type="dxa"/>
            <w:tcBorders>
              <w:top w:val="single" w:color="auto" w:sz="6" w:space="0"/>
              <w:left w:val="single" w:color="auto" w:sz="2" w:space="0"/>
              <w:bottom w:val="single" w:color="auto" w:sz="6" w:space="0"/>
              <w:right w:val="single" w:color="auto" w:sz="4" w:space="0"/>
            </w:tcBorders>
            <w:noWrap w:val="0"/>
            <w:vAlign w:val="center"/>
          </w:tcPr>
          <w:p w14:paraId="62854322">
            <w:pPr>
              <w:pStyle w:val="24"/>
              <w:snapToGrid w:val="0"/>
              <w:spacing w:before="295" w:after="295"/>
              <w:jc w:val="center"/>
              <w:rPr>
                <w:rFonts w:hint="eastAsia" w:hAnsi="宋体"/>
                <w:color w:val="000000"/>
                <w:kern w:val="2"/>
                <w:sz w:val="24"/>
                <w:szCs w:val="24"/>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14:paraId="1D513713">
            <w:pPr>
              <w:pStyle w:val="24"/>
              <w:snapToGrid w:val="0"/>
              <w:spacing w:before="295" w:after="295"/>
              <w:jc w:val="center"/>
              <w:rPr>
                <w:rFonts w:hint="eastAsia" w:hAnsi="宋体"/>
                <w:color w:val="000000"/>
                <w:kern w:val="2"/>
                <w:sz w:val="24"/>
                <w:szCs w:val="24"/>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7C7A28BB">
            <w:pPr>
              <w:pStyle w:val="24"/>
              <w:snapToGrid w:val="0"/>
              <w:spacing w:before="295" w:after="295"/>
              <w:jc w:val="center"/>
              <w:rPr>
                <w:rFonts w:hint="eastAsia" w:hAnsi="宋体"/>
                <w:color w:val="000000"/>
                <w:kern w:val="2"/>
                <w:sz w:val="24"/>
                <w:szCs w:val="24"/>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14:paraId="3951B135">
            <w:pPr>
              <w:pStyle w:val="24"/>
              <w:snapToGrid w:val="0"/>
              <w:spacing w:before="295" w:after="295"/>
              <w:jc w:val="center"/>
              <w:rPr>
                <w:rFonts w:hint="eastAsia" w:hAnsi="宋体"/>
                <w:color w:val="000000"/>
                <w:kern w:val="2"/>
                <w:sz w:val="24"/>
                <w:szCs w:val="24"/>
                <w:highlight w:val="none"/>
                <w:lang w:val="en-US" w:eastAsia="zh-CN"/>
              </w:rPr>
            </w:pPr>
            <w:r>
              <w:rPr>
                <w:rFonts w:hint="eastAsia" w:hAnsi="宋体"/>
                <w:color w:val="000000"/>
                <w:kern w:val="2"/>
                <w:sz w:val="24"/>
                <w:szCs w:val="24"/>
                <w:highlight w:val="none"/>
                <w:lang w:val="en-US" w:eastAsia="zh-CN"/>
              </w:rPr>
              <w:t xml:space="preserve"> </w:t>
            </w:r>
            <w:r>
              <w:rPr>
                <w:rFonts w:hint="eastAsia" w:hAnsi="宋体"/>
                <w:color w:val="000000"/>
                <w:kern w:val="2"/>
                <w:sz w:val="24"/>
                <w:szCs w:val="24"/>
                <w:highlight w:val="none"/>
                <w:u w:val="single"/>
                <w:lang w:val="en-US" w:eastAsia="zh-CN"/>
              </w:rPr>
              <w:t xml:space="preserve">           </w:t>
            </w:r>
            <w:r>
              <w:rPr>
                <w:rFonts w:hint="eastAsia" w:hAnsi="宋体"/>
                <w:color w:val="000000"/>
                <w:kern w:val="2"/>
                <w:sz w:val="24"/>
                <w:szCs w:val="24"/>
                <w:highlight w:val="none"/>
                <w:lang w:val="en-US" w:eastAsia="zh-CN"/>
              </w:rPr>
              <w:t>%</w:t>
            </w:r>
          </w:p>
        </w:tc>
      </w:tr>
      <w:tr w14:paraId="370AE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58B4C6FF">
            <w:pPr>
              <w:pStyle w:val="24"/>
              <w:snapToGrid w:val="0"/>
              <w:spacing w:before="295" w:after="295"/>
              <w:jc w:val="center"/>
              <w:rPr>
                <w:rFonts w:hint="eastAsia" w:hAnsi="宋体"/>
                <w:color w:val="000000"/>
                <w:kern w:val="2"/>
                <w:sz w:val="24"/>
                <w:szCs w:val="24"/>
                <w:highlight w:val="none"/>
                <w:lang w:val="en-US" w:eastAsia="zh-CN"/>
              </w:rPr>
            </w:pPr>
            <w:r>
              <w:rPr>
                <w:rFonts w:hint="eastAsia" w:hAnsi="宋体"/>
                <w:color w:val="000000"/>
                <w:kern w:val="2"/>
                <w:sz w:val="24"/>
                <w:szCs w:val="24"/>
                <w:highlight w:val="none"/>
                <w:lang w:val="en-US" w:eastAsia="zh-CN"/>
              </w:rPr>
              <w:t>3</w:t>
            </w:r>
          </w:p>
        </w:tc>
        <w:tc>
          <w:tcPr>
            <w:tcW w:w="2700" w:type="dxa"/>
            <w:tcBorders>
              <w:top w:val="single" w:color="auto" w:sz="6" w:space="0"/>
              <w:left w:val="single" w:color="auto" w:sz="2" w:space="0"/>
              <w:bottom w:val="single" w:color="auto" w:sz="6" w:space="0"/>
              <w:right w:val="single" w:color="auto" w:sz="4" w:space="0"/>
            </w:tcBorders>
            <w:noWrap w:val="0"/>
            <w:vAlign w:val="center"/>
          </w:tcPr>
          <w:p w14:paraId="14E37EEA">
            <w:pPr>
              <w:pStyle w:val="24"/>
              <w:snapToGrid w:val="0"/>
              <w:spacing w:before="295" w:after="295"/>
              <w:jc w:val="center"/>
              <w:rPr>
                <w:rFonts w:hint="eastAsia" w:hAnsi="宋体"/>
                <w:color w:val="000000"/>
                <w:kern w:val="2"/>
                <w:sz w:val="24"/>
                <w:szCs w:val="24"/>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14:paraId="44A52180">
            <w:pPr>
              <w:pStyle w:val="24"/>
              <w:snapToGrid w:val="0"/>
              <w:spacing w:before="295" w:after="295"/>
              <w:jc w:val="center"/>
              <w:rPr>
                <w:rFonts w:hint="eastAsia" w:hAnsi="宋体"/>
                <w:color w:val="000000"/>
                <w:kern w:val="2"/>
                <w:sz w:val="24"/>
                <w:szCs w:val="24"/>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440216BE">
            <w:pPr>
              <w:pStyle w:val="24"/>
              <w:snapToGrid w:val="0"/>
              <w:spacing w:before="295" w:after="295"/>
              <w:jc w:val="center"/>
              <w:rPr>
                <w:rFonts w:hint="eastAsia" w:hAnsi="宋体"/>
                <w:color w:val="000000"/>
                <w:kern w:val="2"/>
                <w:sz w:val="24"/>
                <w:szCs w:val="24"/>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14:paraId="70754696">
            <w:pPr>
              <w:pStyle w:val="24"/>
              <w:snapToGrid w:val="0"/>
              <w:spacing w:before="295" w:after="295"/>
              <w:jc w:val="center"/>
              <w:rPr>
                <w:rFonts w:hint="eastAsia" w:hAnsi="宋体"/>
                <w:color w:val="000000"/>
                <w:kern w:val="2"/>
                <w:sz w:val="24"/>
                <w:szCs w:val="24"/>
                <w:highlight w:val="none"/>
                <w:lang w:val="en-US" w:eastAsia="zh-CN"/>
              </w:rPr>
            </w:pPr>
            <w:r>
              <w:rPr>
                <w:rFonts w:hint="eastAsia" w:hAnsi="宋体"/>
                <w:color w:val="000000"/>
                <w:kern w:val="2"/>
                <w:sz w:val="24"/>
                <w:szCs w:val="24"/>
                <w:highlight w:val="none"/>
                <w:lang w:val="en-US" w:eastAsia="zh-CN"/>
              </w:rPr>
              <w:t xml:space="preserve"> </w:t>
            </w:r>
            <w:r>
              <w:rPr>
                <w:rFonts w:hint="eastAsia" w:hAnsi="宋体"/>
                <w:color w:val="000000"/>
                <w:kern w:val="2"/>
                <w:sz w:val="24"/>
                <w:szCs w:val="24"/>
                <w:highlight w:val="none"/>
                <w:u w:val="single"/>
                <w:lang w:val="en-US" w:eastAsia="zh-CN"/>
              </w:rPr>
              <w:t xml:space="preserve">           </w:t>
            </w:r>
            <w:r>
              <w:rPr>
                <w:rFonts w:hint="eastAsia" w:hAnsi="宋体"/>
                <w:color w:val="000000"/>
                <w:kern w:val="2"/>
                <w:sz w:val="24"/>
                <w:szCs w:val="24"/>
                <w:highlight w:val="none"/>
                <w:lang w:val="en-US" w:eastAsia="zh-CN"/>
              </w:rPr>
              <w:t>%</w:t>
            </w:r>
          </w:p>
        </w:tc>
      </w:tr>
    </w:tbl>
    <w:p w14:paraId="78D54B33">
      <w:pPr>
        <w:spacing w:line="360" w:lineRule="auto"/>
        <w:contextualSpacing/>
        <w:rPr>
          <w:rFonts w:hint="eastAsia" w:ascii="宋体" w:hAnsi="宋体"/>
          <w:color w:val="000000"/>
          <w:sz w:val="24"/>
          <w:highlight w:val="none"/>
        </w:rPr>
      </w:pPr>
    </w:p>
    <w:p w14:paraId="287FD400">
      <w:pPr>
        <w:spacing w:line="360" w:lineRule="auto"/>
        <w:contextualSpacing/>
        <w:rPr>
          <w:rFonts w:hint="eastAsia" w:ascii="宋体" w:hAnsi="宋体"/>
          <w:color w:val="000000"/>
          <w:spacing w:val="20"/>
          <w:sz w:val="24"/>
          <w:highlight w:val="none"/>
          <w:u w:val="single"/>
        </w:rPr>
      </w:pPr>
      <w:r>
        <w:rPr>
          <w:rFonts w:hint="eastAsia" w:ascii="宋体" w:hAnsi="宋体"/>
          <w:color w:val="000000"/>
          <w:sz w:val="24"/>
          <w:highlight w:val="none"/>
        </w:rPr>
        <w:t>法定代表人或者委托代理人</w:t>
      </w:r>
      <w:r>
        <w:rPr>
          <w:rFonts w:hint="eastAsia" w:ascii="宋体" w:hAnsi="宋体"/>
          <w:color w:val="000000"/>
          <w:spacing w:val="20"/>
          <w:sz w:val="24"/>
          <w:highlight w:val="none"/>
        </w:rPr>
        <w:t>（签字或者电子签名）：</w:t>
      </w:r>
      <w:r>
        <w:rPr>
          <w:rFonts w:hint="eastAsia" w:ascii="宋体" w:hAnsi="宋体"/>
          <w:color w:val="000000"/>
          <w:spacing w:val="20"/>
          <w:sz w:val="24"/>
          <w:highlight w:val="none"/>
          <w:u w:val="single"/>
        </w:rPr>
        <w:t xml:space="preserve">        </w:t>
      </w:r>
    </w:p>
    <w:p w14:paraId="34244014">
      <w:pPr>
        <w:spacing w:line="360" w:lineRule="auto"/>
        <w:contextualSpacing/>
        <w:jc w:val="left"/>
        <w:rPr>
          <w:rFonts w:hint="eastAsia" w:ascii="宋体" w:hAnsi="宋体"/>
          <w:color w:val="000000"/>
          <w:spacing w:val="20"/>
          <w:sz w:val="24"/>
          <w:highlight w:val="none"/>
        </w:rPr>
      </w:pPr>
      <w:r>
        <w:rPr>
          <w:rFonts w:hint="eastAsia" w:ascii="宋体" w:hAnsi="宋体"/>
          <w:color w:val="000000"/>
          <w:spacing w:val="20"/>
          <w:sz w:val="24"/>
          <w:highlight w:val="none"/>
        </w:rPr>
        <w:t>投标人名称（电子签章）：</w:t>
      </w:r>
      <w:r>
        <w:rPr>
          <w:rFonts w:hint="eastAsia" w:ascii="宋体" w:hAnsi="宋体"/>
          <w:color w:val="000000"/>
          <w:spacing w:val="20"/>
          <w:sz w:val="24"/>
          <w:highlight w:val="none"/>
          <w:u w:val="single"/>
        </w:rPr>
        <w:t xml:space="preserve">            </w:t>
      </w:r>
      <w:r>
        <w:rPr>
          <w:rFonts w:hint="eastAsia" w:ascii="宋体" w:hAnsi="宋体"/>
          <w:color w:val="000000"/>
          <w:spacing w:val="20"/>
          <w:sz w:val="24"/>
          <w:highlight w:val="none"/>
        </w:rPr>
        <w:t xml:space="preserve">              </w:t>
      </w:r>
    </w:p>
    <w:p w14:paraId="46F71118">
      <w:pPr>
        <w:spacing w:line="360" w:lineRule="auto"/>
        <w:contextualSpacing/>
        <w:jc w:val="left"/>
        <w:rPr>
          <w:rFonts w:hint="eastAsia" w:ascii="宋体" w:hAnsi="宋体"/>
          <w:color w:val="000000"/>
          <w:sz w:val="24"/>
          <w:szCs w:val="20"/>
          <w:highlight w:val="none"/>
        </w:rPr>
      </w:pPr>
      <w:r>
        <w:rPr>
          <w:rFonts w:hint="eastAsia" w:ascii="宋体" w:hAnsi="宋体"/>
          <w:color w:val="000000"/>
          <w:spacing w:val="20"/>
          <w:sz w:val="24"/>
          <w:highlight w:val="none"/>
        </w:rPr>
        <w:t>日 期：</w:t>
      </w:r>
      <w:r>
        <w:rPr>
          <w:rFonts w:hint="eastAsia" w:ascii="宋体" w:hAnsi="宋体"/>
          <w:color w:val="000000"/>
          <w:spacing w:val="20"/>
          <w:sz w:val="24"/>
          <w:highlight w:val="none"/>
          <w:u w:val="single"/>
        </w:rPr>
        <w:t xml:space="preserve">            </w:t>
      </w:r>
    </w:p>
    <w:p w14:paraId="4DDB2663">
      <w:pPr>
        <w:snapToGrid w:val="0"/>
        <w:spacing w:before="50" w:after="120" w:afterLines="50"/>
        <w:jc w:val="left"/>
        <w:rPr>
          <w:rFonts w:hint="eastAsia" w:ascii="宋体" w:hAnsi="宋体"/>
          <w:color w:val="000000"/>
          <w:sz w:val="24"/>
          <w:szCs w:val="20"/>
          <w:highlight w:val="none"/>
        </w:rPr>
      </w:pPr>
    </w:p>
    <w:p w14:paraId="0CFCBE34">
      <w:pPr>
        <w:rPr>
          <w:b/>
          <w:color w:val="000000"/>
          <w:sz w:val="28"/>
          <w:szCs w:val="28"/>
          <w:highlight w:val="none"/>
        </w:rPr>
      </w:pPr>
      <w:r>
        <w:rPr>
          <w:rFonts w:ascii="宋体" w:hAnsi="宋体"/>
          <w:b/>
          <w:bCs/>
          <w:color w:val="000000"/>
          <w:sz w:val="24"/>
          <w:highlight w:val="none"/>
        </w:rPr>
        <w:br w:type="page"/>
      </w:r>
      <w:r>
        <w:rPr>
          <w:rFonts w:hint="eastAsia"/>
          <w:b/>
          <w:color w:val="000000"/>
          <w:sz w:val="28"/>
          <w:szCs w:val="28"/>
          <w:highlight w:val="none"/>
        </w:rPr>
        <w:t>四、其他文书、文件格式</w:t>
      </w:r>
    </w:p>
    <w:p w14:paraId="75A14026">
      <w:pPr>
        <w:snapToGrid w:val="0"/>
        <w:spacing w:before="120" w:beforeLines="50" w:after="50"/>
        <w:jc w:val="left"/>
        <w:rPr>
          <w:rFonts w:hint="eastAsia"/>
          <w:color w:val="000000"/>
          <w:highlight w:val="none"/>
        </w:rPr>
      </w:pPr>
      <w:r>
        <w:rPr>
          <w:rFonts w:hint="eastAsia" w:ascii="宋体" w:hAnsi="宋体"/>
          <w:b/>
          <w:color w:val="000000"/>
          <w:sz w:val="24"/>
          <w:highlight w:val="none"/>
        </w:rPr>
        <w:t>1.中小企业声明函格式</w:t>
      </w:r>
    </w:p>
    <w:p w14:paraId="32D6F674">
      <w:pPr>
        <w:rPr>
          <w:rFonts w:hint="eastAsia"/>
          <w:color w:val="000000"/>
          <w:highlight w:val="none"/>
        </w:rPr>
      </w:pPr>
    </w:p>
    <w:p w14:paraId="2EBA32E2">
      <w:pPr>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中小企业声明函（货物）</w:t>
      </w:r>
    </w:p>
    <w:p w14:paraId="38D8AE6B">
      <w:pPr>
        <w:spacing w:before="2" w:line="500" w:lineRule="exact"/>
        <w:rPr>
          <w:rFonts w:ascii="宋体" w:hAnsi="宋体" w:cs="宋体"/>
          <w:b/>
          <w:bCs/>
          <w:color w:val="000000"/>
          <w:sz w:val="27"/>
          <w:szCs w:val="27"/>
          <w:highlight w:val="none"/>
        </w:rPr>
      </w:pPr>
    </w:p>
    <w:p w14:paraId="37C88420">
      <w:pPr>
        <w:pStyle w:val="18"/>
        <w:spacing w:line="360" w:lineRule="auto"/>
        <w:ind w:left="-426" w:leftChars="-203" w:right="142" w:firstLine="480" w:firstLineChars="200"/>
        <w:contextualSpacing/>
        <w:rPr>
          <w:rFonts w:ascii="宋体" w:hAnsi="宋体"/>
          <w:color w:val="000000"/>
          <w:kern w:val="24"/>
          <w:highlight w:val="none"/>
        </w:rPr>
      </w:pPr>
      <w:r>
        <w:rPr>
          <w:rFonts w:ascii="宋体" w:hAnsi="宋体"/>
          <w:color w:val="000000"/>
          <w:kern w:val="24"/>
          <w:highlight w:val="none"/>
        </w:rPr>
        <w:t>本公司（联合体）郑重声明，根据《政府采购促进中小企业发展管理办法》（财库﹝2020﹞46号）的规定，本公司（联合体）参加</w:t>
      </w:r>
      <w:r>
        <w:rPr>
          <w:rFonts w:ascii="宋体" w:hAnsi="宋体"/>
          <w:color w:val="000000"/>
          <w:kern w:val="24"/>
          <w:highlight w:val="none"/>
          <w:u w:val="single"/>
        </w:rPr>
        <w:t>（单位名称）</w:t>
      </w:r>
      <w:r>
        <w:rPr>
          <w:rFonts w:ascii="宋体" w:hAnsi="宋体"/>
          <w:color w:val="000000"/>
          <w:kern w:val="24"/>
          <w:highlight w:val="none"/>
        </w:rPr>
        <w:t>的</w:t>
      </w:r>
      <w:r>
        <w:rPr>
          <w:rFonts w:ascii="宋体" w:hAnsi="宋体"/>
          <w:color w:val="000000"/>
          <w:kern w:val="24"/>
          <w:highlight w:val="none"/>
          <w:u w:val="single"/>
        </w:rPr>
        <w:t>（项目名称）</w:t>
      </w:r>
      <w:r>
        <w:rPr>
          <w:rFonts w:ascii="宋体" w:hAnsi="宋体"/>
          <w:color w:val="000000"/>
          <w:kern w:val="24"/>
          <w:highlight w:val="none"/>
        </w:rPr>
        <w:t>采购活动，提供的货物全部由符合政策要求的中小企业制造。相关企业（含联合体中的中小企业、签订分包意向协议的中小企业）的具体情况如下：</w:t>
      </w:r>
    </w:p>
    <w:p w14:paraId="0EDD1F37">
      <w:pPr>
        <w:tabs>
          <w:tab w:val="left" w:pos="1384"/>
          <w:tab w:val="left" w:pos="4562"/>
          <w:tab w:val="left" w:pos="6803"/>
        </w:tabs>
        <w:spacing w:line="360" w:lineRule="auto"/>
        <w:ind w:left="-426" w:right="-58" w:firstLine="655"/>
        <w:contextualSpacing/>
        <w:rPr>
          <w:rFonts w:ascii="宋体" w:hAnsi="宋体"/>
          <w:color w:val="000000"/>
          <w:kern w:val="24"/>
          <w:sz w:val="24"/>
          <w:highlight w:val="none"/>
        </w:rPr>
      </w:pPr>
      <w:r>
        <w:rPr>
          <w:rFonts w:ascii="宋体" w:hAnsi="宋体"/>
          <w:color w:val="000000"/>
          <w:kern w:val="24"/>
          <w:sz w:val="24"/>
          <w:highlight w:val="none"/>
        </w:rPr>
        <w:t>1.</w:t>
      </w:r>
      <w:r>
        <w:rPr>
          <w:rFonts w:ascii="宋体" w:hAnsi="宋体"/>
          <w:color w:val="000000"/>
          <w:kern w:val="24"/>
          <w:sz w:val="24"/>
          <w:highlight w:val="none"/>
          <w:u w:val="single"/>
        </w:rPr>
        <w:t>（标的名称）</w:t>
      </w:r>
      <w:r>
        <w:rPr>
          <w:rFonts w:ascii="宋体" w:hAnsi="宋体"/>
          <w:color w:val="000000"/>
          <w:kern w:val="24"/>
          <w:sz w:val="24"/>
          <w:highlight w:val="none"/>
        </w:rPr>
        <w:t>，属于</w:t>
      </w:r>
      <w:r>
        <w:rPr>
          <w:rFonts w:ascii="宋体" w:hAnsi="宋体"/>
          <w:color w:val="000000"/>
          <w:kern w:val="24"/>
          <w:sz w:val="24"/>
          <w:highlight w:val="none"/>
          <w:u w:val="single"/>
        </w:rPr>
        <w:t>（采购文件中明确的所属行业）</w:t>
      </w:r>
      <w:r>
        <w:rPr>
          <w:rFonts w:ascii="宋体" w:hAnsi="宋体"/>
          <w:color w:val="000000"/>
          <w:kern w:val="24"/>
          <w:sz w:val="24"/>
          <w:highlight w:val="none"/>
        </w:rPr>
        <w:t>行业；制造商为</w:t>
      </w:r>
      <w:r>
        <w:rPr>
          <w:rFonts w:ascii="宋体" w:hAnsi="宋体"/>
          <w:color w:val="000000"/>
          <w:kern w:val="24"/>
          <w:sz w:val="24"/>
          <w:highlight w:val="none"/>
          <w:u w:val="single"/>
        </w:rPr>
        <w:t>（企业名称）</w:t>
      </w:r>
      <w:r>
        <w:rPr>
          <w:rFonts w:ascii="宋体" w:hAnsi="宋体"/>
          <w:color w:val="000000"/>
          <w:kern w:val="24"/>
          <w:sz w:val="24"/>
          <w:highlight w:val="none"/>
        </w:rPr>
        <w:t>，从业人员</w:t>
      </w:r>
      <w:r>
        <w:rPr>
          <w:rFonts w:hint="eastAsia" w:ascii="宋体" w:hAnsi="宋体"/>
          <w:color w:val="000000"/>
          <w:kern w:val="24"/>
          <w:sz w:val="24"/>
          <w:highlight w:val="none"/>
          <w:u w:val="single"/>
        </w:rPr>
        <w:t xml:space="preserve"> </w:t>
      </w:r>
      <w:r>
        <w:rPr>
          <w:rFonts w:ascii="宋体" w:hAnsi="宋体"/>
          <w:color w:val="000000"/>
          <w:kern w:val="24"/>
          <w:sz w:val="24"/>
          <w:highlight w:val="none"/>
          <w:u w:val="single"/>
        </w:rPr>
        <w:t xml:space="preserve">     </w:t>
      </w:r>
      <w:r>
        <w:rPr>
          <w:rFonts w:ascii="宋体" w:hAnsi="宋体"/>
          <w:color w:val="000000"/>
          <w:kern w:val="24"/>
          <w:sz w:val="24"/>
          <w:highlight w:val="none"/>
        </w:rPr>
        <w:t>人，营业收入为</w:t>
      </w:r>
      <w:r>
        <w:rPr>
          <w:rFonts w:hint="eastAsia" w:ascii="宋体" w:hAnsi="宋体"/>
          <w:color w:val="000000"/>
          <w:kern w:val="24"/>
          <w:sz w:val="24"/>
          <w:highlight w:val="none"/>
          <w:u w:val="single"/>
        </w:rPr>
        <w:t xml:space="preserve"> </w:t>
      </w:r>
      <w:r>
        <w:rPr>
          <w:rFonts w:ascii="宋体" w:hAnsi="宋体"/>
          <w:color w:val="000000"/>
          <w:kern w:val="24"/>
          <w:sz w:val="24"/>
          <w:highlight w:val="none"/>
          <w:u w:val="single"/>
        </w:rPr>
        <w:t xml:space="preserve">     </w:t>
      </w:r>
      <w:r>
        <w:rPr>
          <w:rFonts w:ascii="宋体" w:hAnsi="宋体"/>
          <w:color w:val="000000"/>
          <w:kern w:val="24"/>
          <w:sz w:val="24"/>
          <w:highlight w:val="none"/>
        </w:rPr>
        <w:t>万元，资产总额为</w:t>
      </w:r>
      <w:r>
        <w:rPr>
          <w:rFonts w:hint="eastAsia" w:ascii="宋体" w:hAnsi="宋体"/>
          <w:color w:val="000000"/>
          <w:kern w:val="24"/>
          <w:sz w:val="24"/>
          <w:highlight w:val="none"/>
          <w:u w:val="single"/>
        </w:rPr>
        <w:t xml:space="preserve"> </w:t>
      </w:r>
      <w:r>
        <w:rPr>
          <w:rFonts w:ascii="宋体" w:hAnsi="宋体"/>
          <w:color w:val="000000"/>
          <w:kern w:val="24"/>
          <w:sz w:val="24"/>
          <w:highlight w:val="none"/>
          <w:u w:val="single"/>
        </w:rPr>
        <w:t xml:space="preserve">     </w:t>
      </w:r>
      <w:r>
        <w:rPr>
          <w:rFonts w:ascii="宋体" w:hAnsi="宋体"/>
          <w:color w:val="000000"/>
          <w:kern w:val="24"/>
          <w:sz w:val="24"/>
          <w:highlight w:val="none"/>
        </w:rPr>
        <w:t>万元，属于</w:t>
      </w:r>
      <w:r>
        <w:rPr>
          <w:rFonts w:ascii="宋体" w:hAnsi="宋体"/>
          <w:color w:val="000000"/>
          <w:kern w:val="24"/>
          <w:sz w:val="24"/>
          <w:highlight w:val="none"/>
          <w:u w:val="single"/>
        </w:rPr>
        <w:t>（中型企业、小型企业、微型企业）</w:t>
      </w:r>
      <w:r>
        <w:rPr>
          <w:rFonts w:ascii="宋体" w:hAnsi="宋体"/>
          <w:color w:val="000000"/>
          <w:kern w:val="24"/>
          <w:sz w:val="24"/>
          <w:highlight w:val="none"/>
        </w:rPr>
        <w:t>；</w:t>
      </w:r>
    </w:p>
    <w:p w14:paraId="61A7A7CF">
      <w:pPr>
        <w:tabs>
          <w:tab w:val="left" w:pos="1065"/>
          <w:tab w:val="left" w:pos="6477"/>
        </w:tabs>
        <w:spacing w:line="360" w:lineRule="auto"/>
        <w:ind w:left="-426" w:right="-58" w:firstLine="655"/>
        <w:contextualSpacing/>
        <w:rPr>
          <w:rFonts w:ascii="宋体" w:hAnsi="宋体"/>
          <w:color w:val="000000"/>
          <w:kern w:val="24"/>
          <w:sz w:val="24"/>
          <w:highlight w:val="none"/>
        </w:rPr>
      </w:pPr>
      <w:r>
        <w:rPr>
          <w:rFonts w:ascii="宋体" w:hAnsi="宋体"/>
          <w:color w:val="000000"/>
          <w:kern w:val="24"/>
          <w:sz w:val="24"/>
          <w:highlight w:val="none"/>
        </w:rPr>
        <w:t>2.</w:t>
      </w:r>
      <w:r>
        <w:rPr>
          <w:rFonts w:ascii="宋体" w:hAnsi="宋体"/>
          <w:color w:val="000000"/>
          <w:kern w:val="24"/>
          <w:sz w:val="24"/>
          <w:highlight w:val="none"/>
          <w:u w:val="single"/>
        </w:rPr>
        <w:t>（标的名称）</w:t>
      </w:r>
      <w:r>
        <w:rPr>
          <w:rFonts w:ascii="宋体" w:hAnsi="宋体"/>
          <w:color w:val="000000"/>
          <w:kern w:val="24"/>
          <w:sz w:val="24"/>
          <w:highlight w:val="none"/>
        </w:rPr>
        <w:t>，属于</w:t>
      </w:r>
      <w:r>
        <w:rPr>
          <w:rFonts w:ascii="宋体" w:hAnsi="宋体"/>
          <w:color w:val="000000"/>
          <w:kern w:val="24"/>
          <w:sz w:val="24"/>
          <w:highlight w:val="none"/>
          <w:u w:val="single"/>
        </w:rPr>
        <w:t>（采购文件中明确的所属行业）</w:t>
      </w:r>
      <w:r>
        <w:rPr>
          <w:rFonts w:ascii="宋体" w:hAnsi="宋体"/>
          <w:color w:val="000000"/>
          <w:kern w:val="24"/>
          <w:sz w:val="24"/>
          <w:highlight w:val="none"/>
        </w:rPr>
        <w:t>行业；制造商为</w:t>
      </w:r>
      <w:r>
        <w:rPr>
          <w:rFonts w:ascii="宋体" w:hAnsi="宋体"/>
          <w:color w:val="000000"/>
          <w:kern w:val="24"/>
          <w:sz w:val="24"/>
          <w:highlight w:val="none"/>
          <w:u w:val="single"/>
        </w:rPr>
        <w:t>（企业名称）</w:t>
      </w:r>
      <w:r>
        <w:rPr>
          <w:rFonts w:ascii="宋体" w:hAnsi="宋体"/>
          <w:color w:val="000000"/>
          <w:kern w:val="24"/>
          <w:sz w:val="24"/>
          <w:highlight w:val="none"/>
        </w:rPr>
        <w:t>，从业人员</w:t>
      </w:r>
      <w:r>
        <w:rPr>
          <w:rFonts w:hint="eastAsia" w:ascii="宋体" w:hAnsi="宋体"/>
          <w:color w:val="000000"/>
          <w:kern w:val="24"/>
          <w:sz w:val="24"/>
          <w:highlight w:val="none"/>
          <w:u w:val="single"/>
        </w:rPr>
        <w:t xml:space="preserve"> </w:t>
      </w:r>
      <w:r>
        <w:rPr>
          <w:rFonts w:ascii="宋体" w:hAnsi="宋体"/>
          <w:color w:val="000000"/>
          <w:kern w:val="24"/>
          <w:sz w:val="24"/>
          <w:highlight w:val="none"/>
          <w:u w:val="single"/>
        </w:rPr>
        <w:t xml:space="preserve">     </w:t>
      </w:r>
      <w:r>
        <w:rPr>
          <w:rFonts w:ascii="宋体" w:hAnsi="宋体"/>
          <w:color w:val="000000"/>
          <w:kern w:val="24"/>
          <w:sz w:val="24"/>
          <w:highlight w:val="none"/>
        </w:rPr>
        <w:t>人，营业收入为</w:t>
      </w:r>
      <w:r>
        <w:rPr>
          <w:rFonts w:hint="eastAsia" w:ascii="宋体" w:hAnsi="宋体"/>
          <w:color w:val="000000"/>
          <w:kern w:val="24"/>
          <w:sz w:val="24"/>
          <w:highlight w:val="none"/>
          <w:u w:val="single"/>
        </w:rPr>
        <w:t xml:space="preserve"> </w:t>
      </w:r>
      <w:r>
        <w:rPr>
          <w:rFonts w:ascii="宋体" w:hAnsi="宋体"/>
          <w:color w:val="000000"/>
          <w:kern w:val="24"/>
          <w:sz w:val="24"/>
          <w:highlight w:val="none"/>
          <w:u w:val="single"/>
        </w:rPr>
        <w:t xml:space="preserve">     </w:t>
      </w:r>
      <w:r>
        <w:rPr>
          <w:rFonts w:ascii="宋体" w:hAnsi="宋体"/>
          <w:color w:val="000000"/>
          <w:kern w:val="24"/>
          <w:sz w:val="24"/>
          <w:highlight w:val="none"/>
        </w:rPr>
        <w:t>万元，资产总额为</w:t>
      </w:r>
      <w:r>
        <w:rPr>
          <w:rFonts w:hint="eastAsia" w:ascii="宋体" w:hAnsi="宋体"/>
          <w:color w:val="000000"/>
          <w:kern w:val="24"/>
          <w:sz w:val="24"/>
          <w:highlight w:val="none"/>
          <w:u w:val="single"/>
        </w:rPr>
        <w:t xml:space="preserve"> </w:t>
      </w:r>
      <w:r>
        <w:rPr>
          <w:rFonts w:ascii="宋体" w:hAnsi="宋体"/>
          <w:color w:val="000000"/>
          <w:kern w:val="24"/>
          <w:sz w:val="24"/>
          <w:highlight w:val="none"/>
          <w:u w:val="single"/>
        </w:rPr>
        <w:t xml:space="preserve">     </w:t>
      </w:r>
      <w:r>
        <w:rPr>
          <w:rFonts w:ascii="宋体" w:hAnsi="宋体"/>
          <w:color w:val="000000"/>
          <w:kern w:val="24"/>
          <w:sz w:val="24"/>
          <w:highlight w:val="none"/>
        </w:rPr>
        <w:t>万元，属于</w:t>
      </w:r>
      <w:r>
        <w:rPr>
          <w:rFonts w:ascii="宋体" w:hAnsi="宋体"/>
          <w:color w:val="000000"/>
          <w:kern w:val="24"/>
          <w:sz w:val="24"/>
          <w:highlight w:val="none"/>
          <w:u w:val="single"/>
        </w:rPr>
        <w:t>（中型企业、小型企业、微型企业）</w:t>
      </w:r>
      <w:r>
        <w:rPr>
          <w:rFonts w:ascii="宋体" w:hAnsi="宋体"/>
          <w:color w:val="000000"/>
          <w:kern w:val="24"/>
          <w:sz w:val="24"/>
          <w:highlight w:val="none"/>
        </w:rPr>
        <w:t>；</w:t>
      </w:r>
    </w:p>
    <w:p w14:paraId="17BA5ACB">
      <w:pPr>
        <w:pStyle w:val="18"/>
        <w:spacing w:line="360" w:lineRule="auto"/>
        <w:ind w:left="142" w:right="142"/>
        <w:contextualSpacing/>
        <w:rPr>
          <w:rFonts w:ascii="宋体" w:hAnsi="宋体"/>
          <w:color w:val="000000"/>
          <w:kern w:val="24"/>
          <w:highlight w:val="none"/>
        </w:rPr>
      </w:pPr>
      <w:r>
        <w:rPr>
          <w:rFonts w:ascii="宋体" w:hAnsi="宋体"/>
          <w:color w:val="000000"/>
          <w:kern w:val="24"/>
          <w:highlight w:val="none"/>
        </w:rPr>
        <w:t xml:space="preserve">…… </w:t>
      </w:r>
    </w:p>
    <w:p w14:paraId="5D748577">
      <w:pPr>
        <w:pStyle w:val="18"/>
        <w:spacing w:line="360" w:lineRule="auto"/>
        <w:ind w:left="-405" w:leftChars="-193" w:right="142" w:firstLine="453" w:firstLineChars="189"/>
        <w:contextualSpacing/>
        <w:rPr>
          <w:rFonts w:ascii="宋体" w:hAnsi="宋体"/>
          <w:color w:val="000000"/>
          <w:kern w:val="24"/>
          <w:highlight w:val="none"/>
        </w:rPr>
      </w:pPr>
      <w:r>
        <w:rPr>
          <w:rFonts w:ascii="宋体" w:hAnsi="宋体"/>
          <w:color w:val="000000"/>
          <w:kern w:val="24"/>
          <w:highlight w:val="none"/>
        </w:rPr>
        <w:t>以上企业，不属于大企业的分支机构，不存在控股股东为大企业的情形，也不存在与大企业的负责人为同一人的情形。</w:t>
      </w:r>
    </w:p>
    <w:p w14:paraId="11245260">
      <w:pPr>
        <w:pStyle w:val="18"/>
        <w:spacing w:line="360" w:lineRule="auto"/>
        <w:ind w:left="-426" w:right="142" w:firstLine="567"/>
        <w:contextualSpacing/>
        <w:rPr>
          <w:rFonts w:ascii="宋体" w:hAnsi="宋体"/>
          <w:color w:val="000000"/>
          <w:kern w:val="24"/>
          <w:highlight w:val="none"/>
        </w:rPr>
      </w:pPr>
      <w:r>
        <w:rPr>
          <w:rFonts w:ascii="宋体" w:hAnsi="宋体"/>
          <w:color w:val="000000"/>
          <w:kern w:val="24"/>
          <w:highlight w:val="none"/>
        </w:rPr>
        <w:t>本企业对上述声明内容的真实性负责。如有虚假，将依法承担相应责任。</w:t>
      </w:r>
    </w:p>
    <w:p w14:paraId="631B49C8">
      <w:pPr>
        <w:pStyle w:val="18"/>
        <w:spacing w:line="360" w:lineRule="auto"/>
        <w:ind w:left="3960" w:right="1808"/>
        <w:contextualSpacing/>
        <w:rPr>
          <w:rFonts w:hint="eastAsia" w:ascii="宋体" w:hAnsi="宋体"/>
          <w:color w:val="000000"/>
          <w:kern w:val="24"/>
          <w:highlight w:val="none"/>
        </w:rPr>
      </w:pPr>
    </w:p>
    <w:p w14:paraId="7A278856">
      <w:pPr>
        <w:pStyle w:val="18"/>
        <w:spacing w:line="360" w:lineRule="auto"/>
        <w:ind w:left="3960" w:right="1808"/>
        <w:contextualSpacing/>
        <w:rPr>
          <w:rFonts w:ascii="宋体" w:hAnsi="宋体"/>
          <w:color w:val="000000"/>
          <w:kern w:val="24"/>
          <w:highlight w:val="none"/>
        </w:rPr>
      </w:pPr>
      <w:r>
        <w:rPr>
          <w:rFonts w:ascii="宋体" w:hAnsi="宋体"/>
          <w:color w:val="000000"/>
          <w:kern w:val="24"/>
          <w:highlight w:val="none"/>
        </w:rPr>
        <w:t>企业名称（</w:t>
      </w:r>
      <w:r>
        <w:rPr>
          <w:rFonts w:hint="eastAsia" w:ascii="宋体" w:hAnsi="宋体"/>
          <w:color w:val="000000"/>
          <w:kern w:val="24"/>
          <w:highlight w:val="none"/>
        </w:rPr>
        <w:t>电子签章</w:t>
      </w:r>
      <w:r>
        <w:rPr>
          <w:rFonts w:ascii="宋体" w:hAnsi="宋体"/>
          <w:color w:val="000000"/>
          <w:kern w:val="24"/>
          <w:highlight w:val="none"/>
        </w:rPr>
        <w:t xml:space="preserve">）： </w:t>
      </w:r>
    </w:p>
    <w:p w14:paraId="13CABBDD">
      <w:pPr>
        <w:pStyle w:val="18"/>
        <w:spacing w:line="360" w:lineRule="auto"/>
        <w:ind w:left="3960" w:right="1808"/>
        <w:contextualSpacing/>
        <w:rPr>
          <w:rFonts w:ascii="宋体" w:hAnsi="宋体"/>
          <w:color w:val="000000"/>
          <w:kern w:val="24"/>
          <w:highlight w:val="none"/>
        </w:rPr>
      </w:pPr>
      <w:r>
        <w:rPr>
          <w:rFonts w:ascii="宋体" w:hAnsi="宋体"/>
          <w:color w:val="000000"/>
          <w:kern w:val="24"/>
          <w:highlight w:val="none"/>
        </w:rPr>
        <w:t>日</w:t>
      </w:r>
      <w:r>
        <w:rPr>
          <w:rFonts w:hint="eastAsia" w:ascii="宋体" w:hAnsi="宋体"/>
          <w:color w:val="000000"/>
          <w:kern w:val="24"/>
          <w:highlight w:val="none"/>
        </w:rPr>
        <w:t xml:space="preserve"> </w:t>
      </w:r>
      <w:r>
        <w:rPr>
          <w:rFonts w:ascii="宋体" w:hAnsi="宋体"/>
          <w:color w:val="000000"/>
          <w:kern w:val="24"/>
          <w:highlight w:val="none"/>
        </w:rPr>
        <w:t>期：</w:t>
      </w:r>
    </w:p>
    <w:p w14:paraId="7C66920C">
      <w:pPr>
        <w:pStyle w:val="18"/>
        <w:spacing w:line="360" w:lineRule="auto"/>
        <w:ind w:left="3960" w:right="1808"/>
        <w:contextualSpacing/>
        <w:rPr>
          <w:rFonts w:ascii="宋体" w:hAnsi="宋体"/>
          <w:color w:val="000000"/>
          <w:kern w:val="24"/>
          <w:highlight w:val="none"/>
        </w:rPr>
      </w:pPr>
    </w:p>
    <w:p w14:paraId="0AB90D14">
      <w:pPr>
        <w:pStyle w:val="18"/>
        <w:spacing w:line="360" w:lineRule="auto"/>
        <w:ind w:left="3960" w:right="1808"/>
        <w:contextualSpacing/>
        <w:rPr>
          <w:rFonts w:ascii="宋体" w:hAnsi="宋体"/>
          <w:color w:val="000000"/>
          <w:kern w:val="24"/>
          <w:highlight w:val="none"/>
        </w:rPr>
      </w:pPr>
    </w:p>
    <w:p w14:paraId="23F0938F">
      <w:pPr>
        <w:pStyle w:val="18"/>
        <w:spacing w:line="360" w:lineRule="auto"/>
        <w:ind w:left="-426" w:right="142" w:firstLine="567"/>
        <w:contextualSpacing/>
        <w:rPr>
          <w:rFonts w:hint="eastAsia" w:ascii="宋体" w:hAnsi="宋体"/>
          <w:color w:val="000000"/>
          <w:kern w:val="24"/>
          <w:highlight w:val="none"/>
        </w:rPr>
      </w:pPr>
      <w:r>
        <w:rPr>
          <w:rFonts w:hint="eastAsia" w:ascii="宋体" w:hAnsi="宋体"/>
          <w:color w:val="000000"/>
          <w:kern w:val="24"/>
          <w:highlight w:val="none"/>
        </w:rPr>
        <w:t>注：享受《政府采购促进中小企业发展管理办法》（财库〔2020〕46号）规定的中小企业扶持政策的，采购人、采购代理机构应当随中标结果公开中标人的《中小企业声明函》。从业人员、营业收入、资产总额填报上一年度数据，无上一年度数据的新成立企业可不填报。</w:t>
      </w:r>
    </w:p>
    <w:p w14:paraId="4C557BC1">
      <w:pPr>
        <w:snapToGrid w:val="0"/>
        <w:spacing w:before="120" w:beforeLines="50" w:after="50"/>
        <w:ind w:left="142"/>
        <w:jc w:val="left"/>
        <w:rPr>
          <w:rFonts w:hint="eastAsia" w:ascii="宋体" w:hAnsi="宋体"/>
          <w:b/>
          <w:color w:val="000000"/>
          <w:sz w:val="24"/>
          <w:highlight w:val="none"/>
        </w:rPr>
      </w:pPr>
      <w:r>
        <w:rPr>
          <w:rFonts w:ascii="宋体" w:hAnsi="宋体"/>
          <w:b/>
          <w:color w:val="000000"/>
          <w:sz w:val="24"/>
          <w:highlight w:val="none"/>
        </w:rPr>
        <w:br w:type="page"/>
      </w:r>
      <w:r>
        <w:rPr>
          <w:rFonts w:hint="eastAsia" w:ascii="宋体" w:hAnsi="宋体"/>
          <w:b/>
          <w:color w:val="000000"/>
          <w:sz w:val="24"/>
          <w:highlight w:val="none"/>
        </w:rPr>
        <w:t>2.残疾人福利性单位声明函格式</w:t>
      </w:r>
    </w:p>
    <w:p w14:paraId="4EDA5D9E">
      <w:pPr>
        <w:spacing w:line="588" w:lineRule="exact"/>
        <w:jc w:val="center"/>
        <w:rPr>
          <w:rFonts w:hint="eastAsia" w:ascii="仿宋_GB2312" w:eastAsia="仿宋_GB2312"/>
          <w:b/>
          <w:color w:val="000000"/>
          <w:spacing w:val="6"/>
          <w:sz w:val="32"/>
          <w:szCs w:val="32"/>
          <w:highlight w:val="none"/>
        </w:rPr>
      </w:pPr>
    </w:p>
    <w:p w14:paraId="3CF9B742">
      <w:pPr>
        <w:spacing w:line="588" w:lineRule="exact"/>
        <w:jc w:val="center"/>
        <w:rPr>
          <w:rFonts w:hint="eastAsia" w:ascii="方正小标宋简体" w:hAnsi="方正小标宋简体" w:eastAsia="方正小标宋简体" w:cs="方正小标宋简体"/>
          <w:bCs/>
          <w:color w:val="000000"/>
          <w:spacing w:val="6"/>
          <w:sz w:val="44"/>
          <w:szCs w:val="44"/>
          <w:highlight w:val="none"/>
        </w:rPr>
      </w:pPr>
      <w:r>
        <w:rPr>
          <w:rFonts w:hint="eastAsia" w:ascii="方正小标宋简体" w:hAnsi="方正小标宋简体" w:eastAsia="方正小标宋简体" w:cs="方正小标宋简体"/>
          <w:bCs/>
          <w:color w:val="000000"/>
          <w:spacing w:val="6"/>
          <w:sz w:val="44"/>
          <w:szCs w:val="44"/>
          <w:highlight w:val="none"/>
        </w:rPr>
        <w:t>残疾人福利性单位声明函</w:t>
      </w:r>
    </w:p>
    <w:p w14:paraId="1DE39037">
      <w:pPr>
        <w:spacing w:line="360" w:lineRule="auto"/>
        <w:contextualSpacing/>
        <w:rPr>
          <w:rFonts w:ascii="仿宋_GB2312" w:eastAsia="仿宋_GB2312"/>
          <w:bCs/>
          <w:color w:val="000000"/>
          <w:spacing w:val="6"/>
          <w:sz w:val="30"/>
          <w:szCs w:val="30"/>
          <w:highlight w:val="none"/>
        </w:rPr>
      </w:pPr>
    </w:p>
    <w:p w14:paraId="3A7AD9C0">
      <w:pPr>
        <w:spacing w:line="360" w:lineRule="auto"/>
        <w:ind w:firstLine="504" w:firstLineChars="200"/>
        <w:contextualSpacing/>
        <w:rPr>
          <w:rFonts w:ascii="宋体" w:hAnsi="宋体"/>
          <w:color w:val="000000"/>
          <w:spacing w:val="6"/>
          <w:sz w:val="24"/>
          <w:highlight w:val="none"/>
        </w:rPr>
      </w:pPr>
      <w:r>
        <w:rPr>
          <w:rFonts w:hint="eastAsia" w:ascii="宋体" w:hAnsi="宋体"/>
          <w:color w:val="000000"/>
          <w:spacing w:val="6"/>
          <w:sz w:val="24"/>
          <w:highlight w:val="none"/>
        </w:rPr>
        <w:t>本单位郑重声明，根据《财政部 民政部 中国残疾人联合会关于促进残疾人就业政府采购政策的通知》（财库</w:t>
      </w:r>
      <w:r>
        <w:rPr>
          <w:rFonts w:hint="eastAsia" w:ascii="宋体" w:hAnsi="宋体"/>
          <w:color w:val="000000"/>
          <w:sz w:val="24"/>
          <w:highlight w:val="none"/>
        </w:rPr>
        <w:t>〔2017〕 141</w:t>
      </w:r>
      <w:r>
        <w:rPr>
          <w:rFonts w:hint="eastAsia" w:ascii="宋体" w:hAnsi="宋体"/>
          <w:color w:val="000000"/>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000000"/>
          <w:spacing w:val="-6"/>
          <w:sz w:val="24"/>
          <w:highlight w:val="none"/>
        </w:rPr>
        <w:t>疾人福利性单位制造的货物（不包括使用非残疾人福利性单位注册商标的货物）。</w:t>
      </w:r>
    </w:p>
    <w:p w14:paraId="77A286E9">
      <w:pPr>
        <w:spacing w:line="360" w:lineRule="auto"/>
        <w:ind w:firstLine="504" w:firstLineChars="200"/>
        <w:contextualSpacing/>
        <w:rPr>
          <w:rFonts w:ascii="宋体" w:hAnsi="宋体"/>
          <w:color w:val="000000"/>
          <w:spacing w:val="6"/>
          <w:sz w:val="24"/>
          <w:highlight w:val="none"/>
        </w:rPr>
      </w:pPr>
      <w:r>
        <w:rPr>
          <w:rFonts w:hint="eastAsia" w:ascii="宋体" w:hAnsi="宋体"/>
          <w:color w:val="000000"/>
          <w:spacing w:val="6"/>
          <w:sz w:val="24"/>
          <w:highlight w:val="none"/>
        </w:rPr>
        <w:t>本单位对上述声明的真实性负责。如有虚假，将依法承担相应责任。</w:t>
      </w:r>
    </w:p>
    <w:p w14:paraId="2EFDE69B">
      <w:pPr>
        <w:spacing w:line="360" w:lineRule="auto"/>
        <w:ind w:firstLine="504" w:firstLineChars="200"/>
        <w:contextualSpacing/>
        <w:rPr>
          <w:rFonts w:ascii="宋体" w:hAnsi="宋体"/>
          <w:color w:val="000000"/>
          <w:spacing w:val="6"/>
          <w:sz w:val="24"/>
          <w:highlight w:val="none"/>
        </w:rPr>
      </w:pPr>
    </w:p>
    <w:p w14:paraId="14C3B0B7">
      <w:pPr>
        <w:spacing w:line="360" w:lineRule="auto"/>
        <w:ind w:firstLine="504" w:firstLineChars="200"/>
        <w:contextualSpacing/>
        <w:rPr>
          <w:rFonts w:ascii="宋体" w:hAnsi="宋体"/>
          <w:color w:val="000000"/>
          <w:spacing w:val="6"/>
          <w:sz w:val="24"/>
          <w:highlight w:val="none"/>
        </w:rPr>
      </w:pPr>
    </w:p>
    <w:p w14:paraId="3AAE11BC">
      <w:pPr>
        <w:tabs>
          <w:tab w:val="left" w:pos="4860"/>
        </w:tabs>
        <w:spacing w:line="360" w:lineRule="auto"/>
        <w:ind w:right="1560" w:firstLine="504" w:firstLineChars="200"/>
        <w:contextualSpacing/>
        <w:jc w:val="center"/>
        <w:rPr>
          <w:rFonts w:ascii="宋体" w:hAnsi="宋体"/>
          <w:color w:val="000000"/>
          <w:spacing w:val="6"/>
          <w:sz w:val="24"/>
          <w:highlight w:val="none"/>
        </w:rPr>
      </w:pPr>
      <w:r>
        <w:rPr>
          <w:rFonts w:hint="eastAsia" w:ascii="宋体" w:hAnsi="宋体"/>
          <w:color w:val="000000"/>
          <w:spacing w:val="6"/>
          <w:sz w:val="24"/>
          <w:highlight w:val="none"/>
        </w:rPr>
        <w:t>单位名称（电子签章）：</w:t>
      </w:r>
    </w:p>
    <w:p w14:paraId="7DFF473A">
      <w:pPr>
        <w:tabs>
          <w:tab w:val="left" w:pos="4860"/>
        </w:tabs>
        <w:spacing w:line="360" w:lineRule="auto"/>
        <w:ind w:right="1560" w:firstLine="504" w:firstLineChars="200"/>
        <w:contextualSpacing/>
        <w:jc w:val="center"/>
        <w:rPr>
          <w:rFonts w:ascii="宋体" w:hAnsi="宋体"/>
          <w:color w:val="000000"/>
          <w:spacing w:val="6"/>
          <w:sz w:val="24"/>
          <w:highlight w:val="none"/>
        </w:rPr>
      </w:pPr>
      <w:r>
        <w:rPr>
          <w:rFonts w:hint="eastAsia" w:ascii="宋体" w:hAnsi="宋体"/>
          <w:color w:val="000000"/>
          <w:spacing w:val="6"/>
          <w:sz w:val="24"/>
          <w:highlight w:val="none"/>
        </w:rPr>
        <w:t>日  期：</w:t>
      </w:r>
    </w:p>
    <w:p w14:paraId="2B72156E">
      <w:pPr>
        <w:spacing w:line="360" w:lineRule="auto"/>
        <w:contextualSpacing/>
        <w:rPr>
          <w:rFonts w:ascii="宋体" w:hAnsi="宋体"/>
          <w:color w:val="000000"/>
          <w:sz w:val="24"/>
          <w:highlight w:val="none"/>
        </w:rPr>
      </w:pPr>
    </w:p>
    <w:p w14:paraId="3C809AE5">
      <w:pPr>
        <w:spacing w:line="360" w:lineRule="auto"/>
        <w:contextualSpacing/>
        <w:rPr>
          <w:rFonts w:hint="eastAsia" w:ascii="宋体" w:hAnsi="宋体"/>
          <w:color w:val="000000"/>
          <w:sz w:val="24"/>
          <w:highlight w:val="none"/>
        </w:rPr>
      </w:pPr>
    </w:p>
    <w:p w14:paraId="2CCAEBF9">
      <w:pPr>
        <w:spacing w:line="360" w:lineRule="auto"/>
        <w:contextualSpacing/>
        <w:rPr>
          <w:rFonts w:ascii="宋体" w:hAnsi="宋体"/>
          <w:color w:val="000000"/>
          <w:sz w:val="24"/>
          <w:highlight w:val="none"/>
        </w:rPr>
      </w:pPr>
    </w:p>
    <w:p w14:paraId="6AAEB981">
      <w:pPr>
        <w:spacing w:line="360" w:lineRule="auto"/>
        <w:contextualSpacing/>
        <w:rPr>
          <w:rFonts w:ascii="宋体" w:hAnsi="宋体"/>
          <w:color w:val="000000"/>
          <w:sz w:val="24"/>
          <w:highlight w:val="none"/>
        </w:rPr>
      </w:pPr>
      <w:r>
        <w:rPr>
          <w:rFonts w:hint="eastAsia" w:ascii="宋体" w:hAnsi="宋体"/>
          <w:color w:val="000000"/>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90AB13F">
      <w:pPr>
        <w:spacing w:line="360" w:lineRule="auto"/>
        <w:jc w:val="left"/>
        <w:rPr>
          <w:rFonts w:ascii="宋体" w:hAnsi="宋体"/>
          <w:color w:val="000000"/>
          <w:sz w:val="24"/>
          <w:highlight w:val="none"/>
        </w:rPr>
      </w:pPr>
      <w:r>
        <w:rPr>
          <w:rFonts w:ascii="宋体" w:hAnsi="宋体"/>
          <w:color w:val="000000"/>
          <w:sz w:val="24"/>
          <w:highlight w:val="none"/>
        </w:rPr>
        <w:br w:type="page"/>
      </w:r>
      <w:r>
        <w:rPr>
          <w:rFonts w:hint="eastAsia" w:ascii="宋体" w:hAnsi="宋体"/>
          <w:b/>
          <w:color w:val="000000"/>
          <w:sz w:val="24"/>
          <w:highlight w:val="none"/>
        </w:rPr>
        <w:t>3.质疑函（格式）</w:t>
      </w:r>
    </w:p>
    <w:p w14:paraId="0E0E3ECC">
      <w:pPr>
        <w:spacing w:line="360" w:lineRule="auto"/>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质疑函（格式）</w:t>
      </w:r>
    </w:p>
    <w:p w14:paraId="06854652">
      <w:pPr>
        <w:pStyle w:val="24"/>
        <w:snapToGrid w:val="0"/>
        <w:spacing w:line="360" w:lineRule="auto"/>
        <w:ind w:firstLine="482" w:firstLineChars="200"/>
        <w:rPr>
          <w:rFonts w:hAnsi="宋体"/>
          <w:b/>
          <w:bCs/>
          <w:color w:val="000000"/>
          <w:sz w:val="24"/>
          <w:szCs w:val="24"/>
          <w:highlight w:val="none"/>
        </w:rPr>
      </w:pPr>
      <w:r>
        <w:rPr>
          <w:rFonts w:hint="eastAsia" w:hAnsi="宋体"/>
          <w:b/>
          <w:bCs/>
          <w:color w:val="000000"/>
          <w:sz w:val="24"/>
          <w:szCs w:val="24"/>
          <w:highlight w:val="none"/>
        </w:rPr>
        <w:t>一、质疑供应商基本信息：</w:t>
      </w:r>
    </w:p>
    <w:p w14:paraId="3FA7BC78">
      <w:pPr>
        <w:pStyle w:val="24"/>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质疑供应商：</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74A21B99">
      <w:pPr>
        <w:pStyle w:val="24"/>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4AE331D8">
      <w:pPr>
        <w:pStyle w:val="24"/>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联系人</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联系电话</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7572376C">
      <w:pPr>
        <w:pStyle w:val="24"/>
        <w:snapToGrid w:val="0"/>
        <w:spacing w:line="360" w:lineRule="auto"/>
        <w:ind w:firstLine="480" w:firstLineChars="200"/>
        <w:rPr>
          <w:rFonts w:hint="eastAsia" w:hAnsi="宋体"/>
          <w:bCs/>
          <w:color w:val="000000"/>
          <w:sz w:val="24"/>
          <w:szCs w:val="24"/>
          <w:highlight w:val="none"/>
        </w:rPr>
      </w:pPr>
      <w:r>
        <w:rPr>
          <w:rFonts w:hint="eastAsia" w:hAnsi="宋体"/>
          <w:bCs/>
          <w:color w:val="000000"/>
          <w:sz w:val="24"/>
          <w:szCs w:val="24"/>
          <w:highlight w:val="none"/>
        </w:rPr>
        <w:t>授权代表：</w:t>
      </w:r>
      <w:r>
        <w:rPr>
          <w:rFonts w:hint="eastAsia" w:hAnsi="宋体"/>
          <w:bCs/>
          <w:color w:val="000000"/>
          <w:sz w:val="24"/>
          <w:szCs w:val="24"/>
          <w:highlight w:val="none"/>
          <w:u w:val="single"/>
        </w:rPr>
        <w:t xml:space="preserve">                      </w:t>
      </w:r>
    </w:p>
    <w:p w14:paraId="218E9438">
      <w:pPr>
        <w:pStyle w:val="24"/>
        <w:snapToGrid w:val="0"/>
        <w:spacing w:line="360" w:lineRule="auto"/>
        <w:ind w:firstLine="480" w:firstLineChars="200"/>
        <w:rPr>
          <w:rFonts w:hint="eastAsia" w:hAnsi="宋体"/>
          <w:bCs/>
          <w:color w:val="000000"/>
          <w:sz w:val="24"/>
          <w:szCs w:val="24"/>
          <w:highlight w:val="none"/>
          <w:u w:val="single"/>
        </w:rPr>
      </w:pP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p>
    <w:p w14:paraId="785ACC2A">
      <w:pPr>
        <w:pStyle w:val="24"/>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2A6E12EC">
      <w:pPr>
        <w:pStyle w:val="24"/>
        <w:snapToGrid w:val="0"/>
        <w:spacing w:line="360" w:lineRule="auto"/>
        <w:ind w:firstLine="482" w:firstLineChars="200"/>
        <w:rPr>
          <w:rFonts w:hint="eastAsia" w:hAnsi="宋体"/>
          <w:b/>
          <w:bCs/>
          <w:color w:val="000000"/>
          <w:sz w:val="24"/>
          <w:szCs w:val="24"/>
          <w:highlight w:val="none"/>
        </w:rPr>
      </w:pPr>
      <w:r>
        <w:rPr>
          <w:rFonts w:hint="eastAsia" w:hAnsi="宋体"/>
          <w:b/>
          <w:bCs/>
          <w:color w:val="000000"/>
          <w:sz w:val="24"/>
          <w:szCs w:val="24"/>
          <w:highlight w:val="none"/>
        </w:rPr>
        <w:t>二、质疑项目基本情况：</w:t>
      </w:r>
    </w:p>
    <w:p w14:paraId="523C78DD">
      <w:pPr>
        <w:pStyle w:val="24"/>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rPr>
        <w:t>质疑</w:t>
      </w:r>
      <w:r>
        <w:rPr>
          <w:rFonts w:hint="eastAsia" w:hAnsi="宋体"/>
          <w:color w:val="000000"/>
          <w:sz w:val="24"/>
          <w:szCs w:val="24"/>
          <w:highlight w:val="none"/>
        </w:rPr>
        <w:t>项目的名称：</w:t>
      </w:r>
      <w:r>
        <w:rPr>
          <w:rFonts w:hint="eastAsia" w:hAnsi="宋体"/>
          <w:bCs/>
          <w:color w:val="000000"/>
          <w:sz w:val="24"/>
          <w:szCs w:val="24"/>
          <w:highlight w:val="none"/>
          <w:u w:val="single"/>
        </w:rPr>
        <w:t xml:space="preserve">                                     </w:t>
      </w:r>
    </w:p>
    <w:p w14:paraId="6275C6E7">
      <w:pPr>
        <w:pStyle w:val="24"/>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rPr>
        <w:t>质疑</w:t>
      </w:r>
      <w:r>
        <w:rPr>
          <w:rFonts w:hint="eastAsia" w:hAnsi="宋体"/>
          <w:color w:val="000000"/>
          <w:sz w:val="24"/>
          <w:szCs w:val="24"/>
          <w:highlight w:val="none"/>
        </w:rPr>
        <w:t>项目的编号：</w:t>
      </w:r>
      <w:r>
        <w:rPr>
          <w:rFonts w:hint="eastAsia" w:hAnsi="宋体"/>
          <w:bCs/>
          <w:color w:val="000000"/>
          <w:sz w:val="24"/>
          <w:szCs w:val="24"/>
          <w:highlight w:val="none"/>
          <w:u w:val="single"/>
        </w:rPr>
        <w:t xml:space="preserve">                                     </w:t>
      </w:r>
    </w:p>
    <w:p w14:paraId="41ACC592">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采购人名称：</w:t>
      </w:r>
      <w:r>
        <w:rPr>
          <w:rFonts w:hint="eastAsia" w:hAnsi="宋体"/>
          <w:bCs/>
          <w:color w:val="000000"/>
          <w:sz w:val="24"/>
          <w:szCs w:val="24"/>
          <w:highlight w:val="none"/>
          <w:u w:val="single"/>
        </w:rPr>
        <w:t xml:space="preserve">                                         </w:t>
      </w:r>
    </w:p>
    <w:p w14:paraId="4740451E">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质疑事项：</w:t>
      </w:r>
    </w:p>
    <w:p w14:paraId="3094EE3E">
      <w:pPr>
        <w:pStyle w:val="24"/>
        <w:spacing w:line="360" w:lineRule="auto"/>
        <w:ind w:left="25" w:leftChars="12" w:firstLine="352" w:firstLineChars="147"/>
        <w:rPr>
          <w:rFonts w:hint="eastAsia" w:hAnsi="宋体"/>
          <w:color w:val="000000"/>
          <w:sz w:val="24"/>
          <w:szCs w:val="24"/>
          <w:highlight w:val="none"/>
        </w:rPr>
      </w:pPr>
      <w:r>
        <w:rPr>
          <w:rFonts w:hint="eastAsia" w:hAnsi="宋体"/>
          <w:color w:val="000000"/>
          <w:sz w:val="24"/>
          <w:szCs w:val="24"/>
          <w:highlight w:val="none"/>
        </w:rPr>
        <w:t>□招标文件   招标文件获取日期：</w:t>
      </w:r>
      <w:r>
        <w:rPr>
          <w:rFonts w:hint="eastAsia" w:hAnsi="宋体"/>
          <w:bCs/>
          <w:color w:val="000000"/>
          <w:sz w:val="24"/>
          <w:szCs w:val="24"/>
          <w:highlight w:val="none"/>
          <w:u w:val="single"/>
        </w:rPr>
        <w:t xml:space="preserve">                                   </w:t>
      </w:r>
    </w:p>
    <w:p w14:paraId="4FE57588">
      <w:pPr>
        <w:pStyle w:val="24"/>
        <w:spacing w:line="360" w:lineRule="auto"/>
        <w:ind w:left="25" w:leftChars="12" w:firstLine="352" w:firstLineChars="147"/>
        <w:rPr>
          <w:rFonts w:hint="eastAsia" w:hAnsi="宋体"/>
          <w:color w:val="000000"/>
          <w:sz w:val="24"/>
          <w:szCs w:val="24"/>
          <w:highlight w:val="none"/>
        </w:rPr>
      </w:pPr>
      <w:r>
        <w:rPr>
          <w:rFonts w:hint="eastAsia" w:hAnsi="宋体"/>
          <w:color w:val="000000"/>
          <w:sz w:val="24"/>
          <w:szCs w:val="24"/>
          <w:highlight w:val="none"/>
        </w:rPr>
        <w:t xml:space="preserve">□招标过程   </w:t>
      </w:r>
    </w:p>
    <w:p w14:paraId="3D7EAC55">
      <w:pPr>
        <w:pStyle w:val="24"/>
        <w:spacing w:line="360" w:lineRule="auto"/>
        <w:ind w:left="25" w:leftChars="12" w:firstLine="352" w:firstLineChars="147"/>
        <w:rPr>
          <w:rFonts w:hint="eastAsia" w:hAnsi="宋体"/>
          <w:bCs/>
          <w:color w:val="000000"/>
          <w:sz w:val="24"/>
          <w:szCs w:val="24"/>
          <w:highlight w:val="none"/>
          <w:u w:val="single"/>
        </w:rPr>
      </w:pPr>
      <w:r>
        <w:rPr>
          <w:rFonts w:hint="eastAsia" w:hAnsi="宋体"/>
          <w:color w:val="000000"/>
          <w:sz w:val="24"/>
          <w:szCs w:val="24"/>
          <w:highlight w:val="none"/>
        </w:rPr>
        <w:t xml:space="preserve">□招标结果   </w:t>
      </w:r>
    </w:p>
    <w:p w14:paraId="78A7617F">
      <w:pPr>
        <w:pStyle w:val="24"/>
        <w:spacing w:line="360" w:lineRule="auto"/>
        <w:ind w:left="25" w:leftChars="12" w:firstLine="472" w:firstLineChars="196"/>
        <w:rPr>
          <w:rFonts w:hint="eastAsia" w:hAnsi="宋体"/>
          <w:b/>
          <w:color w:val="000000"/>
          <w:sz w:val="24"/>
          <w:szCs w:val="24"/>
          <w:highlight w:val="none"/>
        </w:rPr>
      </w:pPr>
      <w:r>
        <w:rPr>
          <w:rFonts w:hint="eastAsia" w:hAnsi="宋体"/>
          <w:b/>
          <w:color w:val="000000"/>
          <w:sz w:val="24"/>
          <w:szCs w:val="24"/>
          <w:highlight w:val="none"/>
        </w:rPr>
        <w:t>三、质疑事项具体内容</w:t>
      </w:r>
    </w:p>
    <w:p w14:paraId="57C17C6B">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质疑事项1：</w:t>
      </w:r>
      <w:r>
        <w:rPr>
          <w:rFonts w:hint="eastAsia" w:hAnsi="宋体"/>
          <w:bCs/>
          <w:color w:val="000000"/>
          <w:sz w:val="24"/>
          <w:szCs w:val="24"/>
          <w:highlight w:val="none"/>
          <w:u w:val="single"/>
        </w:rPr>
        <w:t xml:space="preserve">                                                                    </w:t>
      </w:r>
    </w:p>
    <w:p w14:paraId="542784FE">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事实依据：</w:t>
      </w:r>
      <w:r>
        <w:rPr>
          <w:rFonts w:hint="eastAsia" w:hAnsi="宋体"/>
          <w:bCs/>
          <w:color w:val="000000"/>
          <w:sz w:val="24"/>
          <w:szCs w:val="24"/>
          <w:highlight w:val="none"/>
          <w:u w:val="single"/>
        </w:rPr>
        <w:t xml:space="preserve">                                                                      </w:t>
      </w:r>
    </w:p>
    <w:p w14:paraId="329CF429">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法律依据：</w:t>
      </w:r>
      <w:r>
        <w:rPr>
          <w:rFonts w:hint="eastAsia" w:hAnsi="宋体"/>
          <w:color w:val="000000"/>
          <w:sz w:val="24"/>
          <w:szCs w:val="24"/>
          <w:highlight w:val="none"/>
          <w:u w:val="single"/>
        </w:rPr>
        <w:t xml:space="preserve">                                                        </w:t>
      </w:r>
      <w:r>
        <w:rPr>
          <w:rFonts w:hint="eastAsia" w:hAnsi="宋体"/>
          <w:bCs/>
          <w:color w:val="000000"/>
          <w:sz w:val="24"/>
          <w:szCs w:val="24"/>
          <w:highlight w:val="none"/>
          <w:u w:val="single"/>
        </w:rPr>
        <w:t xml:space="preserve">               </w:t>
      </w:r>
    </w:p>
    <w:p w14:paraId="194F57E5">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质疑事项2</w:t>
      </w:r>
    </w:p>
    <w:p w14:paraId="24A4CE1F">
      <w:pPr>
        <w:pStyle w:val="24"/>
        <w:spacing w:line="360" w:lineRule="auto"/>
        <w:ind w:left="25" w:leftChars="12" w:firstLine="472" w:firstLineChars="197"/>
        <w:rPr>
          <w:rFonts w:hint="eastAsia" w:hAnsi="宋体"/>
          <w:color w:val="000000"/>
          <w:sz w:val="24"/>
          <w:szCs w:val="24"/>
          <w:highlight w:val="none"/>
        </w:rPr>
      </w:pPr>
      <w:r>
        <w:rPr>
          <w:rFonts w:hAnsi="宋体"/>
          <w:color w:val="000000"/>
          <w:sz w:val="24"/>
          <w:szCs w:val="24"/>
          <w:highlight w:val="none"/>
        </w:rPr>
        <w:t>……</w:t>
      </w:r>
    </w:p>
    <w:p w14:paraId="701CA11A">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四、与质疑事项相关的质疑请求：</w:t>
      </w:r>
    </w:p>
    <w:p w14:paraId="381535B7">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请求：</w:t>
      </w:r>
      <w:r>
        <w:rPr>
          <w:rFonts w:hint="eastAsia" w:hAnsi="宋体"/>
          <w:bCs/>
          <w:color w:val="000000"/>
          <w:sz w:val="24"/>
          <w:szCs w:val="24"/>
          <w:highlight w:val="none"/>
          <w:u w:val="single"/>
        </w:rPr>
        <w:t xml:space="preserve">                                                                </w:t>
      </w:r>
    </w:p>
    <w:p w14:paraId="706E0AFD">
      <w:pPr>
        <w:pStyle w:val="24"/>
        <w:spacing w:line="360" w:lineRule="auto"/>
        <w:ind w:left="25" w:leftChars="12" w:firstLine="352" w:firstLineChars="147"/>
        <w:rPr>
          <w:rFonts w:hint="eastAsia" w:hAnsi="宋体"/>
          <w:color w:val="000000"/>
          <w:sz w:val="24"/>
          <w:szCs w:val="24"/>
          <w:highlight w:val="none"/>
        </w:rPr>
      </w:pPr>
    </w:p>
    <w:p w14:paraId="63109808">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签字（签章）：                                       公章：</w:t>
      </w:r>
    </w:p>
    <w:p w14:paraId="5319D890">
      <w:pPr>
        <w:pStyle w:val="24"/>
        <w:spacing w:line="360" w:lineRule="auto"/>
        <w:ind w:left="25" w:leftChars="12" w:firstLine="352" w:firstLineChars="147"/>
        <w:rPr>
          <w:rFonts w:hint="eastAsia" w:hAnsi="宋体"/>
          <w:color w:val="000000"/>
          <w:sz w:val="24"/>
          <w:szCs w:val="24"/>
          <w:highlight w:val="none"/>
        </w:rPr>
      </w:pPr>
    </w:p>
    <w:p w14:paraId="0BE1B8BF">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日期：</w:t>
      </w:r>
    </w:p>
    <w:p w14:paraId="6FE4091C">
      <w:pPr>
        <w:pStyle w:val="24"/>
        <w:snapToGrid w:val="0"/>
        <w:spacing w:line="360" w:lineRule="auto"/>
        <w:rPr>
          <w:rFonts w:hint="eastAsia" w:hAnsi="宋体"/>
          <w:b/>
          <w:color w:val="000000"/>
          <w:sz w:val="24"/>
          <w:szCs w:val="24"/>
          <w:highlight w:val="none"/>
        </w:rPr>
      </w:pPr>
    </w:p>
    <w:p w14:paraId="33B38D7F">
      <w:pPr>
        <w:pStyle w:val="24"/>
        <w:snapToGrid w:val="0"/>
        <w:spacing w:line="360" w:lineRule="auto"/>
        <w:rPr>
          <w:rFonts w:hint="eastAsia" w:hAnsi="宋体"/>
          <w:b/>
          <w:color w:val="000000"/>
          <w:sz w:val="24"/>
          <w:szCs w:val="24"/>
          <w:highlight w:val="none"/>
        </w:rPr>
      </w:pPr>
      <w:r>
        <w:rPr>
          <w:rFonts w:hint="eastAsia" w:hAnsi="宋体"/>
          <w:b/>
          <w:color w:val="000000"/>
          <w:sz w:val="24"/>
          <w:szCs w:val="24"/>
          <w:highlight w:val="none"/>
        </w:rPr>
        <w:t>说明：</w:t>
      </w:r>
    </w:p>
    <w:p w14:paraId="4054088B">
      <w:pPr>
        <w:pStyle w:val="24"/>
        <w:spacing w:line="360" w:lineRule="auto"/>
        <w:ind w:left="25" w:leftChars="12" w:firstLine="354" w:firstLineChars="147"/>
        <w:rPr>
          <w:rFonts w:hint="eastAsia" w:hAnsi="宋体"/>
          <w:b/>
          <w:bCs/>
          <w:color w:val="000000"/>
          <w:sz w:val="24"/>
          <w:szCs w:val="24"/>
          <w:highlight w:val="none"/>
        </w:rPr>
      </w:pPr>
      <w:r>
        <w:rPr>
          <w:rFonts w:hint="eastAsia" w:hAnsi="宋体"/>
          <w:b/>
          <w:color w:val="000000"/>
          <w:sz w:val="24"/>
          <w:szCs w:val="24"/>
          <w:highlight w:val="none"/>
        </w:rPr>
        <w:t>1.供应商提出质疑时，应提交质疑函和必要的证明材料</w:t>
      </w:r>
      <w:r>
        <w:rPr>
          <w:rFonts w:hint="eastAsia" w:hAnsi="宋体"/>
          <w:b/>
          <w:bCs/>
          <w:color w:val="000000"/>
          <w:sz w:val="24"/>
          <w:szCs w:val="24"/>
          <w:highlight w:val="none"/>
        </w:rPr>
        <w:t>。</w:t>
      </w:r>
    </w:p>
    <w:p w14:paraId="011A3E1B">
      <w:pPr>
        <w:pStyle w:val="24"/>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230D940">
      <w:pPr>
        <w:pStyle w:val="24"/>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3.质疑函的质疑事项应具体、明确，并有必要的事实依据和法律依据。</w:t>
      </w:r>
    </w:p>
    <w:p w14:paraId="7065DBB9">
      <w:pPr>
        <w:pStyle w:val="24"/>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4.质疑函的质疑请求应与质疑事项相关。</w:t>
      </w:r>
    </w:p>
    <w:p w14:paraId="0C6564AC">
      <w:pPr>
        <w:pStyle w:val="24"/>
        <w:spacing w:line="360" w:lineRule="auto"/>
        <w:ind w:left="25" w:leftChars="12" w:firstLine="354" w:firstLineChars="147"/>
        <w:rPr>
          <w:rFonts w:hint="eastAsia" w:hAnsi="宋体"/>
          <w:b/>
          <w:color w:val="000000"/>
          <w:highlight w:val="none"/>
        </w:rPr>
      </w:pPr>
      <w:r>
        <w:rPr>
          <w:rFonts w:hint="eastAsia" w:hAnsi="宋体"/>
          <w:b/>
          <w:color w:val="000000"/>
          <w:sz w:val="24"/>
          <w:szCs w:val="24"/>
          <w:highlight w:val="none"/>
        </w:rPr>
        <w:t>5.质疑供应商为法人或者其他组织的，质疑函应由法定代表人、主要负责人，或者其授权代表签字或者盖章，并加盖公章。</w:t>
      </w:r>
    </w:p>
    <w:p w14:paraId="5CD78683">
      <w:pPr>
        <w:pStyle w:val="24"/>
        <w:snapToGrid w:val="0"/>
        <w:rPr>
          <w:rFonts w:hint="eastAsia"/>
          <w:b/>
          <w:color w:val="000000"/>
          <w:sz w:val="24"/>
          <w:szCs w:val="24"/>
          <w:highlight w:val="none"/>
        </w:rPr>
      </w:pPr>
    </w:p>
    <w:p w14:paraId="01DD0B0C">
      <w:pPr>
        <w:spacing w:line="360" w:lineRule="auto"/>
        <w:jc w:val="left"/>
        <w:rPr>
          <w:rFonts w:hint="eastAsia" w:ascii="宋体" w:hAnsi="宋体"/>
          <w:b/>
          <w:bCs/>
          <w:color w:val="000000"/>
          <w:sz w:val="32"/>
          <w:szCs w:val="32"/>
          <w:highlight w:val="none"/>
        </w:rPr>
      </w:pPr>
      <w:r>
        <w:rPr>
          <w:rFonts w:eastAsia="隶书"/>
          <w:color w:val="000000"/>
          <w:sz w:val="44"/>
          <w:highlight w:val="none"/>
        </w:rPr>
        <w:br w:type="page"/>
      </w:r>
      <w:r>
        <w:rPr>
          <w:rFonts w:hint="eastAsia" w:ascii="宋体" w:hAnsi="宋体"/>
          <w:b/>
          <w:color w:val="000000"/>
          <w:sz w:val="24"/>
          <w:highlight w:val="none"/>
        </w:rPr>
        <w:t>4.投诉书（格式）</w:t>
      </w:r>
    </w:p>
    <w:p w14:paraId="3B03A002">
      <w:pPr>
        <w:spacing w:line="360" w:lineRule="auto"/>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投诉书（格式）</w:t>
      </w:r>
    </w:p>
    <w:p w14:paraId="709F246A">
      <w:pPr>
        <w:pStyle w:val="24"/>
        <w:snapToGrid w:val="0"/>
        <w:spacing w:line="360" w:lineRule="auto"/>
        <w:ind w:firstLine="482" w:firstLineChars="200"/>
        <w:rPr>
          <w:rFonts w:hAnsi="宋体"/>
          <w:b/>
          <w:bCs/>
          <w:color w:val="000000"/>
          <w:sz w:val="24"/>
          <w:szCs w:val="24"/>
          <w:highlight w:val="none"/>
        </w:rPr>
      </w:pPr>
      <w:r>
        <w:rPr>
          <w:rFonts w:hint="eastAsia" w:hAnsi="宋体"/>
          <w:b/>
          <w:bCs/>
          <w:color w:val="000000"/>
          <w:sz w:val="24"/>
          <w:szCs w:val="24"/>
          <w:highlight w:val="none"/>
        </w:rPr>
        <w:t>一、投诉相关主体基本情况：</w:t>
      </w:r>
    </w:p>
    <w:p w14:paraId="60FA400F">
      <w:pPr>
        <w:pStyle w:val="24"/>
        <w:snapToGrid w:val="0"/>
        <w:spacing w:line="360" w:lineRule="auto"/>
        <w:ind w:firstLine="480" w:firstLineChars="200"/>
        <w:jc w:val="left"/>
        <w:rPr>
          <w:rFonts w:hint="eastAsia" w:hAnsi="宋体"/>
          <w:bCs/>
          <w:color w:val="000000"/>
          <w:sz w:val="24"/>
          <w:szCs w:val="24"/>
          <w:highlight w:val="none"/>
          <w:u w:val="single"/>
        </w:rPr>
      </w:pPr>
      <w:r>
        <w:rPr>
          <w:rFonts w:hint="eastAsia" w:hAnsi="宋体"/>
          <w:bCs/>
          <w:color w:val="000000"/>
          <w:sz w:val="24"/>
          <w:szCs w:val="24"/>
          <w:highlight w:val="none"/>
        </w:rPr>
        <w:t>投标人：</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1BFB8F88">
      <w:pPr>
        <w:pStyle w:val="24"/>
        <w:snapToGrid w:val="0"/>
        <w:spacing w:line="360" w:lineRule="auto"/>
        <w:ind w:firstLine="480" w:firstLineChars="200"/>
        <w:jc w:val="left"/>
        <w:rPr>
          <w:rFonts w:hint="eastAsia" w:hAnsi="宋体"/>
          <w:bCs/>
          <w:color w:val="000000"/>
          <w:sz w:val="24"/>
          <w:szCs w:val="24"/>
          <w:highlight w:val="non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1EA01BAC">
      <w:pPr>
        <w:pStyle w:val="24"/>
        <w:snapToGrid w:val="0"/>
        <w:spacing w:line="360" w:lineRule="auto"/>
        <w:ind w:firstLine="480" w:firstLineChars="200"/>
        <w:jc w:val="left"/>
        <w:rPr>
          <w:rFonts w:hint="eastAsia" w:hAnsi="宋体"/>
          <w:bCs/>
          <w:color w:val="000000"/>
          <w:sz w:val="24"/>
          <w:szCs w:val="24"/>
          <w:highlight w:val="none"/>
          <w:u w:val="single"/>
        </w:rPr>
      </w:pPr>
      <w:r>
        <w:rPr>
          <w:rFonts w:hint="eastAsia" w:hAnsi="宋体"/>
          <w:bCs/>
          <w:color w:val="000000"/>
          <w:sz w:val="24"/>
          <w:szCs w:val="24"/>
          <w:highlight w:val="none"/>
        </w:rPr>
        <w:t>法定代表人/主要负责人：</w:t>
      </w:r>
      <w:r>
        <w:rPr>
          <w:rFonts w:hint="eastAsia" w:hAnsi="宋体"/>
          <w:bCs/>
          <w:color w:val="000000"/>
          <w:sz w:val="24"/>
          <w:szCs w:val="24"/>
          <w:highlight w:val="none"/>
          <w:u w:val="single"/>
        </w:rPr>
        <w:t xml:space="preserve">                                                         </w:t>
      </w:r>
    </w:p>
    <w:p w14:paraId="1EFBE396">
      <w:pPr>
        <w:pStyle w:val="24"/>
        <w:snapToGrid w:val="0"/>
        <w:spacing w:line="360" w:lineRule="auto"/>
        <w:ind w:firstLine="480" w:firstLineChars="200"/>
        <w:jc w:val="left"/>
        <w:rPr>
          <w:rFonts w:hint="eastAsia" w:hAnsi="宋体"/>
          <w:bCs/>
          <w:color w:val="000000"/>
          <w:sz w:val="24"/>
          <w:szCs w:val="24"/>
          <w:highlight w:val="none"/>
        </w:rPr>
      </w:pPr>
      <w:r>
        <w:rPr>
          <w:rFonts w:hAnsi="宋体"/>
          <w:bCs/>
          <w:color w:val="000000"/>
          <w:sz w:val="24"/>
          <w:szCs w:val="24"/>
          <w:highlight w:val="none"/>
        </w:rPr>
        <w:t>联系电话</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266D78B9">
      <w:pPr>
        <w:pStyle w:val="24"/>
        <w:snapToGrid w:val="0"/>
        <w:spacing w:line="360" w:lineRule="auto"/>
        <w:ind w:firstLine="480" w:firstLineChars="200"/>
        <w:jc w:val="left"/>
        <w:rPr>
          <w:rFonts w:hint="eastAsia" w:hAnsi="宋体"/>
          <w:bCs/>
          <w:color w:val="000000"/>
          <w:sz w:val="24"/>
          <w:szCs w:val="24"/>
          <w:highlight w:val="none"/>
          <w:u w:val="single"/>
        </w:rPr>
      </w:pPr>
      <w:r>
        <w:rPr>
          <w:rFonts w:hint="eastAsia" w:hAnsi="宋体"/>
          <w:bCs/>
          <w:color w:val="000000"/>
          <w:sz w:val="24"/>
          <w:szCs w:val="24"/>
          <w:highlight w:val="none"/>
        </w:rPr>
        <w:t>授权代表：</w:t>
      </w:r>
      <w:r>
        <w:rPr>
          <w:rFonts w:hint="eastAsia" w:hAnsi="宋体"/>
          <w:bCs/>
          <w:color w:val="000000"/>
          <w:sz w:val="24"/>
          <w:szCs w:val="24"/>
          <w:highlight w:val="none"/>
          <w:u w:val="single"/>
        </w:rPr>
        <w:t xml:space="preserve">                                         </w:t>
      </w: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p>
    <w:p w14:paraId="23940BA2">
      <w:pPr>
        <w:pStyle w:val="24"/>
        <w:snapToGrid w:val="0"/>
        <w:spacing w:line="360" w:lineRule="auto"/>
        <w:ind w:firstLine="480" w:firstLineChars="200"/>
        <w:jc w:val="left"/>
        <w:rPr>
          <w:rFonts w:hint="eastAsia" w:hAnsi="宋体"/>
          <w:bCs/>
          <w:color w:val="000000"/>
          <w:sz w:val="24"/>
          <w:szCs w:val="24"/>
          <w:highlight w:val="none"/>
          <w:u w:val="singl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3AB63C17">
      <w:pPr>
        <w:pStyle w:val="24"/>
        <w:snapToGrid w:val="0"/>
        <w:spacing w:line="360" w:lineRule="auto"/>
        <w:ind w:firstLine="480" w:firstLineChars="200"/>
        <w:jc w:val="left"/>
        <w:rPr>
          <w:rFonts w:hint="eastAsia" w:hAnsi="宋体"/>
          <w:bCs/>
          <w:color w:val="000000"/>
          <w:sz w:val="24"/>
          <w:szCs w:val="24"/>
          <w:highlight w:val="none"/>
        </w:rPr>
      </w:pP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0BD90EB0">
      <w:pPr>
        <w:pStyle w:val="24"/>
        <w:snapToGrid w:val="0"/>
        <w:spacing w:line="360" w:lineRule="auto"/>
        <w:ind w:firstLine="480" w:firstLineChars="200"/>
        <w:jc w:val="left"/>
        <w:rPr>
          <w:rFonts w:hint="eastAsia" w:hAnsi="宋体"/>
          <w:bCs/>
          <w:color w:val="000000"/>
          <w:sz w:val="24"/>
          <w:szCs w:val="24"/>
          <w:highlight w:val="none"/>
        </w:rPr>
      </w:pPr>
      <w:r>
        <w:rPr>
          <w:rFonts w:hint="eastAsia" w:hAnsi="宋体"/>
          <w:bCs/>
          <w:color w:val="000000"/>
          <w:sz w:val="24"/>
          <w:szCs w:val="24"/>
          <w:highlight w:val="none"/>
        </w:rPr>
        <w:t>被投诉人1：</w:t>
      </w:r>
    </w:p>
    <w:p w14:paraId="77322AD4">
      <w:pPr>
        <w:pStyle w:val="24"/>
        <w:snapToGrid w:val="0"/>
        <w:spacing w:line="360" w:lineRule="auto"/>
        <w:ind w:firstLine="480" w:firstLineChars="200"/>
        <w:jc w:val="left"/>
        <w:rPr>
          <w:rFonts w:hint="eastAsia" w:hAnsi="宋体"/>
          <w:bCs/>
          <w:color w:val="000000"/>
          <w:sz w:val="24"/>
          <w:szCs w:val="24"/>
          <w:highlight w:val="none"/>
          <w:u w:val="single"/>
        </w:rPr>
      </w:pPr>
      <w:r>
        <w:rPr>
          <w:rFonts w:hint="eastAsia" w:hAnsi="宋体"/>
          <w:bCs/>
          <w:color w:val="000000"/>
          <w:sz w:val="24"/>
          <w:szCs w:val="24"/>
          <w:highlight w:val="none"/>
        </w:rPr>
        <w:t>地址：</w:t>
      </w:r>
      <w:r>
        <w:rPr>
          <w:rFonts w:hint="eastAsia" w:hAnsi="宋体"/>
          <w:bCs/>
          <w:color w:val="000000"/>
          <w:sz w:val="24"/>
          <w:szCs w:val="24"/>
          <w:highlight w:val="none"/>
          <w:u w:val="single"/>
        </w:rPr>
        <w:t xml:space="preserve">                                                            </w:t>
      </w:r>
    </w:p>
    <w:p w14:paraId="3E478C90">
      <w:pPr>
        <w:pStyle w:val="24"/>
        <w:snapToGrid w:val="0"/>
        <w:spacing w:line="360" w:lineRule="auto"/>
        <w:ind w:firstLine="480" w:firstLineChars="200"/>
        <w:jc w:val="left"/>
        <w:rPr>
          <w:rFonts w:hint="eastAsia" w:hAnsi="宋体"/>
          <w:bCs/>
          <w:color w:val="000000"/>
          <w:sz w:val="24"/>
          <w:szCs w:val="24"/>
          <w:highlight w:val="none"/>
        </w:rPr>
      </w:pP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49033D43">
      <w:pPr>
        <w:pStyle w:val="24"/>
        <w:snapToGrid w:val="0"/>
        <w:spacing w:line="360" w:lineRule="auto"/>
        <w:ind w:firstLine="480" w:firstLineChars="200"/>
        <w:jc w:val="left"/>
        <w:rPr>
          <w:rFonts w:hint="eastAsia" w:hAnsi="宋体"/>
          <w:bCs/>
          <w:color w:val="000000"/>
          <w:sz w:val="24"/>
          <w:szCs w:val="24"/>
          <w:highlight w:val="none"/>
          <w:u w:val="single"/>
        </w:rPr>
      </w:pPr>
      <w:r>
        <w:rPr>
          <w:rFonts w:hint="eastAsia" w:hAnsi="宋体"/>
          <w:bCs/>
          <w:color w:val="000000"/>
          <w:sz w:val="24"/>
          <w:szCs w:val="24"/>
          <w:highlight w:val="none"/>
        </w:rPr>
        <w:t>联系人：</w:t>
      </w:r>
      <w:r>
        <w:rPr>
          <w:rFonts w:hint="eastAsia" w:hAnsi="宋体"/>
          <w:bCs/>
          <w:color w:val="000000"/>
          <w:sz w:val="24"/>
          <w:szCs w:val="24"/>
          <w:highlight w:val="none"/>
          <w:u w:val="single"/>
        </w:rPr>
        <w:t xml:space="preserve">                            </w:t>
      </w: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p>
    <w:p w14:paraId="2A27E952">
      <w:pPr>
        <w:pStyle w:val="24"/>
        <w:snapToGrid w:val="0"/>
        <w:spacing w:line="360" w:lineRule="auto"/>
        <w:ind w:firstLine="480" w:firstLineChars="200"/>
        <w:jc w:val="left"/>
        <w:rPr>
          <w:rFonts w:hint="eastAsia" w:hAnsi="宋体"/>
          <w:bCs/>
          <w:color w:val="000000"/>
          <w:sz w:val="24"/>
          <w:szCs w:val="24"/>
          <w:highlight w:val="none"/>
        </w:rPr>
      </w:pPr>
      <w:r>
        <w:rPr>
          <w:rFonts w:hint="eastAsia" w:hAnsi="宋体"/>
          <w:bCs/>
          <w:color w:val="000000"/>
          <w:sz w:val="24"/>
          <w:szCs w:val="24"/>
          <w:highlight w:val="none"/>
        </w:rPr>
        <w:t>被投诉人2：</w:t>
      </w:r>
    </w:p>
    <w:p w14:paraId="02CFF9C2">
      <w:pPr>
        <w:pStyle w:val="24"/>
        <w:snapToGrid w:val="0"/>
        <w:spacing w:line="360" w:lineRule="auto"/>
        <w:ind w:firstLine="480" w:firstLineChars="200"/>
        <w:jc w:val="left"/>
        <w:rPr>
          <w:rFonts w:hint="eastAsia" w:hAnsi="宋体"/>
          <w:bCs/>
          <w:color w:val="000000"/>
          <w:sz w:val="24"/>
          <w:szCs w:val="24"/>
          <w:highlight w:val="none"/>
        </w:rPr>
      </w:pPr>
      <w:r>
        <w:rPr>
          <w:rFonts w:hAnsi="宋体"/>
          <w:bCs/>
          <w:color w:val="000000"/>
          <w:sz w:val="24"/>
          <w:szCs w:val="24"/>
          <w:highlight w:val="none"/>
        </w:rPr>
        <w:t>……</w:t>
      </w:r>
    </w:p>
    <w:p w14:paraId="57192051">
      <w:pPr>
        <w:pStyle w:val="24"/>
        <w:snapToGrid w:val="0"/>
        <w:spacing w:line="360" w:lineRule="auto"/>
        <w:ind w:firstLine="480" w:firstLineChars="200"/>
        <w:jc w:val="left"/>
        <w:rPr>
          <w:rFonts w:hint="eastAsia" w:hAnsi="宋体"/>
          <w:bCs/>
          <w:color w:val="000000"/>
          <w:sz w:val="24"/>
          <w:szCs w:val="24"/>
          <w:highlight w:val="none"/>
          <w:u w:val="single"/>
        </w:rPr>
      </w:pPr>
      <w:r>
        <w:rPr>
          <w:rFonts w:hint="eastAsia" w:hAnsi="宋体"/>
          <w:bCs/>
          <w:color w:val="000000"/>
          <w:sz w:val="24"/>
          <w:szCs w:val="24"/>
          <w:highlight w:val="none"/>
        </w:rPr>
        <w:t>相关供应商：</w:t>
      </w:r>
      <w:r>
        <w:rPr>
          <w:rFonts w:hint="eastAsia" w:hAnsi="宋体"/>
          <w:bCs/>
          <w:color w:val="000000"/>
          <w:sz w:val="24"/>
          <w:szCs w:val="24"/>
          <w:highlight w:val="none"/>
          <w:u w:val="single"/>
        </w:rPr>
        <w:t xml:space="preserve">                                                                       </w:t>
      </w:r>
    </w:p>
    <w:p w14:paraId="598F49F0">
      <w:pPr>
        <w:pStyle w:val="24"/>
        <w:snapToGrid w:val="0"/>
        <w:spacing w:line="360" w:lineRule="auto"/>
        <w:ind w:firstLine="480" w:firstLineChars="200"/>
        <w:jc w:val="left"/>
        <w:rPr>
          <w:rFonts w:hint="eastAsia" w:hAnsi="宋体"/>
          <w:bCs/>
          <w:color w:val="000000"/>
          <w:sz w:val="24"/>
          <w:szCs w:val="24"/>
          <w:highlight w:val="none"/>
          <w:u w:val="singl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4A4C0CC0">
      <w:pPr>
        <w:pStyle w:val="24"/>
        <w:snapToGrid w:val="0"/>
        <w:spacing w:line="360" w:lineRule="auto"/>
        <w:ind w:firstLine="480" w:firstLineChars="200"/>
        <w:jc w:val="left"/>
        <w:rPr>
          <w:rFonts w:hint="eastAsia" w:hAnsi="宋体"/>
          <w:bCs/>
          <w:color w:val="000000"/>
          <w:sz w:val="24"/>
          <w:szCs w:val="24"/>
          <w:highlight w:val="none"/>
        </w:rPr>
      </w:pPr>
      <w:r>
        <w:rPr>
          <w:rFonts w:hint="eastAsia" w:hAnsi="宋体"/>
          <w:bCs/>
          <w:color w:val="000000"/>
          <w:sz w:val="24"/>
          <w:szCs w:val="24"/>
          <w:highlight w:val="none"/>
        </w:rPr>
        <w:t>联系人：</w:t>
      </w:r>
      <w:r>
        <w:rPr>
          <w:rFonts w:hint="eastAsia" w:hAnsi="宋体"/>
          <w:bCs/>
          <w:color w:val="000000"/>
          <w:sz w:val="24"/>
          <w:szCs w:val="24"/>
          <w:highlight w:val="none"/>
          <w:u w:val="single"/>
        </w:rPr>
        <w:t xml:space="preserve">                                            </w:t>
      </w: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4FA99517">
      <w:pPr>
        <w:pStyle w:val="24"/>
        <w:snapToGrid w:val="0"/>
        <w:spacing w:line="360" w:lineRule="auto"/>
        <w:ind w:firstLine="482" w:firstLineChars="200"/>
        <w:rPr>
          <w:rFonts w:hint="eastAsia" w:hAnsi="宋体"/>
          <w:b/>
          <w:bCs/>
          <w:color w:val="000000"/>
          <w:sz w:val="24"/>
          <w:szCs w:val="24"/>
          <w:highlight w:val="none"/>
        </w:rPr>
      </w:pPr>
      <w:r>
        <w:rPr>
          <w:rFonts w:hint="eastAsia" w:hAnsi="宋体"/>
          <w:b/>
          <w:bCs/>
          <w:color w:val="000000"/>
          <w:sz w:val="24"/>
          <w:szCs w:val="24"/>
          <w:highlight w:val="none"/>
        </w:rPr>
        <w:t>二、投诉项目基本情况：</w:t>
      </w:r>
    </w:p>
    <w:p w14:paraId="63AAA49A">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招标项目的名称：</w:t>
      </w:r>
      <w:r>
        <w:rPr>
          <w:rFonts w:hint="eastAsia" w:hAnsi="宋体"/>
          <w:bCs/>
          <w:color w:val="000000"/>
          <w:sz w:val="24"/>
          <w:szCs w:val="24"/>
          <w:highlight w:val="none"/>
          <w:u w:val="single"/>
        </w:rPr>
        <w:t xml:space="preserve">                                                                   </w:t>
      </w:r>
    </w:p>
    <w:p w14:paraId="34047402">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招标项目的编号：</w:t>
      </w:r>
      <w:r>
        <w:rPr>
          <w:rFonts w:hint="eastAsia" w:hAnsi="宋体"/>
          <w:bCs/>
          <w:color w:val="000000"/>
          <w:sz w:val="24"/>
          <w:szCs w:val="24"/>
          <w:highlight w:val="none"/>
          <w:u w:val="single"/>
        </w:rPr>
        <w:t xml:space="preserve">                                          </w:t>
      </w:r>
    </w:p>
    <w:p w14:paraId="3DF253B8">
      <w:pPr>
        <w:pStyle w:val="24"/>
        <w:spacing w:line="360" w:lineRule="auto"/>
        <w:ind w:left="25" w:leftChars="12" w:firstLine="472" w:firstLineChars="197"/>
        <w:rPr>
          <w:rFonts w:hint="eastAsia" w:hAnsi="宋体"/>
          <w:bCs/>
          <w:color w:val="000000"/>
          <w:sz w:val="24"/>
          <w:szCs w:val="24"/>
          <w:highlight w:val="none"/>
          <w:u w:val="single"/>
        </w:rPr>
      </w:pPr>
      <w:r>
        <w:rPr>
          <w:rFonts w:hint="eastAsia" w:hAnsi="宋体"/>
          <w:color w:val="000000"/>
          <w:sz w:val="24"/>
          <w:szCs w:val="24"/>
          <w:highlight w:val="none"/>
        </w:rPr>
        <w:t>采购人名称：</w:t>
      </w:r>
      <w:r>
        <w:rPr>
          <w:rFonts w:hint="eastAsia" w:hAnsi="宋体"/>
          <w:bCs/>
          <w:color w:val="000000"/>
          <w:sz w:val="24"/>
          <w:szCs w:val="24"/>
          <w:highlight w:val="none"/>
          <w:u w:val="single"/>
        </w:rPr>
        <w:t xml:space="preserve">                                                                        </w:t>
      </w:r>
    </w:p>
    <w:p w14:paraId="19C938AF">
      <w:pPr>
        <w:pStyle w:val="24"/>
        <w:spacing w:line="360" w:lineRule="auto"/>
        <w:ind w:left="25" w:leftChars="12" w:firstLine="472" w:firstLineChars="197"/>
        <w:rPr>
          <w:rFonts w:hint="eastAsia" w:hAnsi="宋体"/>
          <w:bCs/>
          <w:color w:val="000000"/>
          <w:sz w:val="24"/>
          <w:szCs w:val="24"/>
          <w:highlight w:val="none"/>
          <w:u w:val="single"/>
        </w:rPr>
      </w:pPr>
      <w:r>
        <w:rPr>
          <w:rFonts w:hint="eastAsia" w:hAnsi="宋体"/>
          <w:color w:val="000000"/>
          <w:sz w:val="24"/>
          <w:szCs w:val="24"/>
          <w:highlight w:val="none"/>
        </w:rPr>
        <w:t>代理机构名称：</w:t>
      </w:r>
      <w:r>
        <w:rPr>
          <w:rFonts w:hint="eastAsia" w:hAnsi="宋体"/>
          <w:bCs/>
          <w:color w:val="000000"/>
          <w:sz w:val="24"/>
          <w:szCs w:val="24"/>
          <w:highlight w:val="none"/>
          <w:u w:val="single"/>
        </w:rPr>
        <w:t xml:space="preserve">                                                                      </w:t>
      </w:r>
    </w:p>
    <w:p w14:paraId="17D8955E">
      <w:pPr>
        <w:pStyle w:val="24"/>
        <w:spacing w:line="360" w:lineRule="auto"/>
        <w:ind w:left="25" w:leftChars="12" w:firstLine="472" w:firstLineChars="197"/>
        <w:rPr>
          <w:rFonts w:hint="eastAsia" w:hAnsi="宋体"/>
          <w:bCs/>
          <w:color w:val="000000"/>
          <w:sz w:val="24"/>
          <w:szCs w:val="24"/>
          <w:highlight w:val="none"/>
          <w:u w:val="single"/>
        </w:rPr>
      </w:pPr>
      <w:r>
        <w:rPr>
          <w:rFonts w:hint="eastAsia" w:hAnsi="宋体"/>
          <w:color w:val="000000"/>
          <w:sz w:val="24"/>
          <w:szCs w:val="24"/>
          <w:highlight w:val="none"/>
        </w:rPr>
        <w:t>招标</w:t>
      </w:r>
      <w:r>
        <w:rPr>
          <w:rFonts w:hint="eastAsia" w:hAnsi="宋体"/>
          <w:bCs/>
          <w:color w:val="000000"/>
          <w:sz w:val="24"/>
          <w:szCs w:val="24"/>
          <w:highlight w:val="none"/>
        </w:rPr>
        <w:t>文件公告：</w:t>
      </w:r>
      <w:r>
        <w:rPr>
          <w:rFonts w:hint="eastAsia" w:hAnsi="宋体"/>
          <w:bCs/>
          <w:color w:val="000000"/>
          <w:sz w:val="24"/>
          <w:szCs w:val="24"/>
          <w:highlight w:val="none"/>
          <w:u w:val="single"/>
        </w:rPr>
        <w:t>是/否</w:t>
      </w:r>
      <w:r>
        <w:rPr>
          <w:rFonts w:hint="eastAsia" w:hAnsi="宋体"/>
          <w:bCs/>
          <w:color w:val="000000"/>
          <w:sz w:val="24"/>
          <w:szCs w:val="24"/>
          <w:highlight w:val="none"/>
        </w:rPr>
        <w:t>公告期限：</w:t>
      </w:r>
      <w:r>
        <w:rPr>
          <w:rFonts w:hint="eastAsia" w:hAnsi="宋体"/>
          <w:bCs/>
          <w:color w:val="000000"/>
          <w:sz w:val="24"/>
          <w:szCs w:val="24"/>
          <w:highlight w:val="none"/>
          <w:u w:val="single"/>
        </w:rPr>
        <w:t xml:space="preserve">                                                       </w:t>
      </w:r>
    </w:p>
    <w:p w14:paraId="748882D7">
      <w:pPr>
        <w:pStyle w:val="24"/>
        <w:spacing w:line="360" w:lineRule="auto"/>
        <w:ind w:left="25" w:leftChars="12" w:firstLine="472" w:firstLineChars="197"/>
        <w:rPr>
          <w:rFonts w:hint="eastAsia" w:hAnsi="宋体"/>
          <w:b/>
          <w:color w:val="000000"/>
          <w:sz w:val="24"/>
          <w:szCs w:val="24"/>
          <w:highlight w:val="none"/>
        </w:rPr>
      </w:pPr>
      <w:r>
        <w:rPr>
          <w:rFonts w:hint="eastAsia" w:hAnsi="宋体"/>
          <w:color w:val="000000"/>
          <w:sz w:val="24"/>
          <w:szCs w:val="24"/>
          <w:highlight w:val="none"/>
        </w:rPr>
        <w:t>招标</w:t>
      </w:r>
      <w:r>
        <w:rPr>
          <w:rFonts w:hint="eastAsia" w:hAnsi="宋体"/>
          <w:bCs/>
          <w:color w:val="000000"/>
          <w:sz w:val="24"/>
          <w:szCs w:val="24"/>
          <w:highlight w:val="none"/>
        </w:rPr>
        <w:t>结果公告：</w:t>
      </w:r>
      <w:r>
        <w:rPr>
          <w:rFonts w:hint="eastAsia" w:hAnsi="宋体"/>
          <w:bCs/>
          <w:color w:val="000000"/>
          <w:sz w:val="24"/>
          <w:szCs w:val="24"/>
          <w:highlight w:val="none"/>
          <w:u w:val="single"/>
        </w:rPr>
        <w:t>是/否</w:t>
      </w:r>
      <w:r>
        <w:rPr>
          <w:rFonts w:hint="eastAsia" w:hAnsi="宋体"/>
          <w:bCs/>
          <w:color w:val="000000"/>
          <w:sz w:val="24"/>
          <w:szCs w:val="24"/>
          <w:highlight w:val="none"/>
        </w:rPr>
        <w:t>公告期限：</w:t>
      </w:r>
      <w:r>
        <w:rPr>
          <w:rFonts w:hint="eastAsia" w:hAnsi="宋体"/>
          <w:bCs/>
          <w:color w:val="000000"/>
          <w:sz w:val="24"/>
          <w:szCs w:val="24"/>
          <w:highlight w:val="none"/>
          <w:u w:val="single"/>
        </w:rPr>
        <w:t xml:space="preserve">                                                       </w:t>
      </w:r>
    </w:p>
    <w:p w14:paraId="35214B4F">
      <w:pPr>
        <w:pStyle w:val="24"/>
        <w:spacing w:line="360" w:lineRule="auto"/>
        <w:ind w:left="25" w:leftChars="12" w:firstLine="472" w:firstLineChars="196"/>
        <w:rPr>
          <w:rFonts w:hint="eastAsia" w:hAnsi="宋体"/>
          <w:b/>
          <w:color w:val="000000"/>
          <w:sz w:val="24"/>
          <w:szCs w:val="24"/>
          <w:highlight w:val="none"/>
        </w:rPr>
      </w:pPr>
      <w:r>
        <w:rPr>
          <w:rFonts w:hint="eastAsia" w:hAnsi="宋体"/>
          <w:b/>
          <w:color w:val="000000"/>
          <w:sz w:val="24"/>
          <w:szCs w:val="24"/>
          <w:highlight w:val="none"/>
        </w:rPr>
        <w:t>三、质疑基本情况</w:t>
      </w:r>
    </w:p>
    <w:p w14:paraId="3EE7D620">
      <w:pPr>
        <w:pStyle w:val="24"/>
        <w:spacing w:line="360" w:lineRule="auto"/>
        <w:ind w:left="25" w:leftChars="12" w:firstLine="480" w:firstLineChars="200"/>
        <w:rPr>
          <w:rFonts w:hint="eastAsia" w:hAnsi="宋体"/>
          <w:color w:val="000000"/>
          <w:sz w:val="24"/>
          <w:szCs w:val="24"/>
          <w:highlight w:val="none"/>
        </w:rPr>
      </w:pPr>
      <w:r>
        <w:rPr>
          <w:rFonts w:hint="eastAsia" w:hAnsi="宋体"/>
          <w:color w:val="000000"/>
          <w:sz w:val="24"/>
          <w:szCs w:val="24"/>
          <w:highlight w:val="none"/>
        </w:rPr>
        <w:t>投诉人于</w:t>
      </w:r>
      <w:r>
        <w:rPr>
          <w:rFonts w:hint="eastAsia" w:hAnsi="宋体"/>
          <w:color w:val="000000"/>
          <w:sz w:val="24"/>
          <w:szCs w:val="24"/>
          <w:highlight w:val="none"/>
          <w:u w:val="single"/>
        </w:rPr>
        <w:t xml:space="preserve">      </w:t>
      </w:r>
      <w:r>
        <w:rPr>
          <w:rFonts w:hint="eastAsia" w:hAnsi="宋体"/>
          <w:color w:val="000000"/>
          <w:sz w:val="24"/>
          <w:szCs w:val="24"/>
          <w:highlight w:val="none"/>
        </w:rPr>
        <w:t>年</w:t>
      </w:r>
      <w:r>
        <w:rPr>
          <w:rFonts w:hint="eastAsia" w:hAnsi="宋体"/>
          <w:color w:val="000000"/>
          <w:sz w:val="24"/>
          <w:szCs w:val="24"/>
          <w:highlight w:val="none"/>
          <w:u w:val="single"/>
        </w:rPr>
        <w:t xml:space="preserve">   </w:t>
      </w:r>
      <w:r>
        <w:rPr>
          <w:rFonts w:hint="eastAsia" w:hAnsi="宋体"/>
          <w:color w:val="000000"/>
          <w:sz w:val="24"/>
          <w:szCs w:val="24"/>
          <w:highlight w:val="none"/>
        </w:rPr>
        <w:t>月</w:t>
      </w:r>
      <w:r>
        <w:rPr>
          <w:rFonts w:hint="eastAsia" w:hAnsi="宋体"/>
          <w:color w:val="000000"/>
          <w:sz w:val="24"/>
          <w:szCs w:val="24"/>
          <w:highlight w:val="none"/>
          <w:u w:val="single"/>
        </w:rPr>
        <w:t xml:space="preserve">   </w:t>
      </w:r>
      <w:r>
        <w:rPr>
          <w:rFonts w:hint="eastAsia" w:hAnsi="宋体"/>
          <w:color w:val="000000"/>
          <w:sz w:val="24"/>
          <w:szCs w:val="24"/>
          <w:highlight w:val="none"/>
        </w:rPr>
        <w:t>日，向</w:t>
      </w:r>
      <w:r>
        <w:rPr>
          <w:rFonts w:hint="eastAsia" w:hAnsi="宋体"/>
          <w:color w:val="000000"/>
          <w:sz w:val="24"/>
          <w:szCs w:val="24"/>
          <w:highlight w:val="none"/>
          <w:u w:val="single"/>
        </w:rPr>
        <w:t xml:space="preserve">                                </w:t>
      </w:r>
      <w:r>
        <w:rPr>
          <w:rFonts w:hint="eastAsia" w:hAnsi="宋体"/>
          <w:color w:val="000000"/>
          <w:sz w:val="24"/>
          <w:szCs w:val="24"/>
          <w:highlight w:val="none"/>
        </w:rPr>
        <w:t>提出质疑，质疑事项为：</w:t>
      </w:r>
    </w:p>
    <w:p w14:paraId="1EC5A870">
      <w:pPr>
        <w:pStyle w:val="24"/>
        <w:spacing w:line="360" w:lineRule="auto"/>
        <w:ind w:firstLine="241"/>
        <w:rPr>
          <w:rFonts w:hint="eastAsia" w:hAnsi="宋体"/>
          <w:bCs/>
          <w:color w:val="000000"/>
          <w:sz w:val="24"/>
          <w:szCs w:val="24"/>
          <w:highlight w:val="none"/>
          <w:u w:val="single"/>
        </w:rPr>
      </w:pPr>
      <w:r>
        <w:rPr>
          <w:rFonts w:hint="eastAsia" w:hAnsi="宋体"/>
          <w:color w:val="000000"/>
          <w:sz w:val="24"/>
          <w:szCs w:val="24"/>
          <w:highlight w:val="none"/>
        </w:rPr>
        <w:t xml:space="preserve">    </w:t>
      </w:r>
      <w:r>
        <w:rPr>
          <w:rFonts w:hint="eastAsia" w:hAnsi="宋体"/>
          <w:bCs/>
          <w:color w:val="000000"/>
          <w:sz w:val="24"/>
          <w:szCs w:val="24"/>
          <w:highlight w:val="none"/>
          <w:u w:val="single"/>
        </w:rPr>
        <w:t xml:space="preserve">                                                                                      </w:t>
      </w:r>
    </w:p>
    <w:p w14:paraId="4D39BECA">
      <w:pPr>
        <w:pStyle w:val="24"/>
        <w:spacing w:line="360" w:lineRule="auto"/>
        <w:ind w:firstLine="241"/>
        <w:rPr>
          <w:rFonts w:hint="eastAsia" w:hAnsi="宋体"/>
          <w:bCs/>
          <w:color w:val="000000"/>
          <w:sz w:val="24"/>
          <w:szCs w:val="24"/>
          <w:highlight w:val="none"/>
          <w:u w:val="single"/>
        </w:rPr>
      </w:pPr>
      <w:r>
        <w:rPr>
          <w:rFonts w:hint="eastAsia" w:hAnsi="宋体"/>
          <w:bCs/>
          <w:color w:val="000000"/>
          <w:sz w:val="24"/>
          <w:szCs w:val="24"/>
          <w:highlight w:val="none"/>
        </w:rPr>
        <w:t xml:space="preserve">    </w:t>
      </w:r>
      <w:r>
        <w:rPr>
          <w:rFonts w:hint="eastAsia" w:hAnsi="宋体"/>
          <w:bCs/>
          <w:color w:val="000000"/>
          <w:sz w:val="24"/>
          <w:szCs w:val="24"/>
          <w:highlight w:val="none"/>
          <w:u w:val="single"/>
        </w:rPr>
        <w:t xml:space="preserve">                                                                                      </w:t>
      </w:r>
    </w:p>
    <w:p w14:paraId="29AF8C88">
      <w:pPr>
        <w:pStyle w:val="24"/>
        <w:spacing w:line="360" w:lineRule="auto"/>
        <w:ind w:firstLine="480" w:firstLineChars="200"/>
        <w:rPr>
          <w:rFonts w:hint="eastAsia" w:hAnsi="宋体"/>
          <w:color w:val="000000"/>
          <w:sz w:val="24"/>
          <w:szCs w:val="24"/>
          <w:highlight w:val="none"/>
        </w:rPr>
      </w:pPr>
      <w:r>
        <w:rPr>
          <w:rFonts w:hint="eastAsia" w:hAnsi="宋体"/>
          <w:bCs/>
          <w:color w:val="000000"/>
          <w:sz w:val="24"/>
          <w:szCs w:val="24"/>
          <w:highlight w:val="none"/>
          <w:u w:val="single"/>
        </w:rPr>
        <w:t>采购人/代理机构</w:t>
      </w:r>
      <w:r>
        <w:rPr>
          <w:rFonts w:hint="eastAsia" w:hAnsi="宋体"/>
          <w:bCs/>
          <w:color w:val="000000"/>
          <w:sz w:val="24"/>
          <w:szCs w:val="24"/>
          <w:highlight w:val="none"/>
        </w:rPr>
        <w:t>于</w:t>
      </w:r>
      <w:r>
        <w:rPr>
          <w:rFonts w:hint="eastAsia" w:hAnsi="宋体"/>
          <w:color w:val="000000"/>
          <w:sz w:val="24"/>
          <w:szCs w:val="24"/>
          <w:highlight w:val="none"/>
          <w:u w:val="single"/>
        </w:rPr>
        <w:t xml:space="preserve">      </w:t>
      </w:r>
      <w:r>
        <w:rPr>
          <w:rFonts w:hint="eastAsia" w:hAnsi="宋体"/>
          <w:color w:val="000000"/>
          <w:sz w:val="24"/>
          <w:szCs w:val="24"/>
          <w:highlight w:val="none"/>
        </w:rPr>
        <w:t>年</w:t>
      </w:r>
      <w:r>
        <w:rPr>
          <w:rFonts w:hint="eastAsia" w:hAnsi="宋体"/>
          <w:color w:val="000000"/>
          <w:sz w:val="24"/>
          <w:szCs w:val="24"/>
          <w:highlight w:val="none"/>
          <w:u w:val="single"/>
        </w:rPr>
        <w:t xml:space="preserve">   </w:t>
      </w:r>
      <w:r>
        <w:rPr>
          <w:rFonts w:hint="eastAsia" w:hAnsi="宋体"/>
          <w:color w:val="000000"/>
          <w:sz w:val="24"/>
          <w:szCs w:val="24"/>
          <w:highlight w:val="none"/>
        </w:rPr>
        <w:t>月</w:t>
      </w:r>
      <w:r>
        <w:rPr>
          <w:rFonts w:hint="eastAsia" w:hAnsi="宋体"/>
          <w:color w:val="000000"/>
          <w:sz w:val="24"/>
          <w:szCs w:val="24"/>
          <w:highlight w:val="none"/>
          <w:u w:val="single"/>
        </w:rPr>
        <w:t xml:space="preserve">   </w:t>
      </w:r>
      <w:r>
        <w:rPr>
          <w:rFonts w:hint="eastAsia" w:hAnsi="宋体"/>
          <w:color w:val="000000"/>
          <w:sz w:val="24"/>
          <w:szCs w:val="24"/>
          <w:highlight w:val="none"/>
        </w:rPr>
        <w:t>日，</w:t>
      </w:r>
      <w:r>
        <w:rPr>
          <w:rFonts w:hint="eastAsia" w:hAnsi="宋体"/>
          <w:bCs/>
          <w:color w:val="000000"/>
          <w:sz w:val="24"/>
          <w:szCs w:val="24"/>
          <w:highlight w:val="none"/>
        </w:rPr>
        <w:t xml:space="preserve">就质疑事项作出了答复/没有在法定期限内作出答复。                                                                                             </w:t>
      </w:r>
    </w:p>
    <w:p w14:paraId="0B38E94C">
      <w:pPr>
        <w:pStyle w:val="24"/>
        <w:spacing w:line="360" w:lineRule="auto"/>
        <w:ind w:left="25" w:leftChars="12" w:firstLine="472" w:firstLineChars="196"/>
        <w:rPr>
          <w:rFonts w:hint="eastAsia" w:hAnsi="宋体"/>
          <w:b/>
          <w:color w:val="000000"/>
          <w:sz w:val="24"/>
          <w:szCs w:val="24"/>
          <w:highlight w:val="none"/>
        </w:rPr>
      </w:pPr>
      <w:r>
        <w:rPr>
          <w:rFonts w:hint="eastAsia" w:hAnsi="宋体"/>
          <w:b/>
          <w:color w:val="000000"/>
          <w:sz w:val="24"/>
          <w:szCs w:val="24"/>
          <w:highlight w:val="none"/>
        </w:rPr>
        <w:t>四、投诉事项具体内容</w:t>
      </w:r>
    </w:p>
    <w:p w14:paraId="55FC29C5">
      <w:pPr>
        <w:pStyle w:val="24"/>
        <w:spacing w:line="360" w:lineRule="auto"/>
        <w:ind w:left="25" w:leftChars="12" w:firstLine="472" w:firstLineChars="197"/>
        <w:rPr>
          <w:rFonts w:hint="eastAsia" w:hAnsi="宋体"/>
          <w:bCs/>
          <w:color w:val="000000"/>
          <w:sz w:val="24"/>
          <w:szCs w:val="24"/>
          <w:highlight w:val="none"/>
          <w:u w:val="single"/>
        </w:rPr>
      </w:pPr>
      <w:r>
        <w:rPr>
          <w:rFonts w:hint="eastAsia" w:hAnsi="宋体"/>
          <w:color w:val="000000"/>
          <w:sz w:val="24"/>
          <w:szCs w:val="24"/>
          <w:highlight w:val="none"/>
        </w:rPr>
        <w:t>投诉事项1：</w:t>
      </w:r>
      <w:r>
        <w:rPr>
          <w:rFonts w:hint="eastAsia" w:hAnsi="宋体"/>
          <w:bCs/>
          <w:color w:val="000000"/>
          <w:sz w:val="24"/>
          <w:szCs w:val="24"/>
          <w:highlight w:val="none"/>
          <w:u w:val="single"/>
        </w:rPr>
        <w:t xml:space="preserve">                                                                           </w:t>
      </w:r>
    </w:p>
    <w:p w14:paraId="545AFA7D">
      <w:pPr>
        <w:pStyle w:val="24"/>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事实依据：</w:t>
      </w:r>
      <w:r>
        <w:rPr>
          <w:rFonts w:hint="eastAsia" w:hAnsi="宋体"/>
          <w:color w:val="000000"/>
          <w:sz w:val="24"/>
          <w:szCs w:val="24"/>
          <w:highlight w:val="none"/>
        </w:rPr>
        <w:t xml:space="preserve"> </w:t>
      </w:r>
      <w:r>
        <w:rPr>
          <w:rFonts w:hint="eastAsia" w:hAnsi="宋体"/>
          <w:bCs/>
          <w:color w:val="000000"/>
          <w:sz w:val="24"/>
          <w:szCs w:val="24"/>
          <w:highlight w:val="none"/>
          <w:u w:val="single"/>
        </w:rPr>
        <w:t xml:space="preserve">                                                                                      </w:t>
      </w:r>
    </w:p>
    <w:p w14:paraId="603D48D3">
      <w:pPr>
        <w:pStyle w:val="24"/>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u w:val="single"/>
        </w:rPr>
        <w:t xml:space="preserve">                                                                                        </w:t>
      </w:r>
    </w:p>
    <w:p w14:paraId="1FCC7FA4">
      <w:pPr>
        <w:pStyle w:val="24"/>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法律依据：</w:t>
      </w:r>
      <w:r>
        <w:rPr>
          <w:rFonts w:hint="eastAsia" w:hAnsi="宋体"/>
          <w:color w:val="000000"/>
          <w:sz w:val="24"/>
          <w:szCs w:val="24"/>
          <w:highlight w:val="none"/>
        </w:rPr>
        <w:t xml:space="preserve"> </w:t>
      </w:r>
      <w:r>
        <w:rPr>
          <w:rFonts w:hint="eastAsia" w:hAnsi="宋体"/>
          <w:bCs/>
          <w:color w:val="000000"/>
          <w:sz w:val="24"/>
          <w:szCs w:val="24"/>
          <w:highlight w:val="none"/>
          <w:u w:val="single"/>
        </w:rPr>
        <w:t xml:space="preserve">                                                                                      </w:t>
      </w:r>
    </w:p>
    <w:p w14:paraId="796C81A1">
      <w:pPr>
        <w:pStyle w:val="24"/>
        <w:spacing w:line="360" w:lineRule="auto"/>
        <w:ind w:left="25" w:leftChars="12" w:firstLine="352" w:firstLineChars="147"/>
        <w:rPr>
          <w:rFonts w:hint="eastAsia" w:hAnsi="宋体"/>
          <w:bCs/>
          <w:color w:val="000000"/>
          <w:sz w:val="24"/>
          <w:szCs w:val="24"/>
          <w:highlight w:val="none"/>
          <w:u w:val="single"/>
        </w:rPr>
      </w:pPr>
      <w:r>
        <w:rPr>
          <w:rFonts w:hint="eastAsia" w:hAnsi="宋体"/>
          <w:bCs/>
          <w:color w:val="000000"/>
          <w:sz w:val="24"/>
          <w:szCs w:val="24"/>
          <w:highlight w:val="none"/>
        </w:rPr>
        <w:t xml:space="preserve"> </w:t>
      </w:r>
      <w:r>
        <w:rPr>
          <w:rFonts w:hint="eastAsia" w:hAnsi="宋体"/>
          <w:bCs/>
          <w:color w:val="000000"/>
          <w:sz w:val="24"/>
          <w:szCs w:val="24"/>
          <w:highlight w:val="none"/>
          <w:u w:val="single"/>
        </w:rPr>
        <w:t xml:space="preserve">                                                                                        </w:t>
      </w:r>
    </w:p>
    <w:p w14:paraId="2D2D8BCA">
      <w:pPr>
        <w:pStyle w:val="24"/>
        <w:spacing w:line="360" w:lineRule="auto"/>
        <w:ind w:left="25" w:leftChars="12" w:firstLine="472" w:firstLineChars="197"/>
        <w:rPr>
          <w:rFonts w:hint="eastAsia" w:hAnsi="宋体"/>
          <w:bCs/>
          <w:color w:val="000000"/>
          <w:sz w:val="24"/>
          <w:szCs w:val="24"/>
          <w:highlight w:val="none"/>
        </w:rPr>
      </w:pPr>
      <w:r>
        <w:rPr>
          <w:rFonts w:hint="eastAsia" w:hAnsi="宋体"/>
          <w:color w:val="000000"/>
          <w:sz w:val="24"/>
          <w:szCs w:val="24"/>
          <w:highlight w:val="none"/>
        </w:rPr>
        <w:t xml:space="preserve">投诉事项2  </w:t>
      </w:r>
      <w:r>
        <w:rPr>
          <w:rFonts w:hint="eastAsia" w:hAnsi="宋体"/>
          <w:bCs/>
          <w:color w:val="000000"/>
          <w:sz w:val="24"/>
          <w:szCs w:val="24"/>
          <w:highlight w:val="none"/>
        </w:rPr>
        <w:t xml:space="preserve">   </w:t>
      </w:r>
    </w:p>
    <w:p w14:paraId="1BDFD2CA">
      <w:pPr>
        <w:pStyle w:val="24"/>
        <w:spacing w:line="360" w:lineRule="auto"/>
        <w:ind w:left="25" w:leftChars="12" w:firstLine="472" w:firstLineChars="197"/>
        <w:rPr>
          <w:rFonts w:hint="eastAsia" w:hAnsi="宋体"/>
          <w:bCs/>
          <w:color w:val="000000"/>
          <w:sz w:val="24"/>
          <w:szCs w:val="24"/>
          <w:highlight w:val="none"/>
        </w:rPr>
      </w:pPr>
      <w:r>
        <w:rPr>
          <w:rFonts w:hAnsi="宋体"/>
          <w:bCs/>
          <w:color w:val="000000"/>
          <w:sz w:val="24"/>
          <w:szCs w:val="24"/>
          <w:highlight w:val="none"/>
        </w:rPr>
        <w:t>……</w:t>
      </w:r>
    </w:p>
    <w:p w14:paraId="7F97B6D6">
      <w:pPr>
        <w:pStyle w:val="24"/>
        <w:spacing w:line="360" w:lineRule="auto"/>
        <w:ind w:left="25" w:leftChars="12" w:firstLine="472" w:firstLineChars="196"/>
        <w:rPr>
          <w:rFonts w:hint="eastAsia" w:hAnsi="宋体"/>
          <w:b/>
          <w:color w:val="000000"/>
          <w:sz w:val="24"/>
          <w:szCs w:val="24"/>
          <w:highlight w:val="none"/>
        </w:rPr>
      </w:pPr>
      <w:r>
        <w:rPr>
          <w:rFonts w:hint="eastAsia" w:hAnsi="宋体"/>
          <w:b/>
          <w:color w:val="000000"/>
          <w:sz w:val="24"/>
          <w:szCs w:val="24"/>
          <w:highlight w:val="none"/>
        </w:rPr>
        <w:t>五、与投诉事项相关的投诉请求：</w:t>
      </w:r>
    </w:p>
    <w:p w14:paraId="0ACCA967">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请求：</w:t>
      </w:r>
      <w:r>
        <w:rPr>
          <w:rFonts w:hint="eastAsia" w:hAnsi="宋体"/>
          <w:bCs/>
          <w:color w:val="000000"/>
          <w:sz w:val="24"/>
          <w:szCs w:val="24"/>
          <w:highlight w:val="none"/>
          <w:u w:val="single"/>
        </w:rPr>
        <w:t xml:space="preserve">                                                                                 </w:t>
      </w:r>
    </w:p>
    <w:p w14:paraId="4948E040">
      <w:pPr>
        <w:pStyle w:val="24"/>
        <w:spacing w:line="360" w:lineRule="auto"/>
        <w:ind w:left="25" w:leftChars="12" w:firstLine="352" w:firstLineChars="147"/>
        <w:rPr>
          <w:rFonts w:hint="eastAsia" w:hAnsi="宋体"/>
          <w:color w:val="000000"/>
          <w:sz w:val="24"/>
          <w:szCs w:val="24"/>
          <w:highlight w:val="none"/>
        </w:rPr>
      </w:pPr>
    </w:p>
    <w:p w14:paraId="7915D22D">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签字（签章）：                                       公章：</w:t>
      </w:r>
    </w:p>
    <w:p w14:paraId="5223F5F5">
      <w:pPr>
        <w:pStyle w:val="24"/>
        <w:spacing w:line="360" w:lineRule="auto"/>
        <w:ind w:left="25" w:leftChars="12" w:firstLine="352" w:firstLineChars="147"/>
        <w:rPr>
          <w:rFonts w:hint="eastAsia" w:hAnsi="宋体"/>
          <w:color w:val="000000"/>
          <w:sz w:val="24"/>
          <w:szCs w:val="24"/>
          <w:highlight w:val="none"/>
        </w:rPr>
      </w:pPr>
    </w:p>
    <w:p w14:paraId="3AF210AB">
      <w:pPr>
        <w:pStyle w:val="24"/>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日期：</w:t>
      </w:r>
    </w:p>
    <w:p w14:paraId="67FCDF95">
      <w:pPr>
        <w:pStyle w:val="24"/>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rPr>
        <w:t xml:space="preserve">                                                                              </w:t>
      </w:r>
    </w:p>
    <w:p w14:paraId="05C2F9C2">
      <w:pPr>
        <w:pStyle w:val="24"/>
        <w:snapToGrid w:val="0"/>
        <w:spacing w:line="360" w:lineRule="auto"/>
        <w:rPr>
          <w:rFonts w:hint="eastAsia" w:hAnsi="宋体"/>
          <w:b/>
          <w:color w:val="000000"/>
          <w:sz w:val="24"/>
          <w:szCs w:val="24"/>
          <w:highlight w:val="none"/>
        </w:rPr>
      </w:pPr>
      <w:r>
        <w:rPr>
          <w:rFonts w:hint="eastAsia" w:hAnsi="宋体"/>
          <w:b/>
          <w:color w:val="000000"/>
          <w:sz w:val="24"/>
          <w:szCs w:val="24"/>
          <w:highlight w:val="none"/>
        </w:rPr>
        <w:t>说明：</w:t>
      </w:r>
    </w:p>
    <w:p w14:paraId="4C738E0A">
      <w:pPr>
        <w:pStyle w:val="24"/>
        <w:spacing w:line="360" w:lineRule="auto"/>
        <w:ind w:left="25" w:leftChars="12" w:firstLine="354" w:firstLineChars="147"/>
        <w:rPr>
          <w:rFonts w:hint="eastAsia" w:hAnsi="宋体"/>
          <w:b/>
          <w:bCs/>
          <w:color w:val="000000"/>
          <w:sz w:val="24"/>
          <w:szCs w:val="24"/>
          <w:highlight w:val="none"/>
        </w:rPr>
      </w:pPr>
      <w:r>
        <w:rPr>
          <w:rFonts w:hint="eastAsia" w:hAnsi="宋体"/>
          <w:b/>
          <w:color w:val="000000"/>
          <w:sz w:val="24"/>
          <w:szCs w:val="24"/>
          <w:highlight w:val="none"/>
        </w:rPr>
        <w:t>1.投诉人提起投诉时，应当提交投诉书和必要的证明材料，并按照被投诉人和与投诉事项有关的供应商数量提供投诉书副本</w:t>
      </w:r>
      <w:r>
        <w:rPr>
          <w:rFonts w:hint="eastAsia" w:hAnsi="宋体"/>
          <w:b/>
          <w:bCs/>
          <w:color w:val="000000"/>
          <w:sz w:val="24"/>
          <w:szCs w:val="24"/>
          <w:highlight w:val="none"/>
        </w:rPr>
        <w:t>。</w:t>
      </w:r>
    </w:p>
    <w:p w14:paraId="29049AE3">
      <w:pPr>
        <w:pStyle w:val="24"/>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63376A5">
      <w:pPr>
        <w:pStyle w:val="24"/>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3.投诉书应简要列明质疑事项，质疑函、质疑答复等作为附件材料提供。</w:t>
      </w:r>
    </w:p>
    <w:p w14:paraId="64162887">
      <w:pPr>
        <w:pStyle w:val="24"/>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4.投诉书的投诉事项应具体、明确，并有必要的事实依据和法律依据。</w:t>
      </w:r>
    </w:p>
    <w:p w14:paraId="5647B086">
      <w:pPr>
        <w:pStyle w:val="24"/>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5.投诉书的投诉请求应与投诉事项相关。</w:t>
      </w:r>
    </w:p>
    <w:p w14:paraId="48FE55AB">
      <w:pPr>
        <w:pStyle w:val="24"/>
        <w:spacing w:line="360" w:lineRule="auto"/>
        <w:ind w:left="25" w:leftChars="12" w:firstLine="354" w:firstLineChars="147"/>
        <w:rPr>
          <w:rFonts w:hint="eastAsia" w:hAnsi="宋体"/>
          <w:b/>
          <w:color w:val="000000"/>
          <w:highlight w:val="none"/>
        </w:rPr>
      </w:pPr>
      <w:r>
        <w:rPr>
          <w:rFonts w:hint="eastAsia" w:hAnsi="宋体"/>
          <w:b/>
          <w:color w:val="000000"/>
          <w:sz w:val="24"/>
          <w:szCs w:val="24"/>
          <w:highlight w:val="none"/>
        </w:rPr>
        <w:t>6.投诉人为法人或者其他组织的，投诉书应由法定代表人、主要负责人，或者其授权代表签字或者盖章，并加盖公章。</w:t>
      </w:r>
    </w:p>
    <w:sectPr>
      <w:footerReference r:id="rId10" w:type="first"/>
      <w:headerReference r:id="rId7" w:type="default"/>
      <w:footerReference r:id="rId8" w:type="default"/>
      <w:footerReference r:id="rId9" w:type="even"/>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8266A02-B922-4622-9B13-62622BD0F814}"/>
  </w:font>
  <w:font w:name="黑体">
    <w:panose1 w:val="02010609060101010101"/>
    <w:charset w:val="86"/>
    <w:family w:val="auto"/>
    <w:pitch w:val="default"/>
    <w:sig w:usb0="800002BF" w:usb1="38CF7CFA" w:usb2="00000016" w:usb3="00000000" w:csb0="00040001" w:csb1="00000000"/>
    <w:embedRegular r:id="rId2" w:fontKey="{E8DA7278-E599-4D72-9263-799AD9D10739}"/>
  </w:font>
  <w:font w:name="Courier New">
    <w:panose1 w:val="02070309020205020404"/>
    <w:charset w:val="01"/>
    <w:family w:val="modern"/>
    <w:pitch w:val="default"/>
    <w:sig w:usb0="E0002EFF" w:usb1="C0007843" w:usb2="00000009" w:usb3="00000000" w:csb0="400001FF" w:csb1="FFFF0000"/>
    <w:embedRegular r:id="rId3" w:fontKey="{DA875D38-4206-4E3F-8982-969CA85AB56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B796CDB-F410-49D4-A741-312891A46A84}"/>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5" w:fontKey="{41CCA3DD-9898-4E4E-9534-5897E757628A}"/>
  </w:font>
  <w:font w:name="Cambria">
    <w:panose1 w:val="02040503050406030204"/>
    <w:charset w:val="00"/>
    <w:family w:val="roman"/>
    <w:pitch w:val="default"/>
    <w:sig w:usb0="E00006FF" w:usb1="420024FF" w:usb2="02000000" w:usb3="00000000" w:csb0="2000019F" w:csb1="0000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6" w:fontKey="{ED044F15-82F0-42BD-9222-455FA9D1342F}"/>
  </w:font>
  <w:font w:name="Tahoma">
    <w:panose1 w:val="020B0604030504040204"/>
    <w:charset w:val="00"/>
    <w:family w:val="swiss"/>
    <w:pitch w:val="default"/>
    <w:sig w:usb0="E1002EFF" w:usb1="C000605B" w:usb2="00000029" w:usb3="00000000" w:csb0="200101FF" w:csb1="20280000"/>
  </w:font>
  <w:font w:name="Century">
    <w:panose1 w:val="02040604050505020304"/>
    <w:charset w:val="00"/>
    <w:family w:val="roman"/>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embedRegular r:id="rId7" w:fontKey="{5C9B45B4-BB7E-4188-B32A-6D292D15BE25}"/>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8" w:fontKey="{8154BECE-E4FB-4C90-A8EE-113D2976E071}"/>
  </w:font>
  <w:font w:name="华文新魏">
    <w:panose1 w:val="02010800040101010101"/>
    <w:charset w:val="86"/>
    <w:family w:val="auto"/>
    <w:pitch w:val="default"/>
    <w:sig w:usb0="00000001" w:usb1="080F0000" w:usb2="00000000" w:usb3="00000000" w:csb0="00040000" w:csb1="00000000"/>
    <w:embedRegular r:id="rId9" w:fontKey="{9895D8FA-E75A-4FB6-BA3C-CAFB8B63758E}"/>
  </w:font>
  <w:font w:name="等线">
    <w:panose1 w:val="02010600030101010101"/>
    <w:charset w:val="86"/>
    <w:family w:val="auto"/>
    <w:pitch w:val="default"/>
    <w:sig w:usb0="A00002BF" w:usb1="38CF7CFA" w:usb2="00000016" w:usb3="00000000" w:csb0="0004000F" w:csb1="00000000"/>
    <w:embedRegular r:id="rId10" w:fontKey="{95F2795C-912A-44E2-A136-E87648ED921B}"/>
  </w:font>
  <w:font w:name="仿宋">
    <w:panose1 w:val="02010609060101010101"/>
    <w:charset w:val="86"/>
    <w:family w:val="modern"/>
    <w:pitch w:val="default"/>
    <w:sig w:usb0="800002BF" w:usb1="38CF7CFA" w:usb2="00000016" w:usb3="00000000" w:csb0="00040001" w:csb1="00000000"/>
    <w:embedRegular r:id="rId11" w:fontKey="{BD819FC0-B132-4844-AD6B-519C9B8B55F9}"/>
  </w:font>
  <w:font w:name="Wingdings 2">
    <w:panose1 w:val="05020102010507070707"/>
    <w:charset w:val="02"/>
    <w:family w:val="roman"/>
    <w:pitch w:val="default"/>
    <w:sig w:usb0="00000000" w:usb1="00000000" w:usb2="00000000" w:usb3="00000000" w:csb0="80000000" w:csb1="00000000"/>
    <w:embedRegular r:id="rId12" w:fontKey="{1E6F740D-2977-46D5-B660-551F750EE31C}"/>
  </w:font>
  <w:font w:name="MS Mincho">
    <w:panose1 w:val="02020609040205080304"/>
    <w:charset w:val="80"/>
    <w:family w:val="modern"/>
    <w:pitch w:val="default"/>
    <w:sig w:usb0="A00002BF" w:usb1="68C7FCFB" w:usb2="00000010" w:usb3="00000000" w:csb0="4002009F" w:csb1="DFD70000"/>
    <w:embedRegular r:id="rId13" w:fontKey="{952D06B9-61FA-4977-88CD-5229A4959513}"/>
  </w:font>
  <w:font w:name="隶书">
    <w:panose1 w:val="02010509060101010101"/>
    <w:charset w:val="86"/>
    <w:family w:val="modern"/>
    <w:pitch w:val="default"/>
    <w:sig w:usb0="00000001" w:usb1="080E0000" w:usb2="00000000" w:usb3="00000000" w:csb0="00040000" w:csb1="00000000"/>
    <w:embedRegular r:id="rId14" w:fontKey="{6CBD6AE0-5EFF-4A46-8475-ADA159CD46C8}"/>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6FA8E">
    <w:pPr>
      <w:pStyle w:val="30"/>
      <w:jc w:val="center"/>
    </w:pPr>
    <w:r>
      <w:fldChar w:fldCharType="begin"/>
    </w:r>
    <w:r>
      <w:instrText xml:space="preserve"> PAGE   \* MERGEFORMAT </w:instrText>
    </w:r>
    <w:r>
      <w:fldChar w:fldCharType="separate"/>
    </w:r>
    <w:r>
      <w:rPr>
        <w:lang w:val="zh-CN"/>
      </w:rPr>
      <w:t>8</w:t>
    </w:r>
    <w:r>
      <w:fldChar w:fldCharType="end"/>
    </w:r>
  </w:p>
  <w:p w14:paraId="39118525">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07D00">
    <w:pPr>
      <w:pStyle w:val="30"/>
      <w:framePr w:wrap="around" w:vAnchor="text" w:hAnchor="margin" w:xAlign="center" w:y="1"/>
      <w:rPr>
        <w:rStyle w:val="50"/>
      </w:rPr>
    </w:pPr>
    <w:r>
      <w:fldChar w:fldCharType="begin"/>
    </w:r>
    <w:r>
      <w:rPr>
        <w:rStyle w:val="50"/>
      </w:rPr>
      <w:instrText xml:space="preserve">PAGE  </w:instrText>
    </w:r>
    <w:r>
      <w:fldChar w:fldCharType="end"/>
    </w:r>
  </w:p>
  <w:p w14:paraId="29BDD506">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B950B">
    <w:pPr>
      <w:pStyle w:val="30"/>
      <w:jc w:val="center"/>
    </w:pPr>
    <w:r>
      <w:fldChar w:fldCharType="begin"/>
    </w:r>
    <w:r>
      <w:instrText xml:space="preserve">PAGE   \* MERGEFORMAT</w:instrText>
    </w:r>
    <w:r>
      <w:fldChar w:fldCharType="separate"/>
    </w:r>
    <w:r>
      <w:rPr>
        <w:lang w:val="zh-CN"/>
      </w:rPr>
      <w:t>1</w:t>
    </w:r>
    <w:r>
      <w:fldChar w:fldCharType="end"/>
    </w:r>
  </w:p>
  <w:p w14:paraId="1B204D12">
    <w:pPr>
      <w:pStyle w:val="30"/>
      <w:ind w:right="360"/>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10608">
    <w:pPr>
      <w:pStyle w:val="30"/>
      <w:jc w:val="center"/>
    </w:pPr>
    <w:r>
      <w:fldChar w:fldCharType="begin"/>
    </w:r>
    <w:r>
      <w:instrText xml:space="preserve"> PAGE   \* MERGEFORMAT </w:instrText>
    </w:r>
    <w:r>
      <w:fldChar w:fldCharType="separate"/>
    </w:r>
    <w:r>
      <w:rPr>
        <w:lang w:val="zh-CN"/>
      </w:rPr>
      <w:t>120</w:t>
    </w:r>
    <w:r>
      <w:fldChar w:fldCharType="end"/>
    </w:r>
  </w:p>
  <w:p w14:paraId="422A4D9A">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44C7E">
    <w:pPr>
      <w:pStyle w:val="30"/>
      <w:framePr w:wrap="around" w:vAnchor="text" w:hAnchor="margin" w:xAlign="center" w:y="1"/>
      <w:rPr>
        <w:rStyle w:val="50"/>
      </w:rPr>
    </w:pPr>
    <w:r>
      <w:fldChar w:fldCharType="begin"/>
    </w:r>
    <w:r>
      <w:rPr>
        <w:rStyle w:val="50"/>
      </w:rPr>
      <w:instrText xml:space="preserve">PAGE  </w:instrText>
    </w:r>
    <w:r>
      <w:fldChar w:fldCharType="end"/>
    </w:r>
  </w:p>
  <w:p w14:paraId="04AB5D2D">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37E59">
    <w:pPr>
      <w:pStyle w:val="30"/>
      <w:ind w:right="360"/>
      <w:jc w:val="both"/>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7FCAC">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04207">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8A6FB9"/>
    <w:multiLevelType w:val="singleLevel"/>
    <w:tmpl w:val="FB8A6FB9"/>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2">
    <w:nsid w:val="0D34312B"/>
    <w:multiLevelType w:val="multilevel"/>
    <w:tmpl w:val="0D34312B"/>
    <w:lvl w:ilvl="0" w:tentative="0">
      <w:start w:val="1"/>
      <w:numFmt w:val="decimal"/>
      <w:suff w:val="nothing"/>
      <w:lvlText w:val="%1．"/>
      <w:lvlJc w:val="left"/>
      <w:pPr>
        <w:ind w:left="-40" w:firstLine="40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4">
    <w:nsid w:val="479D2061"/>
    <w:multiLevelType w:val="multilevel"/>
    <w:tmpl w:val="479D206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C601917"/>
    <w:multiLevelType w:val="singleLevel"/>
    <w:tmpl w:val="4C601917"/>
    <w:lvl w:ilvl="0" w:tentative="0">
      <w:start w:val="1"/>
      <w:numFmt w:val="decimal"/>
      <w:suff w:val="nothing"/>
      <w:lvlText w:val="（%1）"/>
      <w:lvlJc w:val="left"/>
      <w:pPr>
        <w:ind w:left="-2"/>
      </w:pPr>
    </w:lvl>
  </w:abstractNum>
  <w:abstractNum w:abstractNumId="6">
    <w:nsid w:val="5FABD14B"/>
    <w:multiLevelType w:val="singleLevel"/>
    <w:tmpl w:val="5FABD14B"/>
    <w:lvl w:ilvl="0" w:tentative="0">
      <w:start w:val="1"/>
      <w:numFmt w:val="decimal"/>
      <w:suff w:val="nothing"/>
      <w:lvlText w:val="（%1）"/>
      <w:lvlJc w:val="left"/>
    </w:lvl>
  </w:abstractNum>
  <w:num w:numId="1">
    <w:abstractNumId w:val="3"/>
  </w:num>
  <w:num w:numId="2">
    <w:abstractNumId w:val="1"/>
  </w:num>
  <w:num w:numId="3">
    <w:abstractNumId w:val="4"/>
  </w:num>
  <w:num w:numId="4">
    <w:abstractNumId w:val="0"/>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08B"/>
    <w:rsid w:val="0000010C"/>
    <w:rsid w:val="00000266"/>
    <w:rsid w:val="000002AD"/>
    <w:rsid w:val="000004FE"/>
    <w:rsid w:val="00000FE0"/>
    <w:rsid w:val="00001068"/>
    <w:rsid w:val="0000114A"/>
    <w:rsid w:val="000011FA"/>
    <w:rsid w:val="00001731"/>
    <w:rsid w:val="00001C2D"/>
    <w:rsid w:val="00001C55"/>
    <w:rsid w:val="00001CA8"/>
    <w:rsid w:val="00001FAE"/>
    <w:rsid w:val="00002291"/>
    <w:rsid w:val="0000257D"/>
    <w:rsid w:val="00002DBF"/>
    <w:rsid w:val="00002EC0"/>
    <w:rsid w:val="00003224"/>
    <w:rsid w:val="000033F5"/>
    <w:rsid w:val="0000358C"/>
    <w:rsid w:val="000035A4"/>
    <w:rsid w:val="00003BEF"/>
    <w:rsid w:val="00003D90"/>
    <w:rsid w:val="00004130"/>
    <w:rsid w:val="0000431F"/>
    <w:rsid w:val="00004634"/>
    <w:rsid w:val="0000494E"/>
    <w:rsid w:val="00004D8B"/>
    <w:rsid w:val="000059E2"/>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CBA"/>
    <w:rsid w:val="00013446"/>
    <w:rsid w:val="00013509"/>
    <w:rsid w:val="000135BC"/>
    <w:rsid w:val="000135DC"/>
    <w:rsid w:val="000136D6"/>
    <w:rsid w:val="00014085"/>
    <w:rsid w:val="00014D89"/>
    <w:rsid w:val="00014DD9"/>
    <w:rsid w:val="00014EE0"/>
    <w:rsid w:val="000151E4"/>
    <w:rsid w:val="00015577"/>
    <w:rsid w:val="000156E4"/>
    <w:rsid w:val="000159A7"/>
    <w:rsid w:val="00015FB8"/>
    <w:rsid w:val="0001609F"/>
    <w:rsid w:val="0001635B"/>
    <w:rsid w:val="00016549"/>
    <w:rsid w:val="00016814"/>
    <w:rsid w:val="00016BF7"/>
    <w:rsid w:val="000170A9"/>
    <w:rsid w:val="0001720C"/>
    <w:rsid w:val="0001767E"/>
    <w:rsid w:val="0001776D"/>
    <w:rsid w:val="00017F31"/>
    <w:rsid w:val="00020607"/>
    <w:rsid w:val="0002103A"/>
    <w:rsid w:val="000217E4"/>
    <w:rsid w:val="00021852"/>
    <w:rsid w:val="00021A12"/>
    <w:rsid w:val="000222B4"/>
    <w:rsid w:val="00022524"/>
    <w:rsid w:val="00022622"/>
    <w:rsid w:val="00022B0F"/>
    <w:rsid w:val="0002316F"/>
    <w:rsid w:val="00023363"/>
    <w:rsid w:val="000235F3"/>
    <w:rsid w:val="00023644"/>
    <w:rsid w:val="00023712"/>
    <w:rsid w:val="00023A03"/>
    <w:rsid w:val="00024E3C"/>
    <w:rsid w:val="00024EB0"/>
    <w:rsid w:val="0002646A"/>
    <w:rsid w:val="0002651D"/>
    <w:rsid w:val="00026CFD"/>
    <w:rsid w:val="00027C8B"/>
    <w:rsid w:val="00027CD9"/>
    <w:rsid w:val="00030242"/>
    <w:rsid w:val="00030B06"/>
    <w:rsid w:val="0003183A"/>
    <w:rsid w:val="00031A60"/>
    <w:rsid w:val="00031CDC"/>
    <w:rsid w:val="000323D8"/>
    <w:rsid w:val="00032461"/>
    <w:rsid w:val="0003263B"/>
    <w:rsid w:val="0003282C"/>
    <w:rsid w:val="00032F6D"/>
    <w:rsid w:val="0003304A"/>
    <w:rsid w:val="0003317E"/>
    <w:rsid w:val="00033413"/>
    <w:rsid w:val="000337F3"/>
    <w:rsid w:val="00033B93"/>
    <w:rsid w:val="00034B24"/>
    <w:rsid w:val="00034C27"/>
    <w:rsid w:val="00034E2A"/>
    <w:rsid w:val="0003577F"/>
    <w:rsid w:val="00036466"/>
    <w:rsid w:val="0003675E"/>
    <w:rsid w:val="00036BAC"/>
    <w:rsid w:val="00037939"/>
    <w:rsid w:val="00037F87"/>
    <w:rsid w:val="00037FA2"/>
    <w:rsid w:val="000400D0"/>
    <w:rsid w:val="00040343"/>
    <w:rsid w:val="000408C4"/>
    <w:rsid w:val="00041DFA"/>
    <w:rsid w:val="000425AC"/>
    <w:rsid w:val="00042E77"/>
    <w:rsid w:val="00042F4A"/>
    <w:rsid w:val="00043AC8"/>
    <w:rsid w:val="00043BE5"/>
    <w:rsid w:val="00044003"/>
    <w:rsid w:val="00044527"/>
    <w:rsid w:val="00044897"/>
    <w:rsid w:val="00044ACF"/>
    <w:rsid w:val="00044FD5"/>
    <w:rsid w:val="000454F4"/>
    <w:rsid w:val="00045D1E"/>
    <w:rsid w:val="00045E69"/>
    <w:rsid w:val="00045EF4"/>
    <w:rsid w:val="00046547"/>
    <w:rsid w:val="000466D7"/>
    <w:rsid w:val="00046753"/>
    <w:rsid w:val="00047254"/>
    <w:rsid w:val="00047E41"/>
    <w:rsid w:val="0005022B"/>
    <w:rsid w:val="00050525"/>
    <w:rsid w:val="00050771"/>
    <w:rsid w:val="000509BA"/>
    <w:rsid w:val="000513F3"/>
    <w:rsid w:val="00052287"/>
    <w:rsid w:val="000522E0"/>
    <w:rsid w:val="000532F4"/>
    <w:rsid w:val="000535A9"/>
    <w:rsid w:val="000536AE"/>
    <w:rsid w:val="000539AF"/>
    <w:rsid w:val="00054CD5"/>
    <w:rsid w:val="00054D03"/>
    <w:rsid w:val="00054E61"/>
    <w:rsid w:val="000550AC"/>
    <w:rsid w:val="0005584D"/>
    <w:rsid w:val="00055CC3"/>
    <w:rsid w:val="00055CD8"/>
    <w:rsid w:val="00055CEE"/>
    <w:rsid w:val="00055FB7"/>
    <w:rsid w:val="000566FA"/>
    <w:rsid w:val="00056A2B"/>
    <w:rsid w:val="00056D18"/>
    <w:rsid w:val="00056DA8"/>
    <w:rsid w:val="00056E37"/>
    <w:rsid w:val="00056EE2"/>
    <w:rsid w:val="00056F3A"/>
    <w:rsid w:val="00056FE2"/>
    <w:rsid w:val="000570FB"/>
    <w:rsid w:val="000575B8"/>
    <w:rsid w:val="00060131"/>
    <w:rsid w:val="0006026B"/>
    <w:rsid w:val="00060293"/>
    <w:rsid w:val="00061341"/>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61CA"/>
    <w:rsid w:val="0006668D"/>
    <w:rsid w:val="00066896"/>
    <w:rsid w:val="00066FE3"/>
    <w:rsid w:val="00067002"/>
    <w:rsid w:val="00067993"/>
    <w:rsid w:val="00067B1C"/>
    <w:rsid w:val="00067CED"/>
    <w:rsid w:val="00067F66"/>
    <w:rsid w:val="0007041A"/>
    <w:rsid w:val="00070634"/>
    <w:rsid w:val="00070883"/>
    <w:rsid w:val="000708D1"/>
    <w:rsid w:val="00070C3F"/>
    <w:rsid w:val="0007102C"/>
    <w:rsid w:val="00071D68"/>
    <w:rsid w:val="00071FCE"/>
    <w:rsid w:val="00072661"/>
    <w:rsid w:val="00072CCC"/>
    <w:rsid w:val="0007315D"/>
    <w:rsid w:val="00073549"/>
    <w:rsid w:val="0007483E"/>
    <w:rsid w:val="000751DB"/>
    <w:rsid w:val="0007542D"/>
    <w:rsid w:val="0007578F"/>
    <w:rsid w:val="00075E43"/>
    <w:rsid w:val="00077706"/>
    <w:rsid w:val="00077878"/>
    <w:rsid w:val="000804EF"/>
    <w:rsid w:val="00080558"/>
    <w:rsid w:val="00080998"/>
    <w:rsid w:val="00081230"/>
    <w:rsid w:val="000814E2"/>
    <w:rsid w:val="000818C9"/>
    <w:rsid w:val="00081A21"/>
    <w:rsid w:val="00081CBB"/>
    <w:rsid w:val="00081D42"/>
    <w:rsid w:val="000822EF"/>
    <w:rsid w:val="0008241E"/>
    <w:rsid w:val="000826F5"/>
    <w:rsid w:val="000829B1"/>
    <w:rsid w:val="00082AAB"/>
    <w:rsid w:val="0008307D"/>
    <w:rsid w:val="000831E9"/>
    <w:rsid w:val="000833BB"/>
    <w:rsid w:val="00083A4C"/>
    <w:rsid w:val="00084483"/>
    <w:rsid w:val="0008452D"/>
    <w:rsid w:val="0008467B"/>
    <w:rsid w:val="000850FA"/>
    <w:rsid w:val="00085719"/>
    <w:rsid w:val="000857A6"/>
    <w:rsid w:val="0008599A"/>
    <w:rsid w:val="00085C12"/>
    <w:rsid w:val="00085DA0"/>
    <w:rsid w:val="00085F82"/>
    <w:rsid w:val="00086506"/>
    <w:rsid w:val="00086B6E"/>
    <w:rsid w:val="00086C2F"/>
    <w:rsid w:val="00086C64"/>
    <w:rsid w:val="000874BB"/>
    <w:rsid w:val="0008781A"/>
    <w:rsid w:val="00090951"/>
    <w:rsid w:val="00090A61"/>
    <w:rsid w:val="000918F5"/>
    <w:rsid w:val="000919B5"/>
    <w:rsid w:val="00091C1D"/>
    <w:rsid w:val="00091E08"/>
    <w:rsid w:val="00092100"/>
    <w:rsid w:val="000922D8"/>
    <w:rsid w:val="000932E7"/>
    <w:rsid w:val="0009333A"/>
    <w:rsid w:val="000933C3"/>
    <w:rsid w:val="00093459"/>
    <w:rsid w:val="00093B8B"/>
    <w:rsid w:val="000951E7"/>
    <w:rsid w:val="00095B82"/>
    <w:rsid w:val="00096098"/>
    <w:rsid w:val="000961B2"/>
    <w:rsid w:val="000969D5"/>
    <w:rsid w:val="000969D9"/>
    <w:rsid w:val="000969ED"/>
    <w:rsid w:val="00096F37"/>
    <w:rsid w:val="00097FE5"/>
    <w:rsid w:val="000A0354"/>
    <w:rsid w:val="000A091F"/>
    <w:rsid w:val="000A0958"/>
    <w:rsid w:val="000A0FCC"/>
    <w:rsid w:val="000A1033"/>
    <w:rsid w:val="000A2712"/>
    <w:rsid w:val="000A2877"/>
    <w:rsid w:val="000A28E5"/>
    <w:rsid w:val="000A3145"/>
    <w:rsid w:val="000A355D"/>
    <w:rsid w:val="000A35DA"/>
    <w:rsid w:val="000A371E"/>
    <w:rsid w:val="000A3DE5"/>
    <w:rsid w:val="000A4011"/>
    <w:rsid w:val="000A45D5"/>
    <w:rsid w:val="000A490E"/>
    <w:rsid w:val="000A529E"/>
    <w:rsid w:val="000A5B49"/>
    <w:rsid w:val="000A5FE5"/>
    <w:rsid w:val="000A6684"/>
    <w:rsid w:val="000A7194"/>
    <w:rsid w:val="000A7218"/>
    <w:rsid w:val="000A740A"/>
    <w:rsid w:val="000A7446"/>
    <w:rsid w:val="000A7D9A"/>
    <w:rsid w:val="000A7E7F"/>
    <w:rsid w:val="000A7ECD"/>
    <w:rsid w:val="000B01AB"/>
    <w:rsid w:val="000B049B"/>
    <w:rsid w:val="000B04DD"/>
    <w:rsid w:val="000B0F01"/>
    <w:rsid w:val="000B1346"/>
    <w:rsid w:val="000B1914"/>
    <w:rsid w:val="000B19DC"/>
    <w:rsid w:val="000B1CA2"/>
    <w:rsid w:val="000B202E"/>
    <w:rsid w:val="000B2293"/>
    <w:rsid w:val="000B24A4"/>
    <w:rsid w:val="000B255C"/>
    <w:rsid w:val="000B395E"/>
    <w:rsid w:val="000B39C3"/>
    <w:rsid w:val="000B3A00"/>
    <w:rsid w:val="000B4840"/>
    <w:rsid w:val="000B4D79"/>
    <w:rsid w:val="000B5272"/>
    <w:rsid w:val="000B5627"/>
    <w:rsid w:val="000B5671"/>
    <w:rsid w:val="000B6BF0"/>
    <w:rsid w:val="000B6CE8"/>
    <w:rsid w:val="000B7DAF"/>
    <w:rsid w:val="000C0026"/>
    <w:rsid w:val="000C0091"/>
    <w:rsid w:val="000C071C"/>
    <w:rsid w:val="000C0BB4"/>
    <w:rsid w:val="000C0BEE"/>
    <w:rsid w:val="000C1CB9"/>
    <w:rsid w:val="000C2159"/>
    <w:rsid w:val="000C21BB"/>
    <w:rsid w:val="000C289B"/>
    <w:rsid w:val="000C352F"/>
    <w:rsid w:val="000C3805"/>
    <w:rsid w:val="000C3948"/>
    <w:rsid w:val="000C3F01"/>
    <w:rsid w:val="000C410D"/>
    <w:rsid w:val="000C420D"/>
    <w:rsid w:val="000C4773"/>
    <w:rsid w:val="000C4944"/>
    <w:rsid w:val="000C4E24"/>
    <w:rsid w:val="000C5C4A"/>
    <w:rsid w:val="000C5F01"/>
    <w:rsid w:val="000C5F95"/>
    <w:rsid w:val="000C63C4"/>
    <w:rsid w:val="000C66C1"/>
    <w:rsid w:val="000C6F0B"/>
    <w:rsid w:val="000C6F32"/>
    <w:rsid w:val="000C6FEF"/>
    <w:rsid w:val="000C778C"/>
    <w:rsid w:val="000C7833"/>
    <w:rsid w:val="000C7E1B"/>
    <w:rsid w:val="000C7E73"/>
    <w:rsid w:val="000D001B"/>
    <w:rsid w:val="000D0A45"/>
    <w:rsid w:val="000D136E"/>
    <w:rsid w:val="000D14AC"/>
    <w:rsid w:val="000D15BA"/>
    <w:rsid w:val="000D15BE"/>
    <w:rsid w:val="000D2BCC"/>
    <w:rsid w:val="000D2C9B"/>
    <w:rsid w:val="000D32CC"/>
    <w:rsid w:val="000D35FD"/>
    <w:rsid w:val="000D3D2D"/>
    <w:rsid w:val="000D3D99"/>
    <w:rsid w:val="000D4653"/>
    <w:rsid w:val="000D4696"/>
    <w:rsid w:val="000D4817"/>
    <w:rsid w:val="000D4D0C"/>
    <w:rsid w:val="000D4FB9"/>
    <w:rsid w:val="000D54B4"/>
    <w:rsid w:val="000D584B"/>
    <w:rsid w:val="000D5EE9"/>
    <w:rsid w:val="000D5F55"/>
    <w:rsid w:val="000D6372"/>
    <w:rsid w:val="000D6979"/>
    <w:rsid w:val="000D6C0E"/>
    <w:rsid w:val="000D6CE7"/>
    <w:rsid w:val="000D6E38"/>
    <w:rsid w:val="000D6E63"/>
    <w:rsid w:val="000D711C"/>
    <w:rsid w:val="000D7B6E"/>
    <w:rsid w:val="000E0644"/>
    <w:rsid w:val="000E076D"/>
    <w:rsid w:val="000E087C"/>
    <w:rsid w:val="000E1516"/>
    <w:rsid w:val="000E187C"/>
    <w:rsid w:val="000E1B28"/>
    <w:rsid w:val="000E1E8D"/>
    <w:rsid w:val="000E1EBC"/>
    <w:rsid w:val="000E2173"/>
    <w:rsid w:val="000E220B"/>
    <w:rsid w:val="000E2266"/>
    <w:rsid w:val="000E2A50"/>
    <w:rsid w:val="000E30F2"/>
    <w:rsid w:val="000E316B"/>
    <w:rsid w:val="000E3D08"/>
    <w:rsid w:val="000E4728"/>
    <w:rsid w:val="000E4D1F"/>
    <w:rsid w:val="000E5658"/>
    <w:rsid w:val="000E5698"/>
    <w:rsid w:val="000E5723"/>
    <w:rsid w:val="000E57BF"/>
    <w:rsid w:val="000E581B"/>
    <w:rsid w:val="000E60DF"/>
    <w:rsid w:val="000E64B2"/>
    <w:rsid w:val="000E65D2"/>
    <w:rsid w:val="000E6919"/>
    <w:rsid w:val="000E6B1B"/>
    <w:rsid w:val="000E6F0C"/>
    <w:rsid w:val="000E732D"/>
    <w:rsid w:val="000F07ED"/>
    <w:rsid w:val="000F0C34"/>
    <w:rsid w:val="000F0CB8"/>
    <w:rsid w:val="000F0CF2"/>
    <w:rsid w:val="000F1401"/>
    <w:rsid w:val="000F1A32"/>
    <w:rsid w:val="000F1CC2"/>
    <w:rsid w:val="000F1D15"/>
    <w:rsid w:val="000F270A"/>
    <w:rsid w:val="000F34C8"/>
    <w:rsid w:val="000F38BC"/>
    <w:rsid w:val="000F3E2A"/>
    <w:rsid w:val="000F4D26"/>
    <w:rsid w:val="000F5639"/>
    <w:rsid w:val="000F58A4"/>
    <w:rsid w:val="000F5F99"/>
    <w:rsid w:val="000F6833"/>
    <w:rsid w:val="000F6A24"/>
    <w:rsid w:val="000F7616"/>
    <w:rsid w:val="000F7DE9"/>
    <w:rsid w:val="000F7E1F"/>
    <w:rsid w:val="000F7F7A"/>
    <w:rsid w:val="001002F4"/>
    <w:rsid w:val="001011FC"/>
    <w:rsid w:val="001014BD"/>
    <w:rsid w:val="0010165F"/>
    <w:rsid w:val="00101E7C"/>
    <w:rsid w:val="001023DC"/>
    <w:rsid w:val="00102572"/>
    <w:rsid w:val="00102946"/>
    <w:rsid w:val="00102FBF"/>
    <w:rsid w:val="0010333D"/>
    <w:rsid w:val="0010372A"/>
    <w:rsid w:val="00103F41"/>
    <w:rsid w:val="00104662"/>
    <w:rsid w:val="00104F0C"/>
    <w:rsid w:val="00104F34"/>
    <w:rsid w:val="001053C5"/>
    <w:rsid w:val="001055AD"/>
    <w:rsid w:val="00105B3E"/>
    <w:rsid w:val="00105C14"/>
    <w:rsid w:val="0010627F"/>
    <w:rsid w:val="001065A3"/>
    <w:rsid w:val="00106610"/>
    <w:rsid w:val="00106831"/>
    <w:rsid w:val="0010683E"/>
    <w:rsid w:val="0010691D"/>
    <w:rsid w:val="00106B33"/>
    <w:rsid w:val="00106E69"/>
    <w:rsid w:val="00110AC5"/>
    <w:rsid w:val="00110F0B"/>
    <w:rsid w:val="0011108B"/>
    <w:rsid w:val="00111136"/>
    <w:rsid w:val="00111164"/>
    <w:rsid w:val="00111761"/>
    <w:rsid w:val="00112040"/>
    <w:rsid w:val="00112164"/>
    <w:rsid w:val="0011241F"/>
    <w:rsid w:val="001128BF"/>
    <w:rsid w:val="00112D09"/>
    <w:rsid w:val="00112E8F"/>
    <w:rsid w:val="00112F03"/>
    <w:rsid w:val="00112F38"/>
    <w:rsid w:val="00113821"/>
    <w:rsid w:val="00114058"/>
    <w:rsid w:val="0011449E"/>
    <w:rsid w:val="001153EF"/>
    <w:rsid w:val="00115D55"/>
    <w:rsid w:val="00115E45"/>
    <w:rsid w:val="00115F85"/>
    <w:rsid w:val="0011688E"/>
    <w:rsid w:val="00116ACD"/>
    <w:rsid w:val="00116D94"/>
    <w:rsid w:val="0011718F"/>
    <w:rsid w:val="00117B7D"/>
    <w:rsid w:val="00117EFC"/>
    <w:rsid w:val="001205A8"/>
    <w:rsid w:val="00121301"/>
    <w:rsid w:val="00121766"/>
    <w:rsid w:val="00122A64"/>
    <w:rsid w:val="00123694"/>
    <w:rsid w:val="0012388A"/>
    <w:rsid w:val="0012388C"/>
    <w:rsid w:val="00123AFA"/>
    <w:rsid w:val="00123C8C"/>
    <w:rsid w:val="00123E8B"/>
    <w:rsid w:val="00124B43"/>
    <w:rsid w:val="00124DF8"/>
    <w:rsid w:val="00125398"/>
    <w:rsid w:val="001253EA"/>
    <w:rsid w:val="00125B99"/>
    <w:rsid w:val="00126160"/>
    <w:rsid w:val="00126DB5"/>
    <w:rsid w:val="00127178"/>
    <w:rsid w:val="00127F09"/>
    <w:rsid w:val="0013002A"/>
    <w:rsid w:val="0013085D"/>
    <w:rsid w:val="0013089C"/>
    <w:rsid w:val="00130A2D"/>
    <w:rsid w:val="00130F54"/>
    <w:rsid w:val="001310EE"/>
    <w:rsid w:val="00131888"/>
    <w:rsid w:val="00131F17"/>
    <w:rsid w:val="0013212F"/>
    <w:rsid w:val="001323F9"/>
    <w:rsid w:val="0013251F"/>
    <w:rsid w:val="00133088"/>
    <w:rsid w:val="0013321E"/>
    <w:rsid w:val="00133346"/>
    <w:rsid w:val="001335B1"/>
    <w:rsid w:val="00133B4E"/>
    <w:rsid w:val="0013410F"/>
    <w:rsid w:val="001346A7"/>
    <w:rsid w:val="001346AF"/>
    <w:rsid w:val="00134990"/>
    <w:rsid w:val="00134FB4"/>
    <w:rsid w:val="001354D1"/>
    <w:rsid w:val="00135840"/>
    <w:rsid w:val="00135A0A"/>
    <w:rsid w:val="00135BB9"/>
    <w:rsid w:val="0013621D"/>
    <w:rsid w:val="00136354"/>
    <w:rsid w:val="00136674"/>
    <w:rsid w:val="00136B0E"/>
    <w:rsid w:val="00136C3B"/>
    <w:rsid w:val="001376AB"/>
    <w:rsid w:val="0013777C"/>
    <w:rsid w:val="00137D5F"/>
    <w:rsid w:val="00140082"/>
    <w:rsid w:val="00140175"/>
    <w:rsid w:val="00140757"/>
    <w:rsid w:val="00140D07"/>
    <w:rsid w:val="00141A3A"/>
    <w:rsid w:val="001423FA"/>
    <w:rsid w:val="001427A5"/>
    <w:rsid w:val="001427B5"/>
    <w:rsid w:val="001428CF"/>
    <w:rsid w:val="00142D0C"/>
    <w:rsid w:val="00142E3C"/>
    <w:rsid w:val="00143387"/>
    <w:rsid w:val="00144013"/>
    <w:rsid w:val="001455C3"/>
    <w:rsid w:val="00145A17"/>
    <w:rsid w:val="00145BBE"/>
    <w:rsid w:val="001460B5"/>
    <w:rsid w:val="0014641F"/>
    <w:rsid w:val="001464A8"/>
    <w:rsid w:val="001467BB"/>
    <w:rsid w:val="00146CA8"/>
    <w:rsid w:val="0014723E"/>
    <w:rsid w:val="00147884"/>
    <w:rsid w:val="00150664"/>
    <w:rsid w:val="00150827"/>
    <w:rsid w:val="00150B0D"/>
    <w:rsid w:val="00150E10"/>
    <w:rsid w:val="00150FBA"/>
    <w:rsid w:val="00151A32"/>
    <w:rsid w:val="00151BDE"/>
    <w:rsid w:val="00151E31"/>
    <w:rsid w:val="00151F9B"/>
    <w:rsid w:val="00152289"/>
    <w:rsid w:val="00152425"/>
    <w:rsid w:val="00152BAD"/>
    <w:rsid w:val="00152CE3"/>
    <w:rsid w:val="00153652"/>
    <w:rsid w:val="00153697"/>
    <w:rsid w:val="001537C4"/>
    <w:rsid w:val="00153956"/>
    <w:rsid w:val="00153B95"/>
    <w:rsid w:val="00154146"/>
    <w:rsid w:val="00154190"/>
    <w:rsid w:val="001545EA"/>
    <w:rsid w:val="001549BA"/>
    <w:rsid w:val="00154BBF"/>
    <w:rsid w:val="00155099"/>
    <w:rsid w:val="00155C85"/>
    <w:rsid w:val="00156A6C"/>
    <w:rsid w:val="00156B10"/>
    <w:rsid w:val="00157673"/>
    <w:rsid w:val="001576FE"/>
    <w:rsid w:val="00157823"/>
    <w:rsid w:val="0015790D"/>
    <w:rsid w:val="00157C5E"/>
    <w:rsid w:val="00157DD3"/>
    <w:rsid w:val="0016015A"/>
    <w:rsid w:val="0016020E"/>
    <w:rsid w:val="00160503"/>
    <w:rsid w:val="00160D7C"/>
    <w:rsid w:val="00160E30"/>
    <w:rsid w:val="0016106D"/>
    <w:rsid w:val="001612E1"/>
    <w:rsid w:val="001614DB"/>
    <w:rsid w:val="0016194E"/>
    <w:rsid w:val="0016236C"/>
    <w:rsid w:val="00162625"/>
    <w:rsid w:val="001630A8"/>
    <w:rsid w:val="00163826"/>
    <w:rsid w:val="00163943"/>
    <w:rsid w:val="00163BA1"/>
    <w:rsid w:val="00163DDF"/>
    <w:rsid w:val="00163F22"/>
    <w:rsid w:val="0016417B"/>
    <w:rsid w:val="0016470E"/>
    <w:rsid w:val="001649D3"/>
    <w:rsid w:val="00164E0A"/>
    <w:rsid w:val="001652D7"/>
    <w:rsid w:val="00165816"/>
    <w:rsid w:val="00165A5F"/>
    <w:rsid w:val="001661D0"/>
    <w:rsid w:val="00166223"/>
    <w:rsid w:val="00167804"/>
    <w:rsid w:val="0016793E"/>
    <w:rsid w:val="00167D4D"/>
    <w:rsid w:val="0017054C"/>
    <w:rsid w:val="00170635"/>
    <w:rsid w:val="0017070D"/>
    <w:rsid w:val="00170837"/>
    <w:rsid w:val="00171035"/>
    <w:rsid w:val="001713B7"/>
    <w:rsid w:val="00171ADB"/>
    <w:rsid w:val="00171E2C"/>
    <w:rsid w:val="00172029"/>
    <w:rsid w:val="001733A4"/>
    <w:rsid w:val="001735D4"/>
    <w:rsid w:val="00173AB9"/>
    <w:rsid w:val="00173EED"/>
    <w:rsid w:val="00174368"/>
    <w:rsid w:val="001744EA"/>
    <w:rsid w:val="00174D82"/>
    <w:rsid w:val="00174E44"/>
    <w:rsid w:val="00175053"/>
    <w:rsid w:val="001753B7"/>
    <w:rsid w:val="001757E7"/>
    <w:rsid w:val="00175873"/>
    <w:rsid w:val="00175C59"/>
    <w:rsid w:val="00175F94"/>
    <w:rsid w:val="001760BC"/>
    <w:rsid w:val="00176674"/>
    <w:rsid w:val="00176818"/>
    <w:rsid w:val="00176B82"/>
    <w:rsid w:val="00176E3B"/>
    <w:rsid w:val="00176ECB"/>
    <w:rsid w:val="0017752D"/>
    <w:rsid w:val="0017759F"/>
    <w:rsid w:val="00177832"/>
    <w:rsid w:val="0018057A"/>
    <w:rsid w:val="00181178"/>
    <w:rsid w:val="0018119E"/>
    <w:rsid w:val="00181392"/>
    <w:rsid w:val="0018152C"/>
    <w:rsid w:val="00181A74"/>
    <w:rsid w:val="00181DBA"/>
    <w:rsid w:val="00181EEF"/>
    <w:rsid w:val="00181F37"/>
    <w:rsid w:val="00181F3E"/>
    <w:rsid w:val="00182FE0"/>
    <w:rsid w:val="00183911"/>
    <w:rsid w:val="001840C0"/>
    <w:rsid w:val="00184407"/>
    <w:rsid w:val="001845FB"/>
    <w:rsid w:val="00184FB1"/>
    <w:rsid w:val="001857FB"/>
    <w:rsid w:val="00185DA6"/>
    <w:rsid w:val="00185F64"/>
    <w:rsid w:val="00186096"/>
    <w:rsid w:val="001862FE"/>
    <w:rsid w:val="001866F1"/>
    <w:rsid w:val="00186B01"/>
    <w:rsid w:val="00186E20"/>
    <w:rsid w:val="0018772E"/>
    <w:rsid w:val="00187A94"/>
    <w:rsid w:val="0019029E"/>
    <w:rsid w:val="00190346"/>
    <w:rsid w:val="00190804"/>
    <w:rsid w:val="0019088F"/>
    <w:rsid w:val="00190C51"/>
    <w:rsid w:val="0019122E"/>
    <w:rsid w:val="0019170B"/>
    <w:rsid w:val="00191DDF"/>
    <w:rsid w:val="00193ACC"/>
    <w:rsid w:val="00193BFE"/>
    <w:rsid w:val="00195322"/>
    <w:rsid w:val="0019560E"/>
    <w:rsid w:val="001958E3"/>
    <w:rsid w:val="0019601B"/>
    <w:rsid w:val="00196048"/>
    <w:rsid w:val="00196764"/>
    <w:rsid w:val="00196A82"/>
    <w:rsid w:val="0019769B"/>
    <w:rsid w:val="001979F9"/>
    <w:rsid w:val="00197FFE"/>
    <w:rsid w:val="001A0D25"/>
    <w:rsid w:val="001A0E14"/>
    <w:rsid w:val="001A1570"/>
    <w:rsid w:val="001A1917"/>
    <w:rsid w:val="001A1936"/>
    <w:rsid w:val="001A1C64"/>
    <w:rsid w:val="001A1DFB"/>
    <w:rsid w:val="001A1E7F"/>
    <w:rsid w:val="001A2918"/>
    <w:rsid w:val="001A2D02"/>
    <w:rsid w:val="001A3076"/>
    <w:rsid w:val="001A3163"/>
    <w:rsid w:val="001A31A5"/>
    <w:rsid w:val="001A389C"/>
    <w:rsid w:val="001A3B75"/>
    <w:rsid w:val="001A4027"/>
    <w:rsid w:val="001A46FB"/>
    <w:rsid w:val="001A4B5B"/>
    <w:rsid w:val="001A4EA6"/>
    <w:rsid w:val="001A4EC9"/>
    <w:rsid w:val="001A5944"/>
    <w:rsid w:val="001A5FB1"/>
    <w:rsid w:val="001A68F4"/>
    <w:rsid w:val="001A698A"/>
    <w:rsid w:val="001A6CCC"/>
    <w:rsid w:val="001A6E3B"/>
    <w:rsid w:val="001A70C8"/>
    <w:rsid w:val="001A71C9"/>
    <w:rsid w:val="001A7429"/>
    <w:rsid w:val="001A760C"/>
    <w:rsid w:val="001A770F"/>
    <w:rsid w:val="001A7977"/>
    <w:rsid w:val="001A799B"/>
    <w:rsid w:val="001A7AC7"/>
    <w:rsid w:val="001A7C38"/>
    <w:rsid w:val="001B00C5"/>
    <w:rsid w:val="001B02F8"/>
    <w:rsid w:val="001B2104"/>
    <w:rsid w:val="001B2279"/>
    <w:rsid w:val="001B2729"/>
    <w:rsid w:val="001B2866"/>
    <w:rsid w:val="001B2881"/>
    <w:rsid w:val="001B2B73"/>
    <w:rsid w:val="001B3675"/>
    <w:rsid w:val="001B37C8"/>
    <w:rsid w:val="001B48BA"/>
    <w:rsid w:val="001B4B2C"/>
    <w:rsid w:val="001B4F10"/>
    <w:rsid w:val="001B5154"/>
    <w:rsid w:val="001B54BF"/>
    <w:rsid w:val="001B6E30"/>
    <w:rsid w:val="001B7C83"/>
    <w:rsid w:val="001B7D67"/>
    <w:rsid w:val="001B7F9E"/>
    <w:rsid w:val="001C0206"/>
    <w:rsid w:val="001C0246"/>
    <w:rsid w:val="001C04D4"/>
    <w:rsid w:val="001C0B34"/>
    <w:rsid w:val="001C12A3"/>
    <w:rsid w:val="001C17BB"/>
    <w:rsid w:val="001C187E"/>
    <w:rsid w:val="001C1A37"/>
    <w:rsid w:val="001C1B4B"/>
    <w:rsid w:val="001C1C49"/>
    <w:rsid w:val="001C286F"/>
    <w:rsid w:val="001C2B86"/>
    <w:rsid w:val="001C2F54"/>
    <w:rsid w:val="001C3308"/>
    <w:rsid w:val="001C3BBB"/>
    <w:rsid w:val="001C40D1"/>
    <w:rsid w:val="001C468A"/>
    <w:rsid w:val="001C4A38"/>
    <w:rsid w:val="001C4A9E"/>
    <w:rsid w:val="001C5001"/>
    <w:rsid w:val="001C5103"/>
    <w:rsid w:val="001C52A8"/>
    <w:rsid w:val="001C5ADF"/>
    <w:rsid w:val="001C5E8E"/>
    <w:rsid w:val="001C6120"/>
    <w:rsid w:val="001C6516"/>
    <w:rsid w:val="001C68B9"/>
    <w:rsid w:val="001C6B5C"/>
    <w:rsid w:val="001C7155"/>
    <w:rsid w:val="001C7428"/>
    <w:rsid w:val="001C7E48"/>
    <w:rsid w:val="001D039B"/>
    <w:rsid w:val="001D0849"/>
    <w:rsid w:val="001D1258"/>
    <w:rsid w:val="001D1AB8"/>
    <w:rsid w:val="001D286F"/>
    <w:rsid w:val="001D2C94"/>
    <w:rsid w:val="001D33D9"/>
    <w:rsid w:val="001D36F6"/>
    <w:rsid w:val="001D4303"/>
    <w:rsid w:val="001D4386"/>
    <w:rsid w:val="001D45E5"/>
    <w:rsid w:val="001D461A"/>
    <w:rsid w:val="001D4A9D"/>
    <w:rsid w:val="001D4AAD"/>
    <w:rsid w:val="001D5AFA"/>
    <w:rsid w:val="001D652D"/>
    <w:rsid w:val="001D784A"/>
    <w:rsid w:val="001E04A4"/>
    <w:rsid w:val="001E07C5"/>
    <w:rsid w:val="001E176D"/>
    <w:rsid w:val="001E1BCE"/>
    <w:rsid w:val="001E1E05"/>
    <w:rsid w:val="001E2086"/>
    <w:rsid w:val="001E339F"/>
    <w:rsid w:val="001E3629"/>
    <w:rsid w:val="001E3E7D"/>
    <w:rsid w:val="001E40F0"/>
    <w:rsid w:val="001E4172"/>
    <w:rsid w:val="001E4F08"/>
    <w:rsid w:val="001E5490"/>
    <w:rsid w:val="001E5730"/>
    <w:rsid w:val="001E5E2E"/>
    <w:rsid w:val="001E6352"/>
    <w:rsid w:val="001E6ADE"/>
    <w:rsid w:val="001E70AD"/>
    <w:rsid w:val="001E7237"/>
    <w:rsid w:val="001E7AD1"/>
    <w:rsid w:val="001E7AF6"/>
    <w:rsid w:val="001F01B8"/>
    <w:rsid w:val="001F0FC3"/>
    <w:rsid w:val="001F1188"/>
    <w:rsid w:val="001F1B8D"/>
    <w:rsid w:val="001F274F"/>
    <w:rsid w:val="001F289C"/>
    <w:rsid w:val="001F2BF9"/>
    <w:rsid w:val="001F3AF2"/>
    <w:rsid w:val="001F6008"/>
    <w:rsid w:val="001F604B"/>
    <w:rsid w:val="001F641B"/>
    <w:rsid w:val="001F6D4D"/>
    <w:rsid w:val="00200D69"/>
    <w:rsid w:val="00200F9D"/>
    <w:rsid w:val="0020130D"/>
    <w:rsid w:val="00201916"/>
    <w:rsid w:val="00201D06"/>
    <w:rsid w:val="00201DCE"/>
    <w:rsid w:val="00201E9F"/>
    <w:rsid w:val="0020217D"/>
    <w:rsid w:val="00202F25"/>
    <w:rsid w:val="002035B3"/>
    <w:rsid w:val="00203929"/>
    <w:rsid w:val="00203CD6"/>
    <w:rsid w:val="00203D01"/>
    <w:rsid w:val="00204460"/>
    <w:rsid w:val="002051EA"/>
    <w:rsid w:val="00205CBC"/>
    <w:rsid w:val="00205EF4"/>
    <w:rsid w:val="00206259"/>
    <w:rsid w:val="002074B7"/>
    <w:rsid w:val="0020758D"/>
    <w:rsid w:val="00207C7B"/>
    <w:rsid w:val="00211470"/>
    <w:rsid w:val="00211922"/>
    <w:rsid w:val="0021213A"/>
    <w:rsid w:val="002121B4"/>
    <w:rsid w:val="0021265F"/>
    <w:rsid w:val="00213232"/>
    <w:rsid w:val="00213817"/>
    <w:rsid w:val="00214428"/>
    <w:rsid w:val="002145EB"/>
    <w:rsid w:val="00214F82"/>
    <w:rsid w:val="00215033"/>
    <w:rsid w:val="00215834"/>
    <w:rsid w:val="00215A2A"/>
    <w:rsid w:val="00215CC2"/>
    <w:rsid w:val="00215ED8"/>
    <w:rsid w:val="00215FAF"/>
    <w:rsid w:val="00217700"/>
    <w:rsid w:val="002177E2"/>
    <w:rsid w:val="0021783B"/>
    <w:rsid w:val="002205F3"/>
    <w:rsid w:val="0022085B"/>
    <w:rsid w:val="00220DFB"/>
    <w:rsid w:val="00220E53"/>
    <w:rsid w:val="0022176C"/>
    <w:rsid w:val="002225D1"/>
    <w:rsid w:val="002230FA"/>
    <w:rsid w:val="00223DF2"/>
    <w:rsid w:val="002243E6"/>
    <w:rsid w:val="002249A2"/>
    <w:rsid w:val="00224C0C"/>
    <w:rsid w:val="002256C2"/>
    <w:rsid w:val="002256D0"/>
    <w:rsid w:val="00225C8E"/>
    <w:rsid w:val="00226428"/>
    <w:rsid w:val="002265A9"/>
    <w:rsid w:val="002266CB"/>
    <w:rsid w:val="00227052"/>
    <w:rsid w:val="002272D5"/>
    <w:rsid w:val="0022738E"/>
    <w:rsid w:val="0022758D"/>
    <w:rsid w:val="00227906"/>
    <w:rsid w:val="00227934"/>
    <w:rsid w:val="00227E21"/>
    <w:rsid w:val="00230670"/>
    <w:rsid w:val="00231D05"/>
    <w:rsid w:val="00231EED"/>
    <w:rsid w:val="0023241A"/>
    <w:rsid w:val="002336E2"/>
    <w:rsid w:val="00233AC2"/>
    <w:rsid w:val="00233BAF"/>
    <w:rsid w:val="00233C8E"/>
    <w:rsid w:val="00233E3A"/>
    <w:rsid w:val="00233F80"/>
    <w:rsid w:val="00235420"/>
    <w:rsid w:val="00235700"/>
    <w:rsid w:val="002374CA"/>
    <w:rsid w:val="0024065B"/>
    <w:rsid w:val="002409A6"/>
    <w:rsid w:val="00240C63"/>
    <w:rsid w:val="00240D91"/>
    <w:rsid w:val="00240EA5"/>
    <w:rsid w:val="00241132"/>
    <w:rsid w:val="00241205"/>
    <w:rsid w:val="002418C5"/>
    <w:rsid w:val="002421FD"/>
    <w:rsid w:val="0024261D"/>
    <w:rsid w:val="00242712"/>
    <w:rsid w:val="00242DFB"/>
    <w:rsid w:val="00243807"/>
    <w:rsid w:val="002440AC"/>
    <w:rsid w:val="00244365"/>
    <w:rsid w:val="0024459A"/>
    <w:rsid w:val="002446A3"/>
    <w:rsid w:val="00244771"/>
    <w:rsid w:val="00244903"/>
    <w:rsid w:val="00244AFB"/>
    <w:rsid w:val="00244B2C"/>
    <w:rsid w:val="002453DF"/>
    <w:rsid w:val="00245A81"/>
    <w:rsid w:val="00246010"/>
    <w:rsid w:val="002462A5"/>
    <w:rsid w:val="00246B86"/>
    <w:rsid w:val="00247335"/>
    <w:rsid w:val="002473EF"/>
    <w:rsid w:val="002477B9"/>
    <w:rsid w:val="00247B69"/>
    <w:rsid w:val="00247CBE"/>
    <w:rsid w:val="00250A1F"/>
    <w:rsid w:val="00250ADA"/>
    <w:rsid w:val="00250F1D"/>
    <w:rsid w:val="00251FF1"/>
    <w:rsid w:val="002520BA"/>
    <w:rsid w:val="00252234"/>
    <w:rsid w:val="002528E3"/>
    <w:rsid w:val="00252944"/>
    <w:rsid w:val="00252D55"/>
    <w:rsid w:val="00252D82"/>
    <w:rsid w:val="00253006"/>
    <w:rsid w:val="002533F5"/>
    <w:rsid w:val="002536B3"/>
    <w:rsid w:val="00253C60"/>
    <w:rsid w:val="00253F21"/>
    <w:rsid w:val="0025429D"/>
    <w:rsid w:val="002549E9"/>
    <w:rsid w:val="00254FF6"/>
    <w:rsid w:val="00255099"/>
    <w:rsid w:val="002555C6"/>
    <w:rsid w:val="00255E14"/>
    <w:rsid w:val="00255FF9"/>
    <w:rsid w:val="00257059"/>
    <w:rsid w:val="0025712F"/>
    <w:rsid w:val="00257395"/>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2F9F"/>
    <w:rsid w:val="0026338A"/>
    <w:rsid w:val="00263EC7"/>
    <w:rsid w:val="0026491B"/>
    <w:rsid w:val="00264A36"/>
    <w:rsid w:val="00264B06"/>
    <w:rsid w:val="00264C1B"/>
    <w:rsid w:val="00264E10"/>
    <w:rsid w:val="00265D10"/>
    <w:rsid w:val="00265E2E"/>
    <w:rsid w:val="002661AB"/>
    <w:rsid w:val="00266229"/>
    <w:rsid w:val="0026742B"/>
    <w:rsid w:val="002674FE"/>
    <w:rsid w:val="00267E59"/>
    <w:rsid w:val="002702F6"/>
    <w:rsid w:val="00270748"/>
    <w:rsid w:val="00270CAB"/>
    <w:rsid w:val="0027117F"/>
    <w:rsid w:val="002712DC"/>
    <w:rsid w:val="00271875"/>
    <w:rsid w:val="002718FF"/>
    <w:rsid w:val="00271955"/>
    <w:rsid w:val="00272278"/>
    <w:rsid w:val="00272432"/>
    <w:rsid w:val="00272633"/>
    <w:rsid w:val="00272D2C"/>
    <w:rsid w:val="00272E48"/>
    <w:rsid w:val="00272FBF"/>
    <w:rsid w:val="0027352A"/>
    <w:rsid w:val="002739B5"/>
    <w:rsid w:val="00273A10"/>
    <w:rsid w:val="00273A58"/>
    <w:rsid w:val="0027451B"/>
    <w:rsid w:val="00274CAB"/>
    <w:rsid w:val="00274D91"/>
    <w:rsid w:val="00274E8A"/>
    <w:rsid w:val="00275A53"/>
    <w:rsid w:val="00275FCE"/>
    <w:rsid w:val="002766B8"/>
    <w:rsid w:val="0027680F"/>
    <w:rsid w:val="002777C0"/>
    <w:rsid w:val="00281006"/>
    <w:rsid w:val="00281161"/>
    <w:rsid w:val="002815B1"/>
    <w:rsid w:val="00281893"/>
    <w:rsid w:val="00281C1F"/>
    <w:rsid w:val="00281EEA"/>
    <w:rsid w:val="00281F88"/>
    <w:rsid w:val="0028288D"/>
    <w:rsid w:val="002829B7"/>
    <w:rsid w:val="00282B82"/>
    <w:rsid w:val="00282C74"/>
    <w:rsid w:val="00282E5B"/>
    <w:rsid w:val="00283995"/>
    <w:rsid w:val="00283B11"/>
    <w:rsid w:val="002841A9"/>
    <w:rsid w:val="00284313"/>
    <w:rsid w:val="00284554"/>
    <w:rsid w:val="002848AD"/>
    <w:rsid w:val="00284DE4"/>
    <w:rsid w:val="00285154"/>
    <w:rsid w:val="00285BF2"/>
    <w:rsid w:val="00285C78"/>
    <w:rsid w:val="00285DF8"/>
    <w:rsid w:val="00285E54"/>
    <w:rsid w:val="0028625F"/>
    <w:rsid w:val="002863CE"/>
    <w:rsid w:val="00287E20"/>
    <w:rsid w:val="0029110F"/>
    <w:rsid w:val="00291492"/>
    <w:rsid w:val="00291527"/>
    <w:rsid w:val="0029199A"/>
    <w:rsid w:val="00291BBE"/>
    <w:rsid w:val="00291FEB"/>
    <w:rsid w:val="00293146"/>
    <w:rsid w:val="0029361E"/>
    <w:rsid w:val="002939F4"/>
    <w:rsid w:val="00293D68"/>
    <w:rsid w:val="0029408A"/>
    <w:rsid w:val="002941F3"/>
    <w:rsid w:val="00294352"/>
    <w:rsid w:val="002944A0"/>
    <w:rsid w:val="002946E4"/>
    <w:rsid w:val="0029495C"/>
    <w:rsid w:val="002955E1"/>
    <w:rsid w:val="002957D9"/>
    <w:rsid w:val="00295B52"/>
    <w:rsid w:val="00295F4B"/>
    <w:rsid w:val="00296024"/>
    <w:rsid w:val="00296293"/>
    <w:rsid w:val="00296AF7"/>
    <w:rsid w:val="002972F9"/>
    <w:rsid w:val="00297612"/>
    <w:rsid w:val="002977CA"/>
    <w:rsid w:val="00297ED7"/>
    <w:rsid w:val="002A0007"/>
    <w:rsid w:val="002A03AA"/>
    <w:rsid w:val="002A056D"/>
    <w:rsid w:val="002A07FE"/>
    <w:rsid w:val="002A094D"/>
    <w:rsid w:val="002A0CAF"/>
    <w:rsid w:val="002A0DDB"/>
    <w:rsid w:val="002A1565"/>
    <w:rsid w:val="002A16A9"/>
    <w:rsid w:val="002A2941"/>
    <w:rsid w:val="002A2DC4"/>
    <w:rsid w:val="002A33DB"/>
    <w:rsid w:val="002A3E69"/>
    <w:rsid w:val="002A44F9"/>
    <w:rsid w:val="002A49EF"/>
    <w:rsid w:val="002A4B8B"/>
    <w:rsid w:val="002A5107"/>
    <w:rsid w:val="002A535E"/>
    <w:rsid w:val="002A5A5A"/>
    <w:rsid w:val="002A5DBD"/>
    <w:rsid w:val="002A6406"/>
    <w:rsid w:val="002A6432"/>
    <w:rsid w:val="002A6CF0"/>
    <w:rsid w:val="002A6FFC"/>
    <w:rsid w:val="002A7010"/>
    <w:rsid w:val="002A70BA"/>
    <w:rsid w:val="002A7A57"/>
    <w:rsid w:val="002A7BB2"/>
    <w:rsid w:val="002A7DCB"/>
    <w:rsid w:val="002B0685"/>
    <w:rsid w:val="002B0B53"/>
    <w:rsid w:val="002B1617"/>
    <w:rsid w:val="002B1A90"/>
    <w:rsid w:val="002B1D11"/>
    <w:rsid w:val="002B273B"/>
    <w:rsid w:val="002B29AA"/>
    <w:rsid w:val="002B2A7E"/>
    <w:rsid w:val="002B2F1B"/>
    <w:rsid w:val="002B3332"/>
    <w:rsid w:val="002B34C7"/>
    <w:rsid w:val="002B3676"/>
    <w:rsid w:val="002B5269"/>
    <w:rsid w:val="002B5AFB"/>
    <w:rsid w:val="002B6320"/>
    <w:rsid w:val="002B6499"/>
    <w:rsid w:val="002B66AC"/>
    <w:rsid w:val="002B6852"/>
    <w:rsid w:val="002B77E1"/>
    <w:rsid w:val="002C0055"/>
    <w:rsid w:val="002C0656"/>
    <w:rsid w:val="002C0714"/>
    <w:rsid w:val="002C0A96"/>
    <w:rsid w:val="002C1422"/>
    <w:rsid w:val="002C1697"/>
    <w:rsid w:val="002C1BF4"/>
    <w:rsid w:val="002C1BF9"/>
    <w:rsid w:val="002C1E0D"/>
    <w:rsid w:val="002C2266"/>
    <w:rsid w:val="002C2356"/>
    <w:rsid w:val="002C28EB"/>
    <w:rsid w:val="002C316C"/>
    <w:rsid w:val="002C3265"/>
    <w:rsid w:val="002C3328"/>
    <w:rsid w:val="002C3AED"/>
    <w:rsid w:val="002C3E56"/>
    <w:rsid w:val="002C414C"/>
    <w:rsid w:val="002C49F8"/>
    <w:rsid w:val="002C4C2F"/>
    <w:rsid w:val="002C5776"/>
    <w:rsid w:val="002C5EED"/>
    <w:rsid w:val="002C66DE"/>
    <w:rsid w:val="002C7193"/>
    <w:rsid w:val="002C7699"/>
    <w:rsid w:val="002C7A49"/>
    <w:rsid w:val="002D0128"/>
    <w:rsid w:val="002D0638"/>
    <w:rsid w:val="002D0B52"/>
    <w:rsid w:val="002D0E85"/>
    <w:rsid w:val="002D0FA7"/>
    <w:rsid w:val="002D12FB"/>
    <w:rsid w:val="002D19D1"/>
    <w:rsid w:val="002D1F35"/>
    <w:rsid w:val="002D1FA3"/>
    <w:rsid w:val="002D1FB8"/>
    <w:rsid w:val="002D20CD"/>
    <w:rsid w:val="002D23C6"/>
    <w:rsid w:val="002D24F0"/>
    <w:rsid w:val="002D25EB"/>
    <w:rsid w:val="002D29F3"/>
    <w:rsid w:val="002D3126"/>
    <w:rsid w:val="002D3529"/>
    <w:rsid w:val="002D3B39"/>
    <w:rsid w:val="002D3D0A"/>
    <w:rsid w:val="002D3EF0"/>
    <w:rsid w:val="002D478E"/>
    <w:rsid w:val="002D47AE"/>
    <w:rsid w:val="002D4A94"/>
    <w:rsid w:val="002D6216"/>
    <w:rsid w:val="002D65FF"/>
    <w:rsid w:val="002D6D10"/>
    <w:rsid w:val="002D71E2"/>
    <w:rsid w:val="002D7B6A"/>
    <w:rsid w:val="002E0026"/>
    <w:rsid w:val="002E08E8"/>
    <w:rsid w:val="002E0918"/>
    <w:rsid w:val="002E0BAA"/>
    <w:rsid w:val="002E0D96"/>
    <w:rsid w:val="002E0EA5"/>
    <w:rsid w:val="002E0F1C"/>
    <w:rsid w:val="002E17C5"/>
    <w:rsid w:val="002E1817"/>
    <w:rsid w:val="002E1E19"/>
    <w:rsid w:val="002E1FAC"/>
    <w:rsid w:val="002E283F"/>
    <w:rsid w:val="002E2854"/>
    <w:rsid w:val="002E2E69"/>
    <w:rsid w:val="002E2E74"/>
    <w:rsid w:val="002E32D2"/>
    <w:rsid w:val="002E361B"/>
    <w:rsid w:val="002E37AB"/>
    <w:rsid w:val="002E3A80"/>
    <w:rsid w:val="002E3FB9"/>
    <w:rsid w:val="002E41C7"/>
    <w:rsid w:val="002E51DF"/>
    <w:rsid w:val="002E57B9"/>
    <w:rsid w:val="002E6127"/>
    <w:rsid w:val="002E6885"/>
    <w:rsid w:val="002E72E4"/>
    <w:rsid w:val="002E739D"/>
    <w:rsid w:val="002F0F36"/>
    <w:rsid w:val="002F1276"/>
    <w:rsid w:val="002F175B"/>
    <w:rsid w:val="002F1986"/>
    <w:rsid w:val="002F1E5F"/>
    <w:rsid w:val="002F2A49"/>
    <w:rsid w:val="002F3550"/>
    <w:rsid w:val="002F3A4F"/>
    <w:rsid w:val="002F3B63"/>
    <w:rsid w:val="002F3C56"/>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214"/>
    <w:rsid w:val="00301380"/>
    <w:rsid w:val="00301E89"/>
    <w:rsid w:val="00302052"/>
    <w:rsid w:val="00302142"/>
    <w:rsid w:val="00302169"/>
    <w:rsid w:val="00302612"/>
    <w:rsid w:val="003027E2"/>
    <w:rsid w:val="00303254"/>
    <w:rsid w:val="003032D8"/>
    <w:rsid w:val="0030355A"/>
    <w:rsid w:val="003044D9"/>
    <w:rsid w:val="00304D8A"/>
    <w:rsid w:val="00305216"/>
    <w:rsid w:val="003053EA"/>
    <w:rsid w:val="0030555B"/>
    <w:rsid w:val="003061F5"/>
    <w:rsid w:val="00306A49"/>
    <w:rsid w:val="00306D27"/>
    <w:rsid w:val="0030722F"/>
    <w:rsid w:val="0030739C"/>
    <w:rsid w:val="00307A2C"/>
    <w:rsid w:val="00310D51"/>
    <w:rsid w:val="00311B36"/>
    <w:rsid w:val="00311C92"/>
    <w:rsid w:val="0031256E"/>
    <w:rsid w:val="00313321"/>
    <w:rsid w:val="003133AE"/>
    <w:rsid w:val="0031371B"/>
    <w:rsid w:val="00314156"/>
    <w:rsid w:val="00314CF8"/>
    <w:rsid w:val="0031535B"/>
    <w:rsid w:val="003154DD"/>
    <w:rsid w:val="00315FEA"/>
    <w:rsid w:val="00316108"/>
    <w:rsid w:val="00316F76"/>
    <w:rsid w:val="003170F4"/>
    <w:rsid w:val="0032035D"/>
    <w:rsid w:val="003205E9"/>
    <w:rsid w:val="00320B28"/>
    <w:rsid w:val="0032123E"/>
    <w:rsid w:val="003216D5"/>
    <w:rsid w:val="003216FF"/>
    <w:rsid w:val="00321866"/>
    <w:rsid w:val="00321A83"/>
    <w:rsid w:val="00321C1A"/>
    <w:rsid w:val="00321F6B"/>
    <w:rsid w:val="00322389"/>
    <w:rsid w:val="003223CA"/>
    <w:rsid w:val="00322BE5"/>
    <w:rsid w:val="00322E87"/>
    <w:rsid w:val="0032312D"/>
    <w:rsid w:val="00323AA5"/>
    <w:rsid w:val="003242E4"/>
    <w:rsid w:val="0032468D"/>
    <w:rsid w:val="00324926"/>
    <w:rsid w:val="00324B25"/>
    <w:rsid w:val="0032522F"/>
    <w:rsid w:val="00325360"/>
    <w:rsid w:val="003253C4"/>
    <w:rsid w:val="0032550F"/>
    <w:rsid w:val="00325992"/>
    <w:rsid w:val="00325B74"/>
    <w:rsid w:val="0032638F"/>
    <w:rsid w:val="00326B59"/>
    <w:rsid w:val="00326BD4"/>
    <w:rsid w:val="00326E49"/>
    <w:rsid w:val="003272C6"/>
    <w:rsid w:val="00327752"/>
    <w:rsid w:val="00327C7C"/>
    <w:rsid w:val="00330009"/>
    <w:rsid w:val="003301E6"/>
    <w:rsid w:val="003310AB"/>
    <w:rsid w:val="003314D2"/>
    <w:rsid w:val="003315A9"/>
    <w:rsid w:val="00331712"/>
    <w:rsid w:val="0033183B"/>
    <w:rsid w:val="00331A3F"/>
    <w:rsid w:val="00332191"/>
    <w:rsid w:val="00332720"/>
    <w:rsid w:val="00332EED"/>
    <w:rsid w:val="00332F1F"/>
    <w:rsid w:val="003333AB"/>
    <w:rsid w:val="003334A7"/>
    <w:rsid w:val="003337E8"/>
    <w:rsid w:val="00333A14"/>
    <w:rsid w:val="00333B2A"/>
    <w:rsid w:val="00333FD5"/>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D46"/>
    <w:rsid w:val="003451F0"/>
    <w:rsid w:val="003465A5"/>
    <w:rsid w:val="00346817"/>
    <w:rsid w:val="00347440"/>
    <w:rsid w:val="003475EA"/>
    <w:rsid w:val="00347A27"/>
    <w:rsid w:val="00347CD4"/>
    <w:rsid w:val="00347E2E"/>
    <w:rsid w:val="00350A55"/>
    <w:rsid w:val="00350DF8"/>
    <w:rsid w:val="00351A2D"/>
    <w:rsid w:val="00351A8A"/>
    <w:rsid w:val="0035266A"/>
    <w:rsid w:val="0035279C"/>
    <w:rsid w:val="003535D2"/>
    <w:rsid w:val="0035384D"/>
    <w:rsid w:val="00353C0B"/>
    <w:rsid w:val="00354A27"/>
    <w:rsid w:val="00354AE4"/>
    <w:rsid w:val="00354B0A"/>
    <w:rsid w:val="00355264"/>
    <w:rsid w:val="0035551B"/>
    <w:rsid w:val="00355532"/>
    <w:rsid w:val="003555ED"/>
    <w:rsid w:val="00355911"/>
    <w:rsid w:val="00355BFC"/>
    <w:rsid w:val="0035636B"/>
    <w:rsid w:val="00356433"/>
    <w:rsid w:val="00357424"/>
    <w:rsid w:val="00357BE9"/>
    <w:rsid w:val="003601A2"/>
    <w:rsid w:val="003605DB"/>
    <w:rsid w:val="003607A0"/>
    <w:rsid w:val="00361327"/>
    <w:rsid w:val="00361789"/>
    <w:rsid w:val="0036196D"/>
    <w:rsid w:val="00361A59"/>
    <w:rsid w:val="00361D8E"/>
    <w:rsid w:val="00362136"/>
    <w:rsid w:val="00362517"/>
    <w:rsid w:val="0036268A"/>
    <w:rsid w:val="003627BD"/>
    <w:rsid w:val="00362997"/>
    <w:rsid w:val="00362C59"/>
    <w:rsid w:val="00363040"/>
    <w:rsid w:val="003630B7"/>
    <w:rsid w:val="003633E8"/>
    <w:rsid w:val="00363786"/>
    <w:rsid w:val="003638A4"/>
    <w:rsid w:val="003639BF"/>
    <w:rsid w:val="00363E41"/>
    <w:rsid w:val="00363FD2"/>
    <w:rsid w:val="00364091"/>
    <w:rsid w:val="0036447A"/>
    <w:rsid w:val="0036572E"/>
    <w:rsid w:val="00366168"/>
    <w:rsid w:val="003663D9"/>
    <w:rsid w:val="003666BF"/>
    <w:rsid w:val="00366707"/>
    <w:rsid w:val="00366FA9"/>
    <w:rsid w:val="00367B19"/>
    <w:rsid w:val="00367E49"/>
    <w:rsid w:val="003700E6"/>
    <w:rsid w:val="0037017C"/>
    <w:rsid w:val="00370490"/>
    <w:rsid w:val="00370633"/>
    <w:rsid w:val="00371C86"/>
    <w:rsid w:val="0037236C"/>
    <w:rsid w:val="003729DE"/>
    <w:rsid w:val="003735D3"/>
    <w:rsid w:val="0037386D"/>
    <w:rsid w:val="00373956"/>
    <w:rsid w:val="003739A4"/>
    <w:rsid w:val="00373D1E"/>
    <w:rsid w:val="00374153"/>
    <w:rsid w:val="00374671"/>
    <w:rsid w:val="003750E0"/>
    <w:rsid w:val="00375AD4"/>
    <w:rsid w:val="00375AF1"/>
    <w:rsid w:val="00375C2F"/>
    <w:rsid w:val="00375FC5"/>
    <w:rsid w:val="00376943"/>
    <w:rsid w:val="003769BA"/>
    <w:rsid w:val="00377871"/>
    <w:rsid w:val="003778B2"/>
    <w:rsid w:val="00377D0E"/>
    <w:rsid w:val="00377E58"/>
    <w:rsid w:val="003804EE"/>
    <w:rsid w:val="003805E3"/>
    <w:rsid w:val="00380618"/>
    <w:rsid w:val="0038062E"/>
    <w:rsid w:val="003806D7"/>
    <w:rsid w:val="003807F7"/>
    <w:rsid w:val="00381610"/>
    <w:rsid w:val="00381762"/>
    <w:rsid w:val="00382106"/>
    <w:rsid w:val="00382657"/>
    <w:rsid w:val="00382708"/>
    <w:rsid w:val="00382ADF"/>
    <w:rsid w:val="00382B82"/>
    <w:rsid w:val="003834CE"/>
    <w:rsid w:val="003844BF"/>
    <w:rsid w:val="00384F87"/>
    <w:rsid w:val="0038518F"/>
    <w:rsid w:val="003854D5"/>
    <w:rsid w:val="0038552A"/>
    <w:rsid w:val="003856F1"/>
    <w:rsid w:val="003859EA"/>
    <w:rsid w:val="00386525"/>
    <w:rsid w:val="0038709E"/>
    <w:rsid w:val="00387D30"/>
    <w:rsid w:val="00391753"/>
    <w:rsid w:val="00391C7F"/>
    <w:rsid w:val="00392454"/>
    <w:rsid w:val="00392C85"/>
    <w:rsid w:val="00392FD8"/>
    <w:rsid w:val="00393E11"/>
    <w:rsid w:val="00394475"/>
    <w:rsid w:val="0039517A"/>
    <w:rsid w:val="003958B9"/>
    <w:rsid w:val="00395B51"/>
    <w:rsid w:val="00396796"/>
    <w:rsid w:val="00396EC6"/>
    <w:rsid w:val="003970BA"/>
    <w:rsid w:val="0039746C"/>
    <w:rsid w:val="003978CA"/>
    <w:rsid w:val="00397DC6"/>
    <w:rsid w:val="003A0E82"/>
    <w:rsid w:val="003A0FAC"/>
    <w:rsid w:val="003A1584"/>
    <w:rsid w:val="003A184D"/>
    <w:rsid w:val="003A1F68"/>
    <w:rsid w:val="003A1FB7"/>
    <w:rsid w:val="003A371E"/>
    <w:rsid w:val="003A3877"/>
    <w:rsid w:val="003A3957"/>
    <w:rsid w:val="003A462A"/>
    <w:rsid w:val="003A4EA5"/>
    <w:rsid w:val="003A557D"/>
    <w:rsid w:val="003A595F"/>
    <w:rsid w:val="003A5EEC"/>
    <w:rsid w:val="003A6583"/>
    <w:rsid w:val="003A6B7A"/>
    <w:rsid w:val="003A6E38"/>
    <w:rsid w:val="003A79AE"/>
    <w:rsid w:val="003A7CA3"/>
    <w:rsid w:val="003B00B6"/>
    <w:rsid w:val="003B01C4"/>
    <w:rsid w:val="003B09D5"/>
    <w:rsid w:val="003B0BB0"/>
    <w:rsid w:val="003B11EE"/>
    <w:rsid w:val="003B15F8"/>
    <w:rsid w:val="003B1B60"/>
    <w:rsid w:val="003B230B"/>
    <w:rsid w:val="003B23BC"/>
    <w:rsid w:val="003B28BA"/>
    <w:rsid w:val="003B28F6"/>
    <w:rsid w:val="003B2DB5"/>
    <w:rsid w:val="003B2F05"/>
    <w:rsid w:val="003B3966"/>
    <w:rsid w:val="003B39B7"/>
    <w:rsid w:val="003B4754"/>
    <w:rsid w:val="003B4C42"/>
    <w:rsid w:val="003B4C78"/>
    <w:rsid w:val="003B4EB0"/>
    <w:rsid w:val="003B5094"/>
    <w:rsid w:val="003B5F6A"/>
    <w:rsid w:val="003B6B7F"/>
    <w:rsid w:val="003B7820"/>
    <w:rsid w:val="003C01A4"/>
    <w:rsid w:val="003C0219"/>
    <w:rsid w:val="003C0C12"/>
    <w:rsid w:val="003C16EE"/>
    <w:rsid w:val="003C1C87"/>
    <w:rsid w:val="003C2C85"/>
    <w:rsid w:val="003C2F61"/>
    <w:rsid w:val="003C345E"/>
    <w:rsid w:val="003C4409"/>
    <w:rsid w:val="003C4854"/>
    <w:rsid w:val="003C4997"/>
    <w:rsid w:val="003C4DA5"/>
    <w:rsid w:val="003C502A"/>
    <w:rsid w:val="003C5666"/>
    <w:rsid w:val="003C60CC"/>
    <w:rsid w:val="003C64F4"/>
    <w:rsid w:val="003C6D4E"/>
    <w:rsid w:val="003C724B"/>
    <w:rsid w:val="003C73DB"/>
    <w:rsid w:val="003D0185"/>
    <w:rsid w:val="003D02CB"/>
    <w:rsid w:val="003D0382"/>
    <w:rsid w:val="003D069C"/>
    <w:rsid w:val="003D0C2A"/>
    <w:rsid w:val="003D18F6"/>
    <w:rsid w:val="003D191E"/>
    <w:rsid w:val="003D1A19"/>
    <w:rsid w:val="003D2027"/>
    <w:rsid w:val="003D22A5"/>
    <w:rsid w:val="003D23A4"/>
    <w:rsid w:val="003D3414"/>
    <w:rsid w:val="003D3426"/>
    <w:rsid w:val="003D3654"/>
    <w:rsid w:val="003D3721"/>
    <w:rsid w:val="003D413A"/>
    <w:rsid w:val="003D4A9F"/>
    <w:rsid w:val="003D669B"/>
    <w:rsid w:val="003D6722"/>
    <w:rsid w:val="003D7428"/>
    <w:rsid w:val="003D77F2"/>
    <w:rsid w:val="003D78CC"/>
    <w:rsid w:val="003D7D01"/>
    <w:rsid w:val="003D7D25"/>
    <w:rsid w:val="003D7E00"/>
    <w:rsid w:val="003D7ED8"/>
    <w:rsid w:val="003E0003"/>
    <w:rsid w:val="003E0099"/>
    <w:rsid w:val="003E08C7"/>
    <w:rsid w:val="003E098A"/>
    <w:rsid w:val="003E1427"/>
    <w:rsid w:val="003E1A72"/>
    <w:rsid w:val="003E1C35"/>
    <w:rsid w:val="003E2582"/>
    <w:rsid w:val="003E2880"/>
    <w:rsid w:val="003E28FB"/>
    <w:rsid w:val="003E2A00"/>
    <w:rsid w:val="003E2ACD"/>
    <w:rsid w:val="003E382C"/>
    <w:rsid w:val="003E3D00"/>
    <w:rsid w:val="003E4531"/>
    <w:rsid w:val="003E4771"/>
    <w:rsid w:val="003E54A8"/>
    <w:rsid w:val="003E5833"/>
    <w:rsid w:val="003E5DA8"/>
    <w:rsid w:val="003E7109"/>
    <w:rsid w:val="003E77DC"/>
    <w:rsid w:val="003E7BC1"/>
    <w:rsid w:val="003F0453"/>
    <w:rsid w:val="003F0C9F"/>
    <w:rsid w:val="003F144A"/>
    <w:rsid w:val="003F18FB"/>
    <w:rsid w:val="003F1AF1"/>
    <w:rsid w:val="003F1B02"/>
    <w:rsid w:val="003F1EFE"/>
    <w:rsid w:val="003F2240"/>
    <w:rsid w:val="003F2460"/>
    <w:rsid w:val="003F2E7B"/>
    <w:rsid w:val="003F3CD5"/>
    <w:rsid w:val="003F4473"/>
    <w:rsid w:val="003F4CF5"/>
    <w:rsid w:val="003F4E31"/>
    <w:rsid w:val="003F51EE"/>
    <w:rsid w:val="003F574E"/>
    <w:rsid w:val="003F60D6"/>
    <w:rsid w:val="003F68E9"/>
    <w:rsid w:val="003F728C"/>
    <w:rsid w:val="003F7E15"/>
    <w:rsid w:val="003F7FDA"/>
    <w:rsid w:val="00400E65"/>
    <w:rsid w:val="00401296"/>
    <w:rsid w:val="004013AD"/>
    <w:rsid w:val="00401E20"/>
    <w:rsid w:val="004021C0"/>
    <w:rsid w:val="004024F9"/>
    <w:rsid w:val="004028CE"/>
    <w:rsid w:val="0040299B"/>
    <w:rsid w:val="0040313D"/>
    <w:rsid w:val="004043FA"/>
    <w:rsid w:val="00404970"/>
    <w:rsid w:val="00405181"/>
    <w:rsid w:val="0040567F"/>
    <w:rsid w:val="00405873"/>
    <w:rsid w:val="00405F09"/>
    <w:rsid w:val="00405F3A"/>
    <w:rsid w:val="004066F4"/>
    <w:rsid w:val="00406A32"/>
    <w:rsid w:val="00406EA9"/>
    <w:rsid w:val="0040760B"/>
    <w:rsid w:val="00410117"/>
    <w:rsid w:val="00410600"/>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4D7"/>
    <w:rsid w:val="00414BB4"/>
    <w:rsid w:val="00414D68"/>
    <w:rsid w:val="00414FD9"/>
    <w:rsid w:val="00415773"/>
    <w:rsid w:val="00415CAE"/>
    <w:rsid w:val="00415EE7"/>
    <w:rsid w:val="004160FA"/>
    <w:rsid w:val="004162DE"/>
    <w:rsid w:val="0041669E"/>
    <w:rsid w:val="00416ACA"/>
    <w:rsid w:val="00416C56"/>
    <w:rsid w:val="00417294"/>
    <w:rsid w:val="004176B8"/>
    <w:rsid w:val="00417B99"/>
    <w:rsid w:val="00417CE0"/>
    <w:rsid w:val="004209D5"/>
    <w:rsid w:val="00420FAF"/>
    <w:rsid w:val="00421184"/>
    <w:rsid w:val="004212C1"/>
    <w:rsid w:val="004214B7"/>
    <w:rsid w:val="00421510"/>
    <w:rsid w:val="00421D18"/>
    <w:rsid w:val="00421FB5"/>
    <w:rsid w:val="004226ED"/>
    <w:rsid w:val="00422AF4"/>
    <w:rsid w:val="004235F4"/>
    <w:rsid w:val="004236C9"/>
    <w:rsid w:val="00423CF3"/>
    <w:rsid w:val="00423E18"/>
    <w:rsid w:val="004245E4"/>
    <w:rsid w:val="00424B7C"/>
    <w:rsid w:val="0042500C"/>
    <w:rsid w:val="00425514"/>
    <w:rsid w:val="004256BD"/>
    <w:rsid w:val="00425863"/>
    <w:rsid w:val="00425D02"/>
    <w:rsid w:val="00425EDC"/>
    <w:rsid w:val="0042610C"/>
    <w:rsid w:val="00426B30"/>
    <w:rsid w:val="00426C3E"/>
    <w:rsid w:val="004275CD"/>
    <w:rsid w:val="00427BA4"/>
    <w:rsid w:val="00427E74"/>
    <w:rsid w:val="00427FEB"/>
    <w:rsid w:val="00427FF2"/>
    <w:rsid w:val="004305C0"/>
    <w:rsid w:val="00430B20"/>
    <w:rsid w:val="00430B6C"/>
    <w:rsid w:val="0043227C"/>
    <w:rsid w:val="004335C0"/>
    <w:rsid w:val="004345E1"/>
    <w:rsid w:val="00435121"/>
    <w:rsid w:val="00435715"/>
    <w:rsid w:val="0043571B"/>
    <w:rsid w:val="00435EE0"/>
    <w:rsid w:val="00435F29"/>
    <w:rsid w:val="0043610C"/>
    <w:rsid w:val="004366FF"/>
    <w:rsid w:val="00437D83"/>
    <w:rsid w:val="004401DD"/>
    <w:rsid w:val="00440344"/>
    <w:rsid w:val="00440C0F"/>
    <w:rsid w:val="00441264"/>
    <w:rsid w:val="00441B0F"/>
    <w:rsid w:val="004425C6"/>
    <w:rsid w:val="00443D5D"/>
    <w:rsid w:val="00445CBA"/>
    <w:rsid w:val="004463CB"/>
    <w:rsid w:val="004466F7"/>
    <w:rsid w:val="00446858"/>
    <w:rsid w:val="00446C99"/>
    <w:rsid w:val="00447304"/>
    <w:rsid w:val="004476F6"/>
    <w:rsid w:val="00447CDD"/>
    <w:rsid w:val="00450127"/>
    <w:rsid w:val="0045075F"/>
    <w:rsid w:val="00451009"/>
    <w:rsid w:val="004514A5"/>
    <w:rsid w:val="004516AD"/>
    <w:rsid w:val="00451E84"/>
    <w:rsid w:val="00451EA3"/>
    <w:rsid w:val="00451F01"/>
    <w:rsid w:val="00454145"/>
    <w:rsid w:val="00454660"/>
    <w:rsid w:val="004546A7"/>
    <w:rsid w:val="00454831"/>
    <w:rsid w:val="004548DF"/>
    <w:rsid w:val="00456CC0"/>
    <w:rsid w:val="00457933"/>
    <w:rsid w:val="00457C78"/>
    <w:rsid w:val="00460735"/>
    <w:rsid w:val="00460AD5"/>
    <w:rsid w:val="00460EB8"/>
    <w:rsid w:val="00461090"/>
    <w:rsid w:val="00461991"/>
    <w:rsid w:val="00461ACB"/>
    <w:rsid w:val="00461C43"/>
    <w:rsid w:val="00462125"/>
    <w:rsid w:val="00463216"/>
    <w:rsid w:val="0046334D"/>
    <w:rsid w:val="00463911"/>
    <w:rsid w:val="00463C95"/>
    <w:rsid w:val="00463E1C"/>
    <w:rsid w:val="00464052"/>
    <w:rsid w:val="00464236"/>
    <w:rsid w:val="00464381"/>
    <w:rsid w:val="00464B8A"/>
    <w:rsid w:val="00464FF4"/>
    <w:rsid w:val="00465153"/>
    <w:rsid w:val="00465602"/>
    <w:rsid w:val="004656A4"/>
    <w:rsid w:val="0046599C"/>
    <w:rsid w:val="00465F01"/>
    <w:rsid w:val="00466A4A"/>
    <w:rsid w:val="00466AFD"/>
    <w:rsid w:val="00467105"/>
    <w:rsid w:val="00470696"/>
    <w:rsid w:val="00470B74"/>
    <w:rsid w:val="004713A5"/>
    <w:rsid w:val="004718E1"/>
    <w:rsid w:val="00471FEC"/>
    <w:rsid w:val="00472177"/>
    <w:rsid w:val="00472234"/>
    <w:rsid w:val="004724C9"/>
    <w:rsid w:val="00472585"/>
    <w:rsid w:val="0047278F"/>
    <w:rsid w:val="00474130"/>
    <w:rsid w:val="00474EDD"/>
    <w:rsid w:val="00475A6C"/>
    <w:rsid w:val="004764AF"/>
    <w:rsid w:val="00476D04"/>
    <w:rsid w:val="00476F58"/>
    <w:rsid w:val="0047775E"/>
    <w:rsid w:val="00477AAE"/>
    <w:rsid w:val="00477AF6"/>
    <w:rsid w:val="00477B3B"/>
    <w:rsid w:val="00477BCB"/>
    <w:rsid w:val="004801A7"/>
    <w:rsid w:val="00480E47"/>
    <w:rsid w:val="00481666"/>
    <w:rsid w:val="0048181B"/>
    <w:rsid w:val="00481B2B"/>
    <w:rsid w:val="00481F2B"/>
    <w:rsid w:val="004820C5"/>
    <w:rsid w:val="00482198"/>
    <w:rsid w:val="004823D8"/>
    <w:rsid w:val="00482F20"/>
    <w:rsid w:val="00483196"/>
    <w:rsid w:val="0048340F"/>
    <w:rsid w:val="0048423C"/>
    <w:rsid w:val="00484449"/>
    <w:rsid w:val="004852CE"/>
    <w:rsid w:val="0048540C"/>
    <w:rsid w:val="00485B5F"/>
    <w:rsid w:val="00485F92"/>
    <w:rsid w:val="004860BD"/>
    <w:rsid w:val="004866E1"/>
    <w:rsid w:val="00486C72"/>
    <w:rsid w:val="00487D3A"/>
    <w:rsid w:val="00490954"/>
    <w:rsid w:val="0049102F"/>
    <w:rsid w:val="00491602"/>
    <w:rsid w:val="0049277A"/>
    <w:rsid w:val="00492B38"/>
    <w:rsid w:val="00492FE4"/>
    <w:rsid w:val="00493035"/>
    <w:rsid w:val="00493321"/>
    <w:rsid w:val="004936DE"/>
    <w:rsid w:val="004949B0"/>
    <w:rsid w:val="0049544E"/>
    <w:rsid w:val="00495670"/>
    <w:rsid w:val="0049567B"/>
    <w:rsid w:val="0049604B"/>
    <w:rsid w:val="00496666"/>
    <w:rsid w:val="00496AC9"/>
    <w:rsid w:val="004A040E"/>
    <w:rsid w:val="004A042D"/>
    <w:rsid w:val="004A1178"/>
    <w:rsid w:val="004A11E0"/>
    <w:rsid w:val="004A1749"/>
    <w:rsid w:val="004A1953"/>
    <w:rsid w:val="004A1FC5"/>
    <w:rsid w:val="004A2158"/>
    <w:rsid w:val="004A29A5"/>
    <w:rsid w:val="004A3225"/>
    <w:rsid w:val="004A374A"/>
    <w:rsid w:val="004A395B"/>
    <w:rsid w:val="004A3C59"/>
    <w:rsid w:val="004A3FE2"/>
    <w:rsid w:val="004A4195"/>
    <w:rsid w:val="004A480D"/>
    <w:rsid w:val="004A4D76"/>
    <w:rsid w:val="004A5851"/>
    <w:rsid w:val="004A5A91"/>
    <w:rsid w:val="004A5B0F"/>
    <w:rsid w:val="004A5CF1"/>
    <w:rsid w:val="004A66E0"/>
    <w:rsid w:val="004A6E87"/>
    <w:rsid w:val="004A7AAE"/>
    <w:rsid w:val="004A7D49"/>
    <w:rsid w:val="004A7E52"/>
    <w:rsid w:val="004A7F21"/>
    <w:rsid w:val="004B07C6"/>
    <w:rsid w:val="004B08DB"/>
    <w:rsid w:val="004B1422"/>
    <w:rsid w:val="004B1DF2"/>
    <w:rsid w:val="004B24EB"/>
    <w:rsid w:val="004B29AC"/>
    <w:rsid w:val="004B3C8B"/>
    <w:rsid w:val="004B44A9"/>
    <w:rsid w:val="004B4509"/>
    <w:rsid w:val="004B452A"/>
    <w:rsid w:val="004B4871"/>
    <w:rsid w:val="004B4ADF"/>
    <w:rsid w:val="004B4C00"/>
    <w:rsid w:val="004B4E06"/>
    <w:rsid w:val="004B5493"/>
    <w:rsid w:val="004B5914"/>
    <w:rsid w:val="004B60F3"/>
    <w:rsid w:val="004B6C77"/>
    <w:rsid w:val="004B6D0A"/>
    <w:rsid w:val="004B6DA4"/>
    <w:rsid w:val="004B794C"/>
    <w:rsid w:val="004B7995"/>
    <w:rsid w:val="004C02B3"/>
    <w:rsid w:val="004C098E"/>
    <w:rsid w:val="004C0BBE"/>
    <w:rsid w:val="004C0E2F"/>
    <w:rsid w:val="004C1705"/>
    <w:rsid w:val="004C222E"/>
    <w:rsid w:val="004C2561"/>
    <w:rsid w:val="004C25B4"/>
    <w:rsid w:val="004C2806"/>
    <w:rsid w:val="004C29BD"/>
    <w:rsid w:val="004C3A7A"/>
    <w:rsid w:val="004C3ADD"/>
    <w:rsid w:val="004C3C00"/>
    <w:rsid w:val="004C428E"/>
    <w:rsid w:val="004C441A"/>
    <w:rsid w:val="004C4775"/>
    <w:rsid w:val="004C483D"/>
    <w:rsid w:val="004C48A9"/>
    <w:rsid w:val="004C4D05"/>
    <w:rsid w:val="004C590B"/>
    <w:rsid w:val="004C5BF4"/>
    <w:rsid w:val="004C5E9D"/>
    <w:rsid w:val="004C6017"/>
    <w:rsid w:val="004C62DE"/>
    <w:rsid w:val="004C63C7"/>
    <w:rsid w:val="004C6D39"/>
    <w:rsid w:val="004C6D98"/>
    <w:rsid w:val="004C7217"/>
    <w:rsid w:val="004C7743"/>
    <w:rsid w:val="004C77A7"/>
    <w:rsid w:val="004C7B38"/>
    <w:rsid w:val="004D039E"/>
    <w:rsid w:val="004D04A3"/>
    <w:rsid w:val="004D0C9F"/>
    <w:rsid w:val="004D15FD"/>
    <w:rsid w:val="004D1A0A"/>
    <w:rsid w:val="004D2369"/>
    <w:rsid w:val="004D2485"/>
    <w:rsid w:val="004D2CFC"/>
    <w:rsid w:val="004D3A57"/>
    <w:rsid w:val="004D47FF"/>
    <w:rsid w:val="004D49FF"/>
    <w:rsid w:val="004D4D35"/>
    <w:rsid w:val="004D518F"/>
    <w:rsid w:val="004D5394"/>
    <w:rsid w:val="004D54D7"/>
    <w:rsid w:val="004D5BB7"/>
    <w:rsid w:val="004D5C09"/>
    <w:rsid w:val="004D6053"/>
    <w:rsid w:val="004D6FA4"/>
    <w:rsid w:val="004D7C23"/>
    <w:rsid w:val="004E01C6"/>
    <w:rsid w:val="004E0212"/>
    <w:rsid w:val="004E0ADC"/>
    <w:rsid w:val="004E0C02"/>
    <w:rsid w:val="004E0FB1"/>
    <w:rsid w:val="004E1043"/>
    <w:rsid w:val="004E19DB"/>
    <w:rsid w:val="004E1DCA"/>
    <w:rsid w:val="004E21B4"/>
    <w:rsid w:val="004E252B"/>
    <w:rsid w:val="004E2861"/>
    <w:rsid w:val="004E2A85"/>
    <w:rsid w:val="004E3F72"/>
    <w:rsid w:val="004E47D5"/>
    <w:rsid w:val="004E4A5C"/>
    <w:rsid w:val="004E4A78"/>
    <w:rsid w:val="004E551E"/>
    <w:rsid w:val="004E584D"/>
    <w:rsid w:val="004E58F6"/>
    <w:rsid w:val="004E5E37"/>
    <w:rsid w:val="004E5E4C"/>
    <w:rsid w:val="004E5F79"/>
    <w:rsid w:val="004E623E"/>
    <w:rsid w:val="004E6589"/>
    <w:rsid w:val="004E6A1D"/>
    <w:rsid w:val="004E6CF9"/>
    <w:rsid w:val="004E7152"/>
    <w:rsid w:val="004E734E"/>
    <w:rsid w:val="004E7EC0"/>
    <w:rsid w:val="004E7F48"/>
    <w:rsid w:val="004F014E"/>
    <w:rsid w:val="004F023B"/>
    <w:rsid w:val="004F0BC6"/>
    <w:rsid w:val="004F1123"/>
    <w:rsid w:val="004F1715"/>
    <w:rsid w:val="004F17DA"/>
    <w:rsid w:val="004F355B"/>
    <w:rsid w:val="004F3BD2"/>
    <w:rsid w:val="004F3CBF"/>
    <w:rsid w:val="004F4372"/>
    <w:rsid w:val="004F43E0"/>
    <w:rsid w:val="004F45EB"/>
    <w:rsid w:val="004F5079"/>
    <w:rsid w:val="004F521B"/>
    <w:rsid w:val="004F52BB"/>
    <w:rsid w:val="004F5582"/>
    <w:rsid w:val="004F59B8"/>
    <w:rsid w:val="004F62A7"/>
    <w:rsid w:val="004F62F9"/>
    <w:rsid w:val="004F66B3"/>
    <w:rsid w:val="004F6FA7"/>
    <w:rsid w:val="004F71FB"/>
    <w:rsid w:val="004F7352"/>
    <w:rsid w:val="004F7889"/>
    <w:rsid w:val="004F79D8"/>
    <w:rsid w:val="0050015C"/>
    <w:rsid w:val="00500418"/>
    <w:rsid w:val="00500CCF"/>
    <w:rsid w:val="00500E62"/>
    <w:rsid w:val="005010DE"/>
    <w:rsid w:val="005011FD"/>
    <w:rsid w:val="0050164B"/>
    <w:rsid w:val="00501A86"/>
    <w:rsid w:val="00501AA5"/>
    <w:rsid w:val="00502958"/>
    <w:rsid w:val="00502BD2"/>
    <w:rsid w:val="00502DA4"/>
    <w:rsid w:val="0050356B"/>
    <w:rsid w:val="00503F83"/>
    <w:rsid w:val="0050421C"/>
    <w:rsid w:val="00504A9B"/>
    <w:rsid w:val="00504E9A"/>
    <w:rsid w:val="00504F83"/>
    <w:rsid w:val="005059B9"/>
    <w:rsid w:val="00505F64"/>
    <w:rsid w:val="00506DCD"/>
    <w:rsid w:val="00507325"/>
    <w:rsid w:val="00507583"/>
    <w:rsid w:val="00507C36"/>
    <w:rsid w:val="00507C56"/>
    <w:rsid w:val="00507F13"/>
    <w:rsid w:val="005109D4"/>
    <w:rsid w:val="00510CF4"/>
    <w:rsid w:val="0051160A"/>
    <w:rsid w:val="005118BA"/>
    <w:rsid w:val="00512D87"/>
    <w:rsid w:val="005130DA"/>
    <w:rsid w:val="00513430"/>
    <w:rsid w:val="0051354B"/>
    <w:rsid w:val="00513DDA"/>
    <w:rsid w:val="00513E19"/>
    <w:rsid w:val="005148B4"/>
    <w:rsid w:val="00514B29"/>
    <w:rsid w:val="00514E8C"/>
    <w:rsid w:val="005152B1"/>
    <w:rsid w:val="005152F0"/>
    <w:rsid w:val="0051532D"/>
    <w:rsid w:val="00515856"/>
    <w:rsid w:val="00515F50"/>
    <w:rsid w:val="005163E6"/>
    <w:rsid w:val="005172EC"/>
    <w:rsid w:val="0051740D"/>
    <w:rsid w:val="005178CE"/>
    <w:rsid w:val="005205FF"/>
    <w:rsid w:val="00521356"/>
    <w:rsid w:val="00521CAB"/>
    <w:rsid w:val="00521DFB"/>
    <w:rsid w:val="005224EF"/>
    <w:rsid w:val="00522654"/>
    <w:rsid w:val="00522835"/>
    <w:rsid w:val="0052293D"/>
    <w:rsid w:val="00522AF4"/>
    <w:rsid w:val="00523499"/>
    <w:rsid w:val="0052373F"/>
    <w:rsid w:val="00523BC7"/>
    <w:rsid w:val="00523C08"/>
    <w:rsid w:val="00523C10"/>
    <w:rsid w:val="00523E23"/>
    <w:rsid w:val="005245D5"/>
    <w:rsid w:val="005247FE"/>
    <w:rsid w:val="00524889"/>
    <w:rsid w:val="0052575D"/>
    <w:rsid w:val="005259FC"/>
    <w:rsid w:val="00525A53"/>
    <w:rsid w:val="005260C7"/>
    <w:rsid w:val="005260F1"/>
    <w:rsid w:val="00526569"/>
    <w:rsid w:val="00526726"/>
    <w:rsid w:val="00526F91"/>
    <w:rsid w:val="00527256"/>
    <w:rsid w:val="005274DD"/>
    <w:rsid w:val="00527934"/>
    <w:rsid w:val="00527AC0"/>
    <w:rsid w:val="00527B57"/>
    <w:rsid w:val="00527C8D"/>
    <w:rsid w:val="00527C9C"/>
    <w:rsid w:val="00530034"/>
    <w:rsid w:val="0053029A"/>
    <w:rsid w:val="00530AC4"/>
    <w:rsid w:val="00531F7B"/>
    <w:rsid w:val="00532064"/>
    <w:rsid w:val="0053268A"/>
    <w:rsid w:val="0053309E"/>
    <w:rsid w:val="00533169"/>
    <w:rsid w:val="00533194"/>
    <w:rsid w:val="005332C8"/>
    <w:rsid w:val="00534021"/>
    <w:rsid w:val="005343C8"/>
    <w:rsid w:val="0053464E"/>
    <w:rsid w:val="00534CBD"/>
    <w:rsid w:val="005352C8"/>
    <w:rsid w:val="005354C1"/>
    <w:rsid w:val="00535F99"/>
    <w:rsid w:val="00536356"/>
    <w:rsid w:val="0053691D"/>
    <w:rsid w:val="00536BBB"/>
    <w:rsid w:val="00536CBB"/>
    <w:rsid w:val="00536DDD"/>
    <w:rsid w:val="00537033"/>
    <w:rsid w:val="00540A37"/>
    <w:rsid w:val="00540AE7"/>
    <w:rsid w:val="00540B49"/>
    <w:rsid w:val="00541415"/>
    <w:rsid w:val="005418DB"/>
    <w:rsid w:val="00541B51"/>
    <w:rsid w:val="005434EA"/>
    <w:rsid w:val="005436B8"/>
    <w:rsid w:val="005455FB"/>
    <w:rsid w:val="00545D55"/>
    <w:rsid w:val="005461AB"/>
    <w:rsid w:val="00546C6A"/>
    <w:rsid w:val="00546FBA"/>
    <w:rsid w:val="00547F04"/>
    <w:rsid w:val="00550924"/>
    <w:rsid w:val="00550D63"/>
    <w:rsid w:val="00550EF1"/>
    <w:rsid w:val="00550FC4"/>
    <w:rsid w:val="00551075"/>
    <w:rsid w:val="005513C8"/>
    <w:rsid w:val="00551C87"/>
    <w:rsid w:val="00552204"/>
    <w:rsid w:val="0055236E"/>
    <w:rsid w:val="0055352C"/>
    <w:rsid w:val="005538A6"/>
    <w:rsid w:val="00554F94"/>
    <w:rsid w:val="00555161"/>
    <w:rsid w:val="00555A59"/>
    <w:rsid w:val="00555BB7"/>
    <w:rsid w:val="00555DE6"/>
    <w:rsid w:val="00555EB3"/>
    <w:rsid w:val="005567F6"/>
    <w:rsid w:val="0055695F"/>
    <w:rsid w:val="00556E29"/>
    <w:rsid w:val="00557474"/>
    <w:rsid w:val="00557DAA"/>
    <w:rsid w:val="00557DAD"/>
    <w:rsid w:val="00561138"/>
    <w:rsid w:val="00561572"/>
    <w:rsid w:val="00561699"/>
    <w:rsid w:val="0056194F"/>
    <w:rsid w:val="005619E1"/>
    <w:rsid w:val="00561EEE"/>
    <w:rsid w:val="00562629"/>
    <w:rsid w:val="005628FE"/>
    <w:rsid w:val="0056364B"/>
    <w:rsid w:val="00563D49"/>
    <w:rsid w:val="00564191"/>
    <w:rsid w:val="00564557"/>
    <w:rsid w:val="0056458C"/>
    <w:rsid w:val="00564628"/>
    <w:rsid w:val="005648B9"/>
    <w:rsid w:val="00564A3C"/>
    <w:rsid w:val="00564C5F"/>
    <w:rsid w:val="00564F82"/>
    <w:rsid w:val="005653AF"/>
    <w:rsid w:val="00565501"/>
    <w:rsid w:val="00565755"/>
    <w:rsid w:val="00565DFA"/>
    <w:rsid w:val="0056601E"/>
    <w:rsid w:val="00566406"/>
    <w:rsid w:val="005664A6"/>
    <w:rsid w:val="00566538"/>
    <w:rsid w:val="0056663C"/>
    <w:rsid w:val="0056725A"/>
    <w:rsid w:val="0056741F"/>
    <w:rsid w:val="00567647"/>
    <w:rsid w:val="0056781B"/>
    <w:rsid w:val="00567BE2"/>
    <w:rsid w:val="00570102"/>
    <w:rsid w:val="00570505"/>
    <w:rsid w:val="00570FDD"/>
    <w:rsid w:val="005712E6"/>
    <w:rsid w:val="0057153C"/>
    <w:rsid w:val="00572942"/>
    <w:rsid w:val="005730DB"/>
    <w:rsid w:val="00573251"/>
    <w:rsid w:val="005733A8"/>
    <w:rsid w:val="00573B5B"/>
    <w:rsid w:val="00573F55"/>
    <w:rsid w:val="00574070"/>
    <w:rsid w:val="00575148"/>
    <w:rsid w:val="0057540E"/>
    <w:rsid w:val="005757B6"/>
    <w:rsid w:val="005761E2"/>
    <w:rsid w:val="0058000F"/>
    <w:rsid w:val="00580557"/>
    <w:rsid w:val="0058074F"/>
    <w:rsid w:val="00580A76"/>
    <w:rsid w:val="00581042"/>
    <w:rsid w:val="00581289"/>
    <w:rsid w:val="00581703"/>
    <w:rsid w:val="00581B15"/>
    <w:rsid w:val="005821DD"/>
    <w:rsid w:val="00583908"/>
    <w:rsid w:val="00584757"/>
    <w:rsid w:val="00584E21"/>
    <w:rsid w:val="00585E41"/>
    <w:rsid w:val="0058608B"/>
    <w:rsid w:val="005863C1"/>
    <w:rsid w:val="0058654D"/>
    <w:rsid w:val="00586786"/>
    <w:rsid w:val="00587729"/>
    <w:rsid w:val="00587886"/>
    <w:rsid w:val="00587A66"/>
    <w:rsid w:val="00590147"/>
    <w:rsid w:val="0059028F"/>
    <w:rsid w:val="00590BD1"/>
    <w:rsid w:val="00590D26"/>
    <w:rsid w:val="00591276"/>
    <w:rsid w:val="00591490"/>
    <w:rsid w:val="0059151A"/>
    <w:rsid w:val="005916C9"/>
    <w:rsid w:val="00591A32"/>
    <w:rsid w:val="00591C7E"/>
    <w:rsid w:val="00591D27"/>
    <w:rsid w:val="00591DCF"/>
    <w:rsid w:val="00592853"/>
    <w:rsid w:val="005929B4"/>
    <w:rsid w:val="00592A3C"/>
    <w:rsid w:val="0059367F"/>
    <w:rsid w:val="00593720"/>
    <w:rsid w:val="00593909"/>
    <w:rsid w:val="00593A71"/>
    <w:rsid w:val="005941E1"/>
    <w:rsid w:val="005943E2"/>
    <w:rsid w:val="00594AB3"/>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97953"/>
    <w:rsid w:val="005A01C5"/>
    <w:rsid w:val="005A0532"/>
    <w:rsid w:val="005A07E7"/>
    <w:rsid w:val="005A0A57"/>
    <w:rsid w:val="005A0B9F"/>
    <w:rsid w:val="005A0DBB"/>
    <w:rsid w:val="005A0EBD"/>
    <w:rsid w:val="005A1270"/>
    <w:rsid w:val="005A1295"/>
    <w:rsid w:val="005A1FBF"/>
    <w:rsid w:val="005A29B1"/>
    <w:rsid w:val="005A2EBF"/>
    <w:rsid w:val="005A380B"/>
    <w:rsid w:val="005A4890"/>
    <w:rsid w:val="005A49D4"/>
    <w:rsid w:val="005A4D7C"/>
    <w:rsid w:val="005A51C9"/>
    <w:rsid w:val="005A5A96"/>
    <w:rsid w:val="005A5D7F"/>
    <w:rsid w:val="005A5DC0"/>
    <w:rsid w:val="005A6B6D"/>
    <w:rsid w:val="005A6ED5"/>
    <w:rsid w:val="005A6F0E"/>
    <w:rsid w:val="005A6F57"/>
    <w:rsid w:val="005A7235"/>
    <w:rsid w:val="005A795B"/>
    <w:rsid w:val="005A7BAF"/>
    <w:rsid w:val="005B05FA"/>
    <w:rsid w:val="005B0652"/>
    <w:rsid w:val="005B1213"/>
    <w:rsid w:val="005B1B55"/>
    <w:rsid w:val="005B1C52"/>
    <w:rsid w:val="005B1DBD"/>
    <w:rsid w:val="005B26B0"/>
    <w:rsid w:val="005B2FD7"/>
    <w:rsid w:val="005B3EBD"/>
    <w:rsid w:val="005B3F0C"/>
    <w:rsid w:val="005B48E8"/>
    <w:rsid w:val="005B564F"/>
    <w:rsid w:val="005B56D9"/>
    <w:rsid w:val="005B5BA3"/>
    <w:rsid w:val="005B5E62"/>
    <w:rsid w:val="005B7230"/>
    <w:rsid w:val="005B7E97"/>
    <w:rsid w:val="005B7F46"/>
    <w:rsid w:val="005C07D2"/>
    <w:rsid w:val="005C09A7"/>
    <w:rsid w:val="005C102D"/>
    <w:rsid w:val="005C132C"/>
    <w:rsid w:val="005C17FB"/>
    <w:rsid w:val="005C1833"/>
    <w:rsid w:val="005C1838"/>
    <w:rsid w:val="005C18C2"/>
    <w:rsid w:val="005C2063"/>
    <w:rsid w:val="005C244F"/>
    <w:rsid w:val="005C2767"/>
    <w:rsid w:val="005C2922"/>
    <w:rsid w:val="005C2C01"/>
    <w:rsid w:val="005C2F60"/>
    <w:rsid w:val="005C30A7"/>
    <w:rsid w:val="005C323D"/>
    <w:rsid w:val="005C3772"/>
    <w:rsid w:val="005C39C3"/>
    <w:rsid w:val="005C3CFC"/>
    <w:rsid w:val="005C4229"/>
    <w:rsid w:val="005C4253"/>
    <w:rsid w:val="005C4580"/>
    <w:rsid w:val="005C5065"/>
    <w:rsid w:val="005C52F3"/>
    <w:rsid w:val="005C564C"/>
    <w:rsid w:val="005C56EA"/>
    <w:rsid w:val="005C6234"/>
    <w:rsid w:val="005C64DC"/>
    <w:rsid w:val="005C6605"/>
    <w:rsid w:val="005C71A0"/>
    <w:rsid w:val="005C75B8"/>
    <w:rsid w:val="005C7802"/>
    <w:rsid w:val="005C7B50"/>
    <w:rsid w:val="005D029E"/>
    <w:rsid w:val="005D0427"/>
    <w:rsid w:val="005D0776"/>
    <w:rsid w:val="005D07AE"/>
    <w:rsid w:val="005D0A0B"/>
    <w:rsid w:val="005D0C83"/>
    <w:rsid w:val="005D1027"/>
    <w:rsid w:val="005D113B"/>
    <w:rsid w:val="005D1732"/>
    <w:rsid w:val="005D22C5"/>
    <w:rsid w:val="005D2D9A"/>
    <w:rsid w:val="005D3A6E"/>
    <w:rsid w:val="005D3B21"/>
    <w:rsid w:val="005D4019"/>
    <w:rsid w:val="005D41DC"/>
    <w:rsid w:val="005D460F"/>
    <w:rsid w:val="005D4DC5"/>
    <w:rsid w:val="005D5442"/>
    <w:rsid w:val="005D5C22"/>
    <w:rsid w:val="005D5E6C"/>
    <w:rsid w:val="005D63A9"/>
    <w:rsid w:val="005D65D5"/>
    <w:rsid w:val="005D6C56"/>
    <w:rsid w:val="005D6F49"/>
    <w:rsid w:val="005D7B83"/>
    <w:rsid w:val="005D7E8A"/>
    <w:rsid w:val="005E06FA"/>
    <w:rsid w:val="005E11A5"/>
    <w:rsid w:val="005E13D4"/>
    <w:rsid w:val="005E1435"/>
    <w:rsid w:val="005E17E9"/>
    <w:rsid w:val="005E1885"/>
    <w:rsid w:val="005E21F3"/>
    <w:rsid w:val="005E235C"/>
    <w:rsid w:val="005E3078"/>
    <w:rsid w:val="005E34C0"/>
    <w:rsid w:val="005E392E"/>
    <w:rsid w:val="005E4565"/>
    <w:rsid w:val="005E45F3"/>
    <w:rsid w:val="005E48EA"/>
    <w:rsid w:val="005E49CA"/>
    <w:rsid w:val="005E5384"/>
    <w:rsid w:val="005E5427"/>
    <w:rsid w:val="005E5428"/>
    <w:rsid w:val="005E5A7C"/>
    <w:rsid w:val="005E5C33"/>
    <w:rsid w:val="005E6976"/>
    <w:rsid w:val="005E6C7A"/>
    <w:rsid w:val="005E703B"/>
    <w:rsid w:val="005E721A"/>
    <w:rsid w:val="005E74EC"/>
    <w:rsid w:val="005E7917"/>
    <w:rsid w:val="005E7AB6"/>
    <w:rsid w:val="005E7B1E"/>
    <w:rsid w:val="005E7CBC"/>
    <w:rsid w:val="005F0854"/>
    <w:rsid w:val="005F0A62"/>
    <w:rsid w:val="005F0FA8"/>
    <w:rsid w:val="005F1C5D"/>
    <w:rsid w:val="005F2317"/>
    <w:rsid w:val="005F2550"/>
    <w:rsid w:val="005F2B2D"/>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58"/>
    <w:rsid w:val="005F7031"/>
    <w:rsid w:val="005F704C"/>
    <w:rsid w:val="005F7A22"/>
    <w:rsid w:val="005F7B9D"/>
    <w:rsid w:val="005F7CF0"/>
    <w:rsid w:val="00600501"/>
    <w:rsid w:val="00600B0C"/>
    <w:rsid w:val="00600D1A"/>
    <w:rsid w:val="00601038"/>
    <w:rsid w:val="00602C52"/>
    <w:rsid w:val="00602DFA"/>
    <w:rsid w:val="006031D1"/>
    <w:rsid w:val="0060337E"/>
    <w:rsid w:val="006033BF"/>
    <w:rsid w:val="00603702"/>
    <w:rsid w:val="00603B4B"/>
    <w:rsid w:val="00603F20"/>
    <w:rsid w:val="00604F37"/>
    <w:rsid w:val="0060508A"/>
    <w:rsid w:val="006055AF"/>
    <w:rsid w:val="00605942"/>
    <w:rsid w:val="006059C6"/>
    <w:rsid w:val="00605C9F"/>
    <w:rsid w:val="006068E8"/>
    <w:rsid w:val="00606ADB"/>
    <w:rsid w:val="00606C07"/>
    <w:rsid w:val="006072DE"/>
    <w:rsid w:val="006075F4"/>
    <w:rsid w:val="006078A8"/>
    <w:rsid w:val="00607BAD"/>
    <w:rsid w:val="00607EC7"/>
    <w:rsid w:val="0061048A"/>
    <w:rsid w:val="00610959"/>
    <w:rsid w:val="00610AE7"/>
    <w:rsid w:val="00611178"/>
    <w:rsid w:val="0061148D"/>
    <w:rsid w:val="00611D01"/>
    <w:rsid w:val="00611F1E"/>
    <w:rsid w:val="006122EC"/>
    <w:rsid w:val="006124B3"/>
    <w:rsid w:val="00612611"/>
    <w:rsid w:val="0061279A"/>
    <w:rsid w:val="00612C60"/>
    <w:rsid w:val="00613009"/>
    <w:rsid w:val="006132EA"/>
    <w:rsid w:val="00613CA5"/>
    <w:rsid w:val="0061401C"/>
    <w:rsid w:val="0061420B"/>
    <w:rsid w:val="00614BD4"/>
    <w:rsid w:val="00614D33"/>
    <w:rsid w:val="00614F43"/>
    <w:rsid w:val="0061537D"/>
    <w:rsid w:val="0061537F"/>
    <w:rsid w:val="006156D7"/>
    <w:rsid w:val="00615CF1"/>
    <w:rsid w:val="00615DEA"/>
    <w:rsid w:val="00616A60"/>
    <w:rsid w:val="00616D0C"/>
    <w:rsid w:val="00616EE6"/>
    <w:rsid w:val="006171FB"/>
    <w:rsid w:val="00617283"/>
    <w:rsid w:val="00617A2A"/>
    <w:rsid w:val="00617A94"/>
    <w:rsid w:val="006207F4"/>
    <w:rsid w:val="00620C67"/>
    <w:rsid w:val="00621479"/>
    <w:rsid w:val="00621646"/>
    <w:rsid w:val="00621803"/>
    <w:rsid w:val="00621A34"/>
    <w:rsid w:val="006220F1"/>
    <w:rsid w:val="00623657"/>
    <w:rsid w:val="00623E46"/>
    <w:rsid w:val="0062431C"/>
    <w:rsid w:val="00624604"/>
    <w:rsid w:val="00624D2C"/>
    <w:rsid w:val="00624F7F"/>
    <w:rsid w:val="00625145"/>
    <w:rsid w:val="00626768"/>
    <w:rsid w:val="00627402"/>
    <w:rsid w:val="00627474"/>
    <w:rsid w:val="00627CEA"/>
    <w:rsid w:val="00627E37"/>
    <w:rsid w:val="00630480"/>
    <w:rsid w:val="0063058E"/>
    <w:rsid w:val="006305F8"/>
    <w:rsid w:val="006313D5"/>
    <w:rsid w:val="0063197B"/>
    <w:rsid w:val="00631DA7"/>
    <w:rsid w:val="006327BB"/>
    <w:rsid w:val="00632B9C"/>
    <w:rsid w:val="00632D63"/>
    <w:rsid w:val="00632F18"/>
    <w:rsid w:val="006332D7"/>
    <w:rsid w:val="0063333D"/>
    <w:rsid w:val="00634225"/>
    <w:rsid w:val="00635003"/>
    <w:rsid w:val="006351CE"/>
    <w:rsid w:val="006352FD"/>
    <w:rsid w:val="00635B15"/>
    <w:rsid w:val="00636037"/>
    <w:rsid w:val="006362E1"/>
    <w:rsid w:val="006367DA"/>
    <w:rsid w:val="006370E1"/>
    <w:rsid w:val="00637382"/>
    <w:rsid w:val="0063740D"/>
    <w:rsid w:val="006375B2"/>
    <w:rsid w:val="006375BB"/>
    <w:rsid w:val="006409EE"/>
    <w:rsid w:val="00640BF7"/>
    <w:rsid w:val="00640FFF"/>
    <w:rsid w:val="00641436"/>
    <w:rsid w:val="00641761"/>
    <w:rsid w:val="006425FC"/>
    <w:rsid w:val="00642631"/>
    <w:rsid w:val="0064289D"/>
    <w:rsid w:val="00642DF5"/>
    <w:rsid w:val="0064304A"/>
    <w:rsid w:val="0064380B"/>
    <w:rsid w:val="00643A4F"/>
    <w:rsid w:val="00643FF5"/>
    <w:rsid w:val="006441FD"/>
    <w:rsid w:val="00644E5A"/>
    <w:rsid w:val="00644F2C"/>
    <w:rsid w:val="00644F8F"/>
    <w:rsid w:val="006450DD"/>
    <w:rsid w:val="00645141"/>
    <w:rsid w:val="00645349"/>
    <w:rsid w:val="00645AEE"/>
    <w:rsid w:val="00646428"/>
    <w:rsid w:val="0064685B"/>
    <w:rsid w:val="00646903"/>
    <w:rsid w:val="00646AFD"/>
    <w:rsid w:val="0064707F"/>
    <w:rsid w:val="006471E8"/>
    <w:rsid w:val="00647E7D"/>
    <w:rsid w:val="00647E90"/>
    <w:rsid w:val="00647FA3"/>
    <w:rsid w:val="006500F7"/>
    <w:rsid w:val="00650769"/>
    <w:rsid w:val="00650D22"/>
    <w:rsid w:val="006516B7"/>
    <w:rsid w:val="006518E4"/>
    <w:rsid w:val="00651FB8"/>
    <w:rsid w:val="006520D5"/>
    <w:rsid w:val="0065239B"/>
    <w:rsid w:val="00652BA0"/>
    <w:rsid w:val="00653045"/>
    <w:rsid w:val="00653A25"/>
    <w:rsid w:val="00653D93"/>
    <w:rsid w:val="00653FDA"/>
    <w:rsid w:val="006541A0"/>
    <w:rsid w:val="00654C66"/>
    <w:rsid w:val="00654E99"/>
    <w:rsid w:val="00655104"/>
    <w:rsid w:val="0065548F"/>
    <w:rsid w:val="00655633"/>
    <w:rsid w:val="006559BB"/>
    <w:rsid w:val="00655D93"/>
    <w:rsid w:val="00655E86"/>
    <w:rsid w:val="00656614"/>
    <w:rsid w:val="00656C4D"/>
    <w:rsid w:val="006577CD"/>
    <w:rsid w:val="00657B16"/>
    <w:rsid w:val="00657CCC"/>
    <w:rsid w:val="00660162"/>
    <w:rsid w:val="0066036D"/>
    <w:rsid w:val="006604FA"/>
    <w:rsid w:val="006605AA"/>
    <w:rsid w:val="00660879"/>
    <w:rsid w:val="00660B3F"/>
    <w:rsid w:val="006610B1"/>
    <w:rsid w:val="00661639"/>
    <w:rsid w:val="00661655"/>
    <w:rsid w:val="0066174D"/>
    <w:rsid w:val="00661E36"/>
    <w:rsid w:val="0066318A"/>
    <w:rsid w:val="006631D3"/>
    <w:rsid w:val="00663D0F"/>
    <w:rsid w:val="00664525"/>
    <w:rsid w:val="0066465B"/>
    <w:rsid w:val="00664C81"/>
    <w:rsid w:val="0066500E"/>
    <w:rsid w:val="0066521A"/>
    <w:rsid w:val="0066540C"/>
    <w:rsid w:val="00665E5D"/>
    <w:rsid w:val="00665EAE"/>
    <w:rsid w:val="0066614F"/>
    <w:rsid w:val="006661EA"/>
    <w:rsid w:val="00666749"/>
    <w:rsid w:val="00666909"/>
    <w:rsid w:val="00666EBC"/>
    <w:rsid w:val="00667189"/>
    <w:rsid w:val="0066749E"/>
    <w:rsid w:val="00667CCB"/>
    <w:rsid w:val="00667EFD"/>
    <w:rsid w:val="00670475"/>
    <w:rsid w:val="00670B8C"/>
    <w:rsid w:val="00670C4A"/>
    <w:rsid w:val="00671457"/>
    <w:rsid w:val="00671F3E"/>
    <w:rsid w:val="00672482"/>
    <w:rsid w:val="00672A18"/>
    <w:rsid w:val="00672D2C"/>
    <w:rsid w:val="0067322C"/>
    <w:rsid w:val="006735D0"/>
    <w:rsid w:val="006739E9"/>
    <w:rsid w:val="00674D52"/>
    <w:rsid w:val="00674E43"/>
    <w:rsid w:val="00674F93"/>
    <w:rsid w:val="0067546F"/>
    <w:rsid w:val="00676287"/>
    <w:rsid w:val="006768DD"/>
    <w:rsid w:val="00676CE4"/>
    <w:rsid w:val="00676EC2"/>
    <w:rsid w:val="00676F61"/>
    <w:rsid w:val="00676FA5"/>
    <w:rsid w:val="006771A4"/>
    <w:rsid w:val="006771AD"/>
    <w:rsid w:val="006774A8"/>
    <w:rsid w:val="00677572"/>
    <w:rsid w:val="00680064"/>
    <w:rsid w:val="00681229"/>
    <w:rsid w:val="00681514"/>
    <w:rsid w:val="0068185E"/>
    <w:rsid w:val="00681BE5"/>
    <w:rsid w:val="00681E30"/>
    <w:rsid w:val="0068379B"/>
    <w:rsid w:val="00683D98"/>
    <w:rsid w:val="00683D99"/>
    <w:rsid w:val="00684079"/>
    <w:rsid w:val="0068484C"/>
    <w:rsid w:val="006848EE"/>
    <w:rsid w:val="006856AA"/>
    <w:rsid w:val="0068629B"/>
    <w:rsid w:val="00686425"/>
    <w:rsid w:val="00686497"/>
    <w:rsid w:val="006867A5"/>
    <w:rsid w:val="00686C12"/>
    <w:rsid w:val="00686D75"/>
    <w:rsid w:val="0068736A"/>
    <w:rsid w:val="00687886"/>
    <w:rsid w:val="00687D17"/>
    <w:rsid w:val="00690024"/>
    <w:rsid w:val="006903A4"/>
    <w:rsid w:val="00690CAA"/>
    <w:rsid w:val="00690EFB"/>
    <w:rsid w:val="0069137B"/>
    <w:rsid w:val="006913EC"/>
    <w:rsid w:val="006914B7"/>
    <w:rsid w:val="00691742"/>
    <w:rsid w:val="00691DEE"/>
    <w:rsid w:val="00692242"/>
    <w:rsid w:val="0069236E"/>
    <w:rsid w:val="00692704"/>
    <w:rsid w:val="00692E67"/>
    <w:rsid w:val="00693ACF"/>
    <w:rsid w:val="00693EE5"/>
    <w:rsid w:val="006944C5"/>
    <w:rsid w:val="00694B8D"/>
    <w:rsid w:val="0069561C"/>
    <w:rsid w:val="00695634"/>
    <w:rsid w:val="00695E9C"/>
    <w:rsid w:val="0069600D"/>
    <w:rsid w:val="006963AE"/>
    <w:rsid w:val="00696430"/>
    <w:rsid w:val="00697053"/>
    <w:rsid w:val="006973A1"/>
    <w:rsid w:val="006A02DC"/>
    <w:rsid w:val="006A066A"/>
    <w:rsid w:val="006A06CA"/>
    <w:rsid w:val="006A083E"/>
    <w:rsid w:val="006A0FFD"/>
    <w:rsid w:val="006A1170"/>
    <w:rsid w:val="006A14A3"/>
    <w:rsid w:val="006A159D"/>
    <w:rsid w:val="006A18BF"/>
    <w:rsid w:val="006A1F58"/>
    <w:rsid w:val="006A242E"/>
    <w:rsid w:val="006A26AB"/>
    <w:rsid w:val="006A298D"/>
    <w:rsid w:val="006A2BB4"/>
    <w:rsid w:val="006A2F80"/>
    <w:rsid w:val="006A3FD6"/>
    <w:rsid w:val="006A4076"/>
    <w:rsid w:val="006A436F"/>
    <w:rsid w:val="006A4E5B"/>
    <w:rsid w:val="006A59D8"/>
    <w:rsid w:val="006A6B7B"/>
    <w:rsid w:val="006A78F8"/>
    <w:rsid w:val="006A7C26"/>
    <w:rsid w:val="006A7E27"/>
    <w:rsid w:val="006B010E"/>
    <w:rsid w:val="006B03CA"/>
    <w:rsid w:val="006B091F"/>
    <w:rsid w:val="006B0B1E"/>
    <w:rsid w:val="006B0CAF"/>
    <w:rsid w:val="006B0ED0"/>
    <w:rsid w:val="006B0EED"/>
    <w:rsid w:val="006B147E"/>
    <w:rsid w:val="006B14F8"/>
    <w:rsid w:val="006B1854"/>
    <w:rsid w:val="006B1DF6"/>
    <w:rsid w:val="006B205F"/>
    <w:rsid w:val="006B233F"/>
    <w:rsid w:val="006B275E"/>
    <w:rsid w:val="006B28EA"/>
    <w:rsid w:val="006B2AAD"/>
    <w:rsid w:val="006B2DA3"/>
    <w:rsid w:val="006B2FBB"/>
    <w:rsid w:val="006B378A"/>
    <w:rsid w:val="006B3BD5"/>
    <w:rsid w:val="006B4185"/>
    <w:rsid w:val="006B4224"/>
    <w:rsid w:val="006B4493"/>
    <w:rsid w:val="006B453E"/>
    <w:rsid w:val="006B4B62"/>
    <w:rsid w:val="006B53DC"/>
    <w:rsid w:val="006B5423"/>
    <w:rsid w:val="006B558A"/>
    <w:rsid w:val="006B5855"/>
    <w:rsid w:val="006B5AB2"/>
    <w:rsid w:val="006B5BC7"/>
    <w:rsid w:val="006B5C67"/>
    <w:rsid w:val="006B6B5D"/>
    <w:rsid w:val="006B6BF6"/>
    <w:rsid w:val="006B6C0D"/>
    <w:rsid w:val="006B7A88"/>
    <w:rsid w:val="006C166D"/>
    <w:rsid w:val="006C1818"/>
    <w:rsid w:val="006C1F8B"/>
    <w:rsid w:val="006C2721"/>
    <w:rsid w:val="006C2BE5"/>
    <w:rsid w:val="006C316A"/>
    <w:rsid w:val="006C3868"/>
    <w:rsid w:val="006C38FF"/>
    <w:rsid w:val="006C3B4B"/>
    <w:rsid w:val="006C3E6E"/>
    <w:rsid w:val="006C3EEA"/>
    <w:rsid w:val="006C3F92"/>
    <w:rsid w:val="006C42FA"/>
    <w:rsid w:val="006C43A6"/>
    <w:rsid w:val="006C4A4A"/>
    <w:rsid w:val="006C4C9C"/>
    <w:rsid w:val="006C4E89"/>
    <w:rsid w:val="006C53EB"/>
    <w:rsid w:val="006C5434"/>
    <w:rsid w:val="006C5D29"/>
    <w:rsid w:val="006C650D"/>
    <w:rsid w:val="006C69A5"/>
    <w:rsid w:val="006C76A1"/>
    <w:rsid w:val="006C7740"/>
    <w:rsid w:val="006C7FC6"/>
    <w:rsid w:val="006D0389"/>
    <w:rsid w:val="006D0848"/>
    <w:rsid w:val="006D0BA5"/>
    <w:rsid w:val="006D0C15"/>
    <w:rsid w:val="006D0D8B"/>
    <w:rsid w:val="006D0FBF"/>
    <w:rsid w:val="006D10DC"/>
    <w:rsid w:val="006D1586"/>
    <w:rsid w:val="006D19C1"/>
    <w:rsid w:val="006D2827"/>
    <w:rsid w:val="006D2848"/>
    <w:rsid w:val="006D2B19"/>
    <w:rsid w:val="006D2EC9"/>
    <w:rsid w:val="006D3592"/>
    <w:rsid w:val="006D3A05"/>
    <w:rsid w:val="006D3B62"/>
    <w:rsid w:val="006D3FDF"/>
    <w:rsid w:val="006D4527"/>
    <w:rsid w:val="006D4B05"/>
    <w:rsid w:val="006D4F86"/>
    <w:rsid w:val="006D5F98"/>
    <w:rsid w:val="006D6665"/>
    <w:rsid w:val="006D7098"/>
    <w:rsid w:val="006D740E"/>
    <w:rsid w:val="006D7F72"/>
    <w:rsid w:val="006E00B7"/>
    <w:rsid w:val="006E0E5B"/>
    <w:rsid w:val="006E1659"/>
    <w:rsid w:val="006E3023"/>
    <w:rsid w:val="006E3369"/>
    <w:rsid w:val="006E3D12"/>
    <w:rsid w:val="006E449C"/>
    <w:rsid w:val="006E4726"/>
    <w:rsid w:val="006E4E72"/>
    <w:rsid w:val="006E50D0"/>
    <w:rsid w:val="006E5F41"/>
    <w:rsid w:val="006E64BD"/>
    <w:rsid w:val="006E663E"/>
    <w:rsid w:val="006E6EDF"/>
    <w:rsid w:val="006E7BA5"/>
    <w:rsid w:val="006F01E8"/>
    <w:rsid w:val="006F02D7"/>
    <w:rsid w:val="006F0EBB"/>
    <w:rsid w:val="006F1E96"/>
    <w:rsid w:val="006F2706"/>
    <w:rsid w:val="006F2D24"/>
    <w:rsid w:val="006F352A"/>
    <w:rsid w:val="006F37F7"/>
    <w:rsid w:val="006F3909"/>
    <w:rsid w:val="006F4036"/>
    <w:rsid w:val="006F428E"/>
    <w:rsid w:val="006F48E1"/>
    <w:rsid w:val="006F4FA0"/>
    <w:rsid w:val="006F5096"/>
    <w:rsid w:val="006F5160"/>
    <w:rsid w:val="006F5374"/>
    <w:rsid w:val="006F60DF"/>
    <w:rsid w:val="006F64DE"/>
    <w:rsid w:val="006F6766"/>
    <w:rsid w:val="006F68C1"/>
    <w:rsid w:val="006F6CE2"/>
    <w:rsid w:val="006F6E10"/>
    <w:rsid w:val="00700B04"/>
    <w:rsid w:val="00700F57"/>
    <w:rsid w:val="007014F8"/>
    <w:rsid w:val="0070150D"/>
    <w:rsid w:val="007016D2"/>
    <w:rsid w:val="007018D8"/>
    <w:rsid w:val="00701979"/>
    <w:rsid w:val="00701C6E"/>
    <w:rsid w:val="0070288A"/>
    <w:rsid w:val="007029E8"/>
    <w:rsid w:val="00703013"/>
    <w:rsid w:val="00703107"/>
    <w:rsid w:val="00703138"/>
    <w:rsid w:val="00703277"/>
    <w:rsid w:val="0070356D"/>
    <w:rsid w:val="00703981"/>
    <w:rsid w:val="00703CDF"/>
    <w:rsid w:val="00703D7E"/>
    <w:rsid w:val="0070495F"/>
    <w:rsid w:val="00704A08"/>
    <w:rsid w:val="00704B6E"/>
    <w:rsid w:val="00704F10"/>
    <w:rsid w:val="00704F73"/>
    <w:rsid w:val="0070508D"/>
    <w:rsid w:val="0070542E"/>
    <w:rsid w:val="00705849"/>
    <w:rsid w:val="0070604A"/>
    <w:rsid w:val="007060D4"/>
    <w:rsid w:val="0070624C"/>
    <w:rsid w:val="00706451"/>
    <w:rsid w:val="00707E0F"/>
    <w:rsid w:val="0071068A"/>
    <w:rsid w:val="00710E19"/>
    <w:rsid w:val="00710E52"/>
    <w:rsid w:val="0071154B"/>
    <w:rsid w:val="0071174F"/>
    <w:rsid w:val="0071196A"/>
    <w:rsid w:val="007130CA"/>
    <w:rsid w:val="007131CF"/>
    <w:rsid w:val="007133C0"/>
    <w:rsid w:val="00713613"/>
    <w:rsid w:val="007137C6"/>
    <w:rsid w:val="007138FC"/>
    <w:rsid w:val="0071393D"/>
    <w:rsid w:val="00713E79"/>
    <w:rsid w:val="00714073"/>
    <w:rsid w:val="00714245"/>
    <w:rsid w:val="00715441"/>
    <w:rsid w:val="00715739"/>
    <w:rsid w:val="0071576C"/>
    <w:rsid w:val="00715C94"/>
    <w:rsid w:val="007165F0"/>
    <w:rsid w:val="00716A09"/>
    <w:rsid w:val="007170DB"/>
    <w:rsid w:val="007170E4"/>
    <w:rsid w:val="00717880"/>
    <w:rsid w:val="00717CA8"/>
    <w:rsid w:val="007205E7"/>
    <w:rsid w:val="007209C4"/>
    <w:rsid w:val="00721E9E"/>
    <w:rsid w:val="007227FE"/>
    <w:rsid w:val="0072323F"/>
    <w:rsid w:val="007233C3"/>
    <w:rsid w:val="007238D7"/>
    <w:rsid w:val="00723C95"/>
    <w:rsid w:val="00724456"/>
    <w:rsid w:val="007244E7"/>
    <w:rsid w:val="0072505F"/>
    <w:rsid w:val="00725B00"/>
    <w:rsid w:val="00725C6F"/>
    <w:rsid w:val="0072680C"/>
    <w:rsid w:val="00726B3D"/>
    <w:rsid w:val="00726C64"/>
    <w:rsid w:val="007302C6"/>
    <w:rsid w:val="00730FB0"/>
    <w:rsid w:val="007310B7"/>
    <w:rsid w:val="00731237"/>
    <w:rsid w:val="00731A22"/>
    <w:rsid w:val="00731C4D"/>
    <w:rsid w:val="0073207E"/>
    <w:rsid w:val="00732523"/>
    <w:rsid w:val="00732664"/>
    <w:rsid w:val="00732BA7"/>
    <w:rsid w:val="007333EA"/>
    <w:rsid w:val="00733601"/>
    <w:rsid w:val="00733A57"/>
    <w:rsid w:val="00733F36"/>
    <w:rsid w:val="007340CE"/>
    <w:rsid w:val="00734781"/>
    <w:rsid w:val="007349FC"/>
    <w:rsid w:val="00734B6F"/>
    <w:rsid w:val="007351A5"/>
    <w:rsid w:val="00735293"/>
    <w:rsid w:val="00735376"/>
    <w:rsid w:val="007363EA"/>
    <w:rsid w:val="00736A02"/>
    <w:rsid w:val="00736E06"/>
    <w:rsid w:val="00736E37"/>
    <w:rsid w:val="00737286"/>
    <w:rsid w:val="007373DB"/>
    <w:rsid w:val="00737847"/>
    <w:rsid w:val="00737F27"/>
    <w:rsid w:val="00737FD3"/>
    <w:rsid w:val="00740240"/>
    <w:rsid w:val="007407DB"/>
    <w:rsid w:val="00740BFC"/>
    <w:rsid w:val="00740D06"/>
    <w:rsid w:val="00740F76"/>
    <w:rsid w:val="00741037"/>
    <w:rsid w:val="007422B3"/>
    <w:rsid w:val="007424BF"/>
    <w:rsid w:val="007435F1"/>
    <w:rsid w:val="00743DDD"/>
    <w:rsid w:val="00744625"/>
    <w:rsid w:val="007446BB"/>
    <w:rsid w:val="00744AF1"/>
    <w:rsid w:val="00745882"/>
    <w:rsid w:val="00745A04"/>
    <w:rsid w:val="00745A0F"/>
    <w:rsid w:val="00745DFD"/>
    <w:rsid w:val="00745EC3"/>
    <w:rsid w:val="00746197"/>
    <w:rsid w:val="0074689C"/>
    <w:rsid w:val="00746B3F"/>
    <w:rsid w:val="00747117"/>
    <w:rsid w:val="007479C2"/>
    <w:rsid w:val="00747B0D"/>
    <w:rsid w:val="007503EA"/>
    <w:rsid w:val="00751452"/>
    <w:rsid w:val="007521A5"/>
    <w:rsid w:val="00752488"/>
    <w:rsid w:val="00753959"/>
    <w:rsid w:val="00753DD6"/>
    <w:rsid w:val="00754A4A"/>
    <w:rsid w:val="007566FB"/>
    <w:rsid w:val="007567A8"/>
    <w:rsid w:val="00756D6A"/>
    <w:rsid w:val="0076043F"/>
    <w:rsid w:val="00760D17"/>
    <w:rsid w:val="00760F66"/>
    <w:rsid w:val="007611F8"/>
    <w:rsid w:val="00761200"/>
    <w:rsid w:val="00761931"/>
    <w:rsid w:val="00761BD1"/>
    <w:rsid w:val="007624AF"/>
    <w:rsid w:val="007627BA"/>
    <w:rsid w:val="0076291E"/>
    <w:rsid w:val="00762C76"/>
    <w:rsid w:val="00762D81"/>
    <w:rsid w:val="0076317B"/>
    <w:rsid w:val="007642DE"/>
    <w:rsid w:val="007643D5"/>
    <w:rsid w:val="00764B65"/>
    <w:rsid w:val="00765366"/>
    <w:rsid w:val="00765914"/>
    <w:rsid w:val="0076614D"/>
    <w:rsid w:val="0076624C"/>
    <w:rsid w:val="0076627D"/>
    <w:rsid w:val="00766304"/>
    <w:rsid w:val="007665D3"/>
    <w:rsid w:val="00766CB7"/>
    <w:rsid w:val="00767A28"/>
    <w:rsid w:val="00767DD2"/>
    <w:rsid w:val="00770264"/>
    <w:rsid w:val="0077082B"/>
    <w:rsid w:val="00770994"/>
    <w:rsid w:val="00770E60"/>
    <w:rsid w:val="00771594"/>
    <w:rsid w:val="00771C8F"/>
    <w:rsid w:val="0077266E"/>
    <w:rsid w:val="0077292E"/>
    <w:rsid w:val="00772A5F"/>
    <w:rsid w:val="007737D4"/>
    <w:rsid w:val="007737D8"/>
    <w:rsid w:val="0077391C"/>
    <w:rsid w:val="00773D24"/>
    <w:rsid w:val="00774576"/>
    <w:rsid w:val="007745DA"/>
    <w:rsid w:val="0077508A"/>
    <w:rsid w:val="00775475"/>
    <w:rsid w:val="00775567"/>
    <w:rsid w:val="00775B7C"/>
    <w:rsid w:val="00775E0D"/>
    <w:rsid w:val="00776343"/>
    <w:rsid w:val="00776416"/>
    <w:rsid w:val="00776C7B"/>
    <w:rsid w:val="00776CEF"/>
    <w:rsid w:val="00777E7E"/>
    <w:rsid w:val="00777EFA"/>
    <w:rsid w:val="007804DD"/>
    <w:rsid w:val="00780EC1"/>
    <w:rsid w:val="00780F3B"/>
    <w:rsid w:val="0078115B"/>
    <w:rsid w:val="007816EE"/>
    <w:rsid w:val="00782071"/>
    <w:rsid w:val="00782783"/>
    <w:rsid w:val="00782946"/>
    <w:rsid w:val="00782ECD"/>
    <w:rsid w:val="0078363B"/>
    <w:rsid w:val="00783CCF"/>
    <w:rsid w:val="00783F5B"/>
    <w:rsid w:val="00784609"/>
    <w:rsid w:val="00784720"/>
    <w:rsid w:val="0078481D"/>
    <w:rsid w:val="00784D91"/>
    <w:rsid w:val="007859FC"/>
    <w:rsid w:val="00785F1E"/>
    <w:rsid w:val="00785F4C"/>
    <w:rsid w:val="0078609C"/>
    <w:rsid w:val="00786355"/>
    <w:rsid w:val="00786C0C"/>
    <w:rsid w:val="00787370"/>
    <w:rsid w:val="007874AE"/>
    <w:rsid w:val="0078750B"/>
    <w:rsid w:val="00787DF9"/>
    <w:rsid w:val="00787F5E"/>
    <w:rsid w:val="0079024D"/>
    <w:rsid w:val="00791069"/>
    <w:rsid w:val="007911B8"/>
    <w:rsid w:val="00791DAE"/>
    <w:rsid w:val="007930E8"/>
    <w:rsid w:val="00793A57"/>
    <w:rsid w:val="00793A9C"/>
    <w:rsid w:val="00793F28"/>
    <w:rsid w:val="007944D2"/>
    <w:rsid w:val="00794AC7"/>
    <w:rsid w:val="00794B19"/>
    <w:rsid w:val="00794FFA"/>
    <w:rsid w:val="00795B8D"/>
    <w:rsid w:val="00795E34"/>
    <w:rsid w:val="00795F0E"/>
    <w:rsid w:val="00796CD2"/>
    <w:rsid w:val="00797D8F"/>
    <w:rsid w:val="007A0C00"/>
    <w:rsid w:val="007A0E15"/>
    <w:rsid w:val="007A176E"/>
    <w:rsid w:val="007A19BF"/>
    <w:rsid w:val="007A2A69"/>
    <w:rsid w:val="007A2CF1"/>
    <w:rsid w:val="007A2E92"/>
    <w:rsid w:val="007A3579"/>
    <w:rsid w:val="007A384E"/>
    <w:rsid w:val="007A3EDF"/>
    <w:rsid w:val="007A41B5"/>
    <w:rsid w:val="007A4486"/>
    <w:rsid w:val="007A4682"/>
    <w:rsid w:val="007A5879"/>
    <w:rsid w:val="007A58A8"/>
    <w:rsid w:val="007A5BDC"/>
    <w:rsid w:val="007A629D"/>
    <w:rsid w:val="007A6610"/>
    <w:rsid w:val="007A6D51"/>
    <w:rsid w:val="007A6DD3"/>
    <w:rsid w:val="007A6FF3"/>
    <w:rsid w:val="007A7169"/>
    <w:rsid w:val="007A71DC"/>
    <w:rsid w:val="007A7A04"/>
    <w:rsid w:val="007B04FF"/>
    <w:rsid w:val="007B0976"/>
    <w:rsid w:val="007B0CAC"/>
    <w:rsid w:val="007B1232"/>
    <w:rsid w:val="007B15F3"/>
    <w:rsid w:val="007B1701"/>
    <w:rsid w:val="007B1C32"/>
    <w:rsid w:val="007B1DBB"/>
    <w:rsid w:val="007B1E0F"/>
    <w:rsid w:val="007B2319"/>
    <w:rsid w:val="007B2FBF"/>
    <w:rsid w:val="007B3E13"/>
    <w:rsid w:val="007B4044"/>
    <w:rsid w:val="007B4046"/>
    <w:rsid w:val="007B4300"/>
    <w:rsid w:val="007B53A7"/>
    <w:rsid w:val="007B565C"/>
    <w:rsid w:val="007B56C5"/>
    <w:rsid w:val="007B595F"/>
    <w:rsid w:val="007B5D75"/>
    <w:rsid w:val="007B6D5E"/>
    <w:rsid w:val="007B6F90"/>
    <w:rsid w:val="007B7115"/>
    <w:rsid w:val="007B736B"/>
    <w:rsid w:val="007C012E"/>
    <w:rsid w:val="007C055A"/>
    <w:rsid w:val="007C0853"/>
    <w:rsid w:val="007C0C90"/>
    <w:rsid w:val="007C0E07"/>
    <w:rsid w:val="007C0E86"/>
    <w:rsid w:val="007C249E"/>
    <w:rsid w:val="007C26CF"/>
    <w:rsid w:val="007C271B"/>
    <w:rsid w:val="007C2C14"/>
    <w:rsid w:val="007C3A55"/>
    <w:rsid w:val="007C3BB8"/>
    <w:rsid w:val="007C3D67"/>
    <w:rsid w:val="007C404B"/>
    <w:rsid w:val="007C4166"/>
    <w:rsid w:val="007C44E1"/>
    <w:rsid w:val="007C48DD"/>
    <w:rsid w:val="007C4A05"/>
    <w:rsid w:val="007C5711"/>
    <w:rsid w:val="007C57B9"/>
    <w:rsid w:val="007C6325"/>
    <w:rsid w:val="007C73A3"/>
    <w:rsid w:val="007C7975"/>
    <w:rsid w:val="007C7EF5"/>
    <w:rsid w:val="007D0227"/>
    <w:rsid w:val="007D06AC"/>
    <w:rsid w:val="007D0741"/>
    <w:rsid w:val="007D0A53"/>
    <w:rsid w:val="007D0FFC"/>
    <w:rsid w:val="007D1013"/>
    <w:rsid w:val="007D140E"/>
    <w:rsid w:val="007D19EC"/>
    <w:rsid w:val="007D1B28"/>
    <w:rsid w:val="007D2608"/>
    <w:rsid w:val="007D30C3"/>
    <w:rsid w:val="007D35AC"/>
    <w:rsid w:val="007D36B1"/>
    <w:rsid w:val="007D36D7"/>
    <w:rsid w:val="007D3BA1"/>
    <w:rsid w:val="007D3EC8"/>
    <w:rsid w:val="007D40AC"/>
    <w:rsid w:val="007D4317"/>
    <w:rsid w:val="007D4C12"/>
    <w:rsid w:val="007D57E0"/>
    <w:rsid w:val="007D5962"/>
    <w:rsid w:val="007D5A2B"/>
    <w:rsid w:val="007D6213"/>
    <w:rsid w:val="007D63B2"/>
    <w:rsid w:val="007D651D"/>
    <w:rsid w:val="007D71B7"/>
    <w:rsid w:val="007D7C66"/>
    <w:rsid w:val="007D7CF3"/>
    <w:rsid w:val="007E0274"/>
    <w:rsid w:val="007E02A7"/>
    <w:rsid w:val="007E0358"/>
    <w:rsid w:val="007E0415"/>
    <w:rsid w:val="007E0991"/>
    <w:rsid w:val="007E0B2C"/>
    <w:rsid w:val="007E0BD1"/>
    <w:rsid w:val="007E107F"/>
    <w:rsid w:val="007E2FD7"/>
    <w:rsid w:val="007E310B"/>
    <w:rsid w:val="007E3275"/>
    <w:rsid w:val="007E38DA"/>
    <w:rsid w:val="007E3D65"/>
    <w:rsid w:val="007E3EE2"/>
    <w:rsid w:val="007E47E7"/>
    <w:rsid w:val="007E4A98"/>
    <w:rsid w:val="007E4EB6"/>
    <w:rsid w:val="007E5DD7"/>
    <w:rsid w:val="007E6B8C"/>
    <w:rsid w:val="007E6FB9"/>
    <w:rsid w:val="007E7139"/>
    <w:rsid w:val="007E7366"/>
    <w:rsid w:val="007E7EA1"/>
    <w:rsid w:val="007E7EA4"/>
    <w:rsid w:val="007F03CE"/>
    <w:rsid w:val="007F04D3"/>
    <w:rsid w:val="007F137D"/>
    <w:rsid w:val="007F17B5"/>
    <w:rsid w:val="007F2D8D"/>
    <w:rsid w:val="007F2EBF"/>
    <w:rsid w:val="007F3044"/>
    <w:rsid w:val="007F3249"/>
    <w:rsid w:val="007F3704"/>
    <w:rsid w:val="007F4657"/>
    <w:rsid w:val="007F4A02"/>
    <w:rsid w:val="007F5609"/>
    <w:rsid w:val="007F5625"/>
    <w:rsid w:val="007F568A"/>
    <w:rsid w:val="007F59F7"/>
    <w:rsid w:val="007F5E21"/>
    <w:rsid w:val="007F6413"/>
    <w:rsid w:val="007F676E"/>
    <w:rsid w:val="007F6B11"/>
    <w:rsid w:val="007F6E2B"/>
    <w:rsid w:val="007F7033"/>
    <w:rsid w:val="007F7D12"/>
    <w:rsid w:val="007F7F02"/>
    <w:rsid w:val="00800258"/>
    <w:rsid w:val="00800C97"/>
    <w:rsid w:val="0080220F"/>
    <w:rsid w:val="008026A7"/>
    <w:rsid w:val="00802735"/>
    <w:rsid w:val="008028C2"/>
    <w:rsid w:val="00802DDB"/>
    <w:rsid w:val="00802FC1"/>
    <w:rsid w:val="00803445"/>
    <w:rsid w:val="008037D8"/>
    <w:rsid w:val="00803B7E"/>
    <w:rsid w:val="00803DA6"/>
    <w:rsid w:val="008040D9"/>
    <w:rsid w:val="0080436E"/>
    <w:rsid w:val="00804937"/>
    <w:rsid w:val="00804C02"/>
    <w:rsid w:val="00804E1E"/>
    <w:rsid w:val="00804E43"/>
    <w:rsid w:val="008050F5"/>
    <w:rsid w:val="0080519C"/>
    <w:rsid w:val="0080553F"/>
    <w:rsid w:val="00805E48"/>
    <w:rsid w:val="0080637D"/>
    <w:rsid w:val="00807ADD"/>
    <w:rsid w:val="00810BC2"/>
    <w:rsid w:val="00811683"/>
    <w:rsid w:val="00811AFF"/>
    <w:rsid w:val="00812373"/>
    <w:rsid w:val="00812D30"/>
    <w:rsid w:val="00813F3A"/>
    <w:rsid w:val="008140E8"/>
    <w:rsid w:val="008148D4"/>
    <w:rsid w:val="0081491F"/>
    <w:rsid w:val="00814941"/>
    <w:rsid w:val="00814A65"/>
    <w:rsid w:val="00814BD9"/>
    <w:rsid w:val="00814F68"/>
    <w:rsid w:val="008158AC"/>
    <w:rsid w:val="00816805"/>
    <w:rsid w:val="00816BE8"/>
    <w:rsid w:val="00816CD5"/>
    <w:rsid w:val="00816DBD"/>
    <w:rsid w:val="00816FE2"/>
    <w:rsid w:val="00817062"/>
    <w:rsid w:val="008173DD"/>
    <w:rsid w:val="00817991"/>
    <w:rsid w:val="00817F58"/>
    <w:rsid w:val="008203C5"/>
    <w:rsid w:val="00820B84"/>
    <w:rsid w:val="0082199B"/>
    <w:rsid w:val="00821C2A"/>
    <w:rsid w:val="00821C61"/>
    <w:rsid w:val="008227B7"/>
    <w:rsid w:val="008234D2"/>
    <w:rsid w:val="008243A8"/>
    <w:rsid w:val="00824925"/>
    <w:rsid w:val="00824C8B"/>
    <w:rsid w:val="008252E8"/>
    <w:rsid w:val="00825BA8"/>
    <w:rsid w:val="00825C14"/>
    <w:rsid w:val="00826344"/>
    <w:rsid w:val="0082641D"/>
    <w:rsid w:val="008267CA"/>
    <w:rsid w:val="00826E45"/>
    <w:rsid w:val="008270EE"/>
    <w:rsid w:val="0082722B"/>
    <w:rsid w:val="0082745B"/>
    <w:rsid w:val="00827C1B"/>
    <w:rsid w:val="0083016B"/>
    <w:rsid w:val="008301F1"/>
    <w:rsid w:val="00830C0E"/>
    <w:rsid w:val="00830DD6"/>
    <w:rsid w:val="008313E0"/>
    <w:rsid w:val="008317EC"/>
    <w:rsid w:val="0083195D"/>
    <w:rsid w:val="00831B7B"/>
    <w:rsid w:val="00831D90"/>
    <w:rsid w:val="008322B9"/>
    <w:rsid w:val="008324F3"/>
    <w:rsid w:val="00832691"/>
    <w:rsid w:val="0083296B"/>
    <w:rsid w:val="00832B8A"/>
    <w:rsid w:val="00833547"/>
    <w:rsid w:val="00833852"/>
    <w:rsid w:val="00833967"/>
    <w:rsid w:val="00833AB9"/>
    <w:rsid w:val="00833B62"/>
    <w:rsid w:val="0083436A"/>
    <w:rsid w:val="00834820"/>
    <w:rsid w:val="00834C82"/>
    <w:rsid w:val="00834DB6"/>
    <w:rsid w:val="00834F93"/>
    <w:rsid w:val="00835F72"/>
    <w:rsid w:val="00840C4A"/>
    <w:rsid w:val="008411B9"/>
    <w:rsid w:val="0084122F"/>
    <w:rsid w:val="00841573"/>
    <w:rsid w:val="00841D08"/>
    <w:rsid w:val="00842D43"/>
    <w:rsid w:val="0084323E"/>
    <w:rsid w:val="00843894"/>
    <w:rsid w:val="00843D50"/>
    <w:rsid w:val="008441D9"/>
    <w:rsid w:val="0084464E"/>
    <w:rsid w:val="00844D85"/>
    <w:rsid w:val="008458BF"/>
    <w:rsid w:val="00846262"/>
    <w:rsid w:val="00846370"/>
    <w:rsid w:val="008463E8"/>
    <w:rsid w:val="008468BA"/>
    <w:rsid w:val="00847665"/>
    <w:rsid w:val="008478B7"/>
    <w:rsid w:val="00847925"/>
    <w:rsid w:val="00847BC5"/>
    <w:rsid w:val="00847F11"/>
    <w:rsid w:val="00850010"/>
    <w:rsid w:val="008503F4"/>
    <w:rsid w:val="008504A0"/>
    <w:rsid w:val="00850996"/>
    <w:rsid w:val="00850AC1"/>
    <w:rsid w:val="00850C2A"/>
    <w:rsid w:val="00850DFA"/>
    <w:rsid w:val="00851331"/>
    <w:rsid w:val="008516D1"/>
    <w:rsid w:val="00851CC8"/>
    <w:rsid w:val="00852003"/>
    <w:rsid w:val="0085212C"/>
    <w:rsid w:val="0085223F"/>
    <w:rsid w:val="008529FD"/>
    <w:rsid w:val="00852F9E"/>
    <w:rsid w:val="008539C0"/>
    <w:rsid w:val="00854053"/>
    <w:rsid w:val="008543AC"/>
    <w:rsid w:val="008548B8"/>
    <w:rsid w:val="00854965"/>
    <w:rsid w:val="008554D1"/>
    <w:rsid w:val="00855897"/>
    <w:rsid w:val="008558E0"/>
    <w:rsid w:val="008569E0"/>
    <w:rsid w:val="0085745B"/>
    <w:rsid w:val="00857AF7"/>
    <w:rsid w:val="00857BE5"/>
    <w:rsid w:val="00860109"/>
    <w:rsid w:val="008601BD"/>
    <w:rsid w:val="00860359"/>
    <w:rsid w:val="00860E43"/>
    <w:rsid w:val="00861252"/>
    <w:rsid w:val="0086171A"/>
    <w:rsid w:val="0086226C"/>
    <w:rsid w:val="00863C07"/>
    <w:rsid w:val="008640B7"/>
    <w:rsid w:val="00864379"/>
    <w:rsid w:val="008644A4"/>
    <w:rsid w:val="00864A6C"/>
    <w:rsid w:val="00864BB1"/>
    <w:rsid w:val="00864DF7"/>
    <w:rsid w:val="00865278"/>
    <w:rsid w:val="008654F9"/>
    <w:rsid w:val="008658C0"/>
    <w:rsid w:val="00866388"/>
    <w:rsid w:val="00866A5E"/>
    <w:rsid w:val="00866FE3"/>
    <w:rsid w:val="0086722D"/>
    <w:rsid w:val="00867459"/>
    <w:rsid w:val="00867D56"/>
    <w:rsid w:val="00867D70"/>
    <w:rsid w:val="0087018F"/>
    <w:rsid w:val="00870646"/>
    <w:rsid w:val="008706C3"/>
    <w:rsid w:val="00870BAA"/>
    <w:rsid w:val="00870D91"/>
    <w:rsid w:val="008716D1"/>
    <w:rsid w:val="008716ED"/>
    <w:rsid w:val="008718AD"/>
    <w:rsid w:val="0087193F"/>
    <w:rsid w:val="008724E6"/>
    <w:rsid w:val="008728C8"/>
    <w:rsid w:val="00873205"/>
    <w:rsid w:val="008735E8"/>
    <w:rsid w:val="00873662"/>
    <w:rsid w:val="0087377E"/>
    <w:rsid w:val="00874594"/>
    <w:rsid w:val="00874776"/>
    <w:rsid w:val="0087487C"/>
    <w:rsid w:val="00874A07"/>
    <w:rsid w:val="00874B75"/>
    <w:rsid w:val="00875007"/>
    <w:rsid w:val="008750DB"/>
    <w:rsid w:val="008751B4"/>
    <w:rsid w:val="0087527F"/>
    <w:rsid w:val="008754B5"/>
    <w:rsid w:val="00875AF3"/>
    <w:rsid w:val="008765E9"/>
    <w:rsid w:val="00876605"/>
    <w:rsid w:val="00876B13"/>
    <w:rsid w:val="00877940"/>
    <w:rsid w:val="0087796A"/>
    <w:rsid w:val="00880017"/>
    <w:rsid w:val="00880305"/>
    <w:rsid w:val="0088088A"/>
    <w:rsid w:val="00880A3F"/>
    <w:rsid w:val="00880EE2"/>
    <w:rsid w:val="00881155"/>
    <w:rsid w:val="008813BC"/>
    <w:rsid w:val="00881732"/>
    <w:rsid w:val="008818A2"/>
    <w:rsid w:val="00881FF9"/>
    <w:rsid w:val="0088213D"/>
    <w:rsid w:val="008821C6"/>
    <w:rsid w:val="0088243D"/>
    <w:rsid w:val="0088251A"/>
    <w:rsid w:val="00882530"/>
    <w:rsid w:val="0088288C"/>
    <w:rsid w:val="00882D28"/>
    <w:rsid w:val="00883A67"/>
    <w:rsid w:val="0088459D"/>
    <w:rsid w:val="008848E9"/>
    <w:rsid w:val="00884FD8"/>
    <w:rsid w:val="00885244"/>
    <w:rsid w:val="008857C7"/>
    <w:rsid w:val="008858B3"/>
    <w:rsid w:val="00885BF6"/>
    <w:rsid w:val="008866CF"/>
    <w:rsid w:val="00886782"/>
    <w:rsid w:val="008869A1"/>
    <w:rsid w:val="00886B3F"/>
    <w:rsid w:val="008878B9"/>
    <w:rsid w:val="0089015D"/>
    <w:rsid w:val="0089021A"/>
    <w:rsid w:val="0089022E"/>
    <w:rsid w:val="00890475"/>
    <w:rsid w:val="00890A7C"/>
    <w:rsid w:val="00890D11"/>
    <w:rsid w:val="008910EE"/>
    <w:rsid w:val="00891204"/>
    <w:rsid w:val="00891A26"/>
    <w:rsid w:val="00891BCE"/>
    <w:rsid w:val="008923F8"/>
    <w:rsid w:val="008928F1"/>
    <w:rsid w:val="00892BBF"/>
    <w:rsid w:val="00892DB5"/>
    <w:rsid w:val="00893F27"/>
    <w:rsid w:val="008942BD"/>
    <w:rsid w:val="0089478A"/>
    <w:rsid w:val="0089480A"/>
    <w:rsid w:val="00894FE5"/>
    <w:rsid w:val="00895658"/>
    <w:rsid w:val="008956DA"/>
    <w:rsid w:val="00895BA9"/>
    <w:rsid w:val="00895D79"/>
    <w:rsid w:val="0089601B"/>
    <w:rsid w:val="0089655D"/>
    <w:rsid w:val="00896784"/>
    <w:rsid w:val="00896C56"/>
    <w:rsid w:val="00897051"/>
    <w:rsid w:val="00897824"/>
    <w:rsid w:val="00897BCB"/>
    <w:rsid w:val="00897C07"/>
    <w:rsid w:val="00897DBA"/>
    <w:rsid w:val="008A02FA"/>
    <w:rsid w:val="008A06A8"/>
    <w:rsid w:val="008A0BCE"/>
    <w:rsid w:val="008A1AAC"/>
    <w:rsid w:val="008A20CA"/>
    <w:rsid w:val="008A239B"/>
    <w:rsid w:val="008A23AB"/>
    <w:rsid w:val="008A28B6"/>
    <w:rsid w:val="008A2956"/>
    <w:rsid w:val="008A2EA1"/>
    <w:rsid w:val="008A2EF6"/>
    <w:rsid w:val="008A336C"/>
    <w:rsid w:val="008A3480"/>
    <w:rsid w:val="008A3642"/>
    <w:rsid w:val="008A3C36"/>
    <w:rsid w:val="008A4F3C"/>
    <w:rsid w:val="008A51AD"/>
    <w:rsid w:val="008A53BA"/>
    <w:rsid w:val="008A551D"/>
    <w:rsid w:val="008A56BA"/>
    <w:rsid w:val="008A570A"/>
    <w:rsid w:val="008A58E4"/>
    <w:rsid w:val="008A58E7"/>
    <w:rsid w:val="008A5C1D"/>
    <w:rsid w:val="008A615A"/>
    <w:rsid w:val="008A6357"/>
    <w:rsid w:val="008A64AA"/>
    <w:rsid w:val="008A650C"/>
    <w:rsid w:val="008A66E1"/>
    <w:rsid w:val="008A6A36"/>
    <w:rsid w:val="008A6CB9"/>
    <w:rsid w:val="008A6DC1"/>
    <w:rsid w:val="008A6DD4"/>
    <w:rsid w:val="008A7083"/>
    <w:rsid w:val="008A7100"/>
    <w:rsid w:val="008A7139"/>
    <w:rsid w:val="008A776D"/>
    <w:rsid w:val="008A7C74"/>
    <w:rsid w:val="008B03BD"/>
    <w:rsid w:val="008B04C0"/>
    <w:rsid w:val="008B09E1"/>
    <w:rsid w:val="008B0A83"/>
    <w:rsid w:val="008B0DCF"/>
    <w:rsid w:val="008B0E93"/>
    <w:rsid w:val="008B0F8D"/>
    <w:rsid w:val="008B198D"/>
    <w:rsid w:val="008B210A"/>
    <w:rsid w:val="008B23A8"/>
    <w:rsid w:val="008B29A4"/>
    <w:rsid w:val="008B2BB4"/>
    <w:rsid w:val="008B2C30"/>
    <w:rsid w:val="008B3C2B"/>
    <w:rsid w:val="008B4679"/>
    <w:rsid w:val="008B4D00"/>
    <w:rsid w:val="008B4D13"/>
    <w:rsid w:val="008B4E78"/>
    <w:rsid w:val="008B4FE2"/>
    <w:rsid w:val="008B61A1"/>
    <w:rsid w:val="008B66EE"/>
    <w:rsid w:val="008B6793"/>
    <w:rsid w:val="008B6E87"/>
    <w:rsid w:val="008B7588"/>
    <w:rsid w:val="008B75C2"/>
    <w:rsid w:val="008B787A"/>
    <w:rsid w:val="008C0A89"/>
    <w:rsid w:val="008C0CBD"/>
    <w:rsid w:val="008C0E71"/>
    <w:rsid w:val="008C1852"/>
    <w:rsid w:val="008C269F"/>
    <w:rsid w:val="008C2AF0"/>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7373"/>
    <w:rsid w:val="008C742A"/>
    <w:rsid w:val="008C74C7"/>
    <w:rsid w:val="008C76A5"/>
    <w:rsid w:val="008C7714"/>
    <w:rsid w:val="008C7F4F"/>
    <w:rsid w:val="008D007F"/>
    <w:rsid w:val="008D00F3"/>
    <w:rsid w:val="008D03C3"/>
    <w:rsid w:val="008D0F27"/>
    <w:rsid w:val="008D11F0"/>
    <w:rsid w:val="008D15A2"/>
    <w:rsid w:val="008D1839"/>
    <w:rsid w:val="008D18CD"/>
    <w:rsid w:val="008D1F86"/>
    <w:rsid w:val="008D20E0"/>
    <w:rsid w:val="008D2B6E"/>
    <w:rsid w:val="008D2C5D"/>
    <w:rsid w:val="008D335C"/>
    <w:rsid w:val="008D35B7"/>
    <w:rsid w:val="008D4007"/>
    <w:rsid w:val="008D436A"/>
    <w:rsid w:val="008D46D3"/>
    <w:rsid w:val="008D4C72"/>
    <w:rsid w:val="008D4CF8"/>
    <w:rsid w:val="008D5291"/>
    <w:rsid w:val="008D5368"/>
    <w:rsid w:val="008D561B"/>
    <w:rsid w:val="008D582B"/>
    <w:rsid w:val="008D5CF9"/>
    <w:rsid w:val="008D5D0A"/>
    <w:rsid w:val="008D6794"/>
    <w:rsid w:val="008D7F65"/>
    <w:rsid w:val="008E00C1"/>
    <w:rsid w:val="008E0178"/>
    <w:rsid w:val="008E02F8"/>
    <w:rsid w:val="008E0E9B"/>
    <w:rsid w:val="008E12AF"/>
    <w:rsid w:val="008E1342"/>
    <w:rsid w:val="008E17F3"/>
    <w:rsid w:val="008E1DC9"/>
    <w:rsid w:val="008E1F11"/>
    <w:rsid w:val="008E211C"/>
    <w:rsid w:val="008E24E4"/>
    <w:rsid w:val="008E25C5"/>
    <w:rsid w:val="008E26B3"/>
    <w:rsid w:val="008E28EC"/>
    <w:rsid w:val="008E2BB3"/>
    <w:rsid w:val="008E2BC5"/>
    <w:rsid w:val="008E2C79"/>
    <w:rsid w:val="008E3176"/>
    <w:rsid w:val="008E3564"/>
    <w:rsid w:val="008E3A0B"/>
    <w:rsid w:val="008E3A90"/>
    <w:rsid w:val="008E3AAB"/>
    <w:rsid w:val="008E4043"/>
    <w:rsid w:val="008E4520"/>
    <w:rsid w:val="008E54E8"/>
    <w:rsid w:val="008E5740"/>
    <w:rsid w:val="008E5868"/>
    <w:rsid w:val="008E5ADB"/>
    <w:rsid w:val="008E5DC8"/>
    <w:rsid w:val="008E6465"/>
    <w:rsid w:val="008E6C57"/>
    <w:rsid w:val="008E7082"/>
    <w:rsid w:val="008E72AF"/>
    <w:rsid w:val="008F0652"/>
    <w:rsid w:val="008F069E"/>
    <w:rsid w:val="008F0952"/>
    <w:rsid w:val="008F1154"/>
    <w:rsid w:val="008F1B84"/>
    <w:rsid w:val="008F1B9D"/>
    <w:rsid w:val="008F1DB6"/>
    <w:rsid w:val="008F32B6"/>
    <w:rsid w:val="008F337C"/>
    <w:rsid w:val="008F3563"/>
    <w:rsid w:val="008F39C0"/>
    <w:rsid w:val="008F39E4"/>
    <w:rsid w:val="008F506D"/>
    <w:rsid w:val="008F57CD"/>
    <w:rsid w:val="008F5960"/>
    <w:rsid w:val="008F5CD0"/>
    <w:rsid w:val="008F5E90"/>
    <w:rsid w:val="008F629A"/>
    <w:rsid w:val="008F6A9B"/>
    <w:rsid w:val="008F6F03"/>
    <w:rsid w:val="008F7603"/>
    <w:rsid w:val="008F769D"/>
    <w:rsid w:val="008F76B7"/>
    <w:rsid w:val="008F76DC"/>
    <w:rsid w:val="008F7D2F"/>
    <w:rsid w:val="009005B5"/>
    <w:rsid w:val="009013C5"/>
    <w:rsid w:val="0090147B"/>
    <w:rsid w:val="00901649"/>
    <w:rsid w:val="009019D7"/>
    <w:rsid w:val="00901CBA"/>
    <w:rsid w:val="00901DC6"/>
    <w:rsid w:val="009021DC"/>
    <w:rsid w:val="0090254E"/>
    <w:rsid w:val="00903026"/>
    <w:rsid w:val="0090357B"/>
    <w:rsid w:val="00903832"/>
    <w:rsid w:val="009042D0"/>
    <w:rsid w:val="009044BE"/>
    <w:rsid w:val="009048EB"/>
    <w:rsid w:val="00904913"/>
    <w:rsid w:val="00904B8A"/>
    <w:rsid w:val="00904C15"/>
    <w:rsid w:val="009050B3"/>
    <w:rsid w:val="00905298"/>
    <w:rsid w:val="00905945"/>
    <w:rsid w:val="00905FEB"/>
    <w:rsid w:val="00906164"/>
    <w:rsid w:val="00906252"/>
    <w:rsid w:val="0090672E"/>
    <w:rsid w:val="009068C6"/>
    <w:rsid w:val="00906A4F"/>
    <w:rsid w:val="00906ACE"/>
    <w:rsid w:val="00906BD6"/>
    <w:rsid w:val="00907074"/>
    <w:rsid w:val="009073C7"/>
    <w:rsid w:val="009078BA"/>
    <w:rsid w:val="009079C7"/>
    <w:rsid w:val="009079F7"/>
    <w:rsid w:val="00907B44"/>
    <w:rsid w:val="00907C33"/>
    <w:rsid w:val="00907DB8"/>
    <w:rsid w:val="009108D2"/>
    <w:rsid w:val="00910C20"/>
    <w:rsid w:val="00910FE1"/>
    <w:rsid w:val="0091106A"/>
    <w:rsid w:val="00911C09"/>
    <w:rsid w:val="00911D1C"/>
    <w:rsid w:val="00912F38"/>
    <w:rsid w:val="0091340D"/>
    <w:rsid w:val="00913C58"/>
    <w:rsid w:val="009140B4"/>
    <w:rsid w:val="00914174"/>
    <w:rsid w:val="0091428A"/>
    <w:rsid w:val="00914733"/>
    <w:rsid w:val="0091495E"/>
    <w:rsid w:val="00914AA5"/>
    <w:rsid w:val="009162DD"/>
    <w:rsid w:val="009163E7"/>
    <w:rsid w:val="0091671A"/>
    <w:rsid w:val="009169F6"/>
    <w:rsid w:val="0091719D"/>
    <w:rsid w:val="00917903"/>
    <w:rsid w:val="009179BF"/>
    <w:rsid w:val="00917BEA"/>
    <w:rsid w:val="00917DF0"/>
    <w:rsid w:val="00920189"/>
    <w:rsid w:val="00920203"/>
    <w:rsid w:val="009203A2"/>
    <w:rsid w:val="00920997"/>
    <w:rsid w:val="00920B1E"/>
    <w:rsid w:val="00920DD5"/>
    <w:rsid w:val="00921161"/>
    <w:rsid w:val="0092128B"/>
    <w:rsid w:val="00922492"/>
    <w:rsid w:val="009224EB"/>
    <w:rsid w:val="0092272F"/>
    <w:rsid w:val="00922BE2"/>
    <w:rsid w:val="00922EDE"/>
    <w:rsid w:val="009237D9"/>
    <w:rsid w:val="0092406C"/>
    <w:rsid w:val="00924096"/>
    <w:rsid w:val="00924116"/>
    <w:rsid w:val="009243BC"/>
    <w:rsid w:val="009244D5"/>
    <w:rsid w:val="0092523A"/>
    <w:rsid w:val="009252F1"/>
    <w:rsid w:val="00925588"/>
    <w:rsid w:val="00925A0E"/>
    <w:rsid w:val="00925AF5"/>
    <w:rsid w:val="009261FC"/>
    <w:rsid w:val="00926268"/>
    <w:rsid w:val="00926416"/>
    <w:rsid w:val="009264A2"/>
    <w:rsid w:val="0092715D"/>
    <w:rsid w:val="00927299"/>
    <w:rsid w:val="00927585"/>
    <w:rsid w:val="00930632"/>
    <w:rsid w:val="009310BC"/>
    <w:rsid w:val="00931D3F"/>
    <w:rsid w:val="009324C4"/>
    <w:rsid w:val="00932671"/>
    <w:rsid w:val="00932A7A"/>
    <w:rsid w:val="00932D26"/>
    <w:rsid w:val="00932D49"/>
    <w:rsid w:val="009330BF"/>
    <w:rsid w:val="00933817"/>
    <w:rsid w:val="00933EE7"/>
    <w:rsid w:val="00934510"/>
    <w:rsid w:val="0093476C"/>
    <w:rsid w:val="00935A1E"/>
    <w:rsid w:val="00935AA3"/>
    <w:rsid w:val="00935B7C"/>
    <w:rsid w:val="00935BC9"/>
    <w:rsid w:val="00935E3A"/>
    <w:rsid w:val="00936005"/>
    <w:rsid w:val="0093607C"/>
    <w:rsid w:val="0093679A"/>
    <w:rsid w:val="00940008"/>
    <w:rsid w:val="00940F93"/>
    <w:rsid w:val="00940FFA"/>
    <w:rsid w:val="00941503"/>
    <w:rsid w:val="0094185F"/>
    <w:rsid w:val="0094187D"/>
    <w:rsid w:val="00941A4A"/>
    <w:rsid w:val="009423ED"/>
    <w:rsid w:val="00942C90"/>
    <w:rsid w:val="00942F29"/>
    <w:rsid w:val="00942FB6"/>
    <w:rsid w:val="009430E1"/>
    <w:rsid w:val="009434EB"/>
    <w:rsid w:val="00943EA6"/>
    <w:rsid w:val="009443F2"/>
    <w:rsid w:val="00944510"/>
    <w:rsid w:val="009448F2"/>
    <w:rsid w:val="009451E0"/>
    <w:rsid w:val="0094524B"/>
    <w:rsid w:val="009456E3"/>
    <w:rsid w:val="00945759"/>
    <w:rsid w:val="00945925"/>
    <w:rsid w:val="00945949"/>
    <w:rsid w:val="009466E9"/>
    <w:rsid w:val="00946CB3"/>
    <w:rsid w:val="00946D20"/>
    <w:rsid w:val="00946E51"/>
    <w:rsid w:val="009470FE"/>
    <w:rsid w:val="009473F4"/>
    <w:rsid w:val="0094747C"/>
    <w:rsid w:val="0094767D"/>
    <w:rsid w:val="00947EB9"/>
    <w:rsid w:val="00950231"/>
    <w:rsid w:val="00950794"/>
    <w:rsid w:val="009507AA"/>
    <w:rsid w:val="009509EF"/>
    <w:rsid w:val="009515CA"/>
    <w:rsid w:val="00951691"/>
    <w:rsid w:val="00951FCE"/>
    <w:rsid w:val="009521CC"/>
    <w:rsid w:val="0095226C"/>
    <w:rsid w:val="0095269B"/>
    <w:rsid w:val="00952C05"/>
    <w:rsid w:val="00952D52"/>
    <w:rsid w:val="009540B7"/>
    <w:rsid w:val="009543D0"/>
    <w:rsid w:val="0095448C"/>
    <w:rsid w:val="00954AF9"/>
    <w:rsid w:val="00954DAE"/>
    <w:rsid w:val="00955410"/>
    <w:rsid w:val="009558EE"/>
    <w:rsid w:val="009559D5"/>
    <w:rsid w:val="00955C17"/>
    <w:rsid w:val="00955FFA"/>
    <w:rsid w:val="00956170"/>
    <w:rsid w:val="00956BA1"/>
    <w:rsid w:val="00956D42"/>
    <w:rsid w:val="00956F0F"/>
    <w:rsid w:val="0095727F"/>
    <w:rsid w:val="009572AF"/>
    <w:rsid w:val="00957D62"/>
    <w:rsid w:val="00957E41"/>
    <w:rsid w:val="0096016E"/>
    <w:rsid w:val="0096023A"/>
    <w:rsid w:val="009607AB"/>
    <w:rsid w:val="00961154"/>
    <w:rsid w:val="009615DB"/>
    <w:rsid w:val="00962683"/>
    <w:rsid w:val="00962E23"/>
    <w:rsid w:val="009633ED"/>
    <w:rsid w:val="0096487C"/>
    <w:rsid w:val="00964B45"/>
    <w:rsid w:val="00964BC2"/>
    <w:rsid w:val="00964D4A"/>
    <w:rsid w:val="00964EAE"/>
    <w:rsid w:val="00965023"/>
    <w:rsid w:val="009650B7"/>
    <w:rsid w:val="0096515D"/>
    <w:rsid w:val="00965841"/>
    <w:rsid w:val="00966623"/>
    <w:rsid w:val="009678DB"/>
    <w:rsid w:val="00970728"/>
    <w:rsid w:val="009707C9"/>
    <w:rsid w:val="00971303"/>
    <w:rsid w:val="00971615"/>
    <w:rsid w:val="00971E0B"/>
    <w:rsid w:val="00972101"/>
    <w:rsid w:val="00972123"/>
    <w:rsid w:val="00972285"/>
    <w:rsid w:val="009723CC"/>
    <w:rsid w:val="00972FB5"/>
    <w:rsid w:val="00973607"/>
    <w:rsid w:val="009736FE"/>
    <w:rsid w:val="00973B96"/>
    <w:rsid w:val="00973E3C"/>
    <w:rsid w:val="00974763"/>
    <w:rsid w:val="009757CA"/>
    <w:rsid w:val="0097617E"/>
    <w:rsid w:val="00976E76"/>
    <w:rsid w:val="00977A14"/>
    <w:rsid w:val="00977DB2"/>
    <w:rsid w:val="00977E9B"/>
    <w:rsid w:val="009803E5"/>
    <w:rsid w:val="009807BF"/>
    <w:rsid w:val="009809CE"/>
    <w:rsid w:val="0098131F"/>
    <w:rsid w:val="00981479"/>
    <w:rsid w:val="009814DA"/>
    <w:rsid w:val="00981614"/>
    <w:rsid w:val="00981F74"/>
    <w:rsid w:val="0098237C"/>
    <w:rsid w:val="009829B3"/>
    <w:rsid w:val="00982C31"/>
    <w:rsid w:val="00982D45"/>
    <w:rsid w:val="00983165"/>
    <w:rsid w:val="00983343"/>
    <w:rsid w:val="009833C4"/>
    <w:rsid w:val="009834E0"/>
    <w:rsid w:val="009838FF"/>
    <w:rsid w:val="0098410C"/>
    <w:rsid w:val="00984149"/>
    <w:rsid w:val="00984788"/>
    <w:rsid w:val="00984909"/>
    <w:rsid w:val="00984FF3"/>
    <w:rsid w:val="00984FF9"/>
    <w:rsid w:val="009850C5"/>
    <w:rsid w:val="00986326"/>
    <w:rsid w:val="00986849"/>
    <w:rsid w:val="00986BB7"/>
    <w:rsid w:val="00986D4B"/>
    <w:rsid w:val="00986F6D"/>
    <w:rsid w:val="0098727C"/>
    <w:rsid w:val="00987708"/>
    <w:rsid w:val="00987DF0"/>
    <w:rsid w:val="00987E2E"/>
    <w:rsid w:val="0099008B"/>
    <w:rsid w:val="009904B8"/>
    <w:rsid w:val="0099177B"/>
    <w:rsid w:val="00991B8C"/>
    <w:rsid w:val="00991FAA"/>
    <w:rsid w:val="0099367E"/>
    <w:rsid w:val="00993F51"/>
    <w:rsid w:val="00993FE4"/>
    <w:rsid w:val="0099425E"/>
    <w:rsid w:val="00994942"/>
    <w:rsid w:val="00994CDC"/>
    <w:rsid w:val="00995AC3"/>
    <w:rsid w:val="009969CD"/>
    <w:rsid w:val="0099770A"/>
    <w:rsid w:val="00997769"/>
    <w:rsid w:val="00997A2E"/>
    <w:rsid w:val="009A048E"/>
    <w:rsid w:val="009A119F"/>
    <w:rsid w:val="009A1609"/>
    <w:rsid w:val="009A16A3"/>
    <w:rsid w:val="009A1702"/>
    <w:rsid w:val="009A1A7E"/>
    <w:rsid w:val="009A31CB"/>
    <w:rsid w:val="009A3480"/>
    <w:rsid w:val="009A3DB8"/>
    <w:rsid w:val="009A43B3"/>
    <w:rsid w:val="009A464D"/>
    <w:rsid w:val="009A496F"/>
    <w:rsid w:val="009A4B78"/>
    <w:rsid w:val="009A4C02"/>
    <w:rsid w:val="009A4D73"/>
    <w:rsid w:val="009A4E41"/>
    <w:rsid w:val="009A5297"/>
    <w:rsid w:val="009A5851"/>
    <w:rsid w:val="009A5D40"/>
    <w:rsid w:val="009A5E10"/>
    <w:rsid w:val="009A6665"/>
    <w:rsid w:val="009A743F"/>
    <w:rsid w:val="009A74F7"/>
    <w:rsid w:val="009B00F2"/>
    <w:rsid w:val="009B0FB2"/>
    <w:rsid w:val="009B1113"/>
    <w:rsid w:val="009B1C34"/>
    <w:rsid w:val="009B1D22"/>
    <w:rsid w:val="009B1E86"/>
    <w:rsid w:val="009B27C4"/>
    <w:rsid w:val="009B2BE6"/>
    <w:rsid w:val="009B2D92"/>
    <w:rsid w:val="009B31DE"/>
    <w:rsid w:val="009B3250"/>
    <w:rsid w:val="009B3D24"/>
    <w:rsid w:val="009B42D2"/>
    <w:rsid w:val="009B4A06"/>
    <w:rsid w:val="009B5518"/>
    <w:rsid w:val="009B60EA"/>
    <w:rsid w:val="009B70C8"/>
    <w:rsid w:val="009B737C"/>
    <w:rsid w:val="009B742E"/>
    <w:rsid w:val="009C0AC6"/>
    <w:rsid w:val="009C11B2"/>
    <w:rsid w:val="009C1456"/>
    <w:rsid w:val="009C164F"/>
    <w:rsid w:val="009C1C30"/>
    <w:rsid w:val="009C22DD"/>
    <w:rsid w:val="009C29D5"/>
    <w:rsid w:val="009C2C53"/>
    <w:rsid w:val="009C30A0"/>
    <w:rsid w:val="009C328C"/>
    <w:rsid w:val="009C359E"/>
    <w:rsid w:val="009C37FE"/>
    <w:rsid w:val="009C4082"/>
    <w:rsid w:val="009C4A38"/>
    <w:rsid w:val="009C4A72"/>
    <w:rsid w:val="009C4AD8"/>
    <w:rsid w:val="009C4D3D"/>
    <w:rsid w:val="009C55E2"/>
    <w:rsid w:val="009C5A4E"/>
    <w:rsid w:val="009C5EE5"/>
    <w:rsid w:val="009C61E3"/>
    <w:rsid w:val="009C6B56"/>
    <w:rsid w:val="009C7DB8"/>
    <w:rsid w:val="009C7FF0"/>
    <w:rsid w:val="009D010D"/>
    <w:rsid w:val="009D0244"/>
    <w:rsid w:val="009D0AAD"/>
    <w:rsid w:val="009D0F71"/>
    <w:rsid w:val="009D111C"/>
    <w:rsid w:val="009D17A0"/>
    <w:rsid w:val="009D1F7A"/>
    <w:rsid w:val="009D2873"/>
    <w:rsid w:val="009D2942"/>
    <w:rsid w:val="009D2BE9"/>
    <w:rsid w:val="009D35F4"/>
    <w:rsid w:val="009D3A1A"/>
    <w:rsid w:val="009D426A"/>
    <w:rsid w:val="009D5BDB"/>
    <w:rsid w:val="009D6B03"/>
    <w:rsid w:val="009D6B3D"/>
    <w:rsid w:val="009D7422"/>
    <w:rsid w:val="009D78E7"/>
    <w:rsid w:val="009D7979"/>
    <w:rsid w:val="009E0742"/>
    <w:rsid w:val="009E0B29"/>
    <w:rsid w:val="009E1291"/>
    <w:rsid w:val="009E12BC"/>
    <w:rsid w:val="009E139D"/>
    <w:rsid w:val="009E224D"/>
    <w:rsid w:val="009E26D5"/>
    <w:rsid w:val="009E2A07"/>
    <w:rsid w:val="009E3398"/>
    <w:rsid w:val="009E3577"/>
    <w:rsid w:val="009E37A5"/>
    <w:rsid w:val="009E395B"/>
    <w:rsid w:val="009E3D2B"/>
    <w:rsid w:val="009E3E84"/>
    <w:rsid w:val="009E4097"/>
    <w:rsid w:val="009E4664"/>
    <w:rsid w:val="009E4D8E"/>
    <w:rsid w:val="009E4E90"/>
    <w:rsid w:val="009E4EB7"/>
    <w:rsid w:val="009E549B"/>
    <w:rsid w:val="009E57C1"/>
    <w:rsid w:val="009E624A"/>
    <w:rsid w:val="009E6B32"/>
    <w:rsid w:val="009E7039"/>
    <w:rsid w:val="009E70F3"/>
    <w:rsid w:val="009E750E"/>
    <w:rsid w:val="009E7E98"/>
    <w:rsid w:val="009F00EE"/>
    <w:rsid w:val="009F0827"/>
    <w:rsid w:val="009F0BED"/>
    <w:rsid w:val="009F1673"/>
    <w:rsid w:val="009F3255"/>
    <w:rsid w:val="009F34AA"/>
    <w:rsid w:val="009F3DCE"/>
    <w:rsid w:val="009F4298"/>
    <w:rsid w:val="009F44FF"/>
    <w:rsid w:val="009F45E2"/>
    <w:rsid w:val="009F46E8"/>
    <w:rsid w:val="009F472D"/>
    <w:rsid w:val="009F4CF0"/>
    <w:rsid w:val="009F4E88"/>
    <w:rsid w:val="009F50D1"/>
    <w:rsid w:val="009F539C"/>
    <w:rsid w:val="009F55CD"/>
    <w:rsid w:val="009F573B"/>
    <w:rsid w:val="009F5918"/>
    <w:rsid w:val="009F596D"/>
    <w:rsid w:val="009F6654"/>
    <w:rsid w:val="009F6A91"/>
    <w:rsid w:val="009F6AA9"/>
    <w:rsid w:val="009F71A6"/>
    <w:rsid w:val="009F71AA"/>
    <w:rsid w:val="009F754A"/>
    <w:rsid w:val="009F791F"/>
    <w:rsid w:val="009F7F86"/>
    <w:rsid w:val="00A0034D"/>
    <w:rsid w:val="00A00BFB"/>
    <w:rsid w:val="00A00DCF"/>
    <w:rsid w:val="00A0126C"/>
    <w:rsid w:val="00A012DA"/>
    <w:rsid w:val="00A0187E"/>
    <w:rsid w:val="00A026F0"/>
    <w:rsid w:val="00A02F2D"/>
    <w:rsid w:val="00A02F61"/>
    <w:rsid w:val="00A03E0E"/>
    <w:rsid w:val="00A040D1"/>
    <w:rsid w:val="00A044B7"/>
    <w:rsid w:val="00A04A0A"/>
    <w:rsid w:val="00A050A8"/>
    <w:rsid w:val="00A056A3"/>
    <w:rsid w:val="00A059AF"/>
    <w:rsid w:val="00A05B51"/>
    <w:rsid w:val="00A06286"/>
    <w:rsid w:val="00A06318"/>
    <w:rsid w:val="00A063BC"/>
    <w:rsid w:val="00A067D7"/>
    <w:rsid w:val="00A068E1"/>
    <w:rsid w:val="00A06A80"/>
    <w:rsid w:val="00A06D8A"/>
    <w:rsid w:val="00A0711F"/>
    <w:rsid w:val="00A07B0B"/>
    <w:rsid w:val="00A102A0"/>
    <w:rsid w:val="00A10860"/>
    <w:rsid w:val="00A114FA"/>
    <w:rsid w:val="00A11AF3"/>
    <w:rsid w:val="00A12ACF"/>
    <w:rsid w:val="00A12C09"/>
    <w:rsid w:val="00A13084"/>
    <w:rsid w:val="00A1327F"/>
    <w:rsid w:val="00A13817"/>
    <w:rsid w:val="00A138D3"/>
    <w:rsid w:val="00A13E0F"/>
    <w:rsid w:val="00A14010"/>
    <w:rsid w:val="00A144B7"/>
    <w:rsid w:val="00A149B4"/>
    <w:rsid w:val="00A152D3"/>
    <w:rsid w:val="00A15E82"/>
    <w:rsid w:val="00A15F4F"/>
    <w:rsid w:val="00A160AB"/>
    <w:rsid w:val="00A16745"/>
    <w:rsid w:val="00A16747"/>
    <w:rsid w:val="00A17E93"/>
    <w:rsid w:val="00A20013"/>
    <w:rsid w:val="00A200E6"/>
    <w:rsid w:val="00A2056F"/>
    <w:rsid w:val="00A20582"/>
    <w:rsid w:val="00A20C65"/>
    <w:rsid w:val="00A21767"/>
    <w:rsid w:val="00A21FD5"/>
    <w:rsid w:val="00A22751"/>
    <w:rsid w:val="00A22940"/>
    <w:rsid w:val="00A22C96"/>
    <w:rsid w:val="00A22DB3"/>
    <w:rsid w:val="00A23102"/>
    <w:rsid w:val="00A233D8"/>
    <w:rsid w:val="00A2343F"/>
    <w:rsid w:val="00A23505"/>
    <w:rsid w:val="00A236AC"/>
    <w:rsid w:val="00A237D0"/>
    <w:rsid w:val="00A23A4D"/>
    <w:rsid w:val="00A23F8E"/>
    <w:rsid w:val="00A2428B"/>
    <w:rsid w:val="00A247E5"/>
    <w:rsid w:val="00A248BD"/>
    <w:rsid w:val="00A24D81"/>
    <w:rsid w:val="00A24EA5"/>
    <w:rsid w:val="00A25173"/>
    <w:rsid w:val="00A252F0"/>
    <w:rsid w:val="00A259F2"/>
    <w:rsid w:val="00A263F6"/>
    <w:rsid w:val="00A26463"/>
    <w:rsid w:val="00A2660E"/>
    <w:rsid w:val="00A26916"/>
    <w:rsid w:val="00A26B47"/>
    <w:rsid w:val="00A26FF1"/>
    <w:rsid w:val="00A27547"/>
    <w:rsid w:val="00A27806"/>
    <w:rsid w:val="00A3068C"/>
    <w:rsid w:val="00A3127F"/>
    <w:rsid w:val="00A31922"/>
    <w:rsid w:val="00A31BCC"/>
    <w:rsid w:val="00A31C70"/>
    <w:rsid w:val="00A31C87"/>
    <w:rsid w:val="00A325BB"/>
    <w:rsid w:val="00A3297A"/>
    <w:rsid w:val="00A32A58"/>
    <w:rsid w:val="00A32EEC"/>
    <w:rsid w:val="00A336C5"/>
    <w:rsid w:val="00A339D9"/>
    <w:rsid w:val="00A33BD6"/>
    <w:rsid w:val="00A34979"/>
    <w:rsid w:val="00A3510A"/>
    <w:rsid w:val="00A3515F"/>
    <w:rsid w:val="00A35751"/>
    <w:rsid w:val="00A3577F"/>
    <w:rsid w:val="00A35BBC"/>
    <w:rsid w:val="00A35DAB"/>
    <w:rsid w:val="00A36724"/>
    <w:rsid w:val="00A367AF"/>
    <w:rsid w:val="00A36C13"/>
    <w:rsid w:val="00A377C2"/>
    <w:rsid w:val="00A37A31"/>
    <w:rsid w:val="00A37DC5"/>
    <w:rsid w:val="00A40B1F"/>
    <w:rsid w:val="00A40B4D"/>
    <w:rsid w:val="00A411E2"/>
    <w:rsid w:val="00A41373"/>
    <w:rsid w:val="00A41638"/>
    <w:rsid w:val="00A41A3F"/>
    <w:rsid w:val="00A41B15"/>
    <w:rsid w:val="00A41DE9"/>
    <w:rsid w:val="00A42180"/>
    <w:rsid w:val="00A4224E"/>
    <w:rsid w:val="00A4229F"/>
    <w:rsid w:val="00A428A9"/>
    <w:rsid w:val="00A42ACA"/>
    <w:rsid w:val="00A4327C"/>
    <w:rsid w:val="00A43AAB"/>
    <w:rsid w:val="00A43AFE"/>
    <w:rsid w:val="00A447E3"/>
    <w:rsid w:val="00A44AAD"/>
    <w:rsid w:val="00A44D3B"/>
    <w:rsid w:val="00A45241"/>
    <w:rsid w:val="00A45280"/>
    <w:rsid w:val="00A452B8"/>
    <w:rsid w:val="00A45BF7"/>
    <w:rsid w:val="00A463B5"/>
    <w:rsid w:val="00A463BA"/>
    <w:rsid w:val="00A46675"/>
    <w:rsid w:val="00A46A5F"/>
    <w:rsid w:val="00A471A3"/>
    <w:rsid w:val="00A47597"/>
    <w:rsid w:val="00A477AC"/>
    <w:rsid w:val="00A4795F"/>
    <w:rsid w:val="00A47E44"/>
    <w:rsid w:val="00A47F91"/>
    <w:rsid w:val="00A507D7"/>
    <w:rsid w:val="00A50A5C"/>
    <w:rsid w:val="00A50BE2"/>
    <w:rsid w:val="00A50CC6"/>
    <w:rsid w:val="00A50DF3"/>
    <w:rsid w:val="00A50E40"/>
    <w:rsid w:val="00A51462"/>
    <w:rsid w:val="00A51946"/>
    <w:rsid w:val="00A51DEC"/>
    <w:rsid w:val="00A51FF7"/>
    <w:rsid w:val="00A52079"/>
    <w:rsid w:val="00A52143"/>
    <w:rsid w:val="00A521E9"/>
    <w:rsid w:val="00A5298E"/>
    <w:rsid w:val="00A52B3E"/>
    <w:rsid w:val="00A5313B"/>
    <w:rsid w:val="00A5320E"/>
    <w:rsid w:val="00A53F7B"/>
    <w:rsid w:val="00A54090"/>
    <w:rsid w:val="00A54282"/>
    <w:rsid w:val="00A546F1"/>
    <w:rsid w:val="00A549D3"/>
    <w:rsid w:val="00A54DF0"/>
    <w:rsid w:val="00A56AF6"/>
    <w:rsid w:val="00A57E98"/>
    <w:rsid w:val="00A60017"/>
    <w:rsid w:val="00A60849"/>
    <w:rsid w:val="00A6105B"/>
    <w:rsid w:val="00A61355"/>
    <w:rsid w:val="00A61668"/>
    <w:rsid w:val="00A621D3"/>
    <w:rsid w:val="00A628F8"/>
    <w:rsid w:val="00A62B7A"/>
    <w:rsid w:val="00A62D09"/>
    <w:rsid w:val="00A631A1"/>
    <w:rsid w:val="00A632EA"/>
    <w:rsid w:val="00A6339D"/>
    <w:rsid w:val="00A634BE"/>
    <w:rsid w:val="00A6386B"/>
    <w:rsid w:val="00A63AD7"/>
    <w:rsid w:val="00A63BFD"/>
    <w:rsid w:val="00A6491F"/>
    <w:rsid w:val="00A64C72"/>
    <w:rsid w:val="00A64D1A"/>
    <w:rsid w:val="00A65320"/>
    <w:rsid w:val="00A65615"/>
    <w:rsid w:val="00A65BA5"/>
    <w:rsid w:val="00A66354"/>
    <w:rsid w:val="00A66DC5"/>
    <w:rsid w:val="00A66E37"/>
    <w:rsid w:val="00A66ECF"/>
    <w:rsid w:val="00A67E38"/>
    <w:rsid w:val="00A703E4"/>
    <w:rsid w:val="00A704C9"/>
    <w:rsid w:val="00A70DC6"/>
    <w:rsid w:val="00A71080"/>
    <w:rsid w:val="00A71986"/>
    <w:rsid w:val="00A71E05"/>
    <w:rsid w:val="00A71E3D"/>
    <w:rsid w:val="00A71E73"/>
    <w:rsid w:val="00A72740"/>
    <w:rsid w:val="00A73A64"/>
    <w:rsid w:val="00A742AD"/>
    <w:rsid w:val="00A746D7"/>
    <w:rsid w:val="00A74AB2"/>
    <w:rsid w:val="00A75938"/>
    <w:rsid w:val="00A75A27"/>
    <w:rsid w:val="00A75A46"/>
    <w:rsid w:val="00A75B36"/>
    <w:rsid w:val="00A75D2E"/>
    <w:rsid w:val="00A7663A"/>
    <w:rsid w:val="00A7696B"/>
    <w:rsid w:val="00A769D4"/>
    <w:rsid w:val="00A775AD"/>
    <w:rsid w:val="00A8008F"/>
    <w:rsid w:val="00A804C7"/>
    <w:rsid w:val="00A80625"/>
    <w:rsid w:val="00A80857"/>
    <w:rsid w:val="00A80A39"/>
    <w:rsid w:val="00A80D41"/>
    <w:rsid w:val="00A80DF0"/>
    <w:rsid w:val="00A80E64"/>
    <w:rsid w:val="00A81A16"/>
    <w:rsid w:val="00A823A7"/>
    <w:rsid w:val="00A824D4"/>
    <w:rsid w:val="00A825C8"/>
    <w:rsid w:val="00A82742"/>
    <w:rsid w:val="00A82A29"/>
    <w:rsid w:val="00A83984"/>
    <w:rsid w:val="00A83A1E"/>
    <w:rsid w:val="00A84198"/>
    <w:rsid w:val="00A841AB"/>
    <w:rsid w:val="00A84A93"/>
    <w:rsid w:val="00A84FFD"/>
    <w:rsid w:val="00A86104"/>
    <w:rsid w:val="00A8655A"/>
    <w:rsid w:val="00A87203"/>
    <w:rsid w:val="00A87744"/>
    <w:rsid w:val="00A87AE6"/>
    <w:rsid w:val="00A87B09"/>
    <w:rsid w:val="00A87C22"/>
    <w:rsid w:val="00A90590"/>
    <w:rsid w:val="00A905C0"/>
    <w:rsid w:val="00A90A97"/>
    <w:rsid w:val="00A90CB4"/>
    <w:rsid w:val="00A910DA"/>
    <w:rsid w:val="00A914B9"/>
    <w:rsid w:val="00A915B7"/>
    <w:rsid w:val="00A920E1"/>
    <w:rsid w:val="00A92AFD"/>
    <w:rsid w:val="00A933AE"/>
    <w:rsid w:val="00A93863"/>
    <w:rsid w:val="00A93928"/>
    <w:rsid w:val="00A9415E"/>
    <w:rsid w:val="00A9423F"/>
    <w:rsid w:val="00A94EBD"/>
    <w:rsid w:val="00A9510D"/>
    <w:rsid w:val="00A95580"/>
    <w:rsid w:val="00A9568A"/>
    <w:rsid w:val="00A956AC"/>
    <w:rsid w:val="00A95D2A"/>
    <w:rsid w:val="00A96214"/>
    <w:rsid w:val="00A967E8"/>
    <w:rsid w:val="00A97F4B"/>
    <w:rsid w:val="00AA04C5"/>
    <w:rsid w:val="00AA10B1"/>
    <w:rsid w:val="00AA1E17"/>
    <w:rsid w:val="00AA2803"/>
    <w:rsid w:val="00AA2AB3"/>
    <w:rsid w:val="00AA2BF2"/>
    <w:rsid w:val="00AA2D68"/>
    <w:rsid w:val="00AA2D6F"/>
    <w:rsid w:val="00AA3203"/>
    <w:rsid w:val="00AA3987"/>
    <w:rsid w:val="00AA3B68"/>
    <w:rsid w:val="00AA3E79"/>
    <w:rsid w:val="00AA42D3"/>
    <w:rsid w:val="00AA4FB4"/>
    <w:rsid w:val="00AA5C0B"/>
    <w:rsid w:val="00AA5E3B"/>
    <w:rsid w:val="00AA63AD"/>
    <w:rsid w:val="00AA65B4"/>
    <w:rsid w:val="00AA6A75"/>
    <w:rsid w:val="00AA745E"/>
    <w:rsid w:val="00AB04AB"/>
    <w:rsid w:val="00AB0733"/>
    <w:rsid w:val="00AB09D2"/>
    <w:rsid w:val="00AB0B64"/>
    <w:rsid w:val="00AB0C30"/>
    <w:rsid w:val="00AB176B"/>
    <w:rsid w:val="00AB2AF7"/>
    <w:rsid w:val="00AB37E6"/>
    <w:rsid w:val="00AB3DBA"/>
    <w:rsid w:val="00AB431C"/>
    <w:rsid w:val="00AB470E"/>
    <w:rsid w:val="00AB5467"/>
    <w:rsid w:val="00AB5A7E"/>
    <w:rsid w:val="00AB7538"/>
    <w:rsid w:val="00AB77F3"/>
    <w:rsid w:val="00AC0256"/>
    <w:rsid w:val="00AC0AAD"/>
    <w:rsid w:val="00AC1231"/>
    <w:rsid w:val="00AC1992"/>
    <w:rsid w:val="00AC1E14"/>
    <w:rsid w:val="00AC2CFA"/>
    <w:rsid w:val="00AC3263"/>
    <w:rsid w:val="00AC337E"/>
    <w:rsid w:val="00AC3E12"/>
    <w:rsid w:val="00AC406E"/>
    <w:rsid w:val="00AC430C"/>
    <w:rsid w:val="00AC4951"/>
    <w:rsid w:val="00AC4A6B"/>
    <w:rsid w:val="00AC53D9"/>
    <w:rsid w:val="00AC5C19"/>
    <w:rsid w:val="00AC60F0"/>
    <w:rsid w:val="00AC6657"/>
    <w:rsid w:val="00AC6D7A"/>
    <w:rsid w:val="00AC7363"/>
    <w:rsid w:val="00AC7401"/>
    <w:rsid w:val="00AC7901"/>
    <w:rsid w:val="00AC79F3"/>
    <w:rsid w:val="00AC7FDD"/>
    <w:rsid w:val="00AD0949"/>
    <w:rsid w:val="00AD0F1D"/>
    <w:rsid w:val="00AD1179"/>
    <w:rsid w:val="00AD1359"/>
    <w:rsid w:val="00AD19F0"/>
    <w:rsid w:val="00AD1FCE"/>
    <w:rsid w:val="00AD24D1"/>
    <w:rsid w:val="00AD26E1"/>
    <w:rsid w:val="00AD29CC"/>
    <w:rsid w:val="00AD3268"/>
    <w:rsid w:val="00AD3652"/>
    <w:rsid w:val="00AD3DE2"/>
    <w:rsid w:val="00AD4135"/>
    <w:rsid w:val="00AD4261"/>
    <w:rsid w:val="00AD46F5"/>
    <w:rsid w:val="00AD4CB1"/>
    <w:rsid w:val="00AD51A3"/>
    <w:rsid w:val="00AD598B"/>
    <w:rsid w:val="00AD7154"/>
    <w:rsid w:val="00AD797D"/>
    <w:rsid w:val="00AD7E02"/>
    <w:rsid w:val="00AE0034"/>
    <w:rsid w:val="00AE0483"/>
    <w:rsid w:val="00AE08DD"/>
    <w:rsid w:val="00AE13BD"/>
    <w:rsid w:val="00AE156F"/>
    <w:rsid w:val="00AE1ABF"/>
    <w:rsid w:val="00AE1AF9"/>
    <w:rsid w:val="00AE1E60"/>
    <w:rsid w:val="00AE2068"/>
    <w:rsid w:val="00AE2258"/>
    <w:rsid w:val="00AE277E"/>
    <w:rsid w:val="00AE2A36"/>
    <w:rsid w:val="00AE2BC6"/>
    <w:rsid w:val="00AE3251"/>
    <w:rsid w:val="00AE33DA"/>
    <w:rsid w:val="00AE3FE0"/>
    <w:rsid w:val="00AE5058"/>
    <w:rsid w:val="00AE51CD"/>
    <w:rsid w:val="00AE5471"/>
    <w:rsid w:val="00AE54AA"/>
    <w:rsid w:val="00AE60E4"/>
    <w:rsid w:val="00AE6872"/>
    <w:rsid w:val="00AE6C58"/>
    <w:rsid w:val="00AE72C4"/>
    <w:rsid w:val="00AE7F05"/>
    <w:rsid w:val="00AE7F38"/>
    <w:rsid w:val="00AF054D"/>
    <w:rsid w:val="00AF0939"/>
    <w:rsid w:val="00AF0981"/>
    <w:rsid w:val="00AF0F9C"/>
    <w:rsid w:val="00AF10F0"/>
    <w:rsid w:val="00AF24E7"/>
    <w:rsid w:val="00AF272B"/>
    <w:rsid w:val="00AF291B"/>
    <w:rsid w:val="00AF2DAA"/>
    <w:rsid w:val="00AF2EBD"/>
    <w:rsid w:val="00AF33AE"/>
    <w:rsid w:val="00AF34C9"/>
    <w:rsid w:val="00AF3CDC"/>
    <w:rsid w:val="00AF44B1"/>
    <w:rsid w:val="00AF5790"/>
    <w:rsid w:val="00AF5800"/>
    <w:rsid w:val="00AF6986"/>
    <w:rsid w:val="00AF69FE"/>
    <w:rsid w:val="00AF6A77"/>
    <w:rsid w:val="00AF6D1B"/>
    <w:rsid w:val="00AF73ED"/>
    <w:rsid w:val="00AF7B5B"/>
    <w:rsid w:val="00AF7D69"/>
    <w:rsid w:val="00AF7ED2"/>
    <w:rsid w:val="00B004D8"/>
    <w:rsid w:val="00B00830"/>
    <w:rsid w:val="00B00CC5"/>
    <w:rsid w:val="00B016D2"/>
    <w:rsid w:val="00B02091"/>
    <w:rsid w:val="00B02496"/>
    <w:rsid w:val="00B02B43"/>
    <w:rsid w:val="00B03788"/>
    <w:rsid w:val="00B03D36"/>
    <w:rsid w:val="00B0411F"/>
    <w:rsid w:val="00B04540"/>
    <w:rsid w:val="00B046F1"/>
    <w:rsid w:val="00B05116"/>
    <w:rsid w:val="00B051A7"/>
    <w:rsid w:val="00B05F1A"/>
    <w:rsid w:val="00B07B33"/>
    <w:rsid w:val="00B07FA2"/>
    <w:rsid w:val="00B100CF"/>
    <w:rsid w:val="00B1074F"/>
    <w:rsid w:val="00B10E82"/>
    <w:rsid w:val="00B111A6"/>
    <w:rsid w:val="00B115E5"/>
    <w:rsid w:val="00B118EE"/>
    <w:rsid w:val="00B11B03"/>
    <w:rsid w:val="00B11B79"/>
    <w:rsid w:val="00B11C5B"/>
    <w:rsid w:val="00B121CD"/>
    <w:rsid w:val="00B12343"/>
    <w:rsid w:val="00B12529"/>
    <w:rsid w:val="00B128C5"/>
    <w:rsid w:val="00B12B11"/>
    <w:rsid w:val="00B12C94"/>
    <w:rsid w:val="00B12D5B"/>
    <w:rsid w:val="00B135AB"/>
    <w:rsid w:val="00B135D7"/>
    <w:rsid w:val="00B13797"/>
    <w:rsid w:val="00B137BF"/>
    <w:rsid w:val="00B13A1B"/>
    <w:rsid w:val="00B13A76"/>
    <w:rsid w:val="00B142D9"/>
    <w:rsid w:val="00B1436F"/>
    <w:rsid w:val="00B14BC4"/>
    <w:rsid w:val="00B14F3D"/>
    <w:rsid w:val="00B158A3"/>
    <w:rsid w:val="00B15B25"/>
    <w:rsid w:val="00B15C36"/>
    <w:rsid w:val="00B15EA0"/>
    <w:rsid w:val="00B16069"/>
    <w:rsid w:val="00B17A4E"/>
    <w:rsid w:val="00B17B30"/>
    <w:rsid w:val="00B17C2F"/>
    <w:rsid w:val="00B2153E"/>
    <w:rsid w:val="00B21F72"/>
    <w:rsid w:val="00B21FA7"/>
    <w:rsid w:val="00B22022"/>
    <w:rsid w:val="00B225E4"/>
    <w:rsid w:val="00B22666"/>
    <w:rsid w:val="00B231C5"/>
    <w:rsid w:val="00B23F7A"/>
    <w:rsid w:val="00B240B1"/>
    <w:rsid w:val="00B24208"/>
    <w:rsid w:val="00B24374"/>
    <w:rsid w:val="00B24728"/>
    <w:rsid w:val="00B248A9"/>
    <w:rsid w:val="00B2490A"/>
    <w:rsid w:val="00B24BE3"/>
    <w:rsid w:val="00B24D28"/>
    <w:rsid w:val="00B24F1C"/>
    <w:rsid w:val="00B2517E"/>
    <w:rsid w:val="00B25CBB"/>
    <w:rsid w:val="00B25D76"/>
    <w:rsid w:val="00B27032"/>
    <w:rsid w:val="00B27085"/>
    <w:rsid w:val="00B30003"/>
    <w:rsid w:val="00B3015C"/>
    <w:rsid w:val="00B30AD9"/>
    <w:rsid w:val="00B31201"/>
    <w:rsid w:val="00B31B00"/>
    <w:rsid w:val="00B31B4B"/>
    <w:rsid w:val="00B31E36"/>
    <w:rsid w:val="00B32E26"/>
    <w:rsid w:val="00B338B7"/>
    <w:rsid w:val="00B34061"/>
    <w:rsid w:val="00B34299"/>
    <w:rsid w:val="00B34376"/>
    <w:rsid w:val="00B3440A"/>
    <w:rsid w:val="00B34441"/>
    <w:rsid w:val="00B35167"/>
    <w:rsid w:val="00B35533"/>
    <w:rsid w:val="00B35534"/>
    <w:rsid w:val="00B35A87"/>
    <w:rsid w:val="00B35AFD"/>
    <w:rsid w:val="00B35F9A"/>
    <w:rsid w:val="00B3609C"/>
    <w:rsid w:val="00B36236"/>
    <w:rsid w:val="00B3662E"/>
    <w:rsid w:val="00B366D2"/>
    <w:rsid w:val="00B366FA"/>
    <w:rsid w:val="00B36E86"/>
    <w:rsid w:val="00B379BA"/>
    <w:rsid w:val="00B412C4"/>
    <w:rsid w:val="00B412FD"/>
    <w:rsid w:val="00B422BE"/>
    <w:rsid w:val="00B4241D"/>
    <w:rsid w:val="00B426BB"/>
    <w:rsid w:val="00B42EB9"/>
    <w:rsid w:val="00B436F0"/>
    <w:rsid w:val="00B43714"/>
    <w:rsid w:val="00B441FE"/>
    <w:rsid w:val="00B44821"/>
    <w:rsid w:val="00B44AD3"/>
    <w:rsid w:val="00B45062"/>
    <w:rsid w:val="00B450EB"/>
    <w:rsid w:val="00B45152"/>
    <w:rsid w:val="00B45E54"/>
    <w:rsid w:val="00B464E4"/>
    <w:rsid w:val="00B4689A"/>
    <w:rsid w:val="00B46D5F"/>
    <w:rsid w:val="00B46E7B"/>
    <w:rsid w:val="00B47DC5"/>
    <w:rsid w:val="00B5018B"/>
    <w:rsid w:val="00B505B3"/>
    <w:rsid w:val="00B50882"/>
    <w:rsid w:val="00B50A74"/>
    <w:rsid w:val="00B51BE0"/>
    <w:rsid w:val="00B520A0"/>
    <w:rsid w:val="00B5257E"/>
    <w:rsid w:val="00B525CE"/>
    <w:rsid w:val="00B5287D"/>
    <w:rsid w:val="00B52CFD"/>
    <w:rsid w:val="00B52EED"/>
    <w:rsid w:val="00B53103"/>
    <w:rsid w:val="00B545A8"/>
    <w:rsid w:val="00B55F22"/>
    <w:rsid w:val="00B56527"/>
    <w:rsid w:val="00B57019"/>
    <w:rsid w:val="00B576DA"/>
    <w:rsid w:val="00B57710"/>
    <w:rsid w:val="00B601C9"/>
    <w:rsid w:val="00B60D04"/>
    <w:rsid w:val="00B6158F"/>
    <w:rsid w:val="00B61EE8"/>
    <w:rsid w:val="00B633A3"/>
    <w:rsid w:val="00B63533"/>
    <w:rsid w:val="00B63BDB"/>
    <w:rsid w:val="00B64A0E"/>
    <w:rsid w:val="00B64DDF"/>
    <w:rsid w:val="00B6601E"/>
    <w:rsid w:val="00B663AA"/>
    <w:rsid w:val="00B66DD5"/>
    <w:rsid w:val="00B67722"/>
    <w:rsid w:val="00B67B97"/>
    <w:rsid w:val="00B67F01"/>
    <w:rsid w:val="00B70329"/>
    <w:rsid w:val="00B70764"/>
    <w:rsid w:val="00B711AB"/>
    <w:rsid w:val="00B714F0"/>
    <w:rsid w:val="00B71A40"/>
    <w:rsid w:val="00B71AD1"/>
    <w:rsid w:val="00B71C8C"/>
    <w:rsid w:val="00B71CB4"/>
    <w:rsid w:val="00B71FD7"/>
    <w:rsid w:val="00B725E7"/>
    <w:rsid w:val="00B72967"/>
    <w:rsid w:val="00B72C07"/>
    <w:rsid w:val="00B72DF7"/>
    <w:rsid w:val="00B72F42"/>
    <w:rsid w:val="00B733FB"/>
    <w:rsid w:val="00B73E44"/>
    <w:rsid w:val="00B74290"/>
    <w:rsid w:val="00B74510"/>
    <w:rsid w:val="00B74BD4"/>
    <w:rsid w:val="00B74BF7"/>
    <w:rsid w:val="00B76185"/>
    <w:rsid w:val="00B76BCD"/>
    <w:rsid w:val="00B7786D"/>
    <w:rsid w:val="00B779E6"/>
    <w:rsid w:val="00B804E2"/>
    <w:rsid w:val="00B811B2"/>
    <w:rsid w:val="00B81BA3"/>
    <w:rsid w:val="00B82213"/>
    <w:rsid w:val="00B8276E"/>
    <w:rsid w:val="00B828F9"/>
    <w:rsid w:val="00B83A62"/>
    <w:rsid w:val="00B83B59"/>
    <w:rsid w:val="00B84252"/>
    <w:rsid w:val="00B8468F"/>
    <w:rsid w:val="00B849F1"/>
    <w:rsid w:val="00B84FC6"/>
    <w:rsid w:val="00B857F5"/>
    <w:rsid w:val="00B86370"/>
    <w:rsid w:val="00B86D6C"/>
    <w:rsid w:val="00B86EB5"/>
    <w:rsid w:val="00B86F47"/>
    <w:rsid w:val="00B874B4"/>
    <w:rsid w:val="00B876C1"/>
    <w:rsid w:val="00B8787A"/>
    <w:rsid w:val="00B87887"/>
    <w:rsid w:val="00B90123"/>
    <w:rsid w:val="00B90196"/>
    <w:rsid w:val="00B911C1"/>
    <w:rsid w:val="00B91374"/>
    <w:rsid w:val="00B91F30"/>
    <w:rsid w:val="00B922C3"/>
    <w:rsid w:val="00B9272A"/>
    <w:rsid w:val="00B9272E"/>
    <w:rsid w:val="00B927A7"/>
    <w:rsid w:val="00B92B9E"/>
    <w:rsid w:val="00B9329C"/>
    <w:rsid w:val="00B93315"/>
    <w:rsid w:val="00B93519"/>
    <w:rsid w:val="00B9372A"/>
    <w:rsid w:val="00B9425C"/>
    <w:rsid w:val="00B94AAF"/>
    <w:rsid w:val="00B953FF"/>
    <w:rsid w:val="00B9622D"/>
    <w:rsid w:val="00B96263"/>
    <w:rsid w:val="00B968A5"/>
    <w:rsid w:val="00B972CD"/>
    <w:rsid w:val="00B97D02"/>
    <w:rsid w:val="00BA0304"/>
    <w:rsid w:val="00BA0557"/>
    <w:rsid w:val="00BA060E"/>
    <w:rsid w:val="00BA19C4"/>
    <w:rsid w:val="00BA3038"/>
    <w:rsid w:val="00BA360A"/>
    <w:rsid w:val="00BA370A"/>
    <w:rsid w:val="00BA48BC"/>
    <w:rsid w:val="00BA4A29"/>
    <w:rsid w:val="00BA4BE7"/>
    <w:rsid w:val="00BA550D"/>
    <w:rsid w:val="00BA5F20"/>
    <w:rsid w:val="00BA5F44"/>
    <w:rsid w:val="00BA68D9"/>
    <w:rsid w:val="00BA6FD8"/>
    <w:rsid w:val="00BA7172"/>
    <w:rsid w:val="00BA72CF"/>
    <w:rsid w:val="00BA7B01"/>
    <w:rsid w:val="00BB02D7"/>
    <w:rsid w:val="00BB0D9F"/>
    <w:rsid w:val="00BB0DEE"/>
    <w:rsid w:val="00BB0F93"/>
    <w:rsid w:val="00BB1031"/>
    <w:rsid w:val="00BB1997"/>
    <w:rsid w:val="00BB1B33"/>
    <w:rsid w:val="00BB2480"/>
    <w:rsid w:val="00BB27FD"/>
    <w:rsid w:val="00BB2C4E"/>
    <w:rsid w:val="00BB2E29"/>
    <w:rsid w:val="00BB2F74"/>
    <w:rsid w:val="00BB3206"/>
    <w:rsid w:val="00BB32C2"/>
    <w:rsid w:val="00BB3B0D"/>
    <w:rsid w:val="00BB4144"/>
    <w:rsid w:val="00BB4369"/>
    <w:rsid w:val="00BB524C"/>
    <w:rsid w:val="00BB5DAB"/>
    <w:rsid w:val="00BB6195"/>
    <w:rsid w:val="00BB61A3"/>
    <w:rsid w:val="00BB67EA"/>
    <w:rsid w:val="00BB707E"/>
    <w:rsid w:val="00BB7568"/>
    <w:rsid w:val="00BC007C"/>
    <w:rsid w:val="00BC0157"/>
    <w:rsid w:val="00BC0497"/>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69"/>
    <w:rsid w:val="00BC5EDB"/>
    <w:rsid w:val="00BC69A2"/>
    <w:rsid w:val="00BC6ED6"/>
    <w:rsid w:val="00BC6F03"/>
    <w:rsid w:val="00BC6FA1"/>
    <w:rsid w:val="00BC70CE"/>
    <w:rsid w:val="00BC7487"/>
    <w:rsid w:val="00BD0570"/>
    <w:rsid w:val="00BD0853"/>
    <w:rsid w:val="00BD112D"/>
    <w:rsid w:val="00BD214E"/>
    <w:rsid w:val="00BD2395"/>
    <w:rsid w:val="00BD25B8"/>
    <w:rsid w:val="00BD2842"/>
    <w:rsid w:val="00BD3120"/>
    <w:rsid w:val="00BD3354"/>
    <w:rsid w:val="00BD384E"/>
    <w:rsid w:val="00BD3E76"/>
    <w:rsid w:val="00BD3EE2"/>
    <w:rsid w:val="00BD3FCF"/>
    <w:rsid w:val="00BD42D2"/>
    <w:rsid w:val="00BD47D7"/>
    <w:rsid w:val="00BD4EFB"/>
    <w:rsid w:val="00BD5076"/>
    <w:rsid w:val="00BD5551"/>
    <w:rsid w:val="00BD5984"/>
    <w:rsid w:val="00BD6D43"/>
    <w:rsid w:val="00BD7090"/>
    <w:rsid w:val="00BD7490"/>
    <w:rsid w:val="00BD767F"/>
    <w:rsid w:val="00BD7DA0"/>
    <w:rsid w:val="00BE096B"/>
    <w:rsid w:val="00BE09C3"/>
    <w:rsid w:val="00BE0C27"/>
    <w:rsid w:val="00BE15BB"/>
    <w:rsid w:val="00BE198F"/>
    <w:rsid w:val="00BE4CCF"/>
    <w:rsid w:val="00BE5964"/>
    <w:rsid w:val="00BE5D68"/>
    <w:rsid w:val="00BE660B"/>
    <w:rsid w:val="00BE6AFE"/>
    <w:rsid w:val="00BE6BBE"/>
    <w:rsid w:val="00BE7021"/>
    <w:rsid w:val="00BE7300"/>
    <w:rsid w:val="00BE76F7"/>
    <w:rsid w:val="00BE784F"/>
    <w:rsid w:val="00BE79C6"/>
    <w:rsid w:val="00BE7F3F"/>
    <w:rsid w:val="00BF0238"/>
    <w:rsid w:val="00BF0717"/>
    <w:rsid w:val="00BF1750"/>
    <w:rsid w:val="00BF178E"/>
    <w:rsid w:val="00BF189F"/>
    <w:rsid w:val="00BF18F2"/>
    <w:rsid w:val="00BF1B44"/>
    <w:rsid w:val="00BF1F01"/>
    <w:rsid w:val="00BF1FC2"/>
    <w:rsid w:val="00BF23CC"/>
    <w:rsid w:val="00BF243F"/>
    <w:rsid w:val="00BF2708"/>
    <w:rsid w:val="00BF28FC"/>
    <w:rsid w:val="00BF4C2B"/>
    <w:rsid w:val="00BF507A"/>
    <w:rsid w:val="00BF53F1"/>
    <w:rsid w:val="00BF5717"/>
    <w:rsid w:val="00BF585E"/>
    <w:rsid w:val="00BF5B9D"/>
    <w:rsid w:val="00BF5C45"/>
    <w:rsid w:val="00BF5FA3"/>
    <w:rsid w:val="00BF62F2"/>
    <w:rsid w:val="00BF63A5"/>
    <w:rsid w:val="00BF6B0E"/>
    <w:rsid w:val="00BF72A7"/>
    <w:rsid w:val="00BF7558"/>
    <w:rsid w:val="00BF7DD2"/>
    <w:rsid w:val="00C0111E"/>
    <w:rsid w:val="00C02676"/>
    <w:rsid w:val="00C029AB"/>
    <w:rsid w:val="00C02D74"/>
    <w:rsid w:val="00C03661"/>
    <w:rsid w:val="00C03BD5"/>
    <w:rsid w:val="00C03C8B"/>
    <w:rsid w:val="00C03F3C"/>
    <w:rsid w:val="00C0425C"/>
    <w:rsid w:val="00C049BE"/>
    <w:rsid w:val="00C04A71"/>
    <w:rsid w:val="00C04DF0"/>
    <w:rsid w:val="00C050BB"/>
    <w:rsid w:val="00C05A4C"/>
    <w:rsid w:val="00C05A67"/>
    <w:rsid w:val="00C0641F"/>
    <w:rsid w:val="00C06E6F"/>
    <w:rsid w:val="00C07371"/>
    <w:rsid w:val="00C075DB"/>
    <w:rsid w:val="00C07EBA"/>
    <w:rsid w:val="00C07FBC"/>
    <w:rsid w:val="00C100E7"/>
    <w:rsid w:val="00C11113"/>
    <w:rsid w:val="00C11687"/>
    <w:rsid w:val="00C11E28"/>
    <w:rsid w:val="00C11F66"/>
    <w:rsid w:val="00C1225B"/>
    <w:rsid w:val="00C122F9"/>
    <w:rsid w:val="00C1253A"/>
    <w:rsid w:val="00C128C9"/>
    <w:rsid w:val="00C12CF3"/>
    <w:rsid w:val="00C12F88"/>
    <w:rsid w:val="00C131A8"/>
    <w:rsid w:val="00C1322D"/>
    <w:rsid w:val="00C135A3"/>
    <w:rsid w:val="00C13C8E"/>
    <w:rsid w:val="00C1477A"/>
    <w:rsid w:val="00C14A62"/>
    <w:rsid w:val="00C151F5"/>
    <w:rsid w:val="00C158EB"/>
    <w:rsid w:val="00C159B1"/>
    <w:rsid w:val="00C15D51"/>
    <w:rsid w:val="00C161F5"/>
    <w:rsid w:val="00C16BE6"/>
    <w:rsid w:val="00C16C92"/>
    <w:rsid w:val="00C1706B"/>
    <w:rsid w:val="00C17310"/>
    <w:rsid w:val="00C17DB7"/>
    <w:rsid w:val="00C17E48"/>
    <w:rsid w:val="00C17F0B"/>
    <w:rsid w:val="00C201E7"/>
    <w:rsid w:val="00C20506"/>
    <w:rsid w:val="00C20AA2"/>
    <w:rsid w:val="00C20B91"/>
    <w:rsid w:val="00C21155"/>
    <w:rsid w:val="00C2146C"/>
    <w:rsid w:val="00C214D7"/>
    <w:rsid w:val="00C21561"/>
    <w:rsid w:val="00C217EE"/>
    <w:rsid w:val="00C22784"/>
    <w:rsid w:val="00C23843"/>
    <w:rsid w:val="00C23A4C"/>
    <w:rsid w:val="00C2419D"/>
    <w:rsid w:val="00C243A4"/>
    <w:rsid w:val="00C24416"/>
    <w:rsid w:val="00C248DB"/>
    <w:rsid w:val="00C26170"/>
    <w:rsid w:val="00C26B5A"/>
    <w:rsid w:val="00C26D52"/>
    <w:rsid w:val="00C27FE0"/>
    <w:rsid w:val="00C303E4"/>
    <w:rsid w:val="00C30775"/>
    <w:rsid w:val="00C30B8D"/>
    <w:rsid w:val="00C3134E"/>
    <w:rsid w:val="00C315D8"/>
    <w:rsid w:val="00C31C4A"/>
    <w:rsid w:val="00C31D2D"/>
    <w:rsid w:val="00C3209A"/>
    <w:rsid w:val="00C32639"/>
    <w:rsid w:val="00C32808"/>
    <w:rsid w:val="00C32AD2"/>
    <w:rsid w:val="00C33114"/>
    <w:rsid w:val="00C34193"/>
    <w:rsid w:val="00C347FD"/>
    <w:rsid w:val="00C34DAE"/>
    <w:rsid w:val="00C34E1E"/>
    <w:rsid w:val="00C34E5A"/>
    <w:rsid w:val="00C353D2"/>
    <w:rsid w:val="00C35D9C"/>
    <w:rsid w:val="00C36219"/>
    <w:rsid w:val="00C3698E"/>
    <w:rsid w:val="00C369D2"/>
    <w:rsid w:val="00C36CCA"/>
    <w:rsid w:val="00C36E1C"/>
    <w:rsid w:val="00C36F42"/>
    <w:rsid w:val="00C3718A"/>
    <w:rsid w:val="00C3728D"/>
    <w:rsid w:val="00C379C5"/>
    <w:rsid w:val="00C37EEE"/>
    <w:rsid w:val="00C40453"/>
    <w:rsid w:val="00C40E71"/>
    <w:rsid w:val="00C40FBC"/>
    <w:rsid w:val="00C4141D"/>
    <w:rsid w:val="00C41879"/>
    <w:rsid w:val="00C41A7C"/>
    <w:rsid w:val="00C42CEF"/>
    <w:rsid w:val="00C42D55"/>
    <w:rsid w:val="00C43080"/>
    <w:rsid w:val="00C4370E"/>
    <w:rsid w:val="00C43823"/>
    <w:rsid w:val="00C4384B"/>
    <w:rsid w:val="00C4393C"/>
    <w:rsid w:val="00C43F2D"/>
    <w:rsid w:val="00C44068"/>
    <w:rsid w:val="00C442AE"/>
    <w:rsid w:val="00C44DCD"/>
    <w:rsid w:val="00C4518B"/>
    <w:rsid w:val="00C45780"/>
    <w:rsid w:val="00C458D6"/>
    <w:rsid w:val="00C45919"/>
    <w:rsid w:val="00C45C3A"/>
    <w:rsid w:val="00C4655A"/>
    <w:rsid w:val="00C466BF"/>
    <w:rsid w:val="00C47385"/>
    <w:rsid w:val="00C47555"/>
    <w:rsid w:val="00C476AC"/>
    <w:rsid w:val="00C47E67"/>
    <w:rsid w:val="00C47FD9"/>
    <w:rsid w:val="00C500C2"/>
    <w:rsid w:val="00C50C1A"/>
    <w:rsid w:val="00C50E1E"/>
    <w:rsid w:val="00C51508"/>
    <w:rsid w:val="00C51D73"/>
    <w:rsid w:val="00C52283"/>
    <w:rsid w:val="00C52A05"/>
    <w:rsid w:val="00C52E97"/>
    <w:rsid w:val="00C52EAF"/>
    <w:rsid w:val="00C53189"/>
    <w:rsid w:val="00C534E5"/>
    <w:rsid w:val="00C534F4"/>
    <w:rsid w:val="00C5375B"/>
    <w:rsid w:val="00C53B15"/>
    <w:rsid w:val="00C53DA9"/>
    <w:rsid w:val="00C53EF7"/>
    <w:rsid w:val="00C54280"/>
    <w:rsid w:val="00C54616"/>
    <w:rsid w:val="00C54929"/>
    <w:rsid w:val="00C550B6"/>
    <w:rsid w:val="00C55373"/>
    <w:rsid w:val="00C556B1"/>
    <w:rsid w:val="00C557BE"/>
    <w:rsid w:val="00C55A05"/>
    <w:rsid w:val="00C56101"/>
    <w:rsid w:val="00C565F2"/>
    <w:rsid w:val="00C567E3"/>
    <w:rsid w:val="00C56C45"/>
    <w:rsid w:val="00C573CC"/>
    <w:rsid w:val="00C57B81"/>
    <w:rsid w:val="00C57FB9"/>
    <w:rsid w:val="00C6077B"/>
    <w:rsid w:val="00C60950"/>
    <w:rsid w:val="00C60DD1"/>
    <w:rsid w:val="00C61565"/>
    <w:rsid w:val="00C61574"/>
    <w:rsid w:val="00C615B4"/>
    <w:rsid w:val="00C61AC6"/>
    <w:rsid w:val="00C61ACF"/>
    <w:rsid w:val="00C6211D"/>
    <w:rsid w:val="00C62537"/>
    <w:rsid w:val="00C62B32"/>
    <w:rsid w:val="00C63DED"/>
    <w:rsid w:val="00C63E88"/>
    <w:rsid w:val="00C6436D"/>
    <w:rsid w:val="00C646B4"/>
    <w:rsid w:val="00C64F97"/>
    <w:rsid w:val="00C65585"/>
    <w:rsid w:val="00C656EB"/>
    <w:rsid w:val="00C65DF4"/>
    <w:rsid w:val="00C661C6"/>
    <w:rsid w:val="00C67880"/>
    <w:rsid w:val="00C67B49"/>
    <w:rsid w:val="00C70CAB"/>
    <w:rsid w:val="00C711F5"/>
    <w:rsid w:val="00C71326"/>
    <w:rsid w:val="00C713A1"/>
    <w:rsid w:val="00C71828"/>
    <w:rsid w:val="00C72105"/>
    <w:rsid w:val="00C73D7D"/>
    <w:rsid w:val="00C74520"/>
    <w:rsid w:val="00C74712"/>
    <w:rsid w:val="00C74954"/>
    <w:rsid w:val="00C76028"/>
    <w:rsid w:val="00C76184"/>
    <w:rsid w:val="00C76462"/>
    <w:rsid w:val="00C7673D"/>
    <w:rsid w:val="00C76A80"/>
    <w:rsid w:val="00C76C27"/>
    <w:rsid w:val="00C76F07"/>
    <w:rsid w:val="00C77960"/>
    <w:rsid w:val="00C77EF6"/>
    <w:rsid w:val="00C80B4B"/>
    <w:rsid w:val="00C80D63"/>
    <w:rsid w:val="00C812D5"/>
    <w:rsid w:val="00C81BEA"/>
    <w:rsid w:val="00C81DF5"/>
    <w:rsid w:val="00C82188"/>
    <w:rsid w:val="00C8242B"/>
    <w:rsid w:val="00C82A50"/>
    <w:rsid w:val="00C83240"/>
    <w:rsid w:val="00C83381"/>
    <w:rsid w:val="00C83607"/>
    <w:rsid w:val="00C83768"/>
    <w:rsid w:val="00C83B18"/>
    <w:rsid w:val="00C840C3"/>
    <w:rsid w:val="00C841B4"/>
    <w:rsid w:val="00C84266"/>
    <w:rsid w:val="00C8450F"/>
    <w:rsid w:val="00C8466F"/>
    <w:rsid w:val="00C849E0"/>
    <w:rsid w:val="00C84B74"/>
    <w:rsid w:val="00C8512A"/>
    <w:rsid w:val="00C85378"/>
    <w:rsid w:val="00C85970"/>
    <w:rsid w:val="00C85E9B"/>
    <w:rsid w:val="00C874C8"/>
    <w:rsid w:val="00C8751A"/>
    <w:rsid w:val="00C8768B"/>
    <w:rsid w:val="00C90165"/>
    <w:rsid w:val="00C902DA"/>
    <w:rsid w:val="00C90733"/>
    <w:rsid w:val="00C921C4"/>
    <w:rsid w:val="00C9235F"/>
    <w:rsid w:val="00C9257F"/>
    <w:rsid w:val="00C92BF4"/>
    <w:rsid w:val="00C9319C"/>
    <w:rsid w:val="00C934F6"/>
    <w:rsid w:val="00C93874"/>
    <w:rsid w:val="00C93A4C"/>
    <w:rsid w:val="00C93CBD"/>
    <w:rsid w:val="00C944EB"/>
    <w:rsid w:val="00C94856"/>
    <w:rsid w:val="00C94FD2"/>
    <w:rsid w:val="00C95341"/>
    <w:rsid w:val="00C95B76"/>
    <w:rsid w:val="00C964C3"/>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EEE"/>
    <w:rsid w:val="00CA5098"/>
    <w:rsid w:val="00CA5503"/>
    <w:rsid w:val="00CA66C3"/>
    <w:rsid w:val="00CA6CAD"/>
    <w:rsid w:val="00CA6CEF"/>
    <w:rsid w:val="00CA70A8"/>
    <w:rsid w:val="00CA70D0"/>
    <w:rsid w:val="00CA74A4"/>
    <w:rsid w:val="00CA7683"/>
    <w:rsid w:val="00CA7EA1"/>
    <w:rsid w:val="00CA7EEB"/>
    <w:rsid w:val="00CB009B"/>
    <w:rsid w:val="00CB0231"/>
    <w:rsid w:val="00CB029B"/>
    <w:rsid w:val="00CB0838"/>
    <w:rsid w:val="00CB092E"/>
    <w:rsid w:val="00CB1AFD"/>
    <w:rsid w:val="00CB1EB3"/>
    <w:rsid w:val="00CB2126"/>
    <w:rsid w:val="00CB2308"/>
    <w:rsid w:val="00CB24AD"/>
    <w:rsid w:val="00CB2C59"/>
    <w:rsid w:val="00CB2D9C"/>
    <w:rsid w:val="00CB34AB"/>
    <w:rsid w:val="00CB3529"/>
    <w:rsid w:val="00CB38A9"/>
    <w:rsid w:val="00CB3A45"/>
    <w:rsid w:val="00CB4728"/>
    <w:rsid w:val="00CB49A6"/>
    <w:rsid w:val="00CB58E3"/>
    <w:rsid w:val="00CB59E7"/>
    <w:rsid w:val="00CB5D27"/>
    <w:rsid w:val="00CB5E4A"/>
    <w:rsid w:val="00CB6FCA"/>
    <w:rsid w:val="00CB724D"/>
    <w:rsid w:val="00CB73EA"/>
    <w:rsid w:val="00CB76E3"/>
    <w:rsid w:val="00CB7D4E"/>
    <w:rsid w:val="00CB7F1F"/>
    <w:rsid w:val="00CC002B"/>
    <w:rsid w:val="00CC07E5"/>
    <w:rsid w:val="00CC09F0"/>
    <w:rsid w:val="00CC0AB5"/>
    <w:rsid w:val="00CC0C11"/>
    <w:rsid w:val="00CC1F52"/>
    <w:rsid w:val="00CC233F"/>
    <w:rsid w:val="00CC27FD"/>
    <w:rsid w:val="00CC29A4"/>
    <w:rsid w:val="00CC31E8"/>
    <w:rsid w:val="00CC3AB9"/>
    <w:rsid w:val="00CC3C9E"/>
    <w:rsid w:val="00CC45E0"/>
    <w:rsid w:val="00CC4BBE"/>
    <w:rsid w:val="00CC4BC3"/>
    <w:rsid w:val="00CC50C7"/>
    <w:rsid w:val="00CC55AC"/>
    <w:rsid w:val="00CC5859"/>
    <w:rsid w:val="00CC6D1C"/>
    <w:rsid w:val="00CC71DD"/>
    <w:rsid w:val="00CC71F3"/>
    <w:rsid w:val="00CC72C0"/>
    <w:rsid w:val="00CC757D"/>
    <w:rsid w:val="00CC7C74"/>
    <w:rsid w:val="00CD00DB"/>
    <w:rsid w:val="00CD0119"/>
    <w:rsid w:val="00CD07FD"/>
    <w:rsid w:val="00CD0866"/>
    <w:rsid w:val="00CD1169"/>
    <w:rsid w:val="00CD15F1"/>
    <w:rsid w:val="00CD16C7"/>
    <w:rsid w:val="00CD1A40"/>
    <w:rsid w:val="00CD1B33"/>
    <w:rsid w:val="00CD1C47"/>
    <w:rsid w:val="00CD22C2"/>
    <w:rsid w:val="00CD25F3"/>
    <w:rsid w:val="00CD27FF"/>
    <w:rsid w:val="00CD2875"/>
    <w:rsid w:val="00CD2DF3"/>
    <w:rsid w:val="00CD305C"/>
    <w:rsid w:val="00CD3A6D"/>
    <w:rsid w:val="00CD3E5A"/>
    <w:rsid w:val="00CD3E63"/>
    <w:rsid w:val="00CD40A3"/>
    <w:rsid w:val="00CD4CD3"/>
    <w:rsid w:val="00CD5249"/>
    <w:rsid w:val="00CD589F"/>
    <w:rsid w:val="00CD5BE2"/>
    <w:rsid w:val="00CD60C9"/>
    <w:rsid w:val="00CD6345"/>
    <w:rsid w:val="00CD6BBB"/>
    <w:rsid w:val="00CD6EC2"/>
    <w:rsid w:val="00CD7319"/>
    <w:rsid w:val="00CD7482"/>
    <w:rsid w:val="00CE07C1"/>
    <w:rsid w:val="00CE1567"/>
    <w:rsid w:val="00CE1859"/>
    <w:rsid w:val="00CE186F"/>
    <w:rsid w:val="00CE20E3"/>
    <w:rsid w:val="00CE273A"/>
    <w:rsid w:val="00CE2B61"/>
    <w:rsid w:val="00CE321C"/>
    <w:rsid w:val="00CE32E8"/>
    <w:rsid w:val="00CE353C"/>
    <w:rsid w:val="00CE3700"/>
    <w:rsid w:val="00CE3B69"/>
    <w:rsid w:val="00CE4559"/>
    <w:rsid w:val="00CE5118"/>
    <w:rsid w:val="00CE5487"/>
    <w:rsid w:val="00CE59B5"/>
    <w:rsid w:val="00CE59DB"/>
    <w:rsid w:val="00CE5B6A"/>
    <w:rsid w:val="00CE5D3A"/>
    <w:rsid w:val="00CE67D8"/>
    <w:rsid w:val="00CE68EA"/>
    <w:rsid w:val="00CE7381"/>
    <w:rsid w:val="00CE7447"/>
    <w:rsid w:val="00CE74CE"/>
    <w:rsid w:val="00CF0829"/>
    <w:rsid w:val="00CF0E74"/>
    <w:rsid w:val="00CF14E3"/>
    <w:rsid w:val="00CF1833"/>
    <w:rsid w:val="00CF1AEA"/>
    <w:rsid w:val="00CF2091"/>
    <w:rsid w:val="00CF21F6"/>
    <w:rsid w:val="00CF2278"/>
    <w:rsid w:val="00CF2C62"/>
    <w:rsid w:val="00CF2F66"/>
    <w:rsid w:val="00CF337B"/>
    <w:rsid w:val="00CF3FE7"/>
    <w:rsid w:val="00CF4416"/>
    <w:rsid w:val="00CF4631"/>
    <w:rsid w:val="00CF5607"/>
    <w:rsid w:val="00CF5762"/>
    <w:rsid w:val="00CF65B4"/>
    <w:rsid w:val="00CF69B0"/>
    <w:rsid w:val="00CF6C05"/>
    <w:rsid w:val="00CF7485"/>
    <w:rsid w:val="00CF764E"/>
    <w:rsid w:val="00CF7E56"/>
    <w:rsid w:val="00D001E7"/>
    <w:rsid w:val="00D01502"/>
    <w:rsid w:val="00D01744"/>
    <w:rsid w:val="00D01984"/>
    <w:rsid w:val="00D01C03"/>
    <w:rsid w:val="00D025CE"/>
    <w:rsid w:val="00D02A0F"/>
    <w:rsid w:val="00D02CA6"/>
    <w:rsid w:val="00D02DF3"/>
    <w:rsid w:val="00D03181"/>
    <w:rsid w:val="00D03517"/>
    <w:rsid w:val="00D037DC"/>
    <w:rsid w:val="00D0383B"/>
    <w:rsid w:val="00D03A8A"/>
    <w:rsid w:val="00D03DA5"/>
    <w:rsid w:val="00D03F27"/>
    <w:rsid w:val="00D043EE"/>
    <w:rsid w:val="00D0470D"/>
    <w:rsid w:val="00D04BFF"/>
    <w:rsid w:val="00D05249"/>
    <w:rsid w:val="00D055CA"/>
    <w:rsid w:val="00D059FC"/>
    <w:rsid w:val="00D05DEF"/>
    <w:rsid w:val="00D062A6"/>
    <w:rsid w:val="00D06861"/>
    <w:rsid w:val="00D0688A"/>
    <w:rsid w:val="00D06F22"/>
    <w:rsid w:val="00D073D9"/>
    <w:rsid w:val="00D07A9C"/>
    <w:rsid w:val="00D10076"/>
    <w:rsid w:val="00D1033B"/>
    <w:rsid w:val="00D10360"/>
    <w:rsid w:val="00D10477"/>
    <w:rsid w:val="00D107E2"/>
    <w:rsid w:val="00D10ADE"/>
    <w:rsid w:val="00D11D76"/>
    <w:rsid w:val="00D121F5"/>
    <w:rsid w:val="00D126E4"/>
    <w:rsid w:val="00D131BF"/>
    <w:rsid w:val="00D13A90"/>
    <w:rsid w:val="00D140E6"/>
    <w:rsid w:val="00D14833"/>
    <w:rsid w:val="00D158EF"/>
    <w:rsid w:val="00D15C14"/>
    <w:rsid w:val="00D15E74"/>
    <w:rsid w:val="00D15FAA"/>
    <w:rsid w:val="00D16C3D"/>
    <w:rsid w:val="00D16ECB"/>
    <w:rsid w:val="00D16EEE"/>
    <w:rsid w:val="00D17167"/>
    <w:rsid w:val="00D17BA5"/>
    <w:rsid w:val="00D2058D"/>
    <w:rsid w:val="00D206A3"/>
    <w:rsid w:val="00D2176E"/>
    <w:rsid w:val="00D2182A"/>
    <w:rsid w:val="00D2193D"/>
    <w:rsid w:val="00D21BCD"/>
    <w:rsid w:val="00D22105"/>
    <w:rsid w:val="00D2211C"/>
    <w:rsid w:val="00D22B55"/>
    <w:rsid w:val="00D22C81"/>
    <w:rsid w:val="00D23055"/>
    <w:rsid w:val="00D230AD"/>
    <w:rsid w:val="00D2320E"/>
    <w:rsid w:val="00D2327A"/>
    <w:rsid w:val="00D234DA"/>
    <w:rsid w:val="00D23C7C"/>
    <w:rsid w:val="00D251AB"/>
    <w:rsid w:val="00D25240"/>
    <w:rsid w:val="00D25AC6"/>
    <w:rsid w:val="00D261D3"/>
    <w:rsid w:val="00D26880"/>
    <w:rsid w:val="00D319DF"/>
    <w:rsid w:val="00D31C02"/>
    <w:rsid w:val="00D3225E"/>
    <w:rsid w:val="00D324BC"/>
    <w:rsid w:val="00D32B9F"/>
    <w:rsid w:val="00D33565"/>
    <w:rsid w:val="00D33761"/>
    <w:rsid w:val="00D33762"/>
    <w:rsid w:val="00D33A91"/>
    <w:rsid w:val="00D341C7"/>
    <w:rsid w:val="00D344B7"/>
    <w:rsid w:val="00D34862"/>
    <w:rsid w:val="00D34BD1"/>
    <w:rsid w:val="00D34D55"/>
    <w:rsid w:val="00D35177"/>
    <w:rsid w:val="00D35283"/>
    <w:rsid w:val="00D356CB"/>
    <w:rsid w:val="00D356E1"/>
    <w:rsid w:val="00D40340"/>
    <w:rsid w:val="00D40609"/>
    <w:rsid w:val="00D40983"/>
    <w:rsid w:val="00D41188"/>
    <w:rsid w:val="00D417D3"/>
    <w:rsid w:val="00D418D5"/>
    <w:rsid w:val="00D41940"/>
    <w:rsid w:val="00D41B27"/>
    <w:rsid w:val="00D41DB1"/>
    <w:rsid w:val="00D4249C"/>
    <w:rsid w:val="00D4276D"/>
    <w:rsid w:val="00D42798"/>
    <w:rsid w:val="00D42970"/>
    <w:rsid w:val="00D43AED"/>
    <w:rsid w:val="00D44916"/>
    <w:rsid w:val="00D45AE4"/>
    <w:rsid w:val="00D45CA4"/>
    <w:rsid w:val="00D45EA7"/>
    <w:rsid w:val="00D45F22"/>
    <w:rsid w:val="00D47178"/>
    <w:rsid w:val="00D4752E"/>
    <w:rsid w:val="00D47842"/>
    <w:rsid w:val="00D47BEF"/>
    <w:rsid w:val="00D50826"/>
    <w:rsid w:val="00D50C9B"/>
    <w:rsid w:val="00D51675"/>
    <w:rsid w:val="00D51F73"/>
    <w:rsid w:val="00D52827"/>
    <w:rsid w:val="00D529BE"/>
    <w:rsid w:val="00D52CF6"/>
    <w:rsid w:val="00D53D3E"/>
    <w:rsid w:val="00D547E0"/>
    <w:rsid w:val="00D54992"/>
    <w:rsid w:val="00D54D34"/>
    <w:rsid w:val="00D55291"/>
    <w:rsid w:val="00D55C48"/>
    <w:rsid w:val="00D55E47"/>
    <w:rsid w:val="00D56392"/>
    <w:rsid w:val="00D56997"/>
    <w:rsid w:val="00D570E6"/>
    <w:rsid w:val="00D5730F"/>
    <w:rsid w:val="00D5774F"/>
    <w:rsid w:val="00D57E82"/>
    <w:rsid w:val="00D60809"/>
    <w:rsid w:val="00D60D7F"/>
    <w:rsid w:val="00D61C9C"/>
    <w:rsid w:val="00D62111"/>
    <w:rsid w:val="00D62229"/>
    <w:rsid w:val="00D625B8"/>
    <w:rsid w:val="00D626F8"/>
    <w:rsid w:val="00D62A03"/>
    <w:rsid w:val="00D634E1"/>
    <w:rsid w:val="00D636DC"/>
    <w:rsid w:val="00D63F14"/>
    <w:rsid w:val="00D63F4C"/>
    <w:rsid w:val="00D64613"/>
    <w:rsid w:val="00D64702"/>
    <w:rsid w:val="00D659FA"/>
    <w:rsid w:val="00D66BFD"/>
    <w:rsid w:val="00D66C91"/>
    <w:rsid w:val="00D67413"/>
    <w:rsid w:val="00D674EE"/>
    <w:rsid w:val="00D67535"/>
    <w:rsid w:val="00D67A4D"/>
    <w:rsid w:val="00D67BC9"/>
    <w:rsid w:val="00D67DBC"/>
    <w:rsid w:val="00D7023F"/>
    <w:rsid w:val="00D704D9"/>
    <w:rsid w:val="00D70934"/>
    <w:rsid w:val="00D70BD2"/>
    <w:rsid w:val="00D713F2"/>
    <w:rsid w:val="00D721B1"/>
    <w:rsid w:val="00D7226B"/>
    <w:rsid w:val="00D72705"/>
    <w:rsid w:val="00D738BF"/>
    <w:rsid w:val="00D73B93"/>
    <w:rsid w:val="00D73C95"/>
    <w:rsid w:val="00D7400F"/>
    <w:rsid w:val="00D745C1"/>
    <w:rsid w:val="00D74784"/>
    <w:rsid w:val="00D756F6"/>
    <w:rsid w:val="00D75731"/>
    <w:rsid w:val="00D75B45"/>
    <w:rsid w:val="00D75B5C"/>
    <w:rsid w:val="00D75F8C"/>
    <w:rsid w:val="00D76050"/>
    <w:rsid w:val="00D76309"/>
    <w:rsid w:val="00D763AF"/>
    <w:rsid w:val="00D76423"/>
    <w:rsid w:val="00D767BF"/>
    <w:rsid w:val="00D77278"/>
    <w:rsid w:val="00D7749B"/>
    <w:rsid w:val="00D775B5"/>
    <w:rsid w:val="00D77961"/>
    <w:rsid w:val="00D77A47"/>
    <w:rsid w:val="00D77B20"/>
    <w:rsid w:val="00D77B3B"/>
    <w:rsid w:val="00D8007C"/>
    <w:rsid w:val="00D800BF"/>
    <w:rsid w:val="00D8079F"/>
    <w:rsid w:val="00D80CAF"/>
    <w:rsid w:val="00D80D0D"/>
    <w:rsid w:val="00D8103B"/>
    <w:rsid w:val="00D8111B"/>
    <w:rsid w:val="00D81242"/>
    <w:rsid w:val="00D812D2"/>
    <w:rsid w:val="00D82C80"/>
    <w:rsid w:val="00D82D02"/>
    <w:rsid w:val="00D82D0F"/>
    <w:rsid w:val="00D83A5A"/>
    <w:rsid w:val="00D84157"/>
    <w:rsid w:val="00D84BD7"/>
    <w:rsid w:val="00D84DCA"/>
    <w:rsid w:val="00D85114"/>
    <w:rsid w:val="00D857BC"/>
    <w:rsid w:val="00D85CC6"/>
    <w:rsid w:val="00D86A92"/>
    <w:rsid w:val="00D871B6"/>
    <w:rsid w:val="00D875E1"/>
    <w:rsid w:val="00D87F1E"/>
    <w:rsid w:val="00D90275"/>
    <w:rsid w:val="00D902F5"/>
    <w:rsid w:val="00D9075D"/>
    <w:rsid w:val="00D90959"/>
    <w:rsid w:val="00D91410"/>
    <w:rsid w:val="00D91438"/>
    <w:rsid w:val="00D91594"/>
    <w:rsid w:val="00D91ABE"/>
    <w:rsid w:val="00D91DFB"/>
    <w:rsid w:val="00D92042"/>
    <w:rsid w:val="00D921DA"/>
    <w:rsid w:val="00D92C2F"/>
    <w:rsid w:val="00D92F7F"/>
    <w:rsid w:val="00D930AC"/>
    <w:rsid w:val="00D9385C"/>
    <w:rsid w:val="00D9459D"/>
    <w:rsid w:val="00D94730"/>
    <w:rsid w:val="00D94858"/>
    <w:rsid w:val="00D94972"/>
    <w:rsid w:val="00D954A1"/>
    <w:rsid w:val="00D95519"/>
    <w:rsid w:val="00D95744"/>
    <w:rsid w:val="00D958FC"/>
    <w:rsid w:val="00D959AE"/>
    <w:rsid w:val="00D95DC2"/>
    <w:rsid w:val="00D96678"/>
    <w:rsid w:val="00D9673A"/>
    <w:rsid w:val="00D96C73"/>
    <w:rsid w:val="00D96D46"/>
    <w:rsid w:val="00D97C27"/>
    <w:rsid w:val="00DA032C"/>
    <w:rsid w:val="00DA0526"/>
    <w:rsid w:val="00DA0639"/>
    <w:rsid w:val="00DA0B8C"/>
    <w:rsid w:val="00DA0CF7"/>
    <w:rsid w:val="00DA0E96"/>
    <w:rsid w:val="00DA1203"/>
    <w:rsid w:val="00DA1468"/>
    <w:rsid w:val="00DA14A0"/>
    <w:rsid w:val="00DA18DA"/>
    <w:rsid w:val="00DA1972"/>
    <w:rsid w:val="00DA1C31"/>
    <w:rsid w:val="00DA1F0C"/>
    <w:rsid w:val="00DA2231"/>
    <w:rsid w:val="00DA3565"/>
    <w:rsid w:val="00DA3A5B"/>
    <w:rsid w:val="00DA3D0B"/>
    <w:rsid w:val="00DA3F51"/>
    <w:rsid w:val="00DA45DB"/>
    <w:rsid w:val="00DA48D9"/>
    <w:rsid w:val="00DA49F8"/>
    <w:rsid w:val="00DA4AAE"/>
    <w:rsid w:val="00DA5572"/>
    <w:rsid w:val="00DA5D5D"/>
    <w:rsid w:val="00DA62DB"/>
    <w:rsid w:val="00DA6A15"/>
    <w:rsid w:val="00DA6CC2"/>
    <w:rsid w:val="00DA7029"/>
    <w:rsid w:val="00DA756D"/>
    <w:rsid w:val="00DA77A0"/>
    <w:rsid w:val="00DB09A2"/>
    <w:rsid w:val="00DB103D"/>
    <w:rsid w:val="00DB1448"/>
    <w:rsid w:val="00DB1907"/>
    <w:rsid w:val="00DB1998"/>
    <w:rsid w:val="00DB1FC4"/>
    <w:rsid w:val="00DB21F0"/>
    <w:rsid w:val="00DB2C5F"/>
    <w:rsid w:val="00DB3A50"/>
    <w:rsid w:val="00DB3A58"/>
    <w:rsid w:val="00DB3BDF"/>
    <w:rsid w:val="00DB3C58"/>
    <w:rsid w:val="00DB3D46"/>
    <w:rsid w:val="00DB401C"/>
    <w:rsid w:val="00DB46C8"/>
    <w:rsid w:val="00DB540E"/>
    <w:rsid w:val="00DB5A63"/>
    <w:rsid w:val="00DB5F61"/>
    <w:rsid w:val="00DB6166"/>
    <w:rsid w:val="00DB656B"/>
    <w:rsid w:val="00DB691E"/>
    <w:rsid w:val="00DB6C99"/>
    <w:rsid w:val="00DB75A3"/>
    <w:rsid w:val="00DC0574"/>
    <w:rsid w:val="00DC0C65"/>
    <w:rsid w:val="00DC16BF"/>
    <w:rsid w:val="00DC16E1"/>
    <w:rsid w:val="00DC16FC"/>
    <w:rsid w:val="00DC1881"/>
    <w:rsid w:val="00DC1ED7"/>
    <w:rsid w:val="00DC3A6F"/>
    <w:rsid w:val="00DC3D1C"/>
    <w:rsid w:val="00DC43E1"/>
    <w:rsid w:val="00DC5199"/>
    <w:rsid w:val="00DC57C2"/>
    <w:rsid w:val="00DC5A32"/>
    <w:rsid w:val="00DC5E4E"/>
    <w:rsid w:val="00DC6281"/>
    <w:rsid w:val="00DC651B"/>
    <w:rsid w:val="00DC662F"/>
    <w:rsid w:val="00DC6E78"/>
    <w:rsid w:val="00DC729A"/>
    <w:rsid w:val="00DC73B1"/>
    <w:rsid w:val="00DC7519"/>
    <w:rsid w:val="00DC7630"/>
    <w:rsid w:val="00DC7EB5"/>
    <w:rsid w:val="00DD04AC"/>
    <w:rsid w:val="00DD04DD"/>
    <w:rsid w:val="00DD0891"/>
    <w:rsid w:val="00DD0A5B"/>
    <w:rsid w:val="00DD0B35"/>
    <w:rsid w:val="00DD0C4D"/>
    <w:rsid w:val="00DD0F9F"/>
    <w:rsid w:val="00DD11A7"/>
    <w:rsid w:val="00DD1298"/>
    <w:rsid w:val="00DD1A9F"/>
    <w:rsid w:val="00DD2300"/>
    <w:rsid w:val="00DD2309"/>
    <w:rsid w:val="00DD28B3"/>
    <w:rsid w:val="00DD2DE3"/>
    <w:rsid w:val="00DD2DE8"/>
    <w:rsid w:val="00DD316F"/>
    <w:rsid w:val="00DD357C"/>
    <w:rsid w:val="00DD37CA"/>
    <w:rsid w:val="00DD3D55"/>
    <w:rsid w:val="00DD3DF7"/>
    <w:rsid w:val="00DD4AE2"/>
    <w:rsid w:val="00DD4BFA"/>
    <w:rsid w:val="00DD51F8"/>
    <w:rsid w:val="00DD5B14"/>
    <w:rsid w:val="00DD6388"/>
    <w:rsid w:val="00DD66A2"/>
    <w:rsid w:val="00DD6C53"/>
    <w:rsid w:val="00DD7198"/>
    <w:rsid w:val="00DD7CB6"/>
    <w:rsid w:val="00DE0077"/>
    <w:rsid w:val="00DE0137"/>
    <w:rsid w:val="00DE01BA"/>
    <w:rsid w:val="00DE0DCF"/>
    <w:rsid w:val="00DE137B"/>
    <w:rsid w:val="00DE17DA"/>
    <w:rsid w:val="00DE19D9"/>
    <w:rsid w:val="00DE1DC6"/>
    <w:rsid w:val="00DE1F77"/>
    <w:rsid w:val="00DE21C6"/>
    <w:rsid w:val="00DE22AA"/>
    <w:rsid w:val="00DE288F"/>
    <w:rsid w:val="00DE2C45"/>
    <w:rsid w:val="00DE2D49"/>
    <w:rsid w:val="00DE2F4E"/>
    <w:rsid w:val="00DE3E66"/>
    <w:rsid w:val="00DE3F75"/>
    <w:rsid w:val="00DE41FC"/>
    <w:rsid w:val="00DE45F5"/>
    <w:rsid w:val="00DE4AAD"/>
    <w:rsid w:val="00DE4C0C"/>
    <w:rsid w:val="00DE4FC8"/>
    <w:rsid w:val="00DE53B5"/>
    <w:rsid w:val="00DE5A50"/>
    <w:rsid w:val="00DE60C5"/>
    <w:rsid w:val="00DE6D0C"/>
    <w:rsid w:val="00DE7323"/>
    <w:rsid w:val="00DE75F0"/>
    <w:rsid w:val="00DE77CB"/>
    <w:rsid w:val="00DE795A"/>
    <w:rsid w:val="00DE7D92"/>
    <w:rsid w:val="00DE7EBA"/>
    <w:rsid w:val="00DF04BD"/>
    <w:rsid w:val="00DF068D"/>
    <w:rsid w:val="00DF0D3A"/>
    <w:rsid w:val="00DF140A"/>
    <w:rsid w:val="00DF1A9A"/>
    <w:rsid w:val="00DF1C2D"/>
    <w:rsid w:val="00DF1F8A"/>
    <w:rsid w:val="00DF2209"/>
    <w:rsid w:val="00DF248E"/>
    <w:rsid w:val="00DF3248"/>
    <w:rsid w:val="00DF3577"/>
    <w:rsid w:val="00DF4063"/>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D3F"/>
    <w:rsid w:val="00E03DED"/>
    <w:rsid w:val="00E0437C"/>
    <w:rsid w:val="00E0452C"/>
    <w:rsid w:val="00E04D61"/>
    <w:rsid w:val="00E0504C"/>
    <w:rsid w:val="00E05074"/>
    <w:rsid w:val="00E05489"/>
    <w:rsid w:val="00E05741"/>
    <w:rsid w:val="00E05F7F"/>
    <w:rsid w:val="00E06549"/>
    <w:rsid w:val="00E06930"/>
    <w:rsid w:val="00E06971"/>
    <w:rsid w:val="00E07514"/>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399F"/>
    <w:rsid w:val="00E142FF"/>
    <w:rsid w:val="00E14D3A"/>
    <w:rsid w:val="00E14EFA"/>
    <w:rsid w:val="00E151B9"/>
    <w:rsid w:val="00E158C4"/>
    <w:rsid w:val="00E161E6"/>
    <w:rsid w:val="00E167C9"/>
    <w:rsid w:val="00E1698C"/>
    <w:rsid w:val="00E16BDB"/>
    <w:rsid w:val="00E172BE"/>
    <w:rsid w:val="00E17991"/>
    <w:rsid w:val="00E17CF7"/>
    <w:rsid w:val="00E205D6"/>
    <w:rsid w:val="00E209AB"/>
    <w:rsid w:val="00E216EC"/>
    <w:rsid w:val="00E2189A"/>
    <w:rsid w:val="00E21A60"/>
    <w:rsid w:val="00E22B5A"/>
    <w:rsid w:val="00E22B68"/>
    <w:rsid w:val="00E231C9"/>
    <w:rsid w:val="00E23EBF"/>
    <w:rsid w:val="00E23FD5"/>
    <w:rsid w:val="00E24669"/>
    <w:rsid w:val="00E24836"/>
    <w:rsid w:val="00E24C48"/>
    <w:rsid w:val="00E24EE4"/>
    <w:rsid w:val="00E25981"/>
    <w:rsid w:val="00E26141"/>
    <w:rsid w:val="00E266F5"/>
    <w:rsid w:val="00E26C97"/>
    <w:rsid w:val="00E26CCC"/>
    <w:rsid w:val="00E270D3"/>
    <w:rsid w:val="00E27FC7"/>
    <w:rsid w:val="00E3050B"/>
    <w:rsid w:val="00E30700"/>
    <w:rsid w:val="00E31360"/>
    <w:rsid w:val="00E31D28"/>
    <w:rsid w:val="00E32425"/>
    <w:rsid w:val="00E32506"/>
    <w:rsid w:val="00E3252C"/>
    <w:rsid w:val="00E325FF"/>
    <w:rsid w:val="00E32938"/>
    <w:rsid w:val="00E32CB8"/>
    <w:rsid w:val="00E32EB7"/>
    <w:rsid w:val="00E3440F"/>
    <w:rsid w:val="00E34F3A"/>
    <w:rsid w:val="00E35F99"/>
    <w:rsid w:val="00E35F9A"/>
    <w:rsid w:val="00E360B1"/>
    <w:rsid w:val="00E3637F"/>
    <w:rsid w:val="00E364B6"/>
    <w:rsid w:val="00E36723"/>
    <w:rsid w:val="00E3713C"/>
    <w:rsid w:val="00E37470"/>
    <w:rsid w:val="00E3767B"/>
    <w:rsid w:val="00E37E1C"/>
    <w:rsid w:val="00E40126"/>
    <w:rsid w:val="00E4013B"/>
    <w:rsid w:val="00E40BC3"/>
    <w:rsid w:val="00E40C85"/>
    <w:rsid w:val="00E40CBF"/>
    <w:rsid w:val="00E40E7D"/>
    <w:rsid w:val="00E40EE4"/>
    <w:rsid w:val="00E413C6"/>
    <w:rsid w:val="00E4141C"/>
    <w:rsid w:val="00E420D5"/>
    <w:rsid w:val="00E42517"/>
    <w:rsid w:val="00E42600"/>
    <w:rsid w:val="00E42948"/>
    <w:rsid w:val="00E42D55"/>
    <w:rsid w:val="00E42FFE"/>
    <w:rsid w:val="00E43050"/>
    <w:rsid w:val="00E4316E"/>
    <w:rsid w:val="00E435AB"/>
    <w:rsid w:val="00E44275"/>
    <w:rsid w:val="00E44620"/>
    <w:rsid w:val="00E44705"/>
    <w:rsid w:val="00E44777"/>
    <w:rsid w:val="00E44F67"/>
    <w:rsid w:val="00E4535F"/>
    <w:rsid w:val="00E455E3"/>
    <w:rsid w:val="00E466BC"/>
    <w:rsid w:val="00E4686A"/>
    <w:rsid w:val="00E469F2"/>
    <w:rsid w:val="00E46EE9"/>
    <w:rsid w:val="00E479FD"/>
    <w:rsid w:val="00E47F1A"/>
    <w:rsid w:val="00E504D6"/>
    <w:rsid w:val="00E50593"/>
    <w:rsid w:val="00E50B6F"/>
    <w:rsid w:val="00E50EBE"/>
    <w:rsid w:val="00E50F69"/>
    <w:rsid w:val="00E50FC6"/>
    <w:rsid w:val="00E5227B"/>
    <w:rsid w:val="00E52372"/>
    <w:rsid w:val="00E5265A"/>
    <w:rsid w:val="00E52786"/>
    <w:rsid w:val="00E52F05"/>
    <w:rsid w:val="00E53579"/>
    <w:rsid w:val="00E540CA"/>
    <w:rsid w:val="00E543DA"/>
    <w:rsid w:val="00E54A08"/>
    <w:rsid w:val="00E54F3A"/>
    <w:rsid w:val="00E55560"/>
    <w:rsid w:val="00E55B28"/>
    <w:rsid w:val="00E55FCD"/>
    <w:rsid w:val="00E5642F"/>
    <w:rsid w:val="00E56D4A"/>
    <w:rsid w:val="00E57119"/>
    <w:rsid w:val="00E5719E"/>
    <w:rsid w:val="00E57D7B"/>
    <w:rsid w:val="00E57F4B"/>
    <w:rsid w:val="00E602E5"/>
    <w:rsid w:val="00E602F8"/>
    <w:rsid w:val="00E6085B"/>
    <w:rsid w:val="00E60FBA"/>
    <w:rsid w:val="00E60FBF"/>
    <w:rsid w:val="00E611AE"/>
    <w:rsid w:val="00E616F9"/>
    <w:rsid w:val="00E61852"/>
    <w:rsid w:val="00E61A0C"/>
    <w:rsid w:val="00E61D22"/>
    <w:rsid w:val="00E61D96"/>
    <w:rsid w:val="00E61D9F"/>
    <w:rsid w:val="00E61E4B"/>
    <w:rsid w:val="00E63DA2"/>
    <w:rsid w:val="00E641E8"/>
    <w:rsid w:val="00E642AF"/>
    <w:rsid w:val="00E644C6"/>
    <w:rsid w:val="00E64555"/>
    <w:rsid w:val="00E64595"/>
    <w:rsid w:val="00E646BB"/>
    <w:rsid w:val="00E64D24"/>
    <w:rsid w:val="00E64FAF"/>
    <w:rsid w:val="00E653A6"/>
    <w:rsid w:val="00E6549C"/>
    <w:rsid w:val="00E654B9"/>
    <w:rsid w:val="00E655D4"/>
    <w:rsid w:val="00E6589D"/>
    <w:rsid w:val="00E65DBD"/>
    <w:rsid w:val="00E65E8C"/>
    <w:rsid w:val="00E665E7"/>
    <w:rsid w:val="00E66A89"/>
    <w:rsid w:val="00E66C96"/>
    <w:rsid w:val="00E66D89"/>
    <w:rsid w:val="00E67D87"/>
    <w:rsid w:val="00E70130"/>
    <w:rsid w:val="00E705A1"/>
    <w:rsid w:val="00E70D73"/>
    <w:rsid w:val="00E71063"/>
    <w:rsid w:val="00E715FC"/>
    <w:rsid w:val="00E71A45"/>
    <w:rsid w:val="00E71B55"/>
    <w:rsid w:val="00E71C21"/>
    <w:rsid w:val="00E729F7"/>
    <w:rsid w:val="00E72F23"/>
    <w:rsid w:val="00E730FC"/>
    <w:rsid w:val="00E73481"/>
    <w:rsid w:val="00E737D1"/>
    <w:rsid w:val="00E7385A"/>
    <w:rsid w:val="00E7391F"/>
    <w:rsid w:val="00E73CE6"/>
    <w:rsid w:val="00E74780"/>
    <w:rsid w:val="00E74956"/>
    <w:rsid w:val="00E752F7"/>
    <w:rsid w:val="00E75848"/>
    <w:rsid w:val="00E759D4"/>
    <w:rsid w:val="00E7631B"/>
    <w:rsid w:val="00E76348"/>
    <w:rsid w:val="00E76A3C"/>
    <w:rsid w:val="00E76F9B"/>
    <w:rsid w:val="00E771FC"/>
    <w:rsid w:val="00E773E5"/>
    <w:rsid w:val="00E77BDD"/>
    <w:rsid w:val="00E806D3"/>
    <w:rsid w:val="00E81C34"/>
    <w:rsid w:val="00E81D83"/>
    <w:rsid w:val="00E821BB"/>
    <w:rsid w:val="00E822E9"/>
    <w:rsid w:val="00E826FE"/>
    <w:rsid w:val="00E8275E"/>
    <w:rsid w:val="00E827AF"/>
    <w:rsid w:val="00E82843"/>
    <w:rsid w:val="00E82DE9"/>
    <w:rsid w:val="00E83253"/>
    <w:rsid w:val="00E8345B"/>
    <w:rsid w:val="00E83714"/>
    <w:rsid w:val="00E83831"/>
    <w:rsid w:val="00E844AB"/>
    <w:rsid w:val="00E84C97"/>
    <w:rsid w:val="00E85005"/>
    <w:rsid w:val="00E85296"/>
    <w:rsid w:val="00E8533B"/>
    <w:rsid w:val="00E85E4E"/>
    <w:rsid w:val="00E86327"/>
    <w:rsid w:val="00E86A7A"/>
    <w:rsid w:val="00E86DF0"/>
    <w:rsid w:val="00E8788A"/>
    <w:rsid w:val="00E87BD2"/>
    <w:rsid w:val="00E87CDC"/>
    <w:rsid w:val="00E90B33"/>
    <w:rsid w:val="00E90E2D"/>
    <w:rsid w:val="00E911E0"/>
    <w:rsid w:val="00E93407"/>
    <w:rsid w:val="00E940A8"/>
    <w:rsid w:val="00E947E8"/>
    <w:rsid w:val="00E94B0F"/>
    <w:rsid w:val="00E94E6D"/>
    <w:rsid w:val="00E9503F"/>
    <w:rsid w:val="00E956F3"/>
    <w:rsid w:val="00E96E68"/>
    <w:rsid w:val="00E97013"/>
    <w:rsid w:val="00E97EA1"/>
    <w:rsid w:val="00EA0BBE"/>
    <w:rsid w:val="00EA1650"/>
    <w:rsid w:val="00EA1FBC"/>
    <w:rsid w:val="00EA20A1"/>
    <w:rsid w:val="00EA212B"/>
    <w:rsid w:val="00EA24B5"/>
    <w:rsid w:val="00EA2D44"/>
    <w:rsid w:val="00EA3A1D"/>
    <w:rsid w:val="00EA3CD7"/>
    <w:rsid w:val="00EA3E2D"/>
    <w:rsid w:val="00EA4010"/>
    <w:rsid w:val="00EA429D"/>
    <w:rsid w:val="00EA43AF"/>
    <w:rsid w:val="00EA4676"/>
    <w:rsid w:val="00EA47FB"/>
    <w:rsid w:val="00EA4C7C"/>
    <w:rsid w:val="00EA4D4C"/>
    <w:rsid w:val="00EA554F"/>
    <w:rsid w:val="00EA5CCF"/>
    <w:rsid w:val="00EA6250"/>
    <w:rsid w:val="00EA66A4"/>
    <w:rsid w:val="00EA6819"/>
    <w:rsid w:val="00EA6A1E"/>
    <w:rsid w:val="00EA75BD"/>
    <w:rsid w:val="00EA7C47"/>
    <w:rsid w:val="00EB0B39"/>
    <w:rsid w:val="00EB0F0F"/>
    <w:rsid w:val="00EB1230"/>
    <w:rsid w:val="00EB12A5"/>
    <w:rsid w:val="00EB1DEF"/>
    <w:rsid w:val="00EB24D8"/>
    <w:rsid w:val="00EB2732"/>
    <w:rsid w:val="00EB277B"/>
    <w:rsid w:val="00EB2D43"/>
    <w:rsid w:val="00EB2F20"/>
    <w:rsid w:val="00EB2F35"/>
    <w:rsid w:val="00EB31DB"/>
    <w:rsid w:val="00EB3422"/>
    <w:rsid w:val="00EB3A31"/>
    <w:rsid w:val="00EB4EAF"/>
    <w:rsid w:val="00EB5424"/>
    <w:rsid w:val="00EB548E"/>
    <w:rsid w:val="00EB5C41"/>
    <w:rsid w:val="00EB5F5A"/>
    <w:rsid w:val="00EB656C"/>
    <w:rsid w:val="00EB657E"/>
    <w:rsid w:val="00EB695E"/>
    <w:rsid w:val="00EB69D1"/>
    <w:rsid w:val="00EB69D4"/>
    <w:rsid w:val="00EB6FE9"/>
    <w:rsid w:val="00EB72FF"/>
    <w:rsid w:val="00EB756F"/>
    <w:rsid w:val="00EB79C8"/>
    <w:rsid w:val="00EB7E78"/>
    <w:rsid w:val="00EC0301"/>
    <w:rsid w:val="00EC08B5"/>
    <w:rsid w:val="00EC09C6"/>
    <w:rsid w:val="00EC0AC1"/>
    <w:rsid w:val="00EC0EA5"/>
    <w:rsid w:val="00EC1056"/>
    <w:rsid w:val="00EC1470"/>
    <w:rsid w:val="00EC222E"/>
    <w:rsid w:val="00EC2716"/>
    <w:rsid w:val="00EC27F3"/>
    <w:rsid w:val="00EC2D11"/>
    <w:rsid w:val="00EC2DBB"/>
    <w:rsid w:val="00EC358E"/>
    <w:rsid w:val="00EC3FD2"/>
    <w:rsid w:val="00EC4095"/>
    <w:rsid w:val="00EC43B5"/>
    <w:rsid w:val="00EC4537"/>
    <w:rsid w:val="00EC4960"/>
    <w:rsid w:val="00EC4AE3"/>
    <w:rsid w:val="00EC5414"/>
    <w:rsid w:val="00EC54EE"/>
    <w:rsid w:val="00EC59B2"/>
    <w:rsid w:val="00EC5A3B"/>
    <w:rsid w:val="00EC5BC0"/>
    <w:rsid w:val="00EC6424"/>
    <w:rsid w:val="00EC786C"/>
    <w:rsid w:val="00EC7ADD"/>
    <w:rsid w:val="00EC7C26"/>
    <w:rsid w:val="00ED04FE"/>
    <w:rsid w:val="00ED0DD0"/>
    <w:rsid w:val="00ED1122"/>
    <w:rsid w:val="00ED1989"/>
    <w:rsid w:val="00ED21A9"/>
    <w:rsid w:val="00ED28F2"/>
    <w:rsid w:val="00ED3145"/>
    <w:rsid w:val="00ED3309"/>
    <w:rsid w:val="00ED33DC"/>
    <w:rsid w:val="00ED356E"/>
    <w:rsid w:val="00ED3792"/>
    <w:rsid w:val="00ED386A"/>
    <w:rsid w:val="00ED3BDA"/>
    <w:rsid w:val="00ED4A94"/>
    <w:rsid w:val="00ED5A3B"/>
    <w:rsid w:val="00ED5C30"/>
    <w:rsid w:val="00ED5E02"/>
    <w:rsid w:val="00ED5EED"/>
    <w:rsid w:val="00ED612A"/>
    <w:rsid w:val="00ED6846"/>
    <w:rsid w:val="00ED6B1C"/>
    <w:rsid w:val="00ED6CF7"/>
    <w:rsid w:val="00ED6F33"/>
    <w:rsid w:val="00ED7716"/>
    <w:rsid w:val="00ED7737"/>
    <w:rsid w:val="00ED7747"/>
    <w:rsid w:val="00ED77D8"/>
    <w:rsid w:val="00ED7ABC"/>
    <w:rsid w:val="00ED7CF4"/>
    <w:rsid w:val="00ED7FA2"/>
    <w:rsid w:val="00EE0786"/>
    <w:rsid w:val="00EE1B0E"/>
    <w:rsid w:val="00EE22FB"/>
    <w:rsid w:val="00EE2407"/>
    <w:rsid w:val="00EE26AE"/>
    <w:rsid w:val="00EE29C8"/>
    <w:rsid w:val="00EE2A54"/>
    <w:rsid w:val="00EE2FC2"/>
    <w:rsid w:val="00EE3B6B"/>
    <w:rsid w:val="00EE3B88"/>
    <w:rsid w:val="00EE4B75"/>
    <w:rsid w:val="00EE4D34"/>
    <w:rsid w:val="00EE4DBD"/>
    <w:rsid w:val="00EE5E1D"/>
    <w:rsid w:val="00EE6AC6"/>
    <w:rsid w:val="00EE6E26"/>
    <w:rsid w:val="00EE784F"/>
    <w:rsid w:val="00EE7A1D"/>
    <w:rsid w:val="00EE7DBD"/>
    <w:rsid w:val="00EE7E4D"/>
    <w:rsid w:val="00EF0500"/>
    <w:rsid w:val="00EF0553"/>
    <w:rsid w:val="00EF0808"/>
    <w:rsid w:val="00EF1002"/>
    <w:rsid w:val="00EF143F"/>
    <w:rsid w:val="00EF1D3B"/>
    <w:rsid w:val="00EF236B"/>
    <w:rsid w:val="00EF23D8"/>
    <w:rsid w:val="00EF2678"/>
    <w:rsid w:val="00EF2A5A"/>
    <w:rsid w:val="00EF2A87"/>
    <w:rsid w:val="00EF3A74"/>
    <w:rsid w:val="00EF3AE9"/>
    <w:rsid w:val="00EF3EA5"/>
    <w:rsid w:val="00EF49FB"/>
    <w:rsid w:val="00EF55D6"/>
    <w:rsid w:val="00EF644D"/>
    <w:rsid w:val="00EF6BAD"/>
    <w:rsid w:val="00EF6D29"/>
    <w:rsid w:val="00EF7138"/>
    <w:rsid w:val="00EF7E0B"/>
    <w:rsid w:val="00F00725"/>
    <w:rsid w:val="00F00881"/>
    <w:rsid w:val="00F00917"/>
    <w:rsid w:val="00F00B65"/>
    <w:rsid w:val="00F010BB"/>
    <w:rsid w:val="00F012C1"/>
    <w:rsid w:val="00F0175F"/>
    <w:rsid w:val="00F01A41"/>
    <w:rsid w:val="00F01B39"/>
    <w:rsid w:val="00F01B5A"/>
    <w:rsid w:val="00F0276D"/>
    <w:rsid w:val="00F03280"/>
    <w:rsid w:val="00F0362A"/>
    <w:rsid w:val="00F0385C"/>
    <w:rsid w:val="00F03894"/>
    <w:rsid w:val="00F03ABE"/>
    <w:rsid w:val="00F03B69"/>
    <w:rsid w:val="00F04345"/>
    <w:rsid w:val="00F047A4"/>
    <w:rsid w:val="00F04F52"/>
    <w:rsid w:val="00F0510F"/>
    <w:rsid w:val="00F0563F"/>
    <w:rsid w:val="00F064EF"/>
    <w:rsid w:val="00F06558"/>
    <w:rsid w:val="00F06F42"/>
    <w:rsid w:val="00F07122"/>
    <w:rsid w:val="00F074C9"/>
    <w:rsid w:val="00F07C82"/>
    <w:rsid w:val="00F07F5E"/>
    <w:rsid w:val="00F1001E"/>
    <w:rsid w:val="00F1055F"/>
    <w:rsid w:val="00F106BB"/>
    <w:rsid w:val="00F11027"/>
    <w:rsid w:val="00F111BA"/>
    <w:rsid w:val="00F116DD"/>
    <w:rsid w:val="00F11AD3"/>
    <w:rsid w:val="00F11D9F"/>
    <w:rsid w:val="00F11E31"/>
    <w:rsid w:val="00F12C53"/>
    <w:rsid w:val="00F1360C"/>
    <w:rsid w:val="00F13AA1"/>
    <w:rsid w:val="00F13F2A"/>
    <w:rsid w:val="00F14D9E"/>
    <w:rsid w:val="00F15097"/>
    <w:rsid w:val="00F153F8"/>
    <w:rsid w:val="00F15671"/>
    <w:rsid w:val="00F1643E"/>
    <w:rsid w:val="00F16695"/>
    <w:rsid w:val="00F16811"/>
    <w:rsid w:val="00F1733F"/>
    <w:rsid w:val="00F179C0"/>
    <w:rsid w:val="00F2021E"/>
    <w:rsid w:val="00F202E3"/>
    <w:rsid w:val="00F20C6E"/>
    <w:rsid w:val="00F20D6C"/>
    <w:rsid w:val="00F20F03"/>
    <w:rsid w:val="00F2255F"/>
    <w:rsid w:val="00F225CF"/>
    <w:rsid w:val="00F22882"/>
    <w:rsid w:val="00F22985"/>
    <w:rsid w:val="00F22AEF"/>
    <w:rsid w:val="00F22F7A"/>
    <w:rsid w:val="00F2343C"/>
    <w:rsid w:val="00F23CFC"/>
    <w:rsid w:val="00F24076"/>
    <w:rsid w:val="00F240CB"/>
    <w:rsid w:val="00F2492F"/>
    <w:rsid w:val="00F24B16"/>
    <w:rsid w:val="00F2500D"/>
    <w:rsid w:val="00F253C3"/>
    <w:rsid w:val="00F2596D"/>
    <w:rsid w:val="00F25CAA"/>
    <w:rsid w:val="00F26463"/>
    <w:rsid w:val="00F26AD6"/>
    <w:rsid w:val="00F2711C"/>
    <w:rsid w:val="00F27253"/>
    <w:rsid w:val="00F27327"/>
    <w:rsid w:val="00F277E8"/>
    <w:rsid w:val="00F27B04"/>
    <w:rsid w:val="00F27E3D"/>
    <w:rsid w:val="00F27EB2"/>
    <w:rsid w:val="00F301D0"/>
    <w:rsid w:val="00F30574"/>
    <w:rsid w:val="00F3069F"/>
    <w:rsid w:val="00F30C3F"/>
    <w:rsid w:val="00F30C60"/>
    <w:rsid w:val="00F30F38"/>
    <w:rsid w:val="00F311D1"/>
    <w:rsid w:val="00F3158A"/>
    <w:rsid w:val="00F318DB"/>
    <w:rsid w:val="00F3199C"/>
    <w:rsid w:val="00F31F7D"/>
    <w:rsid w:val="00F31FB9"/>
    <w:rsid w:val="00F326F6"/>
    <w:rsid w:val="00F32AFF"/>
    <w:rsid w:val="00F33825"/>
    <w:rsid w:val="00F33A8B"/>
    <w:rsid w:val="00F33D3B"/>
    <w:rsid w:val="00F34A96"/>
    <w:rsid w:val="00F34EBF"/>
    <w:rsid w:val="00F34F05"/>
    <w:rsid w:val="00F356D5"/>
    <w:rsid w:val="00F359A5"/>
    <w:rsid w:val="00F361AE"/>
    <w:rsid w:val="00F36240"/>
    <w:rsid w:val="00F363EB"/>
    <w:rsid w:val="00F365BA"/>
    <w:rsid w:val="00F365DE"/>
    <w:rsid w:val="00F366DA"/>
    <w:rsid w:val="00F367CF"/>
    <w:rsid w:val="00F36D37"/>
    <w:rsid w:val="00F3719A"/>
    <w:rsid w:val="00F379BF"/>
    <w:rsid w:val="00F37EA7"/>
    <w:rsid w:val="00F40505"/>
    <w:rsid w:val="00F40805"/>
    <w:rsid w:val="00F40B93"/>
    <w:rsid w:val="00F40C5E"/>
    <w:rsid w:val="00F40E3E"/>
    <w:rsid w:val="00F4163A"/>
    <w:rsid w:val="00F41873"/>
    <w:rsid w:val="00F419C3"/>
    <w:rsid w:val="00F41D91"/>
    <w:rsid w:val="00F41E2B"/>
    <w:rsid w:val="00F423BE"/>
    <w:rsid w:val="00F424A5"/>
    <w:rsid w:val="00F425EF"/>
    <w:rsid w:val="00F428AC"/>
    <w:rsid w:val="00F42DE9"/>
    <w:rsid w:val="00F42EE3"/>
    <w:rsid w:val="00F43149"/>
    <w:rsid w:val="00F43660"/>
    <w:rsid w:val="00F43888"/>
    <w:rsid w:val="00F43B91"/>
    <w:rsid w:val="00F44542"/>
    <w:rsid w:val="00F448DD"/>
    <w:rsid w:val="00F44D6A"/>
    <w:rsid w:val="00F44DB8"/>
    <w:rsid w:val="00F45760"/>
    <w:rsid w:val="00F45836"/>
    <w:rsid w:val="00F45925"/>
    <w:rsid w:val="00F46BA6"/>
    <w:rsid w:val="00F46C97"/>
    <w:rsid w:val="00F4703E"/>
    <w:rsid w:val="00F4775F"/>
    <w:rsid w:val="00F47C3D"/>
    <w:rsid w:val="00F50781"/>
    <w:rsid w:val="00F50CA3"/>
    <w:rsid w:val="00F517ED"/>
    <w:rsid w:val="00F5195A"/>
    <w:rsid w:val="00F51A7A"/>
    <w:rsid w:val="00F51F3F"/>
    <w:rsid w:val="00F528B5"/>
    <w:rsid w:val="00F528E7"/>
    <w:rsid w:val="00F52C8A"/>
    <w:rsid w:val="00F5352D"/>
    <w:rsid w:val="00F53615"/>
    <w:rsid w:val="00F53A91"/>
    <w:rsid w:val="00F54556"/>
    <w:rsid w:val="00F54783"/>
    <w:rsid w:val="00F547E9"/>
    <w:rsid w:val="00F5494E"/>
    <w:rsid w:val="00F54ABD"/>
    <w:rsid w:val="00F54ABE"/>
    <w:rsid w:val="00F55804"/>
    <w:rsid w:val="00F55F1A"/>
    <w:rsid w:val="00F5629D"/>
    <w:rsid w:val="00F56310"/>
    <w:rsid w:val="00F5684C"/>
    <w:rsid w:val="00F57210"/>
    <w:rsid w:val="00F577FC"/>
    <w:rsid w:val="00F60241"/>
    <w:rsid w:val="00F602F0"/>
    <w:rsid w:val="00F60622"/>
    <w:rsid w:val="00F60C90"/>
    <w:rsid w:val="00F619EE"/>
    <w:rsid w:val="00F61AF8"/>
    <w:rsid w:val="00F61CF5"/>
    <w:rsid w:val="00F61FF9"/>
    <w:rsid w:val="00F62069"/>
    <w:rsid w:val="00F62159"/>
    <w:rsid w:val="00F62A7C"/>
    <w:rsid w:val="00F62B93"/>
    <w:rsid w:val="00F633E5"/>
    <w:rsid w:val="00F63C89"/>
    <w:rsid w:val="00F647EC"/>
    <w:rsid w:val="00F64FAB"/>
    <w:rsid w:val="00F65AC8"/>
    <w:rsid w:val="00F65CEA"/>
    <w:rsid w:val="00F65EED"/>
    <w:rsid w:val="00F65F15"/>
    <w:rsid w:val="00F66443"/>
    <w:rsid w:val="00F675EA"/>
    <w:rsid w:val="00F7074A"/>
    <w:rsid w:val="00F70AD6"/>
    <w:rsid w:val="00F710A5"/>
    <w:rsid w:val="00F71687"/>
    <w:rsid w:val="00F71708"/>
    <w:rsid w:val="00F717C1"/>
    <w:rsid w:val="00F71AAE"/>
    <w:rsid w:val="00F71CDB"/>
    <w:rsid w:val="00F722E7"/>
    <w:rsid w:val="00F725D3"/>
    <w:rsid w:val="00F7281E"/>
    <w:rsid w:val="00F72C1A"/>
    <w:rsid w:val="00F72C3D"/>
    <w:rsid w:val="00F737AB"/>
    <w:rsid w:val="00F73992"/>
    <w:rsid w:val="00F7406A"/>
    <w:rsid w:val="00F74216"/>
    <w:rsid w:val="00F74F0F"/>
    <w:rsid w:val="00F75731"/>
    <w:rsid w:val="00F75841"/>
    <w:rsid w:val="00F76333"/>
    <w:rsid w:val="00F77100"/>
    <w:rsid w:val="00F77718"/>
    <w:rsid w:val="00F8090F"/>
    <w:rsid w:val="00F80B4B"/>
    <w:rsid w:val="00F8139A"/>
    <w:rsid w:val="00F82AAE"/>
    <w:rsid w:val="00F834BE"/>
    <w:rsid w:val="00F838A9"/>
    <w:rsid w:val="00F849E3"/>
    <w:rsid w:val="00F84B4E"/>
    <w:rsid w:val="00F84C44"/>
    <w:rsid w:val="00F851B7"/>
    <w:rsid w:val="00F8566C"/>
    <w:rsid w:val="00F858D4"/>
    <w:rsid w:val="00F85C65"/>
    <w:rsid w:val="00F860EB"/>
    <w:rsid w:val="00F868B6"/>
    <w:rsid w:val="00F86968"/>
    <w:rsid w:val="00F86E42"/>
    <w:rsid w:val="00F87354"/>
    <w:rsid w:val="00F876E6"/>
    <w:rsid w:val="00F87825"/>
    <w:rsid w:val="00F87838"/>
    <w:rsid w:val="00F879E8"/>
    <w:rsid w:val="00F87FCE"/>
    <w:rsid w:val="00F9008B"/>
    <w:rsid w:val="00F909C7"/>
    <w:rsid w:val="00F91669"/>
    <w:rsid w:val="00F916DE"/>
    <w:rsid w:val="00F9184F"/>
    <w:rsid w:val="00F91943"/>
    <w:rsid w:val="00F91C08"/>
    <w:rsid w:val="00F9231D"/>
    <w:rsid w:val="00F92A66"/>
    <w:rsid w:val="00F931CF"/>
    <w:rsid w:val="00F93A31"/>
    <w:rsid w:val="00F93D6E"/>
    <w:rsid w:val="00F9423D"/>
    <w:rsid w:val="00F94609"/>
    <w:rsid w:val="00F95182"/>
    <w:rsid w:val="00F95625"/>
    <w:rsid w:val="00F957D2"/>
    <w:rsid w:val="00F95D94"/>
    <w:rsid w:val="00F96F86"/>
    <w:rsid w:val="00F977ED"/>
    <w:rsid w:val="00FA02B8"/>
    <w:rsid w:val="00FA0980"/>
    <w:rsid w:val="00FA1028"/>
    <w:rsid w:val="00FA157E"/>
    <w:rsid w:val="00FA181F"/>
    <w:rsid w:val="00FA1C1F"/>
    <w:rsid w:val="00FA1E82"/>
    <w:rsid w:val="00FA2137"/>
    <w:rsid w:val="00FA272D"/>
    <w:rsid w:val="00FA338D"/>
    <w:rsid w:val="00FA34A2"/>
    <w:rsid w:val="00FA3742"/>
    <w:rsid w:val="00FA3837"/>
    <w:rsid w:val="00FA39FC"/>
    <w:rsid w:val="00FA44B4"/>
    <w:rsid w:val="00FA4538"/>
    <w:rsid w:val="00FA4998"/>
    <w:rsid w:val="00FA4DC2"/>
    <w:rsid w:val="00FA5629"/>
    <w:rsid w:val="00FA57D1"/>
    <w:rsid w:val="00FA67E3"/>
    <w:rsid w:val="00FA7157"/>
    <w:rsid w:val="00FA73A6"/>
    <w:rsid w:val="00FA7698"/>
    <w:rsid w:val="00FA78C2"/>
    <w:rsid w:val="00FA7A2D"/>
    <w:rsid w:val="00FA7B4F"/>
    <w:rsid w:val="00FA7DA6"/>
    <w:rsid w:val="00FB02F8"/>
    <w:rsid w:val="00FB06E7"/>
    <w:rsid w:val="00FB0822"/>
    <w:rsid w:val="00FB0C65"/>
    <w:rsid w:val="00FB1093"/>
    <w:rsid w:val="00FB13A0"/>
    <w:rsid w:val="00FB227E"/>
    <w:rsid w:val="00FB267D"/>
    <w:rsid w:val="00FB29E5"/>
    <w:rsid w:val="00FB2A18"/>
    <w:rsid w:val="00FB2BF4"/>
    <w:rsid w:val="00FB2C8D"/>
    <w:rsid w:val="00FB2DC6"/>
    <w:rsid w:val="00FB4926"/>
    <w:rsid w:val="00FB59D4"/>
    <w:rsid w:val="00FB5E81"/>
    <w:rsid w:val="00FB6E6C"/>
    <w:rsid w:val="00FB71B0"/>
    <w:rsid w:val="00FB7ABA"/>
    <w:rsid w:val="00FB7C21"/>
    <w:rsid w:val="00FB7C46"/>
    <w:rsid w:val="00FC04E0"/>
    <w:rsid w:val="00FC0D98"/>
    <w:rsid w:val="00FC0E2F"/>
    <w:rsid w:val="00FC1042"/>
    <w:rsid w:val="00FC11C6"/>
    <w:rsid w:val="00FC1370"/>
    <w:rsid w:val="00FC1634"/>
    <w:rsid w:val="00FC17D8"/>
    <w:rsid w:val="00FC279A"/>
    <w:rsid w:val="00FC30AB"/>
    <w:rsid w:val="00FC324D"/>
    <w:rsid w:val="00FC39A1"/>
    <w:rsid w:val="00FC3BC3"/>
    <w:rsid w:val="00FC3E47"/>
    <w:rsid w:val="00FC4B53"/>
    <w:rsid w:val="00FC4BAE"/>
    <w:rsid w:val="00FC4F75"/>
    <w:rsid w:val="00FC5160"/>
    <w:rsid w:val="00FC5A36"/>
    <w:rsid w:val="00FC6353"/>
    <w:rsid w:val="00FC69CF"/>
    <w:rsid w:val="00FC6B0B"/>
    <w:rsid w:val="00FC6C22"/>
    <w:rsid w:val="00FC713B"/>
    <w:rsid w:val="00FC7862"/>
    <w:rsid w:val="00FC79D5"/>
    <w:rsid w:val="00FC7B35"/>
    <w:rsid w:val="00FC7B53"/>
    <w:rsid w:val="00FC7BD8"/>
    <w:rsid w:val="00FD0177"/>
    <w:rsid w:val="00FD0AE7"/>
    <w:rsid w:val="00FD0B44"/>
    <w:rsid w:val="00FD0F70"/>
    <w:rsid w:val="00FD1312"/>
    <w:rsid w:val="00FD2315"/>
    <w:rsid w:val="00FD29A7"/>
    <w:rsid w:val="00FD2B15"/>
    <w:rsid w:val="00FD3092"/>
    <w:rsid w:val="00FD3368"/>
    <w:rsid w:val="00FD412E"/>
    <w:rsid w:val="00FD420F"/>
    <w:rsid w:val="00FD4339"/>
    <w:rsid w:val="00FD4B0C"/>
    <w:rsid w:val="00FD4F2F"/>
    <w:rsid w:val="00FD51F7"/>
    <w:rsid w:val="00FD5258"/>
    <w:rsid w:val="00FD5602"/>
    <w:rsid w:val="00FD5661"/>
    <w:rsid w:val="00FD5A2A"/>
    <w:rsid w:val="00FD5AE2"/>
    <w:rsid w:val="00FD62B4"/>
    <w:rsid w:val="00FD7142"/>
    <w:rsid w:val="00FD750F"/>
    <w:rsid w:val="00FE011C"/>
    <w:rsid w:val="00FE07DC"/>
    <w:rsid w:val="00FE08FB"/>
    <w:rsid w:val="00FE1116"/>
    <w:rsid w:val="00FE2075"/>
    <w:rsid w:val="00FE2080"/>
    <w:rsid w:val="00FE27B9"/>
    <w:rsid w:val="00FE2E37"/>
    <w:rsid w:val="00FE3640"/>
    <w:rsid w:val="00FE3780"/>
    <w:rsid w:val="00FE3954"/>
    <w:rsid w:val="00FE3CF7"/>
    <w:rsid w:val="00FE3E50"/>
    <w:rsid w:val="00FE4071"/>
    <w:rsid w:val="00FE42E3"/>
    <w:rsid w:val="00FE4ECD"/>
    <w:rsid w:val="00FE52B7"/>
    <w:rsid w:val="00FE53C5"/>
    <w:rsid w:val="00FE56A8"/>
    <w:rsid w:val="00FE5807"/>
    <w:rsid w:val="00FE5C39"/>
    <w:rsid w:val="00FE5C57"/>
    <w:rsid w:val="00FE624E"/>
    <w:rsid w:val="00FE6415"/>
    <w:rsid w:val="00FE69E7"/>
    <w:rsid w:val="00FE6BB8"/>
    <w:rsid w:val="00FE6E76"/>
    <w:rsid w:val="00FE6F5A"/>
    <w:rsid w:val="00FF027B"/>
    <w:rsid w:val="00FF1174"/>
    <w:rsid w:val="00FF165A"/>
    <w:rsid w:val="00FF1B72"/>
    <w:rsid w:val="00FF1CF1"/>
    <w:rsid w:val="00FF1F4C"/>
    <w:rsid w:val="00FF228F"/>
    <w:rsid w:val="00FF324B"/>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B6C"/>
    <w:rsid w:val="00FF6DD4"/>
    <w:rsid w:val="00FF7634"/>
    <w:rsid w:val="017E3F71"/>
    <w:rsid w:val="01AA2C10"/>
    <w:rsid w:val="037738D8"/>
    <w:rsid w:val="03CA2A2C"/>
    <w:rsid w:val="046E4522"/>
    <w:rsid w:val="04B62D9A"/>
    <w:rsid w:val="055A2489"/>
    <w:rsid w:val="068955F4"/>
    <w:rsid w:val="06A83CF9"/>
    <w:rsid w:val="06E20D89"/>
    <w:rsid w:val="075F0692"/>
    <w:rsid w:val="07DB054A"/>
    <w:rsid w:val="083D2AF4"/>
    <w:rsid w:val="08F53B23"/>
    <w:rsid w:val="09F77ECA"/>
    <w:rsid w:val="0A053C89"/>
    <w:rsid w:val="0A070656"/>
    <w:rsid w:val="0A913ED8"/>
    <w:rsid w:val="0B24171E"/>
    <w:rsid w:val="0B5C3243"/>
    <w:rsid w:val="0BAD59A4"/>
    <w:rsid w:val="0BFC043E"/>
    <w:rsid w:val="0C466B45"/>
    <w:rsid w:val="0D584403"/>
    <w:rsid w:val="0DEE7765"/>
    <w:rsid w:val="0F1B41BB"/>
    <w:rsid w:val="0F2B5D1F"/>
    <w:rsid w:val="101C0A97"/>
    <w:rsid w:val="10F67974"/>
    <w:rsid w:val="11127111"/>
    <w:rsid w:val="118E494C"/>
    <w:rsid w:val="12685FCD"/>
    <w:rsid w:val="146F2C7A"/>
    <w:rsid w:val="149E4992"/>
    <w:rsid w:val="170E5D26"/>
    <w:rsid w:val="17BE59A2"/>
    <w:rsid w:val="18077515"/>
    <w:rsid w:val="18185849"/>
    <w:rsid w:val="18CA5D94"/>
    <w:rsid w:val="19C57049"/>
    <w:rsid w:val="1A442DE9"/>
    <w:rsid w:val="1BC305D3"/>
    <w:rsid w:val="1CD55680"/>
    <w:rsid w:val="1D321E13"/>
    <w:rsid w:val="1DBC044E"/>
    <w:rsid w:val="1E7F3055"/>
    <w:rsid w:val="1E86081F"/>
    <w:rsid w:val="1F4849CA"/>
    <w:rsid w:val="1F873477"/>
    <w:rsid w:val="20EB1A8B"/>
    <w:rsid w:val="21455F84"/>
    <w:rsid w:val="225C13B1"/>
    <w:rsid w:val="24977600"/>
    <w:rsid w:val="24B831E2"/>
    <w:rsid w:val="250B120F"/>
    <w:rsid w:val="252C7220"/>
    <w:rsid w:val="25490A12"/>
    <w:rsid w:val="25A704A9"/>
    <w:rsid w:val="26071ED5"/>
    <w:rsid w:val="26226B65"/>
    <w:rsid w:val="26A50560"/>
    <w:rsid w:val="270F55EE"/>
    <w:rsid w:val="272F1A96"/>
    <w:rsid w:val="27F52753"/>
    <w:rsid w:val="29064F88"/>
    <w:rsid w:val="297B0CF7"/>
    <w:rsid w:val="2B822DA1"/>
    <w:rsid w:val="2BE52500"/>
    <w:rsid w:val="2C541884"/>
    <w:rsid w:val="2EA133AF"/>
    <w:rsid w:val="2EDD2DD9"/>
    <w:rsid w:val="2F723467"/>
    <w:rsid w:val="306835D0"/>
    <w:rsid w:val="30B91060"/>
    <w:rsid w:val="32A0292F"/>
    <w:rsid w:val="32A02B99"/>
    <w:rsid w:val="3310712F"/>
    <w:rsid w:val="337D5F7B"/>
    <w:rsid w:val="33D414D0"/>
    <w:rsid w:val="341B2B8A"/>
    <w:rsid w:val="3439368F"/>
    <w:rsid w:val="34603E67"/>
    <w:rsid w:val="3502693D"/>
    <w:rsid w:val="35CD358A"/>
    <w:rsid w:val="36232DB0"/>
    <w:rsid w:val="380534F8"/>
    <w:rsid w:val="38521813"/>
    <w:rsid w:val="385F359C"/>
    <w:rsid w:val="3A514476"/>
    <w:rsid w:val="3BA80B19"/>
    <w:rsid w:val="3C2D1062"/>
    <w:rsid w:val="3C4240EC"/>
    <w:rsid w:val="3C9B0CDC"/>
    <w:rsid w:val="3CF4186F"/>
    <w:rsid w:val="3D711B40"/>
    <w:rsid w:val="3E800AA6"/>
    <w:rsid w:val="3F3A1FEB"/>
    <w:rsid w:val="407B6E25"/>
    <w:rsid w:val="40A67243"/>
    <w:rsid w:val="4151103E"/>
    <w:rsid w:val="42253D73"/>
    <w:rsid w:val="44592171"/>
    <w:rsid w:val="44E4602A"/>
    <w:rsid w:val="45B80788"/>
    <w:rsid w:val="472460C4"/>
    <w:rsid w:val="476A259C"/>
    <w:rsid w:val="47E9061B"/>
    <w:rsid w:val="484245C7"/>
    <w:rsid w:val="488D7CFE"/>
    <w:rsid w:val="48CC3E16"/>
    <w:rsid w:val="49323FD7"/>
    <w:rsid w:val="4991797D"/>
    <w:rsid w:val="4A771425"/>
    <w:rsid w:val="4BE95365"/>
    <w:rsid w:val="4C12409B"/>
    <w:rsid w:val="4D9B7742"/>
    <w:rsid w:val="4DD0778F"/>
    <w:rsid w:val="4E9B14FE"/>
    <w:rsid w:val="4EAC5711"/>
    <w:rsid w:val="4F18673A"/>
    <w:rsid w:val="51B2004B"/>
    <w:rsid w:val="522F3308"/>
    <w:rsid w:val="52904232"/>
    <w:rsid w:val="5408251D"/>
    <w:rsid w:val="54556AEA"/>
    <w:rsid w:val="55131A57"/>
    <w:rsid w:val="55622629"/>
    <w:rsid w:val="57522818"/>
    <w:rsid w:val="577D71D5"/>
    <w:rsid w:val="589B369A"/>
    <w:rsid w:val="59D9433B"/>
    <w:rsid w:val="5A105AE3"/>
    <w:rsid w:val="5A3A2B60"/>
    <w:rsid w:val="5A3A2DDD"/>
    <w:rsid w:val="5A612639"/>
    <w:rsid w:val="5B83329D"/>
    <w:rsid w:val="5BF449CD"/>
    <w:rsid w:val="5BF918A2"/>
    <w:rsid w:val="62093465"/>
    <w:rsid w:val="62B8336A"/>
    <w:rsid w:val="635F5CFB"/>
    <w:rsid w:val="63E340FD"/>
    <w:rsid w:val="64337579"/>
    <w:rsid w:val="64441196"/>
    <w:rsid w:val="648B53C8"/>
    <w:rsid w:val="649E5009"/>
    <w:rsid w:val="64C6394E"/>
    <w:rsid w:val="64CB7E2F"/>
    <w:rsid w:val="65091B75"/>
    <w:rsid w:val="6568774A"/>
    <w:rsid w:val="65BC6440"/>
    <w:rsid w:val="65C36E7F"/>
    <w:rsid w:val="65D21A26"/>
    <w:rsid w:val="663B7430"/>
    <w:rsid w:val="665477F1"/>
    <w:rsid w:val="66EC51E2"/>
    <w:rsid w:val="66FE3B4E"/>
    <w:rsid w:val="671E1CA4"/>
    <w:rsid w:val="672A0BC3"/>
    <w:rsid w:val="67672ABA"/>
    <w:rsid w:val="687775B2"/>
    <w:rsid w:val="6A125484"/>
    <w:rsid w:val="6A1B14A7"/>
    <w:rsid w:val="6B241A17"/>
    <w:rsid w:val="6D637130"/>
    <w:rsid w:val="6E1148C4"/>
    <w:rsid w:val="6E914282"/>
    <w:rsid w:val="6E9C0F6F"/>
    <w:rsid w:val="6F0E4EC3"/>
    <w:rsid w:val="70557737"/>
    <w:rsid w:val="706D27E8"/>
    <w:rsid w:val="71AD7318"/>
    <w:rsid w:val="726D70E7"/>
    <w:rsid w:val="72A63D8F"/>
    <w:rsid w:val="747D74F0"/>
    <w:rsid w:val="74C31ECB"/>
    <w:rsid w:val="75942919"/>
    <w:rsid w:val="7A036672"/>
    <w:rsid w:val="7AA37E55"/>
    <w:rsid w:val="7AAA36FF"/>
    <w:rsid w:val="7B2E3CAD"/>
    <w:rsid w:val="7C9C4E59"/>
    <w:rsid w:val="7E092C14"/>
    <w:rsid w:val="7E2F1D63"/>
    <w:rsid w:val="7F482401"/>
    <w:rsid w:val="7FF54C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nhideWhenUsed="0" w:uiPriority="0" w:semiHidden="0" w:name="Normal Indent"/>
    <w:lsdException w:uiPriority="99" w:semiHidden="0" w:name="footnote text"/>
    <w:lsdException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semiHidden="0" w:name="footnote reference"/>
    <w:lsdException w:uiPriority="0" w:semiHidden="0" w:name="annotation reference"/>
    <w:lsdException w:uiPriority="99" w:name="line number"/>
    <w:lsdException w:unhideWhenUsed="0" w:uiPriority="0" w:semiHidden="0" w:name="page number"/>
    <w:lsdException w:uiPriority="99" w:semiHidden="0" w:name="endnote reference"/>
    <w:lsdException w:uiPriority="99" w:semiHidden="0"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nhideWhenUsed="0" w:uiPriority="0" w:semiHidden="0" w:name="List Number"/>
    <w:lsdException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99"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5"/>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6"/>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90"/>
    <w:qFormat/>
    <w:uiPriority w:val="10"/>
    <w:pPr>
      <w:keepNext/>
      <w:keepLines/>
      <w:spacing w:before="280" w:after="290" w:line="376" w:lineRule="auto"/>
      <w:outlineLvl w:val="3"/>
    </w:pPr>
    <w:rPr>
      <w:rFonts w:ascii="Calibri Light" w:hAnsi="Calibri Light"/>
      <w:b/>
      <w:bCs/>
      <w:sz w:val="28"/>
      <w:szCs w:val="28"/>
    </w:rPr>
  </w:style>
  <w:style w:type="paragraph" w:styleId="6">
    <w:name w:val="heading 5"/>
    <w:basedOn w:val="1"/>
    <w:next w:val="7"/>
    <w:link w:val="68"/>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69"/>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70"/>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71"/>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72"/>
    <w:qFormat/>
    <w:uiPriority w:val="0"/>
    <w:pPr>
      <w:keepNext/>
      <w:keepLines/>
      <w:numPr>
        <w:ilvl w:val="8"/>
        <w:numId w:val="1"/>
      </w:numPr>
      <w:spacing w:before="240" w:after="64" w:line="320" w:lineRule="auto"/>
      <w:outlineLvl w:val="8"/>
    </w:pPr>
    <w:rPr>
      <w:rFonts w:ascii="Arial" w:hAnsi="Arial" w:eastAsia="黑体"/>
    </w:rPr>
  </w:style>
  <w:style w:type="character" w:default="1" w:styleId="47">
    <w:name w:val="Default Paragraph Font"/>
    <w:unhideWhenUsed/>
    <w:uiPriority w:val="1"/>
  </w:style>
  <w:style w:type="table" w:default="1" w:styleId="45">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toc 7"/>
    <w:basedOn w:val="1"/>
    <w:next w:val="1"/>
    <w:unhideWhenUsed/>
    <w:uiPriority w:val="39"/>
    <w:pPr>
      <w:ind w:left="2520" w:leftChars="1200"/>
    </w:pPr>
    <w:rPr>
      <w:rFonts w:ascii="Calibri" w:hAnsi="Calibri" w:eastAsia="宋体" w:cs="Times New Roman"/>
      <w:szCs w:val="22"/>
    </w:rPr>
  </w:style>
  <w:style w:type="paragraph" w:styleId="13">
    <w:name w:val="List Number"/>
    <w:basedOn w:val="1"/>
    <w:uiPriority w:val="0"/>
    <w:pPr>
      <w:widowControl/>
      <w:tabs>
        <w:tab w:val="left" w:pos="454"/>
        <w:tab w:val="left" w:pos="720"/>
        <w:tab w:val="left" w:pos="840"/>
      </w:tabs>
      <w:spacing w:after="50"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73"/>
    <w:unhideWhenUsed/>
    <w:uiPriority w:val="0"/>
    <w:pPr>
      <w:shd w:val="clear" w:color="auto" w:fill="000080"/>
    </w:pPr>
    <w:rPr>
      <w:rFonts w:hint="eastAsia" w:ascii="宋体" w:hAnsi="宋体"/>
      <w:kern w:val="0"/>
      <w:sz w:val="20"/>
      <w:szCs w:val="20"/>
    </w:rPr>
  </w:style>
  <w:style w:type="paragraph" w:styleId="16">
    <w:name w:val="annotation text"/>
    <w:basedOn w:val="1"/>
    <w:link w:val="74"/>
    <w:unhideWhenUsed/>
    <w:uiPriority w:val="0"/>
    <w:pPr>
      <w:jc w:val="left"/>
    </w:pPr>
  </w:style>
  <w:style w:type="paragraph" w:styleId="17">
    <w:name w:val="Body Text 3"/>
    <w:basedOn w:val="1"/>
    <w:link w:val="75"/>
    <w:uiPriority w:val="0"/>
    <w:pPr>
      <w:spacing w:line="500" w:lineRule="exact"/>
    </w:pPr>
    <w:rPr>
      <w:b/>
      <w:bCs/>
      <w:kern w:val="0"/>
      <w:sz w:val="24"/>
    </w:rPr>
  </w:style>
  <w:style w:type="paragraph" w:styleId="18">
    <w:name w:val="Body Text"/>
    <w:basedOn w:val="1"/>
    <w:link w:val="76"/>
    <w:qFormat/>
    <w:uiPriority w:val="99"/>
    <w:pPr>
      <w:spacing w:line="380" w:lineRule="exact"/>
    </w:pPr>
    <w:rPr>
      <w:kern w:val="0"/>
      <w:sz w:val="24"/>
    </w:rPr>
  </w:style>
  <w:style w:type="paragraph" w:styleId="19">
    <w:name w:val="Body Text Indent"/>
    <w:basedOn w:val="1"/>
    <w:link w:val="77"/>
    <w:qFormat/>
    <w:uiPriority w:val="0"/>
    <w:pPr>
      <w:ind w:firstLine="830" w:firstLineChars="352"/>
    </w:pPr>
    <w:rPr>
      <w:rFonts w:ascii="仿宋_GB2312" w:eastAsia="仿宋_GB2312"/>
      <w:kern w:val="0"/>
      <w:sz w:val="32"/>
      <w:szCs w:val="20"/>
    </w:rPr>
  </w:style>
  <w:style w:type="paragraph" w:styleId="20">
    <w:name w:val="List Number 3"/>
    <w:basedOn w:val="1"/>
    <w:uiPriority w:val="0"/>
    <w:pPr>
      <w:numPr>
        <w:ilvl w:val="0"/>
        <w:numId w:val="2"/>
      </w:numPr>
    </w:pPr>
  </w:style>
  <w:style w:type="paragraph" w:styleId="21">
    <w:name w:val="List 2"/>
    <w:basedOn w:val="1"/>
    <w:uiPriority w:val="0"/>
    <w:pPr>
      <w:ind w:left="100" w:leftChars="200" w:hanging="200" w:hangingChars="200"/>
    </w:pPr>
    <w:rPr>
      <w:sz w:val="28"/>
    </w:rPr>
  </w:style>
  <w:style w:type="paragraph" w:styleId="22">
    <w:name w:val="toc 5"/>
    <w:basedOn w:val="1"/>
    <w:next w:val="1"/>
    <w:unhideWhenUsed/>
    <w:uiPriority w:val="39"/>
    <w:pPr>
      <w:ind w:left="1680" w:leftChars="800"/>
    </w:pPr>
    <w:rPr>
      <w:rFonts w:ascii="Calibri" w:hAnsi="Calibri" w:eastAsia="宋体" w:cs="Times New Roman"/>
      <w:szCs w:val="22"/>
    </w:rPr>
  </w:style>
  <w:style w:type="paragraph" w:styleId="23">
    <w:name w:val="toc 3"/>
    <w:basedOn w:val="1"/>
    <w:next w:val="1"/>
    <w:unhideWhenUsed/>
    <w:uiPriority w:val="39"/>
    <w:pPr>
      <w:ind w:left="840" w:leftChars="400"/>
    </w:pPr>
    <w:rPr>
      <w:rFonts w:ascii="Calibri" w:hAnsi="Calibri" w:eastAsia="宋体" w:cs="Times New Roman"/>
      <w:szCs w:val="22"/>
    </w:rPr>
  </w:style>
  <w:style w:type="paragraph" w:styleId="24">
    <w:name w:val="Plain Text"/>
    <w:basedOn w:val="1"/>
    <w:link w:val="78"/>
    <w:qFormat/>
    <w:uiPriority w:val="0"/>
    <w:rPr>
      <w:rFonts w:ascii="宋体" w:hAnsi="Courier New"/>
      <w:kern w:val="0"/>
      <w:sz w:val="20"/>
      <w:szCs w:val="21"/>
    </w:rPr>
  </w:style>
  <w:style w:type="paragraph" w:styleId="25">
    <w:name w:val="toc 8"/>
    <w:basedOn w:val="1"/>
    <w:next w:val="1"/>
    <w:unhideWhenUsed/>
    <w:uiPriority w:val="39"/>
    <w:pPr>
      <w:ind w:left="2940" w:leftChars="1400"/>
    </w:pPr>
    <w:rPr>
      <w:rFonts w:ascii="Calibri" w:hAnsi="Calibri" w:eastAsia="宋体" w:cs="Times New Roman"/>
      <w:szCs w:val="22"/>
    </w:rPr>
  </w:style>
  <w:style w:type="paragraph" w:styleId="26">
    <w:name w:val="Date"/>
    <w:basedOn w:val="1"/>
    <w:next w:val="1"/>
    <w:link w:val="79"/>
    <w:qFormat/>
    <w:uiPriority w:val="0"/>
    <w:pPr>
      <w:ind w:left="100" w:leftChars="2500"/>
    </w:pPr>
    <w:rPr>
      <w:rFonts w:ascii="宋体" w:hAnsi="Courier New"/>
      <w:kern w:val="0"/>
      <w:sz w:val="20"/>
      <w:szCs w:val="21"/>
    </w:rPr>
  </w:style>
  <w:style w:type="paragraph" w:styleId="27">
    <w:name w:val="Body Text Indent 2"/>
    <w:basedOn w:val="1"/>
    <w:link w:val="80"/>
    <w:uiPriority w:val="0"/>
    <w:pPr>
      <w:ind w:firstLine="630"/>
    </w:pPr>
    <w:rPr>
      <w:kern w:val="0"/>
      <w:sz w:val="32"/>
      <w:szCs w:val="20"/>
    </w:rPr>
  </w:style>
  <w:style w:type="paragraph" w:styleId="28">
    <w:name w:val="endnote text"/>
    <w:basedOn w:val="1"/>
    <w:link w:val="81"/>
    <w:unhideWhenUsed/>
    <w:uiPriority w:val="99"/>
    <w:pPr>
      <w:snapToGrid w:val="0"/>
      <w:jc w:val="left"/>
    </w:pPr>
  </w:style>
  <w:style w:type="paragraph" w:styleId="29">
    <w:name w:val="Balloon Text"/>
    <w:basedOn w:val="1"/>
    <w:link w:val="82"/>
    <w:uiPriority w:val="0"/>
    <w:rPr>
      <w:kern w:val="0"/>
      <w:sz w:val="18"/>
      <w:szCs w:val="18"/>
    </w:rPr>
  </w:style>
  <w:style w:type="paragraph" w:styleId="30">
    <w:name w:val="footer"/>
    <w:basedOn w:val="1"/>
    <w:link w:val="83"/>
    <w:unhideWhenUsed/>
    <w:qFormat/>
    <w:uiPriority w:val="99"/>
    <w:pPr>
      <w:tabs>
        <w:tab w:val="center" w:pos="4153"/>
        <w:tab w:val="right" w:pos="8306"/>
      </w:tabs>
      <w:snapToGrid w:val="0"/>
      <w:jc w:val="left"/>
    </w:pPr>
    <w:rPr>
      <w:kern w:val="0"/>
      <w:sz w:val="18"/>
      <w:szCs w:val="18"/>
    </w:rPr>
  </w:style>
  <w:style w:type="paragraph" w:styleId="31">
    <w:name w:val="header"/>
    <w:basedOn w:val="1"/>
    <w:link w:val="84"/>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uiPriority w:val="39"/>
    <w:pPr>
      <w:tabs>
        <w:tab w:val="right" w:leader="dot" w:pos="8398"/>
      </w:tabs>
      <w:spacing w:before="120" w:after="120"/>
      <w:ind w:firstLine="240" w:firstLineChars="100"/>
      <w:jc w:val="left"/>
    </w:pPr>
    <w:rPr>
      <w:rFonts w:ascii="宋体" w:hAnsi="宋体"/>
      <w:b/>
      <w:bCs/>
      <w:caps/>
      <w:sz w:val="24"/>
    </w:rPr>
  </w:style>
  <w:style w:type="paragraph" w:styleId="33">
    <w:name w:val="toc 4"/>
    <w:basedOn w:val="1"/>
    <w:next w:val="1"/>
    <w:unhideWhenUsed/>
    <w:uiPriority w:val="39"/>
    <w:pPr>
      <w:ind w:left="1260" w:leftChars="600"/>
    </w:pPr>
    <w:rPr>
      <w:rFonts w:ascii="Calibri" w:hAnsi="Calibri" w:eastAsia="宋体" w:cs="Times New Roman"/>
      <w:szCs w:val="22"/>
    </w:rPr>
  </w:style>
  <w:style w:type="paragraph" w:styleId="34">
    <w:name w:val="List"/>
    <w:basedOn w:val="1"/>
    <w:uiPriority w:val="0"/>
    <w:pPr>
      <w:ind w:left="200" w:hanging="200" w:hangingChars="200"/>
    </w:pPr>
    <w:rPr>
      <w:sz w:val="28"/>
    </w:rPr>
  </w:style>
  <w:style w:type="paragraph" w:styleId="35">
    <w:name w:val="footnote text"/>
    <w:basedOn w:val="1"/>
    <w:link w:val="85"/>
    <w:unhideWhenUsed/>
    <w:uiPriority w:val="99"/>
    <w:pPr>
      <w:snapToGrid w:val="0"/>
      <w:jc w:val="left"/>
    </w:pPr>
    <w:rPr>
      <w:sz w:val="18"/>
      <w:szCs w:val="18"/>
    </w:rPr>
  </w:style>
  <w:style w:type="paragraph" w:styleId="36">
    <w:name w:val="toc 6"/>
    <w:basedOn w:val="1"/>
    <w:next w:val="1"/>
    <w:unhideWhenUsed/>
    <w:uiPriority w:val="39"/>
    <w:pPr>
      <w:ind w:left="2100" w:leftChars="1000"/>
    </w:pPr>
    <w:rPr>
      <w:rFonts w:ascii="Calibri" w:hAnsi="Calibri" w:eastAsia="宋体" w:cs="Times New Roman"/>
      <w:szCs w:val="22"/>
    </w:rPr>
  </w:style>
  <w:style w:type="paragraph" w:styleId="37">
    <w:name w:val="Body Text Indent 3"/>
    <w:basedOn w:val="1"/>
    <w:link w:val="86"/>
    <w:uiPriority w:val="0"/>
    <w:pPr>
      <w:spacing w:after="120"/>
      <w:ind w:left="420" w:leftChars="200"/>
    </w:pPr>
    <w:rPr>
      <w:kern w:val="0"/>
      <w:sz w:val="16"/>
      <w:szCs w:val="16"/>
    </w:rPr>
  </w:style>
  <w:style w:type="paragraph" w:styleId="38">
    <w:name w:val="toc 2"/>
    <w:basedOn w:val="1"/>
    <w:next w:val="1"/>
    <w:unhideWhenUsed/>
    <w:uiPriority w:val="39"/>
    <w:pPr>
      <w:ind w:left="420" w:leftChars="200"/>
    </w:pPr>
  </w:style>
  <w:style w:type="paragraph" w:styleId="39">
    <w:name w:val="toc 9"/>
    <w:basedOn w:val="1"/>
    <w:next w:val="1"/>
    <w:unhideWhenUsed/>
    <w:uiPriority w:val="39"/>
    <w:pPr>
      <w:ind w:left="3360" w:leftChars="1600"/>
    </w:pPr>
    <w:rPr>
      <w:rFonts w:ascii="Calibri" w:hAnsi="Calibri" w:eastAsia="宋体" w:cs="Times New Roman"/>
      <w:szCs w:val="22"/>
    </w:rPr>
  </w:style>
  <w:style w:type="paragraph" w:styleId="40">
    <w:name w:val="Body Text 2"/>
    <w:basedOn w:val="1"/>
    <w:link w:val="87"/>
    <w:uiPriority w:val="0"/>
    <w:pPr>
      <w:spacing w:after="120" w:line="480" w:lineRule="auto"/>
    </w:pPr>
    <w:rPr>
      <w:kern w:val="0"/>
      <w:sz w:val="20"/>
    </w:rPr>
  </w:style>
  <w:style w:type="paragraph" w:styleId="41">
    <w:name w:val="Normal (Web)"/>
    <w:basedOn w:val="1"/>
    <w:qFormat/>
    <w:uiPriority w:val="99"/>
    <w:pPr>
      <w:widowControl/>
      <w:spacing w:before="100" w:beforeAutospacing="1" w:after="100" w:afterAutospacing="1"/>
      <w:jc w:val="left"/>
    </w:pPr>
    <w:rPr>
      <w:rFonts w:ascii="宋体" w:hAnsi="宋体"/>
      <w:kern w:val="0"/>
      <w:sz w:val="24"/>
    </w:rPr>
  </w:style>
  <w:style w:type="paragraph" w:styleId="42">
    <w:name w:val="index 1"/>
    <w:basedOn w:val="1"/>
    <w:next w:val="1"/>
    <w:uiPriority w:val="0"/>
    <w:pPr>
      <w:spacing w:line="400" w:lineRule="exact"/>
      <w:ind w:firstLine="420" w:firstLineChars="200"/>
    </w:pPr>
    <w:rPr>
      <w:rFonts w:ascii="宋体" w:hAnsi="Courier New"/>
      <w:b/>
      <w:szCs w:val="20"/>
    </w:rPr>
  </w:style>
  <w:style w:type="paragraph" w:styleId="43">
    <w:name w:val="Title"/>
    <w:basedOn w:val="1"/>
    <w:next w:val="1"/>
    <w:link w:val="88"/>
    <w:qFormat/>
    <w:uiPriority w:val="10"/>
    <w:pPr>
      <w:spacing w:before="240" w:after="60"/>
      <w:jc w:val="center"/>
      <w:outlineLvl w:val="0"/>
    </w:pPr>
    <w:rPr>
      <w:rFonts w:ascii="Cambria" w:hAnsi="Cambria"/>
      <w:b/>
      <w:bCs/>
      <w:sz w:val="32"/>
      <w:szCs w:val="32"/>
    </w:rPr>
  </w:style>
  <w:style w:type="paragraph" w:styleId="44">
    <w:name w:val="annotation subject"/>
    <w:basedOn w:val="16"/>
    <w:next w:val="16"/>
    <w:link w:val="89"/>
    <w:unhideWhenUsed/>
    <w:uiPriority w:val="99"/>
    <w:rPr>
      <w:b/>
      <w:bCs/>
    </w:rPr>
  </w:style>
  <w:style w:type="table" w:styleId="46">
    <w:name w:val="Table Grid"/>
    <w:basedOn w:val="45"/>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qFormat/>
    <w:uiPriority w:val="22"/>
    <w:rPr>
      <w:b/>
      <w:bCs/>
      <w:shd w:val="clear" w:fill="FFFFFF"/>
    </w:rPr>
  </w:style>
  <w:style w:type="character" w:styleId="49">
    <w:name w:val="endnote reference"/>
    <w:unhideWhenUsed/>
    <w:uiPriority w:val="99"/>
    <w:rPr>
      <w:vertAlign w:val="superscript"/>
    </w:rPr>
  </w:style>
  <w:style w:type="character" w:styleId="50">
    <w:name w:val="page number"/>
    <w:uiPriority w:val="0"/>
  </w:style>
  <w:style w:type="character" w:styleId="51">
    <w:name w:val="FollowedHyperlink"/>
    <w:uiPriority w:val="0"/>
    <w:rPr>
      <w:color w:val="800080"/>
      <w:u w:val="single"/>
    </w:rPr>
  </w:style>
  <w:style w:type="character" w:styleId="52">
    <w:name w:val="Emphasis"/>
    <w:basedOn w:val="47"/>
    <w:qFormat/>
    <w:uiPriority w:val="20"/>
    <w:rPr>
      <w:rFonts w:ascii="ActionIcon ! important" w:hAnsi="ActionIcon ! important" w:eastAsia="ActionIcon ! important" w:cs="ActionIcon ! important"/>
      <w:b/>
      <w:bCs/>
      <w:color w:val="3D4B62"/>
      <w:sz w:val="19"/>
      <w:szCs w:val="19"/>
    </w:rPr>
  </w:style>
  <w:style w:type="character" w:styleId="53">
    <w:name w:val="HTML Definition"/>
    <w:basedOn w:val="47"/>
    <w:semiHidden/>
    <w:unhideWhenUsed/>
    <w:uiPriority w:val="99"/>
  </w:style>
  <w:style w:type="character" w:styleId="54">
    <w:name w:val="HTML Typewriter"/>
    <w:basedOn w:val="47"/>
    <w:semiHidden/>
    <w:unhideWhenUsed/>
    <w:uiPriority w:val="99"/>
    <w:rPr>
      <w:rFonts w:ascii="monospace" w:hAnsi="monospace" w:eastAsia="monospace" w:cs="monospace"/>
      <w:sz w:val="20"/>
    </w:rPr>
  </w:style>
  <w:style w:type="character" w:styleId="55">
    <w:name w:val="HTML Acronym"/>
    <w:basedOn w:val="47"/>
    <w:semiHidden/>
    <w:unhideWhenUsed/>
    <w:uiPriority w:val="99"/>
    <w:rPr>
      <w:bdr w:val="none" w:color="auto" w:sz="0" w:space="0"/>
    </w:rPr>
  </w:style>
  <w:style w:type="character" w:styleId="56">
    <w:name w:val="HTML Variable"/>
    <w:basedOn w:val="47"/>
    <w:semiHidden/>
    <w:unhideWhenUsed/>
    <w:uiPriority w:val="99"/>
  </w:style>
  <w:style w:type="character" w:styleId="57">
    <w:name w:val="Hyperlink"/>
    <w:uiPriority w:val="99"/>
    <w:rPr>
      <w:color w:val="0000FF"/>
      <w:u w:val="single"/>
    </w:rPr>
  </w:style>
  <w:style w:type="character" w:styleId="58">
    <w:name w:val="HTML Code"/>
    <w:basedOn w:val="47"/>
    <w:semiHidden/>
    <w:unhideWhenUsed/>
    <w:uiPriority w:val="99"/>
    <w:rPr>
      <w:rFonts w:hint="default" w:ascii="monospace" w:hAnsi="monospace" w:eastAsia="monospace" w:cs="monospace"/>
      <w:sz w:val="20"/>
      <w:bdr w:val="none" w:color="auto" w:sz="0" w:space="0"/>
    </w:rPr>
  </w:style>
  <w:style w:type="character" w:styleId="59">
    <w:name w:val="annotation reference"/>
    <w:unhideWhenUsed/>
    <w:uiPriority w:val="0"/>
    <w:rPr>
      <w:sz w:val="21"/>
      <w:szCs w:val="21"/>
    </w:rPr>
  </w:style>
  <w:style w:type="character" w:styleId="60">
    <w:name w:val="HTML Cite"/>
    <w:basedOn w:val="47"/>
    <w:semiHidden/>
    <w:unhideWhenUsed/>
    <w:uiPriority w:val="99"/>
    <w:rPr>
      <w:bdr w:val="single" w:color="D2D2D2" w:sz="4" w:space="0"/>
      <w:shd w:val="clear" w:fill="FFFFFF"/>
    </w:rPr>
  </w:style>
  <w:style w:type="character" w:styleId="61">
    <w:name w:val="footnote reference"/>
    <w:unhideWhenUsed/>
    <w:uiPriority w:val="99"/>
    <w:rPr>
      <w:vertAlign w:val="superscript"/>
    </w:rPr>
  </w:style>
  <w:style w:type="character" w:styleId="62">
    <w:name w:val="HTML Keyboard"/>
    <w:basedOn w:val="47"/>
    <w:semiHidden/>
    <w:unhideWhenUsed/>
    <w:uiPriority w:val="99"/>
    <w:rPr>
      <w:rFonts w:hint="default" w:ascii="monospace" w:hAnsi="monospace" w:eastAsia="monospace" w:cs="monospace"/>
      <w:sz w:val="20"/>
    </w:rPr>
  </w:style>
  <w:style w:type="character" w:styleId="63">
    <w:name w:val="HTML Sample"/>
    <w:basedOn w:val="47"/>
    <w:semiHidden/>
    <w:unhideWhenUsed/>
    <w:uiPriority w:val="99"/>
    <w:rPr>
      <w:rFonts w:hint="default" w:ascii="monospace" w:hAnsi="monospace" w:eastAsia="monospace" w:cs="monospace"/>
    </w:rPr>
  </w:style>
  <w:style w:type="character" w:customStyle="1" w:styleId="64">
    <w:name w:val="标题 1 Char"/>
    <w:link w:val="2"/>
    <w:uiPriority w:val="0"/>
    <w:rPr>
      <w:rFonts w:ascii="Times New Roman" w:hAnsi="Times New Roman" w:eastAsia="宋体" w:cs="Times New Roman"/>
      <w:b/>
      <w:bCs/>
      <w:kern w:val="44"/>
      <w:sz w:val="44"/>
      <w:szCs w:val="44"/>
    </w:rPr>
  </w:style>
  <w:style w:type="character" w:customStyle="1" w:styleId="65">
    <w:name w:val="标题 2 Char"/>
    <w:link w:val="3"/>
    <w:uiPriority w:val="0"/>
    <w:rPr>
      <w:rFonts w:ascii="Arial" w:hAnsi="Arial" w:eastAsia="黑体" w:cs="Times New Roman"/>
      <w:b/>
      <w:bCs/>
      <w:sz w:val="32"/>
      <w:szCs w:val="32"/>
    </w:rPr>
  </w:style>
  <w:style w:type="character" w:customStyle="1" w:styleId="66">
    <w:name w:val="标题 3 Char"/>
    <w:link w:val="4"/>
    <w:uiPriority w:val="0"/>
    <w:rPr>
      <w:rFonts w:ascii="Times New Roman" w:hAnsi="Times New Roman" w:eastAsia="宋体" w:cs="Times New Roman"/>
      <w:b/>
      <w:bCs/>
      <w:sz w:val="32"/>
      <w:szCs w:val="32"/>
    </w:rPr>
  </w:style>
  <w:style w:type="character" w:customStyle="1" w:styleId="67">
    <w:name w:val="标题 4 Char"/>
    <w:basedOn w:val="47"/>
    <w:link w:val="5"/>
    <w:uiPriority w:val="10"/>
    <w:rPr>
      <w:rFonts w:ascii="Calibri Light" w:hAnsi="Calibri Light" w:eastAsia="宋体" w:cs="Times New Roman"/>
      <w:b/>
      <w:bCs/>
      <w:kern w:val="2"/>
      <w:sz w:val="28"/>
      <w:szCs w:val="28"/>
    </w:rPr>
  </w:style>
  <w:style w:type="character" w:customStyle="1" w:styleId="68">
    <w:name w:val="标题 5 Char1"/>
    <w:link w:val="6"/>
    <w:uiPriority w:val="0"/>
    <w:rPr>
      <w:b/>
      <w:kern w:val="2"/>
      <w:sz w:val="28"/>
      <w:szCs w:val="24"/>
    </w:rPr>
  </w:style>
  <w:style w:type="character" w:customStyle="1" w:styleId="69">
    <w:name w:val="标题 6 Char"/>
    <w:link w:val="8"/>
    <w:uiPriority w:val="0"/>
    <w:rPr>
      <w:rFonts w:ascii="Arial" w:hAnsi="Arial" w:eastAsia="黑体"/>
      <w:b/>
      <w:kern w:val="2"/>
      <w:sz w:val="24"/>
      <w:szCs w:val="24"/>
    </w:rPr>
  </w:style>
  <w:style w:type="character" w:customStyle="1" w:styleId="70">
    <w:name w:val="标题 7 Char"/>
    <w:link w:val="9"/>
    <w:uiPriority w:val="0"/>
    <w:rPr>
      <w:rFonts w:ascii="Times New Roman" w:hAnsi="Times New Roman"/>
      <w:b/>
      <w:kern w:val="2"/>
      <w:sz w:val="24"/>
      <w:szCs w:val="24"/>
    </w:rPr>
  </w:style>
  <w:style w:type="character" w:customStyle="1" w:styleId="71">
    <w:name w:val="标题 8 Char"/>
    <w:link w:val="10"/>
    <w:uiPriority w:val="0"/>
    <w:rPr>
      <w:rFonts w:ascii="Arial" w:hAnsi="Arial" w:eastAsia="黑体"/>
      <w:kern w:val="2"/>
      <w:sz w:val="24"/>
      <w:szCs w:val="24"/>
    </w:rPr>
  </w:style>
  <w:style w:type="character" w:customStyle="1" w:styleId="72">
    <w:name w:val="标题 9 Char"/>
    <w:link w:val="11"/>
    <w:uiPriority w:val="0"/>
    <w:rPr>
      <w:rFonts w:ascii="Arial" w:hAnsi="Arial" w:eastAsia="黑体"/>
      <w:kern w:val="2"/>
      <w:sz w:val="21"/>
      <w:szCs w:val="24"/>
    </w:rPr>
  </w:style>
  <w:style w:type="character" w:customStyle="1" w:styleId="73">
    <w:name w:val="文档结构图 Char"/>
    <w:link w:val="15"/>
    <w:qFormat/>
    <w:uiPriority w:val="0"/>
    <w:rPr>
      <w:rFonts w:hint="eastAsia" w:ascii="宋体" w:hAnsi="宋体" w:eastAsia="宋体" w:cs="宋体"/>
    </w:rPr>
  </w:style>
  <w:style w:type="character" w:customStyle="1" w:styleId="74">
    <w:name w:val="批注文字 Char2"/>
    <w:link w:val="16"/>
    <w:uiPriority w:val="0"/>
    <w:rPr>
      <w:rFonts w:ascii="Times New Roman" w:hAnsi="Times New Roman"/>
      <w:kern w:val="2"/>
      <w:sz w:val="21"/>
      <w:szCs w:val="24"/>
    </w:rPr>
  </w:style>
  <w:style w:type="character" w:customStyle="1" w:styleId="75">
    <w:name w:val="正文文本 3 Char"/>
    <w:link w:val="17"/>
    <w:uiPriority w:val="0"/>
    <w:rPr>
      <w:rFonts w:ascii="Times New Roman" w:hAnsi="Times New Roman" w:eastAsia="宋体" w:cs="Times New Roman"/>
      <w:b/>
      <w:bCs/>
      <w:sz w:val="24"/>
      <w:szCs w:val="24"/>
    </w:rPr>
  </w:style>
  <w:style w:type="character" w:customStyle="1" w:styleId="76">
    <w:name w:val="正文文本 Char"/>
    <w:link w:val="18"/>
    <w:qFormat/>
    <w:uiPriority w:val="99"/>
    <w:rPr>
      <w:rFonts w:ascii="Times New Roman" w:hAnsi="Times New Roman" w:eastAsia="宋体" w:cs="Times New Roman"/>
      <w:sz w:val="24"/>
      <w:szCs w:val="24"/>
    </w:rPr>
  </w:style>
  <w:style w:type="character" w:customStyle="1" w:styleId="77">
    <w:name w:val="正文文本缩进 Char"/>
    <w:link w:val="19"/>
    <w:qFormat/>
    <w:uiPriority w:val="0"/>
    <w:rPr>
      <w:rFonts w:ascii="仿宋_GB2312" w:hAnsi="Times New Roman" w:eastAsia="仿宋_GB2312" w:cs="Times New Roman"/>
      <w:sz w:val="32"/>
      <w:szCs w:val="20"/>
    </w:rPr>
  </w:style>
  <w:style w:type="character" w:customStyle="1" w:styleId="78">
    <w:name w:val="纯文本 Char1"/>
    <w:link w:val="24"/>
    <w:qFormat/>
    <w:uiPriority w:val="0"/>
    <w:rPr>
      <w:rFonts w:ascii="宋体" w:hAnsi="Courier New" w:eastAsia="宋体" w:cs="Courier New"/>
      <w:szCs w:val="21"/>
    </w:rPr>
  </w:style>
  <w:style w:type="character" w:customStyle="1" w:styleId="79">
    <w:name w:val="日期 Char"/>
    <w:link w:val="26"/>
    <w:qFormat/>
    <w:uiPriority w:val="0"/>
    <w:rPr>
      <w:rFonts w:ascii="宋体" w:hAnsi="Courier New" w:eastAsia="宋体" w:cs="Courier New"/>
      <w:szCs w:val="21"/>
    </w:rPr>
  </w:style>
  <w:style w:type="character" w:customStyle="1" w:styleId="80">
    <w:name w:val="正文文本缩进 2 Char"/>
    <w:link w:val="27"/>
    <w:qFormat/>
    <w:uiPriority w:val="0"/>
    <w:rPr>
      <w:rFonts w:ascii="Times New Roman" w:hAnsi="Times New Roman" w:eastAsia="宋体" w:cs="Times New Roman"/>
      <w:sz w:val="32"/>
      <w:szCs w:val="20"/>
    </w:rPr>
  </w:style>
  <w:style w:type="character" w:customStyle="1" w:styleId="81">
    <w:name w:val="尾注文本 Char"/>
    <w:link w:val="28"/>
    <w:qFormat/>
    <w:uiPriority w:val="99"/>
    <w:rPr>
      <w:rFonts w:ascii="Times New Roman" w:hAnsi="Times New Roman"/>
      <w:kern w:val="2"/>
      <w:sz w:val="21"/>
      <w:szCs w:val="24"/>
    </w:rPr>
  </w:style>
  <w:style w:type="character" w:customStyle="1" w:styleId="82">
    <w:name w:val="批注框文本 Char"/>
    <w:link w:val="29"/>
    <w:qFormat/>
    <w:uiPriority w:val="0"/>
    <w:rPr>
      <w:rFonts w:ascii="Times New Roman" w:hAnsi="Times New Roman" w:eastAsia="宋体" w:cs="Times New Roman"/>
      <w:sz w:val="18"/>
      <w:szCs w:val="18"/>
    </w:rPr>
  </w:style>
  <w:style w:type="character" w:customStyle="1" w:styleId="83">
    <w:name w:val="页脚 Char"/>
    <w:link w:val="30"/>
    <w:qFormat/>
    <w:uiPriority w:val="99"/>
    <w:rPr>
      <w:sz w:val="18"/>
      <w:szCs w:val="18"/>
    </w:rPr>
  </w:style>
  <w:style w:type="character" w:customStyle="1" w:styleId="84">
    <w:name w:val="页眉 Char"/>
    <w:link w:val="31"/>
    <w:qFormat/>
    <w:uiPriority w:val="99"/>
    <w:rPr>
      <w:rFonts w:ascii="Times New Roman" w:hAnsi="Times New Roman"/>
      <w:kern w:val="2"/>
      <w:sz w:val="18"/>
      <w:szCs w:val="18"/>
    </w:rPr>
  </w:style>
  <w:style w:type="character" w:customStyle="1" w:styleId="85">
    <w:name w:val="脚注文本 Char"/>
    <w:link w:val="35"/>
    <w:qFormat/>
    <w:uiPriority w:val="99"/>
    <w:rPr>
      <w:rFonts w:ascii="Times New Roman" w:hAnsi="Times New Roman"/>
      <w:kern w:val="2"/>
      <w:sz w:val="18"/>
      <w:szCs w:val="18"/>
    </w:rPr>
  </w:style>
  <w:style w:type="character" w:customStyle="1" w:styleId="86">
    <w:name w:val="正文文本缩进 3 Char"/>
    <w:link w:val="37"/>
    <w:qFormat/>
    <w:uiPriority w:val="0"/>
    <w:rPr>
      <w:rFonts w:ascii="Times New Roman" w:hAnsi="Times New Roman" w:eastAsia="宋体" w:cs="Times New Roman"/>
      <w:sz w:val="16"/>
      <w:szCs w:val="16"/>
    </w:rPr>
  </w:style>
  <w:style w:type="character" w:customStyle="1" w:styleId="87">
    <w:name w:val="正文文本 2 Char"/>
    <w:link w:val="40"/>
    <w:qFormat/>
    <w:uiPriority w:val="0"/>
    <w:rPr>
      <w:rFonts w:ascii="Times New Roman" w:hAnsi="Times New Roman" w:eastAsia="宋体" w:cs="Times New Roman"/>
      <w:szCs w:val="24"/>
    </w:rPr>
  </w:style>
  <w:style w:type="character" w:customStyle="1" w:styleId="88">
    <w:name w:val="标题 Char"/>
    <w:link w:val="43"/>
    <w:qFormat/>
    <w:uiPriority w:val="10"/>
    <w:rPr>
      <w:rFonts w:ascii="Cambria" w:hAnsi="Cambria" w:cs="Times New Roman"/>
      <w:b/>
      <w:bCs/>
      <w:kern w:val="2"/>
      <w:sz w:val="32"/>
      <w:szCs w:val="32"/>
    </w:rPr>
  </w:style>
  <w:style w:type="character" w:customStyle="1" w:styleId="89">
    <w:name w:val="批注主题 Char"/>
    <w:link w:val="44"/>
    <w:qFormat/>
    <w:uiPriority w:val="99"/>
    <w:rPr>
      <w:rFonts w:ascii="Times New Roman" w:hAnsi="Times New Roman"/>
      <w:b/>
      <w:bCs/>
      <w:kern w:val="2"/>
      <w:sz w:val="21"/>
      <w:szCs w:val="24"/>
    </w:rPr>
  </w:style>
  <w:style w:type="character" w:customStyle="1" w:styleId="90">
    <w:name w:val="标题 4 Char1"/>
    <w:basedOn w:val="47"/>
    <w:link w:val="5"/>
    <w:semiHidden/>
    <w:qFormat/>
    <w:uiPriority w:val="9"/>
    <w:rPr>
      <w:rFonts w:ascii="Cambria" w:hAnsi="Cambria" w:eastAsia="宋体" w:cs="Times New Roman"/>
      <w:b/>
      <w:bCs/>
      <w:kern w:val="2"/>
      <w:sz w:val="28"/>
      <w:szCs w:val="28"/>
    </w:rPr>
  </w:style>
  <w:style w:type="character" w:customStyle="1" w:styleId="91">
    <w:name w:val="批注文字 Char1"/>
    <w:semiHidden/>
    <w:qFormat/>
    <w:locked/>
    <w:uiPriority w:val="0"/>
    <w:rPr>
      <w:rFonts w:ascii="Times New Roman" w:hAnsi="Times New Roman"/>
      <w:kern w:val="2"/>
      <w:sz w:val="21"/>
      <w:szCs w:val="24"/>
    </w:rPr>
  </w:style>
  <w:style w:type="character" w:customStyle="1" w:styleId="92">
    <w:name w:val="case31"/>
    <w:qFormat/>
    <w:uiPriority w:val="0"/>
    <w:rPr>
      <w:rFonts w:hint="default" w:ascii="_x000B__x000C_" w:hAnsi="_x000B__x000C_"/>
      <w:sz w:val="21"/>
      <w:szCs w:val="21"/>
    </w:rPr>
  </w:style>
  <w:style w:type="character" w:customStyle="1" w:styleId="93">
    <w:name w:val="批注文字 Char"/>
    <w:qFormat/>
    <w:uiPriority w:val="99"/>
    <w:rPr>
      <w:rFonts w:ascii="Times New Roman" w:hAnsi="Times New Roman"/>
      <w:kern w:val="2"/>
      <w:sz w:val="21"/>
      <w:szCs w:val="24"/>
    </w:rPr>
  </w:style>
  <w:style w:type="character" w:customStyle="1" w:styleId="94">
    <w:name w:val="纯文本 Char"/>
    <w:qFormat/>
    <w:uiPriority w:val="0"/>
    <w:rPr>
      <w:rFonts w:ascii="宋体" w:hAnsi="Courier New" w:eastAsia="宋体"/>
      <w:kern w:val="2"/>
      <w:sz w:val="21"/>
      <w:lang w:val="en-US" w:eastAsia="zh-CN" w:bidi="ar-SA"/>
    </w:rPr>
  </w:style>
  <w:style w:type="character" w:customStyle="1" w:styleId="95">
    <w:name w:val="纯文本 字符1"/>
    <w:qFormat/>
    <w:uiPriority w:val="0"/>
    <w:rPr>
      <w:rFonts w:ascii="宋体" w:hAnsi="Courier New"/>
    </w:rPr>
  </w:style>
  <w:style w:type="character" w:customStyle="1" w:styleId="96">
    <w:name w:val="批注文字 字符1"/>
    <w:qFormat/>
    <w:uiPriority w:val="0"/>
    <w:rPr>
      <w:rFonts w:ascii="Times New Roman" w:hAnsi="Times New Roman"/>
      <w:kern w:val="2"/>
      <w:sz w:val="21"/>
      <w:szCs w:val="24"/>
    </w:rPr>
  </w:style>
  <w:style w:type="character" w:customStyle="1" w:styleId="97">
    <w:name w:val="正文文本 Char1"/>
    <w:semiHidden/>
    <w:qFormat/>
    <w:locked/>
    <w:uiPriority w:val="99"/>
    <w:rPr>
      <w:sz w:val="24"/>
      <w:szCs w:val="24"/>
    </w:rPr>
  </w:style>
  <w:style w:type="character" w:customStyle="1" w:styleId="98">
    <w:name w:val="apple-style-span"/>
    <w:qFormat/>
    <w:uiPriority w:val="0"/>
  </w:style>
  <w:style w:type="character" w:customStyle="1" w:styleId="99">
    <w:name w:val="textcontents"/>
    <w:qFormat/>
    <w:uiPriority w:val="0"/>
  </w:style>
  <w:style w:type="character" w:customStyle="1" w:styleId="100">
    <w:name w:val="普通文字 Char Char2"/>
    <w:qFormat/>
    <w:uiPriority w:val="0"/>
    <w:rPr>
      <w:rFonts w:ascii="宋体" w:hAnsi="Courier New" w:eastAsia="宋体"/>
      <w:kern w:val="2"/>
      <w:sz w:val="21"/>
      <w:lang w:val="en-US" w:eastAsia="zh-CN" w:bidi="ar-SA"/>
    </w:rPr>
  </w:style>
  <w:style w:type="character" w:customStyle="1" w:styleId="101">
    <w:name w:val="标题 5 Char"/>
    <w:qFormat/>
    <w:uiPriority w:val="0"/>
    <w:rPr>
      <w:b/>
      <w:kern w:val="2"/>
      <w:sz w:val="28"/>
      <w:szCs w:val="24"/>
    </w:rPr>
  </w:style>
  <w:style w:type="character" w:customStyle="1" w:styleId="102">
    <w:name w:val="批注文字 字符"/>
    <w:qFormat/>
    <w:uiPriority w:val="0"/>
    <w:rPr>
      <w:rFonts w:ascii="Times New Roman" w:hAnsi="Times New Roman"/>
      <w:kern w:val="2"/>
      <w:sz w:val="21"/>
      <w:szCs w:val="24"/>
    </w:rPr>
  </w:style>
  <w:style w:type="character" w:customStyle="1" w:styleId="103">
    <w:name w:val="标题 1 字符"/>
    <w:qFormat/>
    <w:uiPriority w:val="9"/>
    <w:rPr>
      <w:rFonts w:ascii="Times New Roman" w:hAnsi="Times New Roman" w:eastAsia="宋体" w:cs="Times New Roman"/>
      <w:b/>
      <w:bCs/>
      <w:kern w:val="44"/>
      <w:sz w:val="44"/>
      <w:szCs w:val="44"/>
    </w:rPr>
  </w:style>
  <w:style w:type="character" w:customStyle="1" w:styleId="104">
    <w:name w:val="纯文本 字符"/>
    <w:qFormat/>
    <w:uiPriority w:val="0"/>
    <w:rPr>
      <w:rFonts w:ascii="宋体" w:hAnsi="Courier New" w:eastAsia="宋体" w:cs="Courier New"/>
      <w:szCs w:val="21"/>
    </w:rPr>
  </w:style>
  <w:style w:type="character" w:customStyle="1" w:styleId="105">
    <w:name w:val="headline-content4"/>
    <w:qFormat/>
    <w:uiPriority w:val="0"/>
  </w:style>
  <w:style w:type="character" w:customStyle="1" w:styleId="10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7">
    <w:name w:val="正文文本缩进 字符"/>
    <w:qFormat/>
    <w:uiPriority w:val="0"/>
    <w:rPr>
      <w:rFonts w:ascii="仿宋_GB2312" w:hAnsi="Times New Roman" w:eastAsia="仿宋_GB2312" w:cs="Times New Roman"/>
      <w:sz w:val="32"/>
      <w:szCs w:val="20"/>
    </w:rPr>
  </w:style>
  <w:style w:type="paragraph" w:customStyle="1" w:styleId="108">
    <w:name w:val="Char1"/>
    <w:basedOn w:val="1"/>
    <w:qFormat/>
    <w:uiPriority w:val="0"/>
    <w:rPr>
      <w:szCs w:val="21"/>
    </w:rPr>
  </w:style>
  <w:style w:type="paragraph" w:styleId="109">
    <w:name w:val="List Paragraph"/>
    <w:basedOn w:val="1"/>
    <w:qFormat/>
    <w:uiPriority w:val="34"/>
    <w:pPr>
      <w:ind w:firstLine="420" w:firstLineChars="200"/>
    </w:pPr>
  </w:style>
  <w:style w:type="paragraph" w:customStyle="1" w:styleId="110">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paragraph" w:customStyle="1" w:styleId="112">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13">
    <w:name w:val="Plain Text"/>
    <w:basedOn w:val="1"/>
    <w:qFormat/>
    <w:uiPriority w:val="0"/>
    <w:rPr>
      <w:rFonts w:ascii="宋体" w:hAnsi="Courier New" w:cs="Century"/>
      <w:szCs w:val="21"/>
    </w:rPr>
  </w:style>
  <w:style w:type="paragraph" w:customStyle="1" w:styleId="114">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1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6">
    <w:name w:val="表格"/>
    <w:basedOn w:val="1"/>
    <w:qFormat/>
    <w:uiPriority w:val="0"/>
    <w:pPr>
      <w:spacing w:line="400" w:lineRule="exact"/>
    </w:pPr>
    <w:rPr>
      <w:sz w:val="24"/>
    </w:rPr>
  </w:style>
  <w:style w:type="paragraph" w:customStyle="1" w:styleId="117">
    <w:name w:val="样式 首行缩进:  2 字符"/>
    <w:basedOn w:val="1"/>
    <w:qFormat/>
    <w:uiPriority w:val="0"/>
    <w:pPr>
      <w:spacing w:line="400" w:lineRule="exact"/>
      <w:ind w:firstLine="200" w:firstLineChars="200"/>
    </w:pPr>
    <w:rPr>
      <w:rFonts w:cs="宋体"/>
      <w:sz w:val="24"/>
    </w:rPr>
  </w:style>
  <w:style w:type="paragraph" w:customStyle="1" w:styleId="118">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9">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20">
    <w:name w:val="正文首行缩进两字符"/>
    <w:basedOn w:val="1"/>
    <w:qFormat/>
    <w:uiPriority w:val="0"/>
    <w:pPr>
      <w:spacing w:line="360" w:lineRule="auto"/>
      <w:ind w:firstLine="200" w:firstLineChars="200"/>
    </w:pPr>
  </w:style>
  <w:style w:type="paragraph" w:customStyle="1" w:styleId="121">
    <w:name w:val="正文段"/>
    <w:basedOn w:val="1"/>
    <w:qFormat/>
    <w:uiPriority w:val="0"/>
    <w:pPr>
      <w:widowControl/>
      <w:snapToGrid w:val="0"/>
      <w:spacing w:after="50" w:afterLines="50"/>
      <w:ind w:firstLine="200" w:firstLineChars="200"/>
    </w:pPr>
    <w:rPr>
      <w:kern w:val="0"/>
      <w:sz w:val="24"/>
      <w:szCs w:val="20"/>
    </w:rPr>
  </w:style>
  <w:style w:type="table" w:customStyle="1" w:styleId="122">
    <w:name w:val="Table Normal"/>
    <w:semiHidden/>
    <w:qFormat/>
    <w:uiPriority w:val="2"/>
    <w:pPr>
      <w:widowControl w:val="0"/>
    </w:pPr>
    <w:rPr>
      <w:rFonts w:ascii="Calibri" w:hAnsi="Calibri" w:eastAsia="Times New Roman"/>
      <w:sz w:val="22"/>
      <w:szCs w:val="22"/>
      <w:lang w:val="en-US" w:eastAsia="en-US" w:bidi="ar-SA"/>
    </w:rPr>
    <w:tblPr>
      <w:tblCellMar>
        <w:top w:w="0" w:type="dxa"/>
        <w:left w:w="0" w:type="dxa"/>
        <w:bottom w:w="0" w:type="dxa"/>
        <w:right w:w="0" w:type="dxa"/>
      </w:tblCellMar>
    </w:tblPr>
  </w:style>
  <w:style w:type="character" w:customStyle="1" w:styleId="123">
    <w:name w:val="页脚 字符"/>
    <w:qFormat/>
    <w:uiPriority w:val="99"/>
  </w:style>
  <w:style w:type="character" w:customStyle="1" w:styleId="124">
    <w:name w:val="正文2 Char Char"/>
    <w:link w:val="125"/>
    <w:qFormat/>
    <w:uiPriority w:val="0"/>
    <w:rPr>
      <w:kern w:val="2"/>
      <w:sz w:val="24"/>
    </w:rPr>
  </w:style>
  <w:style w:type="paragraph" w:customStyle="1" w:styleId="125">
    <w:name w:val="正文2"/>
    <w:basedOn w:val="1"/>
    <w:link w:val="124"/>
    <w:qFormat/>
    <w:uiPriority w:val="0"/>
    <w:pPr>
      <w:adjustRightInd w:val="0"/>
      <w:spacing w:before="156" w:line="360" w:lineRule="auto"/>
      <w:ind w:firstLine="510" w:firstLineChars="200"/>
    </w:pPr>
    <w:rPr>
      <w:sz w:val="24"/>
      <w:szCs w:val="20"/>
    </w:rPr>
  </w:style>
  <w:style w:type="paragraph" w:customStyle="1" w:styleId="126">
    <w:name w:val="_Style 115"/>
    <w:unhideWhenUsed/>
    <w:qFormat/>
    <w:uiPriority w:val="99"/>
    <w:rPr>
      <w:rFonts w:ascii="Times New Roman" w:hAnsi="Times New Roman" w:eastAsia="宋体" w:cs="Times New Roman"/>
      <w:kern w:val="2"/>
      <w:sz w:val="21"/>
      <w:szCs w:val="24"/>
      <w:lang w:val="en-US" w:eastAsia="zh-CN" w:bidi="ar-SA"/>
    </w:rPr>
  </w:style>
  <w:style w:type="character" w:customStyle="1" w:styleId="127">
    <w:name w:val="表格文字 Char1"/>
    <w:link w:val="128"/>
    <w:qFormat/>
    <w:locked/>
    <w:uiPriority w:val="99"/>
    <w:rPr>
      <w:bCs/>
      <w:spacing w:val="10"/>
      <w:sz w:val="24"/>
    </w:rPr>
  </w:style>
  <w:style w:type="paragraph" w:customStyle="1" w:styleId="128">
    <w:name w:val="表格文字"/>
    <w:basedOn w:val="1"/>
    <w:next w:val="18"/>
    <w:link w:val="127"/>
    <w:qFormat/>
    <w:uiPriority w:val="99"/>
    <w:pPr>
      <w:spacing w:before="25" w:after="25"/>
      <w:jc w:val="left"/>
    </w:pPr>
    <w:rPr>
      <w:bCs/>
      <w:spacing w:val="10"/>
      <w:kern w:val="0"/>
      <w:sz w:val="24"/>
      <w:szCs w:val="20"/>
    </w:rPr>
  </w:style>
  <w:style w:type="paragraph" w:customStyle="1" w:styleId="12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30">
    <w:name w:val="列出段落1"/>
    <w:basedOn w:val="1"/>
    <w:qFormat/>
    <w:uiPriority w:val="0"/>
    <w:pPr>
      <w:ind w:firstLine="420" w:firstLineChars="200"/>
    </w:pPr>
    <w:rPr>
      <w:szCs w:val="21"/>
    </w:rPr>
  </w:style>
  <w:style w:type="paragraph" w:customStyle="1" w:styleId="131">
    <w:name w:val=" 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2">
    <w:name w:val="标题 41"/>
    <w:basedOn w:val="1"/>
    <w:next w:val="1"/>
    <w:unhideWhenUsed/>
    <w:qFormat/>
    <w:uiPriority w:val="10"/>
    <w:pPr>
      <w:keepNext/>
      <w:keepLines/>
      <w:spacing w:before="280" w:after="290" w:line="376" w:lineRule="auto"/>
      <w:outlineLvl w:val="3"/>
    </w:pPr>
    <w:rPr>
      <w:rFonts w:ascii="Calibri Light" w:hAnsi="Calibri Light" w:eastAsia="宋体" w:cs="Times New Roman"/>
      <w:b/>
      <w:bCs/>
      <w:sz w:val="28"/>
      <w:szCs w:val="28"/>
    </w:rPr>
  </w:style>
  <w:style w:type="character" w:customStyle="1" w:styleId="133">
    <w:name w:val="NormalCharacter"/>
    <w:qFormat/>
    <w:uiPriority w:val="0"/>
  </w:style>
  <w:style w:type="table" w:customStyle="1" w:styleId="134">
    <w:name w:val="网格型1"/>
    <w:basedOn w:val="45"/>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35">
    <w:name w:val="网格型11"/>
    <w:basedOn w:val="4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6">
    <w:name w:val="纯文本1"/>
    <w:basedOn w:val="1"/>
    <w:qFormat/>
    <w:uiPriority w:val="0"/>
    <w:rPr>
      <w:rFonts w:ascii="宋体" w:hAnsi="Courier New" w:cs="Century"/>
      <w:szCs w:val="21"/>
    </w:rPr>
  </w:style>
  <w:style w:type="table" w:customStyle="1" w:styleId="137">
    <w:name w:val="网格型2"/>
    <w:basedOn w:val="4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38">
    <w:name w:val="No Spacing"/>
    <w:qFormat/>
    <w:uiPriority w:val="1"/>
    <w:pPr>
      <w:adjustRightInd w:val="0"/>
      <w:snapToGrid w:val="0"/>
    </w:pPr>
    <w:rPr>
      <w:rFonts w:ascii="Tahoma" w:hAnsi="Tahoma" w:eastAsia="微软雅黑" w:cs="Times New Roman"/>
      <w:sz w:val="22"/>
      <w:szCs w:val="22"/>
      <w:lang w:val="en-US" w:eastAsia="zh-CN" w:bidi="ar-SA"/>
    </w:rPr>
  </w:style>
  <w:style w:type="paragraph" w:customStyle="1" w:styleId="139">
    <w:name w:val="Default"/>
    <w:qFormat/>
    <w:uiPriority w:val="0"/>
    <w:pPr>
      <w:autoSpaceDE w:val="0"/>
      <w:autoSpaceDN w:val="0"/>
      <w:adjustRightInd w:val="0"/>
    </w:pPr>
    <w:rPr>
      <w:rFonts w:ascii="Arial" w:hAnsi="Arial" w:eastAsia="宋体" w:cs="Arial"/>
      <w:color w:val="000000"/>
      <w:sz w:val="24"/>
      <w:szCs w:val="24"/>
      <w:lang w:val="en-US" w:eastAsia="zh-CN" w:bidi="ar-SA"/>
    </w:rPr>
  </w:style>
  <w:style w:type="character" w:customStyle="1" w:styleId="140">
    <w:name w:val="text__nfvs"/>
    <w:basedOn w:val="47"/>
    <w:qFormat/>
    <w:uiPriority w:val="0"/>
  </w:style>
  <w:style w:type="character" w:customStyle="1" w:styleId="141">
    <w:name w:val="supwrap_avpch"/>
    <w:basedOn w:val="47"/>
    <w:qFormat/>
    <w:uiPriority w:val="0"/>
  </w:style>
  <w:style w:type="character" w:customStyle="1" w:styleId="142">
    <w:name w:val="hover"/>
    <w:basedOn w:val="47"/>
    <w:uiPriority w:val="0"/>
    <w:rPr>
      <w:bdr w:val="none" w:color="AFD1EE" w:sz="0" w:space="0"/>
    </w:rPr>
  </w:style>
  <w:style w:type="character" w:customStyle="1" w:styleId="143">
    <w:name w:val="hover1"/>
    <w:basedOn w:val="47"/>
    <w:uiPriority w:val="0"/>
    <w:rPr>
      <w:color w:val="2590EB"/>
    </w:rPr>
  </w:style>
  <w:style w:type="character" w:customStyle="1" w:styleId="144">
    <w:name w:val="hover2"/>
    <w:basedOn w:val="47"/>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118</Pages>
  <Words>65582</Words>
  <Characters>70957</Characters>
  <Lines>2646</Lines>
  <Paragraphs>2559</Paragraphs>
  <TotalTime>44</TotalTime>
  <ScaleCrop>false</ScaleCrop>
  <LinksUpToDate>false</LinksUpToDate>
  <CharactersWithSpaces>77679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2025-03-11T03:03:00Z</dcterms:created>
  <dc:creator>番茄花园</dc:creator>
  <cp:lastModifiedBy>绍袁</cp:lastModifiedBy>
  <cp:lastPrinted>2019-09-27T01:36:00Z</cp:lastPrinted>
  <dcterms:modified xsi:type="dcterms:W3CDTF">2025-04-22T07:24:42Z</dcterms:modified>
  <dc:title>公开招标采购文件范本</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143A9DE4A64E403A9D5C7990D3832D91_13</vt:lpwstr>
  </property>
  <property fmtid="{D5CDD505-2E9C-101B-9397-08002B2CF9AE}" pid="4" name="KSOTemplateDocerSaveRecord">
    <vt:lpwstr>eyJoZGlkIjoiZTljNTc1NGMyMGIyN2RmOTZmMjliMWRkZDI0Njk3NTciLCJ1c2VySWQiOiIyNjk4Mjc3NjMifQ==</vt:lpwstr>
  </property>
</Properties>
</file>