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E82DD">
      <w:pPr>
        <w:spacing w:line="360" w:lineRule="auto"/>
        <w:jc w:val="center"/>
        <w:rPr>
          <w:rFonts w:hint="eastAsia" w:ascii="宋体" w:hAnsi="宋体" w:cs="宋体"/>
          <w:color w:val="auto"/>
          <w:sz w:val="52"/>
          <w:szCs w:val="52"/>
          <w:highlight w:val="none"/>
        </w:rPr>
      </w:pPr>
    </w:p>
    <w:p w14:paraId="3E8995B6">
      <w:pPr>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云之龙咨询集团有限公司</w:t>
      </w:r>
    </w:p>
    <w:p w14:paraId="5C77AEE2">
      <w:pPr>
        <w:spacing w:line="360" w:lineRule="auto"/>
        <w:jc w:val="center"/>
        <w:rPr>
          <w:rFonts w:ascii="宋体" w:hAnsi="宋体" w:cs="宋体"/>
          <w:b/>
          <w:color w:val="auto"/>
          <w:sz w:val="48"/>
          <w:szCs w:val="48"/>
          <w:highlight w:val="none"/>
        </w:rPr>
      </w:pPr>
    </w:p>
    <w:p w14:paraId="38B44B55">
      <w:pPr>
        <w:snapToGrid w:val="0"/>
        <w:spacing w:beforeLines="50" w:line="360" w:lineRule="auto"/>
        <w:jc w:val="center"/>
        <w:rPr>
          <w:rFonts w:ascii="宋体" w:hAnsi="宋体" w:cs="宋体"/>
          <w:color w:val="auto"/>
          <w:sz w:val="120"/>
          <w:szCs w:val="120"/>
          <w:highlight w:val="none"/>
        </w:rPr>
      </w:pPr>
      <w:r>
        <w:rPr>
          <w:rFonts w:hint="eastAsia" w:ascii="宋体" w:hAnsi="宋体" w:cs="宋体"/>
          <w:color w:val="auto"/>
          <w:sz w:val="120"/>
          <w:szCs w:val="120"/>
          <w:highlight w:val="none"/>
        </w:rPr>
        <w:t>招 标 文 件</w:t>
      </w:r>
    </w:p>
    <w:p w14:paraId="3BC267F9">
      <w:pPr>
        <w:snapToGrid w:val="0"/>
        <w:spacing w:line="360" w:lineRule="auto"/>
        <w:rPr>
          <w:rFonts w:ascii="宋体" w:hAnsi="宋体" w:cs="宋体"/>
          <w:color w:val="auto"/>
          <w:sz w:val="30"/>
          <w:szCs w:val="72"/>
          <w:highlight w:val="none"/>
        </w:rPr>
      </w:pPr>
    </w:p>
    <w:p w14:paraId="6BE94F25">
      <w:pPr>
        <w:pStyle w:val="24"/>
        <w:snapToGrid w:val="0"/>
        <w:spacing w:line="360" w:lineRule="auto"/>
        <w:ind w:left="840" w:leftChars="400" w:firstLine="286" w:firstLineChars="100"/>
        <w:rPr>
          <w:rFonts w:hAnsi="宋体" w:cs="宋体"/>
          <w:b/>
          <w:bCs/>
          <w:color w:val="auto"/>
          <w:w w:val="95"/>
          <w:sz w:val="30"/>
          <w:szCs w:val="30"/>
          <w:highlight w:val="none"/>
        </w:rPr>
      </w:pPr>
      <w:r>
        <w:rPr>
          <w:rFonts w:hint="eastAsia" w:hAnsi="宋体" w:cs="宋体"/>
          <w:b/>
          <w:bCs/>
          <w:color w:val="auto"/>
          <w:w w:val="95"/>
          <w:sz w:val="30"/>
          <w:szCs w:val="30"/>
          <w:highlight w:val="none"/>
        </w:rPr>
        <w:t>项目名称：广西壮族自治区南溪山医院医疗设备一批（二）</w:t>
      </w:r>
    </w:p>
    <w:p w14:paraId="0A60A303">
      <w:pPr>
        <w:pStyle w:val="24"/>
        <w:snapToGrid w:val="0"/>
        <w:spacing w:line="360" w:lineRule="auto"/>
        <w:ind w:left="840" w:leftChars="400" w:firstLine="286" w:firstLineChars="100"/>
        <w:rPr>
          <w:rFonts w:hAnsi="宋体" w:cs="宋体"/>
          <w:b/>
          <w:bCs/>
          <w:color w:val="auto"/>
          <w:w w:val="95"/>
          <w:sz w:val="30"/>
          <w:szCs w:val="30"/>
          <w:highlight w:val="none"/>
        </w:rPr>
      </w:pPr>
      <w:r>
        <w:rPr>
          <w:rFonts w:hint="eastAsia" w:hAnsi="宋体" w:cs="宋体"/>
          <w:b/>
          <w:bCs/>
          <w:color w:val="auto"/>
          <w:w w:val="95"/>
          <w:sz w:val="30"/>
          <w:szCs w:val="30"/>
          <w:highlight w:val="none"/>
        </w:rPr>
        <w:t>项目编号：GXZC2024-G1-006289-YZLZ</w:t>
      </w:r>
    </w:p>
    <w:p w14:paraId="062F222E">
      <w:pPr>
        <w:pStyle w:val="24"/>
        <w:snapToGrid w:val="0"/>
        <w:spacing w:line="360" w:lineRule="auto"/>
        <w:ind w:firstLine="1145" w:firstLineChars="400"/>
        <w:rPr>
          <w:rFonts w:hAnsi="宋体" w:cs="宋体"/>
          <w:b/>
          <w:bCs/>
          <w:color w:val="auto"/>
          <w:w w:val="95"/>
          <w:sz w:val="30"/>
          <w:szCs w:val="30"/>
          <w:highlight w:val="none"/>
        </w:rPr>
      </w:pPr>
      <w:r>
        <w:rPr>
          <w:rFonts w:hint="eastAsia" w:hAnsi="宋体" w:cs="宋体"/>
          <w:b/>
          <w:bCs/>
          <w:color w:val="auto"/>
          <w:w w:val="95"/>
          <w:sz w:val="30"/>
          <w:szCs w:val="30"/>
          <w:highlight w:val="none"/>
        </w:rPr>
        <w:t>采 购 人：广西壮族自治区南溪山医院</w:t>
      </w:r>
    </w:p>
    <w:p w14:paraId="6D24A82D">
      <w:pPr>
        <w:pStyle w:val="24"/>
        <w:snapToGrid w:val="0"/>
        <w:spacing w:line="360" w:lineRule="auto"/>
        <w:ind w:firstLine="2576" w:firstLineChars="900"/>
        <w:rPr>
          <w:rFonts w:hAnsi="宋体" w:cs="宋体"/>
          <w:b/>
          <w:bCs/>
          <w:color w:val="auto"/>
          <w:w w:val="95"/>
          <w:sz w:val="30"/>
          <w:szCs w:val="30"/>
          <w:highlight w:val="none"/>
        </w:rPr>
      </w:pPr>
      <w:r>
        <w:rPr>
          <w:rFonts w:hint="eastAsia" w:hAnsi="宋体" w:cs="宋体"/>
          <w:b/>
          <w:bCs/>
          <w:color w:val="auto"/>
          <w:w w:val="95"/>
          <w:sz w:val="30"/>
          <w:szCs w:val="30"/>
          <w:highlight w:val="none"/>
        </w:rPr>
        <w:t>(广西壮族自治区第二人民医院)</w:t>
      </w:r>
    </w:p>
    <w:p w14:paraId="1B9057FF">
      <w:pPr>
        <w:pStyle w:val="24"/>
        <w:snapToGrid w:val="0"/>
        <w:spacing w:line="360" w:lineRule="auto"/>
        <w:ind w:firstLine="1145" w:firstLineChars="4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采购代理机构：云之龙咨询集团有限公司</w:t>
      </w:r>
    </w:p>
    <w:p w14:paraId="76359C1A">
      <w:pPr>
        <w:pStyle w:val="24"/>
        <w:snapToGrid w:val="0"/>
        <w:spacing w:line="360" w:lineRule="auto"/>
        <w:ind w:firstLine="1125" w:firstLineChars="393"/>
        <w:rPr>
          <w:rFonts w:hAnsi="宋体" w:cs="宋体"/>
          <w:b/>
          <w:bCs/>
          <w:color w:val="auto"/>
          <w:w w:val="95"/>
          <w:sz w:val="30"/>
          <w:szCs w:val="30"/>
          <w:highlight w:val="none"/>
        </w:rPr>
      </w:pPr>
    </w:p>
    <w:p w14:paraId="000FEA6A">
      <w:pPr>
        <w:pStyle w:val="24"/>
        <w:snapToGrid w:val="0"/>
        <w:spacing w:line="360" w:lineRule="auto"/>
        <w:ind w:firstLine="1125" w:firstLineChars="393"/>
        <w:rPr>
          <w:rFonts w:hAnsi="宋体" w:cs="宋体"/>
          <w:b/>
          <w:bCs/>
          <w:color w:val="auto"/>
          <w:w w:val="95"/>
          <w:sz w:val="30"/>
          <w:szCs w:val="30"/>
          <w:highlight w:val="none"/>
        </w:rPr>
      </w:pPr>
    </w:p>
    <w:p w14:paraId="601EDF0F">
      <w:pPr>
        <w:pStyle w:val="24"/>
        <w:snapToGrid w:val="0"/>
        <w:spacing w:line="360" w:lineRule="auto"/>
        <w:jc w:val="center"/>
        <w:rPr>
          <w:rFonts w:hAnsi="宋体" w:cs="宋体"/>
          <w:color w:val="auto"/>
          <w:szCs w:val="20"/>
          <w:highlight w:val="none"/>
        </w:rPr>
      </w:pPr>
      <w:r>
        <w:rPr>
          <w:rFonts w:hint="eastAsia" w:hAnsi="宋体" w:cs="宋体"/>
          <w:b/>
          <w:bCs/>
          <w:color w:val="auto"/>
          <w:w w:val="95"/>
          <w:sz w:val="30"/>
          <w:szCs w:val="30"/>
          <w:highlight w:val="none"/>
        </w:rPr>
        <w:t>2024年</w:t>
      </w:r>
      <w:r>
        <w:rPr>
          <w:rFonts w:hint="eastAsia" w:hAnsi="宋体" w:cs="宋体"/>
          <w:b/>
          <w:bCs/>
          <w:color w:val="auto"/>
          <w:w w:val="95"/>
          <w:sz w:val="30"/>
          <w:szCs w:val="30"/>
          <w:highlight w:val="none"/>
          <w:lang w:val="en-US" w:eastAsia="zh-CN"/>
        </w:rPr>
        <w:t>12</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11</w:t>
      </w:r>
      <w:r>
        <w:rPr>
          <w:rFonts w:hint="eastAsia" w:hAnsi="宋体" w:cs="宋体"/>
          <w:b/>
          <w:bCs/>
          <w:color w:val="auto"/>
          <w:w w:val="95"/>
          <w:sz w:val="30"/>
          <w:szCs w:val="30"/>
          <w:highlight w:val="none"/>
        </w:rPr>
        <w:t>日</w:t>
      </w:r>
    </w:p>
    <w:p w14:paraId="01A8E52C">
      <w:pPr>
        <w:pStyle w:val="16"/>
        <w:ind w:firstLine="803"/>
        <w:jc w:val="center"/>
        <w:rPr>
          <w:rFonts w:ascii="宋体" w:hAnsi="宋体" w:cs="宋体"/>
          <w:bCs/>
          <w:color w:val="auto"/>
          <w:kern w:val="0"/>
          <w:sz w:val="32"/>
          <w:szCs w:val="32"/>
          <w:highlight w:val="none"/>
        </w:rPr>
      </w:pPr>
    </w:p>
    <w:p w14:paraId="221A9028">
      <w:pPr>
        <w:pStyle w:val="24"/>
        <w:spacing w:before="120" w:after="120" w:line="360" w:lineRule="auto"/>
        <w:jc w:val="center"/>
        <w:rPr>
          <w:rFonts w:hAnsi="宋体" w:cs="宋体"/>
          <w:b/>
          <w:color w:val="auto"/>
          <w:sz w:val="44"/>
          <w:szCs w:val="44"/>
          <w:highlight w:val="none"/>
        </w:rPr>
      </w:pPr>
    </w:p>
    <w:p w14:paraId="63734208">
      <w:pPr>
        <w:pStyle w:val="24"/>
        <w:spacing w:before="120" w:after="120" w:line="360" w:lineRule="auto"/>
        <w:jc w:val="center"/>
        <w:rPr>
          <w:rFonts w:hAnsi="宋体" w:cs="宋体"/>
          <w:b/>
          <w:color w:val="auto"/>
          <w:sz w:val="44"/>
          <w:szCs w:val="44"/>
          <w:highlight w:val="none"/>
        </w:rPr>
      </w:pPr>
    </w:p>
    <w:p w14:paraId="689D7C26">
      <w:pPr>
        <w:pStyle w:val="24"/>
        <w:spacing w:before="120" w:after="120" w:line="360" w:lineRule="auto"/>
        <w:jc w:val="center"/>
        <w:rPr>
          <w:rFonts w:hAnsi="宋体" w:cs="宋体"/>
          <w:b/>
          <w:color w:val="auto"/>
          <w:sz w:val="44"/>
          <w:szCs w:val="44"/>
          <w:highlight w:val="none"/>
        </w:rPr>
      </w:pPr>
    </w:p>
    <w:p w14:paraId="69DBFBD1">
      <w:pPr>
        <w:pStyle w:val="24"/>
        <w:spacing w:before="120" w:after="120" w:line="360" w:lineRule="auto"/>
        <w:jc w:val="center"/>
        <w:rPr>
          <w:rFonts w:hAnsi="宋体" w:cs="宋体"/>
          <w:b/>
          <w:color w:val="auto"/>
          <w:sz w:val="44"/>
          <w:szCs w:val="44"/>
          <w:highlight w:val="none"/>
        </w:rPr>
      </w:pPr>
      <w:r>
        <w:rPr>
          <w:rFonts w:hint="eastAsia" w:hAnsi="宋体" w:cs="宋体"/>
          <w:b/>
          <w:color w:val="auto"/>
          <w:sz w:val="44"/>
          <w:szCs w:val="44"/>
          <w:highlight w:val="none"/>
        </w:rPr>
        <w:t>目  录</w:t>
      </w:r>
    </w:p>
    <w:p w14:paraId="1362404B">
      <w:pPr>
        <w:pStyle w:val="33"/>
        <w:rPr>
          <w:rFonts w:cs="宋体"/>
          <w:b w:val="0"/>
          <w:bCs w:val="0"/>
          <w:caps w:val="0"/>
          <w:color w:val="auto"/>
          <w:sz w:val="21"/>
          <w:szCs w:val="22"/>
          <w:highlight w:val="none"/>
        </w:rPr>
      </w:pPr>
      <w:r>
        <w:rPr>
          <w:rFonts w:hint="eastAsia" w:cs="宋体"/>
          <w:b w:val="0"/>
          <w:bCs w:val="0"/>
          <w:caps w:val="0"/>
          <w:color w:val="auto"/>
          <w:highlight w:val="none"/>
        </w:rPr>
        <w:fldChar w:fldCharType="begin"/>
      </w:r>
      <w:r>
        <w:rPr>
          <w:rFonts w:hint="eastAsia" w:cs="宋体"/>
          <w:b w:val="0"/>
          <w:bCs w:val="0"/>
          <w:caps w:val="0"/>
          <w:color w:val="auto"/>
          <w:highlight w:val="none"/>
        </w:rPr>
        <w:instrText xml:space="preserve">TOC \o "1-1" \h \z \u</w:instrText>
      </w:r>
      <w:r>
        <w:rPr>
          <w:rFonts w:hint="eastAsia" w:cs="宋体"/>
          <w:b w:val="0"/>
          <w:bCs w:val="0"/>
          <w:caps w:val="0"/>
          <w:color w:val="auto"/>
          <w:highlight w:val="none"/>
        </w:rPr>
        <w:fldChar w:fldCharType="separate"/>
      </w:r>
      <w:r>
        <w:rPr>
          <w:color w:val="auto"/>
          <w:highlight w:val="none"/>
        </w:rPr>
        <w:fldChar w:fldCharType="begin"/>
      </w:r>
      <w:r>
        <w:rPr>
          <w:color w:val="auto"/>
          <w:highlight w:val="none"/>
        </w:rPr>
        <w:instrText xml:space="preserve"> HYPERLINK \l "_Toc143259161" </w:instrText>
      </w:r>
      <w:r>
        <w:rPr>
          <w:color w:val="auto"/>
          <w:highlight w:val="none"/>
        </w:rPr>
        <w:fldChar w:fldCharType="separate"/>
      </w:r>
      <w:r>
        <w:rPr>
          <w:rStyle w:val="54"/>
          <w:rFonts w:hint="eastAsia" w:cs="宋体"/>
          <w:color w:val="auto"/>
          <w:highlight w:val="none"/>
        </w:rPr>
        <w:t>第一章 招标公告</w:t>
      </w:r>
      <w:r>
        <w:rPr>
          <w:rFonts w:hint="eastAsia" w:cs="宋体"/>
          <w:color w:val="auto"/>
          <w:highlight w:val="none"/>
        </w:rPr>
        <w:tab/>
      </w:r>
      <w:r>
        <w:rPr>
          <w:rFonts w:hint="eastAsia" w:cs="宋体"/>
          <w:color w:val="auto"/>
          <w:highlight w:val="none"/>
        </w:rPr>
        <w:t>2</w:t>
      </w:r>
      <w:r>
        <w:rPr>
          <w:rFonts w:hint="eastAsia" w:cs="宋体"/>
          <w:color w:val="auto"/>
          <w:highlight w:val="none"/>
        </w:rPr>
        <w:fldChar w:fldCharType="end"/>
      </w:r>
    </w:p>
    <w:p w14:paraId="10BB72EC">
      <w:pPr>
        <w:pStyle w:val="33"/>
        <w:ind w:firstLine="241"/>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"_Toc143259162" </w:instrText>
      </w:r>
      <w:r>
        <w:rPr>
          <w:color w:val="auto"/>
          <w:highlight w:val="none"/>
        </w:rPr>
        <w:fldChar w:fldCharType="separate"/>
      </w:r>
      <w:r>
        <w:rPr>
          <w:rStyle w:val="54"/>
          <w:rFonts w:hint="eastAsia" w:cs="宋体"/>
          <w:color w:val="auto"/>
          <w:highlight w:val="none"/>
        </w:rPr>
        <w:t>第二章 采购需求</w:t>
      </w:r>
      <w:r>
        <w:rPr>
          <w:rFonts w:hint="eastAsia" w:cs="宋体"/>
          <w:color w:val="auto"/>
          <w:highlight w:val="none"/>
        </w:rPr>
        <w:tab/>
      </w:r>
      <w:r>
        <w:rPr>
          <w:rFonts w:hint="eastAsia" w:cs="宋体"/>
          <w:color w:val="auto"/>
          <w:highlight w:val="none"/>
        </w:rPr>
        <w:t>6</w:t>
      </w:r>
      <w:r>
        <w:rPr>
          <w:rFonts w:hint="eastAsia" w:cs="宋体"/>
          <w:color w:val="auto"/>
          <w:highlight w:val="none"/>
        </w:rPr>
        <w:fldChar w:fldCharType="end"/>
      </w:r>
    </w:p>
    <w:p w14:paraId="5D340790">
      <w:pPr>
        <w:pStyle w:val="33"/>
        <w:ind w:firstLine="241"/>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"_Toc143259163" </w:instrText>
      </w:r>
      <w:r>
        <w:rPr>
          <w:color w:val="auto"/>
          <w:highlight w:val="none"/>
        </w:rPr>
        <w:fldChar w:fldCharType="separate"/>
      </w:r>
      <w:r>
        <w:rPr>
          <w:rStyle w:val="54"/>
          <w:rFonts w:hint="eastAsia" w:cs="宋体"/>
          <w:color w:val="auto"/>
          <w:highlight w:val="none"/>
        </w:rPr>
        <w:t>第三章 投标人须知</w:t>
      </w:r>
      <w:r>
        <w:rPr>
          <w:rFonts w:hint="eastAsia" w:cs="宋体"/>
          <w:color w:val="auto"/>
          <w:highlight w:val="none"/>
        </w:rPr>
        <w:tab/>
      </w:r>
      <w:r>
        <w:rPr>
          <w:rFonts w:hint="eastAsia" w:cs="宋体"/>
          <w:color w:val="auto"/>
          <w:highlight w:val="none"/>
        </w:rPr>
        <w:t>3</w:t>
      </w:r>
      <w:r>
        <w:rPr>
          <w:rFonts w:hint="eastAsia" w:cs="宋体"/>
          <w:color w:val="auto"/>
          <w:highlight w:val="none"/>
        </w:rPr>
        <w:fldChar w:fldCharType="end"/>
      </w:r>
      <w:r>
        <w:rPr>
          <w:rFonts w:hint="eastAsia" w:cs="宋体"/>
          <w:color w:val="auto"/>
          <w:highlight w:val="none"/>
        </w:rPr>
        <w:t>7</w:t>
      </w:r>
    </w:p>
    <w:p w14:paraId="7E02F7E5">
      <w:pPr>
        <w:pStyle w:val="33"/>
        <w:ind w:firstLine="241"/>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"_Toc143259164" </w:instrText>
      </w:r>
      <w:r>
        <w:rPr>
          <w:color w:val="auto"/>
          <w:highlight w:val="none"/>
        </w:rPr>
        <w:fldChar w:fldCharType="separate"/>
      </w:r>
      <w:r>
        <w:rPr>
          <w:rStyle w:val="54"/>
          <w:rFonts w:hint="eastAsia" w:cs="宋体"/>
          <w:color w:val="auto"/>
          <w:highlight w:val="none"/>
        </w:rPr>
        <w:t>第四章 评标方法及评标标准</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rPr>
        <w:t>62</w:t>
      </w:r>
    </w:p>
    <w:p w14:paraId="2793CBE4">
      <w:pPr>
        <w:pStyle w:val="33"/>
        <w:ind w:firstLine="241"/>
        <w:rPr>
          <w:rFonts w:hint="eastAsia" w:eastAsia="宋体" w:cs="宋体"/>
          <w:b w:val="0"/>
          <w:bCs w:val="0"/>
          <w:caps w:val="0"/>
          <w:color w:val="auto"/>
          <w:sz w:val="21"/>
          <w:szCs w:val="22"/>
          <w:highlight w:val="none"/>
          <w:lang w:eastAsia="zh-CN"/>
        </w:rPr>
      </w:pPr>
      <w:r>
        <w:rPr>
          <w:color w:val="auto"/>
          <w:highlight w:val="none"/>
        </w:rPr>
        <w:fldChar w:fldCharType="begin"/>
      </w:r>
      <w:r>
        <w:rPr>
          <w:color w:val="auto"/>
          <w:highlight w:val="none"/>
        </w:rPr>
        <w:instrText xml:space="preserve"> HYPERLINK \l "_Toc143259165" </w:instrText>
      </w:r>
      <w:r>
        <w:rPr>
          <w:color w:val="auto"/>
          <w:highlight w:val="none"/>
        </w:rPr>
        <w:fldChar w:fldCharType="separate"/>
      </w:r>
      <w:r>
        <w:rPr>
          <w:rStyle w:val="54"/>
          <w:rFonts w:hint="eastAsia" w:cs="宋体"/>
          <w:color w:val="auto"/>
          <w:highlight w:val="none"/>
        </w:rPr>
        <w:t>第五章 拟签订的合同文本</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rPr>
        <w:t>7</w:t>
      </w:r>
      <w:r>
        <w:rPr>
          <w:rFonts w:hint="eastAsia" w:cs="宋体"/>
          <w:color w:val="auto"/>
          <w:highlight w:val="none"/>
          <w:lang w:val="en-US" w:eastAsia="zh-CN"/>
        </w:rPr>
        <w:t>2</w:t>
      </w:r>
    </w:p>
    <w:p w14:paraId="44EAF2F6">
      <w:pPr>
        <w:pStyle w:val="33"/>
        <w:ind w:firstLine="241"/>
        <w:rPr>
          <w:rFonts w:hint="eastAsia" w:eastAsia="宋体" w:cs="宋体"/>
          <w:b w:val="0"/>
          <w:bCs w:val="0"/>
          <w:caps w:val="0"/>
          <w:color w:val="auto"/>
          <w:sz w:val="21"/>
          <w:szCs w:val="22"/>
          <w:highlight w:val="none"/>
          <w:lang w:eastAsia="zh-CN"/>
        </w:rPr>
      </w:pPr>
      <w:r>
        <w:rPr>
          <w:color w:val="auto"/>
          <w:highlight w:val="none"/>
        </w:rPr>
        <w:fldChar w:fldCharType="begin"/>
      </w:r>
      <w:r>
        <w:rPr>
          <w:color w:val="auto"/>
          <w:highlight w:val="none"/>
        </w:rPr>
        <w:instrText xml:space="preserve"> HYPERLINK \l "_Toc143259166" </w:instrText>
      </w:r>
      <w:r>
        <w:rPr>
          <w:color w:val="auto"/>
          <w:highlight w:val="none"/>
        </w:rPr>
        <w:fldChar w:fldCharType="separate"/>
      </w:r>
      <w:r>
        <w:rPr>
          <w:rStyle w:val="54"/>
          <w:rFonts w:hint="eastAsia" w:cs="宋体"/>
          <w:color w:val="auto"/>
          <w:highlight w:val="none"/>
        </w:rPr>
        <w:t>第六章 投标文件格式</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rPr>
        <w:t>8</w:t>
      </w:r>
      <w:r>
        <w:rPr>
          <w:rFonts w:hint="eastAsia" w:cs="宋体"/>
          <w:color w:val="auto"/>
          <w:highlight w:val="none"/>
          <w:lang w:val="en-US" w:eastAsia="zh-CN"/>
        </w:rPr>
        <w:t>3</w:t>
      </w:r>
    </w:p>
    <w:p w14:paraId="0E573593">
      <w:pPr>
        <w:spacing w:beforeLines="50" w:line="480" w:lineRule="exact"/>
        <w:rPr>
          <w:rFonts w:ascii="宋体" w:hAnsi="宋体" w:cs="宋体"/>
          <w:color w:val="auto"/>
          <w:sz w:val="24"/>
          <w:highlight w:val="none"/>
        </w:rPr>
      </w:pPr>
      <w:r>
        <w:rPr>
          <w:rFonts w:hint="eastAsia" w:ascii="宋体" w:hAnsi="宋体" w:cs="宋体"/>
          <w:b/>
          <w:bCs/>
          <w:caps/>
          <w:color w:val="auto"/>
          <w:sz w:val="24"/>
          <w:highlight w:val="none"/>
        </w:rPr>
        <w:fldChar w:fldCharType="end"/>
      </w:r>
    </w:p>
    <w:p w14:paraId="076B4D34">
      <w:pPr>
        <w:spacing w:beforeLines="50" w:line="480" w:lineRule="exact"/>
        <w:rPr>
          <w:rFonts w:ascii="宋体" w:hAnsi="宋体" w:cs="宋体"/>
          <w:color w:val="auto"/>
          <w:sz w:val="30"/>
          <w:highlight w:val="none"/>
        </w:rPr>
      </w:pPr>
    </w:p>
    <w:p w14:paraId="08B75C66">
      <w:pPr>
        <w:rPr>
          <w:rFonts w:ascii="宋体" w:hAnsi="宋体" w:cs="宋体"/>
          <w:color w:val="auto"/>
          <w:highlight w:val="none"/>
        </w:rPr>
      </w:pPr>
    </w:p>
    <w:p w14:paraId="1FABCC22">
      <w:pPr>
        <w:spacing w:beforeLines="50" w:line="480" w:lineRule="exact"/>
        <w:rPr>
          <w:rFonts w:ascii="宋体" w:hAnsi="宋体" w:cs="宋体"/>
          <w:color w:val="auto"/>
          <w:sz w:val="30"/>
          <w:highlight w:val="none"/>
        </w:rPr>
      </w:pPr>
    </w:p>
    <w:p w14:paraId="45EEDE85">
      <w:pPr>
        <w:spacing w:beforeLines="50" w:line="480" w:lineRule="exact"/>
        <w:rPr>
          <w:rFonts w:ascii="宋体" w:hAnsi="宋体" w:cs="宋体"/>
          <w:color w:val="auto"/>
          <w:sz w:val="30"/>
          <w:highlight w:val="none"/>
        </w:rPr>
      </w:pPr>
    </w:p>
    <w:p w14:paraId="57D4A820">
      <w:pPr>
        <w:pStyle w:val="16"/>
        <w:rPr>
          <w:rFonts w:ascii="宋体" w:hAnsi="宋体" w:cs="宋体"/>
          <w:b/>
          <w:bCs/>
          <w:color w:val="auto"/>
          <w:highlight w:val="none"/>
        </w:rPr>
      </w:pPr>
      <w:bookmarkStart w:id="0" w:name="_Toc254970489"/>
      <w:bookmarkStart w:id="1" w:name="_Toc254970630"/>
    </w:p>
    <w:p w14:paraId="4F3491ED">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b w:val="0"/>
          <w:bCs w:val="0"/>
          <w:color w:val="auto"/>
          <w:highlight w:val="none"/>
        </w:rPr>
        <w:br w:type="page"/>
      </w:r>
      <w:bookmarkStart w:id="2" w:name="_Toc143259161"/>
      <w:bookmarkStart w:id="3" w:name="_Toc74320800"/>
      <w:r>
        <w:rPr>
          <w:rFonts w:hint="eastAsia" w:ascii="宋体" w:hAnsi="宋体" w:cs="宋体"/>
          <w:color w:val="auto"/>
          <w:highlight w:val="none"/>
        </w:rPr>
        <w:t>第一章</w:t>
      </w:r>
      <w:bookmarkEnd w:id="0"/>
      <w:bookmarkEnd w:id="1"/>
      <w:bookmarkStart w:id="4" w:name="_Toc35393789"/>
      <w:bookmarkStart w:id="5" w:name="_Toc28359001"/>
      <w:r>
        <w:rPr>
          <w:rFonts w:hint="eastAsia" w:ascii="宋体" w:hAnsi="宋体" w:cs="宋体"/>
          <w:color w:val="auto"/>
          <w:highlight w:val="none"/>
        </w:rPr>
        <w:t>招标公告</w:t>
      </w:r>
      <w:bookmarkEnd w:id="2"/>
      <w:bookmarkEnd w:id="3"/>
      <w:bookmarkEnd w:id="4"/>
      <w:bookmarkEnd w:id="5"/>
    </w:p>
    <w:p w14:paraId="4F4D4195">
      <w:pPr>
        <w:spacing w:line="360" w:lineRule="auto"/>
        <w:rPr>
          <w:rFonts w:ascii="宋体" w:hAnsi="宋体" w:cs="宋体"/>
          <w:color w:val="auto"/>
          <w:szCs w:val="21"/>
          <w:highlight w:val="none"/>
        </w:rPr>
      </w:pPr>
    </w:p>
    <w:p w14:paraId="0FB757C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6CABA46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广西壮族自治区南溪山医院医疗设备一批（二）项目的潜在投标人应在“广西政府采购云平台”（</w:t>
      </w:r>
      <w:r>
        <w:rPr>
          <w:color w:val="auto"/>
          <w:highlight w:val="none"/>
        </w:rPr>
        <w:fldChar w:fldCharType="begin"/>
      </w:r>
      <w:r>
        <w:rPr>
          <w:color w:val="auto"/>
          <w:highlight w:val="none"/>
        </w:rPr>
        <w:instrText xml:space="preserve"> HYPERLINK "https://www.gcy.zfcg.gxzf.gov.cn/）获取（下载）招标文件，并于2024年" </w:instrText>
      </w:r>
      <w:r>
        <w:rPr>
          <w:color w:val="auto"/>
          <w:highlight w:val="none"/>
        </w:rPr>
        <w:fldChar w:fldCharType="separate"/>
      </w:r>
      <w:r>
        <w:rPr>
          <w:rFonts w:hint="eastAsia" w:ascii="宋体" w:hAnsi="宋体" w:cs="宋体"/>
          <w:color w:val="auto"/>
          <w:highlight w:val="none"/>
        </w:rPr>
        <w:t>https://www.gcy.zfcg.gxzf.gov.cn/）获取（下载）招标文件，并于202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rPr>
        <w:fldChar w:fldCharType="end"/>
      </w:r>
      <w:r>
        <w:rPr>
          <w:rFonts w:hint="eastAsia" w:ascii="宋体" w:hAnsi="宋体" w:cs="宋体"/>
          <w:color w:val="auto"/>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日9时30分（北京时间）前按要求递交（上传）投标文件。</w:t>
      </w:r>
    </w:p>
    <w:p w14:paraId="1DD3A933">
      <w:pPr>
        <w:spacing w:line="380" w:lineRule="exact"/>
        <w:rPr>
          <w:rFonts w:ascii="宋体" w:hAnsi="宋体" w:cs="宋体"/>
          <w:b/>
          <w:bCs/>
          <w:color w:val="auto"/>
          <w:sz w:val="24"/>
          <w:highlight w:val="none"/>
        </w:rPr>
      </w:pPr>
      <w:bookmarkStart w:id="6" w:name="_Toc35393790"/>
      <w:bookmarkStart w:id="7" w:name="_Toc28359002"/>
      <w:bookmarkStart w:id="8" w:name="_Toc28359079"/>
      <w:bookmarkStart w:id="9" w:name="_Toc35393621"/>
      <w:bookmarkStart w:id="10" w:name="_Hlk24379207"/>
      <w:r>
        <w:rPr>
          <w:rFonts w:hint="eastAsia" w:ascii="宋体" w:hAnsi="宋体" w:cs="宋体"/>
          <w:b/>
          <w:bCs/>
          <w:color w:val="auto"/>
          <w:sz w:val="24"/>
          <w:highlight w:val="none"/>
        </w:rPr>
        <w:t>一、项目基本情况</w:t>
      </w:r>
      <w:bookmarkEnd w:id="6"/>
      <w:bookmarkEnd w:id="7"/>
      <w:bookmarkEnd w:id="8"/>
      <w:bookmarkEnd w:id="9"/>
    </w:p>
    <w:p w14:paraId="18A9AC49">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项目编号：GXZC2024-G1-006289-YZLZ（代理编号：YZLGL2024-G1-085-GXZC）</w:t>
      </w:r>
    </w:p>
    <w:p w14:paraId="34324AE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项目名称：广西壮族自治区南溪山医院医疗设备一批（二）</w:t>
      </w:r>
    </w:p>
    <w:bookmarkEnd w:id="10"/>
    <w:p w14:paraId="5AC7B952">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预算金额：3170000.00元</w:t>
      </w:r>
    </w:p>
    <w:p w14:paraId="18AB04D7">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最高限价：1200000.00元</w:t>
      </w:r>
    </w:p>
    <w:p w14:paraId="62FD860C">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4AD993F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分标1：预算金额</w:t>
      </w:r>
      <w:r>
        <w:rPr>
          <w:rFonts w:hint="eastAsia" w:ascii="宋体" w:hAnsi="宋体" w:cs="宋体"/>
          <w:color w:val="auto"/>
          <w:highlight w:val="none"/>
        </w:rPr>
        <w:t>为壹佰玖拾伍万元整（¥1950000.00）,最高限价为陆拾壹万元整（¥610000.00）。</w:t>
      </w:r>
    </w:p>
    <w:p w14:paraId="3FC7567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（1）标的的名称、数量及单位：</w:t>
      </w:r>
      <w:r>
        <w:rPr>
          <w:rFonts w:hint="eastAsia" w:ascii="宋体" w:hAnsi="宋体" w:cs="宋体"/>
          <w:color w:val="auto"/>
          <w:szCs w:val="21"/>
          <w:highlight w:val="none"/>
        </w:rPr>
        <w:t>呼吸内镜工作站</w:t>
      </w:r>
      <w:r>
        <w:rPr>
          <w:rFonts w:hint="eastAsia" w:ascii="宋体" w:hAnsi="宋体" w:cs="宋体"/>
          <w:bCs/>
          <w:color w:val="auto"/>
          <w:szCs w:val="21"/>
          <w:highlight w:val="none"/>
        </w:rPr>
        <w:t>1台；（2）简要技术需求或者服务要求：按国家有关产品“三包”规定执行“三包”；保修期不得少于2年（保修期从设备验收合格之日起计算），保修期内上门维修不收取任何费用</w:t>
      </w:r>
      <w:r>
        <w:rPr>
          <w:rFonts w:hint="eastAsia" w:ascii="宋体" w:hAnsi="宋体" w:cs="宋体"/>
          <w:bCs/>
          <w:color w:val="auto"/>
          <w:highlight w:val="none"/>
        </w:rPr>
        <w:t>。</w:t>
      </w:r>
      <w:r>
        <w:rPr>
          <w:rFonts w:hint="eastAsia" w:ascii="宋体" w:hAnsi="宋体" w:cs="宋体"/>
          <w:bCs/>
          <w:color w:val="auto"/>
          <w:szCs w:val="21"/>
          <w:highlight w:val="none"/>
        </w:rPr>
        <w:t>具体详见采购需求。</w:t>
      </w:r>
    </w:p>
    <w:p w14:paraId="7C6E828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分标2：预算金额为</w:t>
      </w:r>
      <w:r>
        <w:rPr>
          <w:rFonts w:hint="eastAsia" w:ascii="宋体" w:hAnsi="宋体" w:cs="宋体"/>
          <w:color w:val="auto"/>
          <w:highlight w:val="none"/>
        </w:rPr>
        <w:t>捌拾伍万元整（¥850000.00），最高限价为叁拾捌万元整（¥380000.00）。</w:t>
      </w:r>
    </w:p>
    <w:p w14:paraId="2AD2B0E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（1）标的的名称、数量及单位：</w:t>
      </w:r>
      <w:r>
        <w:rPr>
          <w:rFonts w:hint="eastAsia" w:ascii="宋体" w:hAnsi="宋体" w:cs="宋体"/>
          <w:color w:val="auto"/>
          <w:szCs w:val="21"/>
          <w:highlight w:val="none"/>
        </w:rPr>
        <w:t>肺功能测试系统</w:t>
      </w: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台</w:t>
      </w:r>
      <w:r>
        <w:rPr>
          <w:rFonts w:hint="eastAsia" w:ascii="宋体" w:hAnsi="宋体" w:cs="宋体"/>
          <w:bCs/>
          <w:color w:val="auto"/>
          <w:szCs w:val="21"/>
          <w:highlight w:val="none"/>
        </w:rPr>
        <w:t>；（2）简要技术需求或者服务要求：按国家有关产品“三包”规定执行“三包”；保修期不得少于5年（保修期从设备验收合格之日起计算），保修期内上门维修不收取任何费用</w:t>
      </w:r>
      <w:r>
        <w:rPr>
          <w:rFonts w:hint="eastAsia" w:ascii="宋体" w:hAnsi="宋体" w:cs="宋体"/>
          <w:bCs/>
          <w:color w:val="auto"/>
          <w:highlight w:val="none"/>
        </w:rPr>
        <w:t>。</w:t>
      </w:r>
      <w:r>
        <w:rPr>
          <w:rFonts w:hint="eastAsia" w:ascii="宋体" w:hAnsi="宋体" w:cs="宋体"/>
          <w:bCs/>
          <w:color w:val="auto"/>
          <w:szCs w:val="21"/>
          <w:highlight w:val="none"/>
        </w:rPr>
        <w:t>具体详见采购需求。</w:t>
      </w:r>
    </w:p>
    <w:p w14:paraId="2C3DE3C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分标3：预算金额为</w:t>
      </w:r>
      <w:r>
        <w:rPr>
          <w:rFonts w:hint="eastAsia" w:ascii="宋体" w:hAnsi="宋体" w:cs="宋体"/>
          <w:color w:val="auto"/>
          <w:highlight w:val="none"/>
        </w:rPr>
        <w:t>叁拾柒万元整（¥370000.00），最高限价为贰拾壹万元整（¥210000.00）。</w:t>
      </w:r>
    </w:p>
    <w:p w14:paraId="5A5E62A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（1）标的的名称、数量及单位：</w:t>
      </w:r>
      <w:r>
        <w:rPr>
          <w:rFonts w:hint="eastAsia" w:ascii="宋体" w:hAnsi="宋体" w:cs="宋体"/>
          <w:color w:val="auto"/>
          <w:szCs w:val="21"/>
          <w:highlight w:val="none"/>
        </w:rPr>
        <w:t>全自动连续血滤系统</w:t>
      </w: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台</w:t>
      </w:r>
      <w:r>
        <w:rPr>
          <w:rFonts w:hint="eastAsia" w:ascii="宋体" w:hAnsi="宋体" w:cs="宋体"/>
          <w:bCs/>
          <w:color w:val="auto"/>
          <w:szCs w:val="21"/>
          <w:highlight w:val="none"/>
        </w:rPr>
        <w:t>；（2）简要技术需求或者服务要求：按国家有关产品“三包”规定执行“三包”；保修期不得少于5年（保修期从设备验收合格之日起计算），保修期内上门维修不收取任何费用</w:t>
      </w:r>
      <w:r>
        <w:rPr>
          <w:rFonts w:hint="eastAsia" w:ascii="宋体" w:hAnsi="宋体" w:cs="宋体"/>
          <w:bCs/>
          <w:color w:val="auto"/>
          <w:highlight w:val="none"/>
        </w:rPr>
        <w:t>。</w:t>
      </w:r>
      <w:r>
        <w:rPr>
          <w:rFonts w:hint="eastAsia" w:ascii="宋体" w:hAnsi="宋体" w:cs="宋体"/>
          <w:bCs/>
          <w:color w:val="auto"/>
          <w:szCs w:val="21"/>
          <w:highlight w:val="none"/>
        </w:rPr>
        <w:t>具体详见采购需求。</w:t>
      </w:r>
    </w:p>
    <w:p w14:paraId="17730F0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合同履行期限：</w:t>
      </w:r>
    </w:p>
    <w:p w14:paraId="17BE494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分标1、分标2、分标3：</w:t>
      </w:r>
      <w:r>
        <w:rPr>
          <w:rFonts w:hint="eastAsia" w:ascii="宋体" w:hAnsi="宋体" w:cs="宋体"/>
          <w:color w:val="auto"/>
          <w:szCs w:val="21"/>
          <w:highlight w:val="none"/>
        </w:rPr>
        <w:t>自签订合同之日起30个工作日内到货并安装调试完毕</w:t>
      </w:r>
      <w:r>
        <w:rPr>
          <w:rFonts w:hint="eastAsia" w:ascii="宋体" w:hAnsi="宋体" w:cs="宋体"/>
          <w:bCs/>
          <w:color w:val="auto"/>
          <w:szCs w:val="21"/>
          <w:highlight w:val="none"/>
        </w:rPr>
        <w:t>。</w:t>
      </w:r>
    </w:p>
    <w:p w14:paraId="21FA1037">
      <w:pPr>
        <w:spacing w:line="38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本项目各分标均不接受联合体投标。</w:t>
      </w:r>
    </w:p>
    <w:p w14:paraId="421E0F66">
      <w:pPr>
        <w:spacing w:line="380" w:lineRule="exact"/>
        <w:rPr>
          <w:rFonts w:ascii="宋体" w:hAnsi="宋体" w:cs="宋体"/>
          <w:b/>
          <w:bCs/>
          <w:color w:val="auto"/>
          <w:sz w:val="24"/>
          <w:highlight w:val="none"/>
        </w:rPr>
      </w:pPr>
      <w:bookmarkStart w:id="11" w:name="_Toc28359080"/>
      <w:bookmarkStart w:id="12" w:name="_Toc35393791"/>
      <w:bookmarkStart w:id="13" w:name="_Toc28359003"/>
      <w:bookmarkStart w:id="14" w:name="_Toc35393622"/>
      <w:r>
        <w:rPr>
          <w:rFonts w:hint="eastAsia" w:ascii="宋体" w:hAnsi="宋体" w:cs="宋体"/>
          <w:b/>
          <w:bCs/>
          <w:color w:val="auto"/>
          <w:sz w:val="24"/>
          <w:highlight w:val="none"/>
        </w:rPr>
        <w:t>二、申请人的资格要求：</w:t>
      </w:r>
      <w:bookmarkEnd w:id="11"/>
      <w:bookmarkEnd w:id="12"/>
      <w:bookmarkEnd w:id="13"/>
      <w:bookmarkEnd w:id="14"/>
    </w:p>
    <w:p w14:paraId="054ED738">
      <w:pPr>
        <w:spacing w:line="380" w:lineRule="exact"/>
        <w:ind w:firstLine="420" w:firstLineChars="200"/>
        <w:rPr>
          <w:rFonts w:ascii="宋体" w:hAnsi="宋体" w:cs="宋体"/>
          <w:color w:val="auto"/>
          <w:szCs w:val="21"/>
          <w:highlight w:val="none"/>
        </w:rPr>
      </w:pPr>
      <w:bookmarkStart w:id="15" w:name="_Hlk51746371"/>
      <w:r>
        <w:rPr>
          <w:rFonts w:hint="eastAsia" w:ascii="宋体" w:hAnsi="宋体" w:cs="宋体"/>
          <w:color w:val="auto"/>
          <w:szCs w:val="21"/>
          <w:highlight w:val="none"/>
        </w:rPr>
        <w:t>1.满足《中华人民共和国政府采购法》第二十二条规定；</w:t>
      </w:r>
    </w:p>
    <w:p w14:paraId="2851D38C">
      <w:pPr>
        <w:spacing w:line="380" w:lineRule="exact"/>
        <w:ind w:firstLine="420" w:firstLineChars="200"/>
        <w:rPr>
          <w:rFonts w:ascii="宋体" w:hAnsi="宋体" w:cs="宋体"/>
          <w:color w:val="auto"/>
          <w:szCs w:val="21"/>
          <w:highlight w:val="none"/>
        </w:rPr>
      </w:pPr>
      <w:bookmarkStart w:id="16" w:name="_Toc28359081"/>
      <w:bookmarkStart w:id="17" w:name="_Toc28359004"/>
      <w:r>
        <w:rPr>
          <w:rFonts w:hint="eastAsia" w:ascii="宋体" w:hAnsi="宋体" w:cs="宋体"/>
          <w:color w:val="auto"/>
          <w:szCs w:val="21"/>
          <w:highlight w:val="none"/>
        </w:rPr>
        <w:t>2.落实政府采购政策需满足的资格要求：无；</w:t>
      </w:r>
    </w:p>
    <w:p w14:paraId="07266A08">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w:t>
      </w:r>
      <w:bookmarkEnd w:id="15"/>
      <w:bookmarkStart w:id="18" w:name="_Toc35393792"/>
      <w:bookmarkStart w:id="19" w:name="_Toc35393623"/>
      <w:r>
        <w:rPr>
          <w:rFonts w:hint="eastAsia" w:ascii="宋体" w:hAnsi="宋体" w:cs="宋体"/>
          <w:color w:val="auto"/>
          <w:szCs w:val="21"/>
          <w:highlight w:val="none"/>
        </w:rPr>
        <w:t>各分标投标人</w:t>
      </w:r>
      <w:r>
        <w:rPr>
          <w:rFonts w:hint="eastAsia" w:ascii="宋体" w:hAnsi="宋体" w:cs="宋体"/>
          <w:color w:val="auto"/>
          <w:highlight w:val="none"/>
        </w:rPr>
        <w:t>按《医疗器械监督管理条例》（国务院令第739号）医疗器械分类管理要求具备有效的医疗器械经营备案凭证或者经营许可证，且经营范围必须包含采购标的[符合《医疗器械监督管理条例》第四十一条第二款规定的除外]；或者各分标投标人具有《医疗器械监督管理条例》第四十三条规定的注册人凭证。</w:t>
      </w:r>
    </w:p>
    <w:p w14:paraId="19C3BD12">
      <w:pPr>
        <w:spacing w:line="380" w:lineRule="exact"/>
        <w:rPr>
          <w:rFonts w:ascii="宋体" w:hAnsi="宋体" w:cs="宋体"/>
          <w:b/>
          <w:bCs/>
          <w:color w:val="auto"/>
          <w:sz w:val="24"/>
          <w:highlight w:val="none"/>
        </w:rPr>
      </w:pPr>
      <w:r>
        <w:rPr>
          <w:rFonts w:hint="eastAsia" w:ascii="宋体" w:hAnsi="宋体" w:cs="宋体"/>
          <w:b/>
          <w:bCs/>
          <w:color w:val="auto"/>
          <w:sz w:val="24"/>
          <w:highlight w:val="none"/>
        </w:rPr>
        <w:t>三、获取招标文件</w:t>
      </w:r>
      <w:bookmarkEnd w:id="16"/>
      <w:bookmarkEnd w:id="17"/>
      <w:bookmarkEnd w:id="18"/>
      <w:bookmarkEnd w:id="19"/>
    </w:p>
    <w:p w14:paraId="4280C409">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eastAsia="宋体" w:cs="宋体"/>
          <w:bCs/>
          <w:color w:val="auto"/>
          <w:kern w:val="0"/>
          <w:szCs w:val="21"/>
          <w:highlight w:val="none"/>
        </w:rPr>
        <w:t>2024年</w:t>
      </w:r>
      <w:r>
        <w:rPr>
          <w:rFonts w:hint="eastAsia" w:ascii="宋体" w:hAnsi="宋体" w:cs="宋体"/>
          <w:bCs/>
          <w:color w:val="auto"/>
          <w:kern w:val="0"/>
          <w:szCs w:val="21"/>
          <w:highlight w:val="none"/>
          <w:lang w:val="en-US" w:eastAsia="zh-CN"/>
        </w:rPr>
        <w:t>12</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11</w:t>
      </w:r>
      <w:r>
        <w:rPr>
          <w:rFonts w:hint="eastAsia" w:ascii="宋体" w:hAnsi="宋体" w:eastAsia="宋体" w:cs="宋体"/>
          <w:bCs/>
          <w:color w:val="auto"/>
          <w:kern w:val="0"/>
          <w:szCs w:val="21"/>
          <w:highlight w:val="none"/>
        </w:rPr>
        <w:t>日</w:t>
      </w:r>
      <w:r>
        <w:rPr>
          <w:rFonts w:hint="eastAsia" w:ascii="宋体" w:hAnsi="宋体" w:cs="宋体"/>
          <w:bCs/>
          <w:color w:val="auto"/>
          <w:kern w:val="0"/>
          <w:szCs w:val="21"/>
          <w:highlight w:val="none"/>
        </w:rPr>
        <w:t>至</w:t>
      </w:r>
      <w:r>
        <w:rPr>
          <w:rFonts w:hint="eastAsia" w:ascii="宋体" w:hAnsi="宋体" w:eastAsia="宋体" w:cs="宋体"/>
          <w:bCs/>
          <w:color w:val="auto"/>
          <w:kern w:val="0"/>
          <w:szCs w:val="21"/>
          <w:highlight w:val="none"/>
        </w:rPr>
        <w:t>2024年</w:t>
      </w:r>
      <w:r>
        <w:rPr>
          <w:rFonts w:hint="eastAsia" w:ascii="宋体" w:hAnsi="宋体" w:cs="宋体"/>
          <w:bCs/>
          <w:color w:val="auto"/>
          <w:kern w:val="0"/>
          <w:szCs w:val="21"/>
          <w:highlight w:val="none"/>
          <w:lang w:val="en-US" w:eastAsia="zh-CN"/>
        </w:rPr>
        <w:t>12</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18</w:t>
      </w:r>
      <w:r>
        <w:rPr>
          <w:rFonts w:hint="eastAsia" w:ascii="宋体" w:hAnsi="宋体" w:eastAsia="宋体" w:cs="宋体"/>
          <w:bCs/>
          <w:color w:val="auto"/>
          <w:kern w:val="0"/>
          <w:szCs w:val="21"/>
          <w:highlight w:val="none"/>
        </w:rPr>
        <w:t>日</w:t>
      </w:r>
      <w:r>
        <w:rPr>
          <w:rFonts w:hint="eastAsia" w:ascii="宋体" w:hAnsi="宋体" w:cs="宋体"/>
          <w:bCs/>
          <w:color w:val="auto"/>
          <w:kern w:val="0"/>
          <w:szCs w:val="21"/>
          <w:highlight w:val="none"/>
        </w:rPr>
        <w:t>，每天上午00:00至11:59，下午12:00至23:59（北京时间，法定节假日除外）</w:t>
      </w:r>
    </w:p>
    <w:p w14:paraId="3312AE80">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s="宋体"/>
          <w:color w:val="auto"/>
          <w:highlight w:val="none"/>
        </w:rPr>
        <w:t>“广西政府采购云平台”（https://www.gcy.zfcg.gxzf.gov.cn/）</w:t>
      </w:r>
    </w:p>
    <w:p w14:paraId="4226DD5D">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w:t>
      </w:r>
      <w:r>
        <w:rPr>
          <w:rFonts w:hint="eastAsia" w:ascii="宋体" w:hAnsi="宋体" w:cs="宋体"/>
          <w:color w:val="auto"/>
          <w:highlight w:val="none"/>
        </w:rPr>
        <w:t>“广西政府采购云平台”（https://www.gcy.zfcg.gxzf.gov.cn/）</w:t>
      </w:r>
      <w:r>
        <w:rPr>
          <w:rFonts w:hint="eastAsia" w:ascii="宋体" w:hAnsi="宋体" w:cs="宋体"/>
          <w:bCs/>
          <w:color w:val="auto"/>
          <w:kern w:val="0"/>
          <w:szCs w:val="21"/>
          <w:highlight w:val="none"/>
        </w:rPr>
        <w:t>-进入“项目采购”应用，在获取采购文件菜单中选择项目，获取招标文件（或在“政府采购云平台电子投标客户端-获取采购文件”跳转到政府采购云平台系统获取）。电子投标文件制作需要基于“政府采购云平台”获取的招标文件编制，通过其他方式获取招标文件的，将有可能导致供应商无法在政府采购云平台编制及上传投标文件。</w:t>
      </w:r>
    </w:p>
    <w:p w14:paraId="1E5490B4">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售价：0元</w:t>
      </w:r>
    </w:p>
    <w:p w14:paraId="2C97CA7A">
      <w:pPr>
        <w:spacing w:line="380" w:lineRule="exact"/>
        <w:rPr>
          <w:rFonts w:ascii="宋体" w:hAnsi="宋体" w:cs="宋体"/>
          <w:b/>
          <w:bCs/>
          <w:color w:val="auto"/>
          <w:sz w:val="24"/>
          <w:highlight w:val="none"/>
        </w:rPr>
      </w:pPr>
      <w:bookmarkStart w:id="20" w:name="_Toc28359082"/>
      <w:bookmarkStart w:id="21" w:name="_Toc28359005"/>
      <w:bookmarkStart w:id="22" w:name="_Toc35393624"/>
      <w:bookmarkStart w:id="23" w:name="_Toc35393793"/>
      <w:r>
        <w:rPr>
          <w:rFonts w:hint="eastAsia" w:ascii="宋体" w:hAnsi="宋体" w:cs="宋体"/>
          <w:b/>
          <w:bCs/>
          <w:color w:val="auto"/>
          <w:sz w:val="24"/>
          <w:highlight w:val="none"/>
        </w:rPr>
        <w:t>四、提交投标文件</w:t>
      </w:r>
      <w:bookmarkEnd w:id="20"/>
      <w:bookmarkEnd w:id="21"/>
      <w:r>
        <w:rPr>
          <w:rFonts w:hint="eastAsia" w:ascii="宋体" w:hAnsi="宋体" w:cs="宋体"/>
          <w:b/>
          <w:bCs/>
          <w:color w:val="auto"/>
          <w:sz w:val="24"/>
          <w:highlight w:val="none"/>
        </w:rPr>
        <w:t>截止时间、开标时间和地点</w:t>
      </w:r>
      <w:bookmarkEnd w:id="22"/>
      <w:bookmarkEnd w:id="23"/>
    </w:p>
    <w:p w14:paraId="17F31314">
      <w:pPr>
        <w:spacing w:line="380" w:lineRule="exact"/>
        <w:ind w:firstLine="420" w:firstLineChars="200"/>
        <w:rPr>
          <w:rFonts w:ascii="宋体" w:hAnsi="宋体" w:cs="宋体"/>
          <w:color w:val="auto"/>
          <w:szCs w:val="21"/>
          <w:highlight w:val="none"/>
          <w:u w:val="single"/>
        </w:rPr>
      </w:pPr>
      <w:bookmarkStart w:id="24" w:name="_Toc28359084"/>
      <w:bookmarkStart w:id="25" w:name="_Toc28359007"/>
      <w:bookmarkStart w:id="26" w:name="_Toc35393625"/>
      <w:bookmarkStart w:id="27" w:name="_Toc35393794"/>
      <w:r>
        <w:rPr>
          <w:rFonts w:hint="eastAsia" w:ascii="宋体" w:hAnsi="宋体" w:cs="宋体"/>
          <w:bCs/>
          <w:color w:val="auto"/>
          <w:szCs w:val="21"/>
          <w:highlight w:val="none"/>
        </w:rPr>
        <w:t>提交投标文件截止时间：</w:t>
      </w:r>
      <w:r>
        <w:rPr>
          <w:rFonts w:hint="eastAsia" w:ascii="宋体" w:hAnsi="宋体" w:eastAsia="宋体" w:cs="宋体"/>
          <w:bCs/>
          <w:color w:val="auto"/>
          <w:kern w:val="0"/>
          <w:szCs w:val="21"/>
          <w:highlight w:val="none"/>
        </w:rPr>
        <w:t>202</w:t>
      </w:r>
      <w:r>
        <w:rPr>
          <w:rFonts w:hint="eastAsia" w:ascii="宋体" w:hAnsi="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年</w:t>
      </w:r>
      <w:r>
        <w:rPr>
          <w:rFonts w:hint="eastAsia" w:ascii="宋体" w:hAnsi="宋体" w:cs="宋体"/>
          <w:bCs/>
          <w:color w:val="auto"/>
          <w:kern w:val="0"/>
          <w:szCs w:val="21"/>
          <w:highlight w:val="none"/>
          <w:lang w:val="en-US" w:eastAsia="zh-CN"/>
        </w:rPr>
        <w:t>1</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日</w:t>
      </w:r>
      <w:r>
        <w:rPr>
          <w:rFonts w:hint="eastAsia" w:ascii="宋体" w:hAnsi="宋体" w:cs="宋体"/>
          <w:color w:val="auto"/>
          <w:szCs w:val="21"/>
          <w:highlight w:val="none"/>
        </w:rPr>
        <w:t>9时30分</w:t>
      </w:r>
      <w:r>
        <w:rPr>
          <w:rFonts w:hint="eastAsia" w:ascii="宋体" w:hAnsi="宋体" w:cs="宋体"/>
          <w:bCs/>
          <w:color w:val="auto"/>
          <w:szCs w:val="21"/>
          <w:highlight w:val="none"/>
        </w:rPr>
        <w:t>（北京时间）</w:t>
      </w:r>
    </w:p>
    <w:p w14:paraId="40DF58C2">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投标地点（网址）：</w:t>
      </w:r>
      <w:r>
        <w:rPr>
          <w:rFonts w:hint="eastAsia" w:ascii="宋体" w:hAnsi="宋体" w:cs="宋体"/>
          <w:color w:val="auto"/>
          <w:highlight w:val="none"/>
        </w:rPr>
        <w:t>“广西政府采购云平台”（https://www.gcy.zfcg.gxzf.gov.cn/）</w:t>
      </w:r>
    </w:p>
    <w:p w14:paraId="3624013B">
      <w:pPr>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开标时间：</w:t>
      </w:r>
      <w:r>
        <w:rPr>
          <w:rFonts w:hint="eastAsia" w:ascii="宋体" w:hAnsi="宋体" w:eastAsia="宋体" w:cs="宋体"/>
          <w:bCs/>
          <w:color w:val="auto"/>
          <w:kern w:val="0"/>
          <w:szCs w:val="21"/>
          <w:highlight w:val="none"/>
        </w:rPr>
        <w:t>202</w:t>
      </w:r>
      <w:r>
        <w:rPr>
          <w:rFonts w:hint="eastAsia" w:ascii="宋体" w:hAnsi="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年</w:t>
      </w:r>
      <w:r>
        <w:rPr>
          <w:rFonts w:hint="eastAsia" w:ascii="宋体" w:hAnsi="宋体" w:cs="宋体"/>
          <w:bCs/>
          <w:color w:val="auto"/>
          <w:kern w:val="0"/>
          <w:szCs w:val="21"/>
          <w:highlight w:val="none"/>
          <w:lang w:val="en-US" w:eastAsia="zh-CN"/>
        </w:rPr>
        <w:t>1</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日</w:t>
      </w:r>
      <w:r>
        <w:rPr>
          <w:rFonts w:hint="eastAsia" w:ascii="宋体" w:hAnsi="宋体" w:cs="宋体"/>
          <w:color w:val="auto"/>
          <w:szCs w:val="21"/>
          <w:highlight w:val="none"/>
        </w:rPr>
        <w:t>9时30分</w:t>
      </w:r>
      <w:r>
        <w:rPr>
          <w:rFonts w:hint="eastAsia" w:ascii="宋体" w:hAnsi="宋体" w:cs="宋体"/>
          <w:bCs/>
          <w:color w:val="auto"/>
          <w:szCs w:val="21"/>
          <w:highlight w:val="none"/>
        </w:rPr>
        <w:t>（北京时间）</w:t>
      </w:r>
    </w:p>
    <w:p w14:paraId="4118D2ED">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开标地点：广西政府采购云平台电子开标大厅</w:t>
      </w:r>
    </w:p>
    <w:p w14:paraId="46605E55">
      <w:pPr>
        <w:spacing w:line="380" w:lineRule="exact"/>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4"/>
      <w:bookmarkEnd w:id="25"/>
      <w:bookmarkEnd w:id="26"/>
      <w:bookmarkEnd w:id="27"/>
    </w:p>
    <w:p w14:paraId="7578EAF0">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6DFF007">
      <w:pPr>
        <w:spacing w:line="380" w:lineRule="exact"/>
        <w:rPr>
          <w:rFonts w:ascii="宋体" w:hAnsi="宋体" w:cs="宋体"/>
          <w:b/>
          <w:bCs/>
          <w:color w:val="auto"/>
          <w:sz w:val="24"/>
          <w:highlight w:val="none"/>
        </w:rPr>
      </w:pPr>
      <w:bookmarkStart w:id="28" w:name="_Toc35393626"/>
      <w:bookmarkStart w:id="29" w:name="_Toc35393795"/>
      <w:r>
        <w:rPr>
          <w:rFonts w:hint="eastAsia" w:ascii="宋体" w:hAnsi="宋体" w:cs="宋体"/>
          <w:b/>
          <w:bCs/>
          <w:color w:val="auto"/>
          <w:sz w:val="24"/>
          <w:highlight w:val="none"/>
        </w:rPr>
        <w:t>六、其他补充事宜</w:t>
      </w:r>
      <w:bookmarkEnd w:id="28"/>
      <w:bookmarkEnd w:id="29"/>
    </w:p>
    <w:p w14:paraId="65B35B70">
      <w:pPr>
        <w:spacing w:line="380" w:lineRule="exact"/>
        <w:ind w:firstLine="420" w:firstLineChars="200"/>
        <w:rPr>
          <w:rFonts w:ascii="宋体" w:hAnsi="宋体" w:cs="宋体"/>
          <w:color w:val="auto"/>
          <w:kern w:val="0"/>
          <w:szCs w:val="21"/>
          <w:highlight w:val="none"/>
        </w:rPr>
      </w:pPr>
      <w:bookmarkStart w:id="30" w:name="_Hlk37429585"/>
      <w:bookmarkStart w:id="31" w:name="_Hlk37429595"/>
      <w:r>
        <w:rPr>
          <w:rFonts w:hint="eastAsia" w:ascii="宋体" w:hAnsi="宋体" w:cs="宋体"/>
          <w:color w:val="auto"/>
          <w:kern w:val="0"/>
          <w:szCs w:val="21"/>
          <w:highlight w:val="none"/>
        </w:rPr>
        <w:t>1.网上查询地址</w:t>
      </w:r>
    </w:p>
    <w:p w14:paraId="6A63F2B2">
      <w:pPr>
        <w:spacing w:line="380" w:lineRule="exact"/>
        <w:ind w:left="210" w:leftChars="100"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http://www.ccgp.gov.cn（中国政府采购网）、http://zfcg.gxzf.gov.cn（广西壮族自治区政府采购网）</w:t>
      </w:r>
      <w:bookmarkEnd w:id="30"/>
      <w:r>
        <w:rPr>
          <w:rFonts w:hint="eastAsia" w:ascii="宋体" w:hAnsi="宋体" w:cs="宋体"/>
          <w:color w:val="auto"/>
          <w:kern w:val="0"/>
          <w:szCs w:val="21"/>
          <w:highlight w:val="none"/>
        </w:rPr>
        <w:t>。</w:t>
      </w:r>
    </w:p>
    <w:bookmarkEnd w:id="31"/>
    <w:p w14:paraId="4790251A">
      <w:pPr>
        <w:spacing w:line="380" w:lineRule="exact"/>
        <w:ind w:firstLine="424" w:firstLineChars="202"/>
        <w:rPr>
          <w:rFonts w:ascii="宋体" w:hAnsi="宋体" w:cs="宋体"/>
          <w:color w:val="auto"/>
          <w:kern w:val="0"/>
          <w:szCs w:val="21"/>
          <w:highlight w:val="none"/>
        </w:rPr>
      </w:pPr>
      <w:bookmarkStart w:id="32" w:name="_Hlk37429674"/>
      <w:r>
        <w:rPr>
          <w:rFonts w:hint="eastAsia" w:ascii="宋体" w:hAnsi="宋体" w:cs="宋体"/>
          <w:color w:val="auto"/>
          <w:szCs w:val="21"/>
          <w:highlight w:val="none"/>
        </w:rPr>
        <w:t>2.</w:t>
      </w:r>
      <w:r>
        <w:rPr>
          <w:rFonts w:hint="eastAsia" w:ascii="宋体" w:hAnsi="宋体" w:cs="宋体"/>
          <w:color w:val="auto"/>
          <w:kern w:val="0"/>
          <w:szCs w:val="21"/>
          <w:highlight w:val="none"/>
        </w:rPr>
        <w:t>本项目需要落实的政府采购政策</w:t>
      </w:r>
    </w:p>
    <w:p w14:paraId="156FEFC8">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（1）政府采购促进中小企业发展；本项目非专门面向中小企业采购。</w:t>
      </w:r>
    </w:p>
    <w:p w14:paraId="1C7C55E2">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39885F10">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（3）本项目强制采购节能产品；优先采购节能产品、环境标志产品。</w:t>
      </w:r>
    </w:p>
    <w:p w14:paraId="598DBB11">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2A9FB325">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p w14:paraId="3F75D3AD">
      <w:pPr>
        <w:widowControl/>
        <w:spacing w:line="38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3.</w:t>
      </w:r>
      <w:bookmarkEnd w:id="32"/>
      <w:bookmarkStart w:id="33" w:name="_Toc28359085"/>
      <w:bookmarkStart w:id="34" w:name="_Toc28359008"/>
      <w:bookmarkStart w:id="35" w:name="_Toc35393796"/>
      <w:bookmarkStart w:id="36" w:name="_Toc35393627"/>
      <w:r>
        <w:rPr>
          <w:rFonts w:hint="eastAsia" w:ascii="宋体" w:hAnsi="宋体" w:cs="宋体"/>
          <w:color w:val="auto"/>
          <w:kern w:val="0"/>
          <w:szCs w:val="21"/>
          <w:highlight w:val="none"/>
        </w:rPr>
        <w:t>投标人</w:t>
      </w:r>
      <w:r>
        <w:rPr>
          <w:rFonts w:hint="eastAsia" w:ascii="宋体" w:hAnsi="宋体" w:cs="宋体"/>
          <w:color w:val="auto"/>
          <w:szCs w:val="21"/>
          <w:highlight w:val="none"/>
        </w:rPr>
        <w:t>投标注意事项</w:t>
      </w:r>
    </w:p>
    <w:p w14:paraId="1D44228C">
      <w:pPr>
        <w:widowControl/>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（1）本项目为全流程电子化采购项目，通过</w:t>
      </w:r>
      <w:r>
        <w:rPr>
          <w:rFonts w:hint="eastAsia" w:ascii="宋体" w:hAnsi="宋体" w:cs="宋体"/>
          <w:color w:val="auto"/>
          <w:highlight w:val="none"/>
        </w:rPr>
        <w:t>“广西政府采购云平台”（https://www.gcy.zfcg.gxzf.gov.cn/）</w:t>
      </w:r>
      <w:r>
        <w:rPr>
          <w:rFonts w:hint="eastAsia" w:ascii="宋体" w:hAnsi="宋体" w:cs="宋体"/>
          <w:color w:val="auto"/>
          <w:szCs w:val="21"/>
          <w:highlight w:val="none"/>
        </w:rPr>
        <w:t>实行在线电子投标，投标人应先安装“</w:t>
      </w:r>
      <w:r>
        <w:rPr>
          <w:rFonts w:hint="eastAsia" w:ascii="宋体" w:hAnsi="宋体" w:cs="宋体"/>
          <w:color w:val="auto"/>
          <w:highlight w:val="none"/>
        </w:rPr>
        <w:t>广西政府采购云平台</w:t>
      </w:r>
      <w:r>
        <w:rPr>
          <w:rFonts w:hint="eastAsia" w:ascii="宋体" w:hAnsi="宋体" w:cs="宋体"/>
          <w:color w:val="auto"/>
          <w:szCs w:val="21"/>
          <w:highlight w:val="none"/>
        </w:rPr>
        <w:t>电子投标客户端”（请自行前往“</w:t>
      </w:r>
      <w:r>
        <w:rPr>
          <w:rFonts w:hint="eastAsia" w:ascii="宋体" w:hAnsi="宋体" w:cs="宋体"/>
          <w:color w:val="auto"/>
          <w:highlight w:val="none"/>
        </w:rPr>
        <w:t>广西政府采购云平台</w:t>
      </w:r>
      <w:r>
        <w:rPr>
          <w:rFonts w:hint="eastAsia" w:ascii="宋体" w:hAnsi="宋体" w:cs="宋体"/>
          <w:color w:val="auto"/>
          <w:szCs w:val="21"/>
          <w:highlight w:val="none"/>
        </w:rPr>
        <w:t>”进行下载），并按照本项目招标文件和“</w:t>
      </w:r>
      <w:r>
        <w:rPr>
          <w:rFonts w:hint="eastAsia" w:ascii="宋体" w:hAnsi="宋体" w:cs="宋体"/>
          <w:color w:val="auto"/>
          <w:highlight w:val="none"/>
        </w:rPr>
        <w:t>广西政府采购云平台</w:t>
      </w:r>
      <w:r>
        <w:rPr>
          <w:rFonts w:hint="eastAsia" w:ascii="宋体" w:hAnsi="宋体" w:cs="宋体"/>
          <w:color w:val="auto"/>
          <w:szCs w:val="21"/>
          <w:highlight w:val="none"/>
        </w:rPr>
        <w:t>”的要求编制、加密后在投标截止时间前通过网络上传至 “</w:t>
      </w:r>
      <w:r>
        <w:rPr>
          <w:rFonts w:hint="eastAsia" w:ascii="宋体" w:hAnsi="宋体" w:cs="宋体"/>
          <w:color w:val="auto"/>
          <w:highlight w:val="none"/>
        </w:rPr>
        <w:t>广西政府采购云平台</w:t>
      </w:r>
      <w:r>
        <w:rPr>
          <w:rFonts w:hint="eastAsia" w:ascii="宋体" w:hAnsi="宋体" w:cs="宋体"/>
          <w:color w:val="auto"/>
          <w:szCs w:val="21"/>
          <w:highlight w:val="none"/>
        </w:rPr>
        <w:t>”（加密的电子投标文件是指</w:t>
      </w:r>
      <w:r>
        <w:rPr>
          <w:rFonts w:hint="eastAsia" w:ascii="宋体" w:hAnsi="宋体" w:cs="宋体"/>
          <w:color w:val="auto"/>
          <w:highlight w:val="none"/>
        </w:rPr>
        <w:t>后缀名为“jmbs”的文件</w:t>
      </w:r>
      <w:r>
        <w:rPr>
          <w:rFonts w:hint="eastAsia" w:ascii="宋体" w:hAnsi="宋体" w:cs="宋体"/>
          <w:color w:val="auto"/>
          <w:szCs w:val="21"/>
          <w:highlight w:val="none"/>
        </w:rPr>
        <w:t>），</w:t>
      </w:r>
      <w:r>
        <w:rPr>
          <w:rFonts w:hint="eastAsia" w:ascii="宋体" w:hAnsi="宋体" w:cs="宋体"/>
          <w:b/>
          <w:color w:val="auto"/>
          <w:szCs w:val="21"/>
          <w:highlight w:val="none"/>
        </w:rPr>
        <w:t>投标人在</w:t>
      </w:r>
      <w:r>
        <w:rPr>
          <w:rFonts w:hint="eastAsia" w:ascii="宋体" w:hAnsi="宋体" w:cs="宋体"/>
          <w:color w:val="auto"/>
          <w:szCs w:val="21"/>
          <w:highlight w:val="none"/>
        </w:rPr>
        <w:t>“</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b/>
          <w:color w:val="auto"/>
          <w:szCs w:val="21"/>
          <w:highlight w:val="none"/>
        </w:rPr>
        <w:t>提交电子投标文件时，请填写参加远程开标活动经办人联系方式。</w:t>
      </w:r>
      <w:r>
        <w:rPr>
          <w:rFonts w:hint="eastAsia" w:ascii="宋体" w:hAnsi="宋体" w:cs="宋体"/>
          <w:color w:val="auto"/>
          <w:szCs w:val="21"/>
          <w:highlight w:val="none"/>
        </w:rPr>
        <w:t>投标人登录“</w:t>
      </w:r>
      <w:r>
        <w:rPr>
          <w:rFonts w:hint="eastAsia" w:ascii="宋体" w:hAnsi="宋体" w:cs="宋体"/>
          <w:color w:val="auto"/>
          <w:highlight w:val="none"/>
        </w:rPr>
        <w:t>广西政府采购云平台</w:t>
      </w:r>
      <w:r>
        <w:rPr>
          <w:rFonts w:hint="eastAsia" w:ascii="宋体" w:hAnsi="宋体" w:cs="宋体"/>
          <w:color w:val="auto"/>
          <w:szCs w:val="21"/>
          <w:highlight w:val="none"/>
        </w:rPr>
        <w:t>”，依次进入“服务中心-项目采购-操作流程-电子招投标-</w:t>
      </w:r>
      <w:r>
        <w:rPr>
          <w:rFonts w:hint="eastAsia" w:ascii="宋体" w:hAnsi="宋体" w:cs="宋体"/>
          <w:color w:val="auto"/>
          <w:highlight w:val="none"/>
        </w:rPr>
        <w:t>政府采购项目电子交易管理操作指南-供应商</w:t>
      </w:r>
      <w:r>
        <w:rPr>
          <w:rFonts w:hint="eastAsia" w:ascii="宋体" w:hAnsi="宋体" w:cs="宋体"/>
          <w:color w:val="auto"/>
          <w:szCs w:val="21"/>
          <w:highlight w:val="none"/>
        </w:rPr>
        <w:t>”查看电子投标具体操作流程。</w:t>
      </w:r>
    </w:p>
    <w:p w14:paraId="12619A55">
      <w:pPr>
        <w:widowControl/>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color w:val="auto"/>
          <w:kern w:val="0"/>
          <w:szCs w:val="21"/>
          <w:highlight w:val="none"/>
        </w:rPr>
        <w:t>，</w:t>
      </w:r>
      <w:r>
        <w:rPr>
          <w:rFonts w:hint="eastAsia" w:ascii="宋体" w:hAnsi="宋体" w:cs="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w:t>
      </w:r>
      <w:r>
        <w:rPr>
          <w:rFonts w:hint="eastAsia" w:ascii="宋体" w:hAnsi="宋体" w:cs="宋体"/>
          <w:color w:val="auto"/>
          <w:szCs w:val="21"/>
          <w:highlight w:val="none"/>
        </w:rPr>
        <w:t>“</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bCs/>
          <w:color w:val="auto"/>
          <w:kern w:val="0"/>
          <w:szCs w:val="21"/>
          <w:highlight w:val="none"/>
        </w:rPr>
        <w:t>客服热线：95763</w:t>
      </w:r>
      <w:r>
        <w:rPr>
          <w:rFonts w:hint="eastAsia" w:ascii="宋体" w:hAnsi="宋体" w:cs="宋体"/>
          <w:color w:val="auto"/>
          <w:szCs w:val="21"/>
          <w:highlight w:val="none"/>
        </w:rPr>
        <w:t>）。</w:t>
      </w:r>
    </w:p>
    <w:p w14:paraId="4D446ECB">
      <w:pPr>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s="宋体"/>
          <w:color w:val="auto"/>
          <w:szCs w:val="21"/>
          <w:highlight w:val="none"/>
        </w:rPr>
        <w:t>“</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color w:val="auto"/>
          <w:kern w:val="0"/>
          <w:szCs w:val="21"/>
          <w:highlight w:val="none"/>
        </w:rPr>
        <w:t>电子开标大厅现场按规定时间对加密的投标文件进行解密，否则后果自负。</w:t>
      </w:r>
    </w:p>
    <w:p w14:paraId="3D0BA39C">
      <w:pPr>
        <w:widowControl/>
        <w:spacing w:line="38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止未完成上传、提交的，视为撤回投标文件。投标截止时间以后上传递交的投标文件，</w:t>
      </w:r>
      <w:r>
        <w:rPr>
          <w:rFonts w:hint="eastAsia" w:ascii="宋体" w:hAnsi="宋体" w:cs="宋体"/>
          <w:color w:val="auto"/>
          <w:szCs w:val="21"/>
          <w:highlight w:val="none"/>
        </w:rPr>
        <w:t>“</w:t>
      </w:r>
      <w:r>
        <w:rPr>
          <w:rFonts w:hint="eastAsia" w:ascii="宋体" w:hAnsi="宋体" w:cs="宋体"/>
          <w:bCs/>
          <w:color w:val="auto"/>
          <w:kern w:val="0"/>
          <w:szCs w:val="21"/>
          <w:highlight w:val="none"/>
        </w:rPr>
        <w:t>政府采购云平台</w:t>
      </w:r>
      <w:r>
        <w:rPr>
          <w:rFonts w:hint="eastAsia" w:ascii="宋体" w:hAnsi="宋体" w:cs="宋体"/>
          <w:color w:val="auto"/>
          <w:szCs w:val="21"/>
          <w:highlight w:val="none"/>
        </w:rPr>
        <w:t>”</w:t>
      </w:r>
      <w:r>
        <w:rPr>
          <w:rFonts w:hint="eastAsia" w:ascii="宋体" w:hAnsi="宋体" w:cs="宋体"/>
          <w:bCs/>
          <w:color w:val="auto"/>
          <w:szCs w:val="21"/>
          <w:highlight w:val="none"/>
        </w:rPr>
        <w:t>将予以拒收。</w:t>
      </w:r>
    </w:p>
    <w:p w14:paraId="2AC86192">
      <w:pPr>
        <w:widowControl/>
        <w:spacing w:line="38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14:paraId="328FF6F5">
      <w:pPr>
        <w:widowControl/>
        <w:spacing w:line="38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本项目采购代理服务费按费率计。具体费率按照原国家计委关于《招标代理服务收费管理暂行办法》的通知（计价格〔2002〕1980号）、《国家发展改革委办公厅关于招标代理服务收费有关问题的通知》（发改办价格［2003］857号）以及《国家发展改革委关于降低部分建设项目收费标准规范收费行为等有关问题的通知》（发改价格〔2011〕534号）规定的计算标准（按差额定率累进法计算）基础上下浮25%的计算结果，再按67%的比例计。单位项目招标代理服务费低于人民币伍仟元（¥5000.00）按伍仟元（¥5000.00）计。</w:t>
      </w:r>
    </w:p>
    <w:p w14:paraId="176B8EE9">
      <w:pPr>
        <w:spacing w:line="38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33"/>
      <w:bookmarkEnd w:id="34"/>
      <w:bookmarkEnd w:id="35"/>
      <w:bookmarkEnd w:id="36"/>
    </w:p>
    <w:p w14:paraId="313ABD83">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4072E586">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名称：广西壮族自治区南溪山医院（广西壮族自治区第二人民医院）</w:t>
      </w:r>
    </w:p>
    <w:p w14:paraId="6116AC1A">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地址：广西桂林市象山区崇信路46号　</w:t>
      </w:r>
    </w:p>
    <w:p w14:paraId="327477D4">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联系方式：温麟0773-7592156</w:t>
      </w:r>
    </w:p>
    <w:p w14:paraId="5A24BCFD">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043E3B5F">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名称：云之龙咨询集团有限公司</w:t>
      </w:r>
    </w:p>
    <w:p w14:paraId="00D48B87">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地址：广西桂林市临桂区西城北路2号耀辉•美好家园2幢12层1号房</w:t>
      </w:r>
    </w:p>
    <w:p w14:paraId="522CB9D5">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联系方式：0773-2887388  2887399  传真：0773-2889218</w:t>
      </w:r>
    </w:p>
    <w:p w14:paraId="185BF283">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3.项目联系方式</w:t>
      </w:r>
    </w:p>
    <w:p w14:paraId="755AD023">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项目联系人：吕雯</w:t>
      </w:r>
    </w:p>
    <w:p w14:paraId="5B6D3E73">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电话：0773-2887388  2887399</w:t>
      </w:r>
    </w:p>
    <w:p w14:paraId="3B1D186A">
      <w:pPr>
        <w:spacing w:line="380" w:lineRule="exact"/>
        <w:ind w:firstLine="567" w:firstLineChars="270"/>
        <w:jc w:val="left"/>
        <w:rPr>
          <w:rFonts w:ascii="宋体" w:hAnsi="宋体" w:cs="宋体"/>
          <w:color w:val="auto"/>
          <w:szCs w:val="21"/>
          <w:highlight w:val="none"/>
        </w:rPr>
      </w:pPr>
    </w:p>
    <w:p w14:paraId="2CB71745">
      <w:pPr>
        <w:pStyle w:val="18"/>
        <w:rPr>
          <w:rFonts w:ascii="宋体" w:hAnsi="宋体" w:cs="宋体"/>
          <w:color w:val="auto"/>
          <w:szCs w:val="21"/>
          <w:highlight w:val="none"/>
        </w:rPr>
      </w:pPr>
      <w:bookmarkStart w:id="37" w:name="_Toc143259162"/>
      <w:bookmarkStart w:id="38" w:name="_Toc74320801"/>
    </w:p>
    <w:p w14:paraId="54244A54">
      <w:pPr>
        <w:pStyle w:val="18"/>
        <w:rPr>
          <w:rFonts w:ascii="宋体" w:hAnsi="宋体" w:cs="宋体"/>
          <w:color w:val="auto"/>
          <w:szCs w:val="21"/>
          <w:highlight w:val="none"/>
        </w:rPr>
      </w:pPr>
    </w:p>
    <w:p w14:paraId="7C72E609">
      <w:pPr>
        <w:pStyle w:val="18"/>
        <w:rPr>
          <w:rFonts w:ascii="宋体" w:hAnsi="宋体" w:cs="宋体"/>
          <w:color w:val="auto"/>
          <w:szCs w:val="21"/>
          <w:highlight w:val="none"/>
        </w:rPr>
      </w:pPr>
    </w:p>
    <w:p w14:paraId="5318AA4E">
      <w:pPr>
        <w:pStyle w:val="18"/>
        <w:rPr>
          <w:rFonts w:ascii="宋体" w:hAnsi="宋体" w:cs="宋体"/>
          <w:color w:val="auto"/>
          <w:szCs w:val="21"/>
          <w:highlight w:val="none"/>
        </w:rPr>
      </w:pPr>
    </w:p>
    <w:p w14:paraId="64017AC1">
      <w:pPr>
        <w:pStyle w:val="18"/>
        <w:rPr>
          <w:rFonts w:ascii="宋体" w:hAnsi="宋体" w:cs="宋体"/>
          <w:color w:val="auto"/>
          <w:szCs w:val="21"/>
          <w:highlight w:val="none"/>
        </w:rPr>
      </w:pPr>
    </w:p>
    <w:p w14:paraId="341ABF8E">
      <w:pPr>
        <w:pStyle w:val="18"/>
        <w:rPr>
          <w:rFonts w:ascii="宋体" w:hAnsi="宋体" w:cs="宋体"/>
          <w:color w:val="auto"/>
          <w:szCs w:val="21"/>
          <w:highlight w:val="none"/>
        </w:rPr>
      </w:pPr>
    </w:p>
    <w:p w14:paraId="635AB70B">
      <w:pPr>
        <w:pStyle w:val="18"/>
        <w:rPr>
          <w:rFonts w:ascii="宋体" w:hAnsi="宋体" w:cs="宋体"/>
          <w:color w:val="auto"/>
          <w:szCs w:val="21"/>
          <w:highlight w:val="none"/>
        </w:rPr>
      </w:pPr>
    </w:p>
    <w:p w14:paraId="07EDAE33">
      <w:pPr>
        <w:pStyle w:val="18"/>
        <w:rPr>
          <w:rFonts w:ascii="宋体" w:hAnsi="宋体" w:cs="宋体"/>
          <w:color w:val="auto"/>
          <w:szCs w:val="21"/>
          <w:highlight w:val="none"/>
        </w:rPr>
      </w:pPr>
    </w:p>
    <w:p w14:paraId="53CE0A0E">
      <w:pPr>
        <w:pStyle w:val="18"/>
        <w:rPr>
          <w:rFonts w:ascii="宋体" w:hAnsi="宋体" w:cs="宋体"/>
          <w:color w:val="auto"/>
          <w:szCs w:val="21"/>
          <w:highlight w:val="none"/>
        </w:rPr>
      </w:pPr>
    </w:p>
    <w:p w14:paraId="142C9991">
      <w:pPr>
        <w:pStyle w:val="18"/>
        <w:rPr>
          <w:rFonts w:ascii="宋体" w:hAnsi="宋体" w:cs="宋体"/>
          <w:color w:val="auto"/>
          <w:szCs w:val="21"/>
          <w:highlight w:val="none"/>
        </w:rPr>
      </w:pPr>
    </w:p>
    <w:p w14:paraId="439D95C4">
      <w:pPr>
        <w:pStyle w:val="18"/>
        <w:rPr>
          <w:rFonts w:ascii="宋体" w:hAnsi="宋体" w:cs="宋体"/>
          <w:color w:val="auto"/>
          <w:szCs w:val="21"/>
          <w:highlight w:val="none"/>
        </w:rPr>
      </w:pPr>
    </w:p>
    <w:p w14:paraId="31EE164B">
      <w:pPr>
        <w:pStyle w:val="18"/>
        <w:rPr>
          <w:rFonts w:ascii="宋体" w:hAnsi="宋体" w:cs="宋体"/>
          <w:color w:val="auto"/>
          <w:szCs w:val="21"/>
          <w:highlight w:val="none"/>
        </w:rPr>
      </w:pPr>
    </w:p>
    <w:p w14:paraId="123344C9">
      <w:pPr>
        <w:pStyle w:val="18"/>
        <w:rPr>
          <w:rFonts w:ascii="宋体" w:hAnsi="宋体" w:cs="宋体"/>
          <w:color w:val="auto"/>
          <w:szCs w:val="21"/>
          <w:highlight w:val="none"/>
        </w:rPr>
      </w:pPr>
    </w:p>
    <w:p w14:paraId="6F735687">
      <w:pPr>
        <w:pStyle w:val="18"/>
        <w:rPr>
          <w:rFonts w:ascii="宋体" w:hAnsi="宋体" w:cs="宋体"/>
          <w:color w:val="auto"/>
          <w:szCs w:val="21"/>
          <w:highlight w:val="none"/>
        </w:rPr>
      </w:pPr>
    </w:p>
    <w:p w14:paraId="7A48DD01">
      <w:pPr>
        <w:pStyle w:val="18"/>
        <w:rPr>
          <w:rFonts w:ascii="宋体" w:hAnsi="宋体" w:cs="宋体"/>
          <w:color w:val="auto"/>
          <w:szCs w:val="21"/>
          <w:highlight w:val="none"/>
        </w:rPr>
      </w:pPr>
    </w:p>
    <w:p w14:paraId="550B2ED2">
      <w:pPr>
        <w:pStyle w:val="18"/>
        <w:rPr>
          <w:rFonts w:ascii="宋体" w:hAnsi="宋体" w:cs="宋体"/>
          <w:color w:val="auto"/>
          <w:szCs w:val="21"/>
          <w:highlight w:val="none"/>
        </w:rPr>
      </w:pPr>
    </w:p>
    <w:p w14:paraId="39410AF8">
      <w:pPr>
        <w:pStyle w:val="18"/>
        <w:rPr>
          <w:rFonts w:ascii="宋体" w:hAnsi="宋体" w:cs="宋体"/>
          <w:color w:val="auto"/>
          <w:szCs w:val="21"/>
          <w:highlight w:val="none"/>
        </w:rPr>
      </w:pPr>
    </w:p>
    <w:p w14:paraId="181EF1BB">
      <w:pPr>
        <w:pStyle w:val="18"/>
        <w:rPr>
          <w:rFonts w:ascii="宋体" w:hAnsi="宋体" w:cs="宋体"/>
          <w:color w:val="auto"/>
          <w:szCs w:val="21"/>
          <w:highlight w:val="none"/>
        </w:rPr>
      </w:pPr>
    </w:p>
    <w:p w14:paraId="1FA19951">
      <w:pPr>
        <w:pStyle w:val="18"/>
        <w:rPr>
          <w:rFonts w:ascii="宋体" w:hAnsi="宋体" w:cs="宋体"/>
          <w:color w:val="auto"/>
          <w:szCs w:val="21"/>
          <w:highlight w:val="none"/>
        </w:rPr>
      </w:pPr>
    </w:p>
    <w:p w14:paraId="629AD915">
      <w:pPr>
        <w:pStyle w:val="18"/>
        <w:rPr>
          <w:rFonts w:ascii="宋体" w:hAnsi="宋体" w:cs="宋体"/>
          <w:color w:val="auto"/>
          <w:szCs w:val="21"/>
          <w:highlight w:val="none"/>
        </w:rPr>
      </w:pPr>
    </w:p>
    <w:p w14:paraId="4274B4C4">
      <w:pPr>
        <w:pStyle w:val="18"/>
        <w:rPr>
          <w:rFonts w:ascii="宋体" w:hAnsi="宋体" w:cs="宋体"/>
          <w:color w:val="auto"/>
          <w:szCs w:val="21"/>
          <w:highlight w:val="none"/>
        </w:rPr>
      </w:pPr>
    </w:p>
    <w:p w14:paraId="10BE85F3">
      <w:pPr>
        <w:pStyle w:val="18"/>
        <w:rPr>
          <w:rFonts w:ascii="宋体" w:hAnsi="宋体" w:cs="宋体"/>
          <w:color w:val="auto"/>
          <w:szCs w:val="21"/>
          <w:highlight w:val="none"/>
        </w:rPr>
      </w:pPr>
    </w:p>
    <w:p w14:paraId="0C13BC68">
      <w:pPr>
        <w:pStyle w:val="18"/>
        <w:rPr>
          <w:rFonts w:ascii="宋体" w:hAnsi="宋体" w:cs="宋体"/>
          <w:color w:val="auto"/>
          <w:szCs w:val="21"/>
          <w:highlight w:val="none"/>
        </w:rPr>
      </w:pPr>
    </w:p>
    <w:p w14:paraId="19E435B7">
      <w:pPr>
        <w:pStyle w:val="2"/>
        <w:spacing w:after="0"/>
        <w:jc w:val="center"/>
        <w:rPr>
          <w:rFonts w:ascii="宋体" w:hAnsi="宋体" w:cs="宋体"/>
          <w:color w:val="auto"/>
          <w:highlight w:val="none"/>
        </w:rPr>
      </w:pPr>
      <w:r>
        <w:rPr>
          <w:rFonts w:hint="eastAsia" w:ascii="宋体" w:hAnsi="宋体" w:cs="宋体"/>
          <w:color w:val="auto"/>
          <w:highlight w:val="none"/>
        </w:rPr>
        <w:t>第二章采购需求</w:t>
      </w:r>
      <w:bookmarkEnd w:id="37"/>
      <w:bookmarkEnd w:id="38"/>
    </w:p>
    <w:p w14:paraId="0ABCB096">
      <w:pPr>
        <w:spacing w:line="380" w:lineRule="exact"/>
        <w:ind w:firstLine="422" w:firstLineChars="200"/>
        <w:jc w:val="left"/>
        <w:rPr>
          <w:rFonts w:ascii="宋体" w:hAnsi="宋体" w:cs="宋体"/>
          <w:b/>
          <w:color w:val="auto"/>
          <w:highlight w:val="none"/>
        </w:rPr>
      </w:pPr>
      <w:bookmarkStart w:id="39" w:name="_Toc254970631"/>
      <w:bookmarkStart w:id="40" w:name="_Toc254970490"/>
      <w:r>
        <w:rPr>
          <w:rFonts w:hint="eastAsia" w:ascii="宋体" w:hAnsi="宋体" w:cs="宋体"/>
          <w:b/>
          <w:color w:val="auto"/>
          <w:highlight w:val="none"/>
        </w:rPr>
        <w:t>Ⅰ.说明：</w:t>
      </w:r>
    </w:p>
    <w:p w14:paraId="6EA2048E">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1.为落实政府采购政策需满足的要求</w:t>
      </w:r>
    </w:p>
    <w:p w14:paraId="72D623C3">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（1）本招标文件所称中小企业必须符合《政府采购促进中小企业发展管理办法》（财库〔2020〕46号）的规定，本章后附的《中小企业划型标准规定》。</w:t>
      </w:r>
    </w:p>
    <w:p w14:paraId="08AECBB7">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2）根据财政部、司法部关于政府采购支持监狱企业发展有关问题的通知（财库[2014]68号），监狱企业视同小型、微型企业，享受预留份额、评审中价格扣除等政府采购政策。监狱企业属于小型、微型企业的，不重复享受政策。</w:t>
      </w:r>
    </w:p>
    <w:p w14:paraId="486C3E04">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474CF0E7">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（4）根据《财政部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否则按无效投标处理。如本项目包含的货物属于品目清单内非标注“★”的产品时，应优先采购，具体详见“第四章 评标方法及评标标准”。</w:t>
      </w:r>
    </w:p>
    <w:p w14:paraId="50A5797B">
      <w:pPr>
        <w:spacing w:line="370" w:lineRule="exact"/>
        <w:ind w:firstLine="422" w:firstLineChars="200"/>
        <w:jc w:val="left"/>
        <w:rPr>
          <w:rFonts w:ascii="宋体" w:hAnsi="宋体" w:cs="宋体"/>
          <w:b/>
          <w:color w:val="auto"/>
          <w:highlight w:val="none"/>
        </w:rPr>
      </w:pPr>
      <w:bookmarkStart w:id="41" w:name="_Hlk65055179"/>
      <w:r>
        <w:rPr>
          <w:rFonts w:hint="eastAsia" w:ascii="宋体" w:hAnsi="宋体" w:cs="宋体"/>
          <w:b/>
          <w:color w:val="auto"/>
          <w:highlight w:val="none"/>
        </w:rPr>
        <w:t>2.“实质性要求”是指招标文件中已经指明不满足则投标无效的条款，或者不能负偏离的条款，或者采购需求中带“▲”的条款。投标人不满足实质性要求的，按投标无效处理。</w:t>
      </w:r>
    </w:p>
    <w:p w14:paraId="4AB4A208">
      <w:pPr>
        <w:spacing w:line="370" w:lineRule="exact"/>
        <w:ind w:firstLine="422" w:firstLineChars="200"/>
        <w:jc w:val="left"/>
        <w:rPr>
          <w:rFonts w:ascii="宋体" w:hAnsi="宋体" w:cs="宋体"/>
          <w:b/>
          <w:color w:val="auto"/>
          <w:highlight w:val="none"/>
        </w:rPr>
      </w:pPr>
      <w:r>
        <w:rPr>
          <w:rFonts w:hint="eastAsia" w:ascii="宋体" w:hAnsi="宋体" w:cs="宋体"/>
          <w:b/>
          <w:color w:val="auto"/>
          <w:highlight w:val="none"/>
        </w:rPr>
        <w:t>分标1、分标3:采购需求”中“技术要求”未标注“▲”号项的技术参数负偏离≥6项时，按投标无效处理。</w:t>
      </w:r>
    </w:p>
    <w:p w14:paraId="3ED24CB0">
      <w:pPr>
        <w:spacing w:line="370" w:lineRule="exact"/>
        <w:ind w:firstLine="422" w:firstLineChars="200"/>
        <w:jc w:val="left"/>
        <w:rPr>
          <w:rFonts w:ascii="宋体" w:hAnsi="宋体" w:cs="宋体"/>
          <w:b/>
          <w:color w:val="auto"/>
          <w:highlight w:val="none"/>
        </w:rPr>
      </w:pPr>
      <w:r>
        <w:rPr>
          <w:rFonts w:hint="eastAsia" w:ascii="宋体" w:hAnsi="宋体" w:cs="宋体"/>
          <w:b/>
          <w:color w:val="auto"/>
          <w:highlight w:val="none"/>
        </w:rPr>
        <w:t>分标2:“采购需求”中“技术要求”未标注“▲”号项的技术参数负偏离≥</w:t>
      </w:r>
      <w:r>
        <w:rPr>
          <w:rFonts w:hint="eastAsia" w:ascii="宋体" w:hAnsi="宋体" w:cs="宋体"/>
          <w:b/>
          <w:color w:val="auto"/>
          <w:highlight w:val="none"/>
          <w:lang w:val="en-US" w:eastAsia="zh-CN"/>
        </w:rPr>
        <w:t>4</w:t>
      </w:r>
      <w:r>
        <w:rPr>
          <w:rFonts w:hint="eastAsia" w:ascii="宋体" w:hAnsi="宋体" w:cs="宋体"/>
          <w:b/>
          <w:color w:val="auto"/>
          <w:highlight w:val="none"/>
        </w:rPr>
        <w:t>项时，按投标无效处理。</w:t>
      </w:r>
    </w:p>
    <w:p w14:paraId="482350B4">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bookmarkEnd w:id="41"/>
    </w:p>
    <w:p w14:paraId="14A0FBE1">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4.投标人应根据自身实际情况如实响应招标文件，对招标文件提出的要求和条件作出明确响应。对于招标文件中要求技术参数应当在投标文件中提供技术支持资料的，技术支持资料以招标文件中规定的形式为准，否则将视为无效技术支持资料。</w:t>
      </w:r>
    </w:p>
    <w:p w14:paraId="0EF00F46">
      <w:pPr>
        <w:spacing w:line="370" w:lineRule="exact"/>
        <w:ind w:firstLine="420" w:firstLineChars="200"/>
        <w:jc w:val="left"/>
        <w:rPr>
          <w:rFonts w:ascii="宋体" w:hAnsi="宋体" w:cs="宋体"/>
          <w:b/>
          <w:color w:val="auto"/>
          <w:highlight w:val="none"/>
        </w:rPr>
      </w:pPr>
      <w:r>
        <w:rPr>
          <w:rFonts w:hint="eastAsia" w:ascii="宋体" w:hAnsi="宋体" w:cs="宋体"/>
          <w:color w:val="auto"/>
          <w:highlight w:val="none"/>
        </w:rPr>
        <w:t>5.投标人必须自行为其投标产品侵犯他人的知识产权或者专利成果的行为承担相应法律责任。</w:t>
      </w:r>
    </w:p>
    <w:p w14:paraId="63447B1A">
      <w:pPr>
        <w:spacing w:line="380" w:lineRule="exact"/>
        <w:ind w:firstLine="310" w:firstLineChars="147"/>
        <w:jc w:val="left"/>
        <w:rPr>
          <w:rFonts w:ascii="宋体" w:hAnsi="宋体" w:cs="宋体"/>
          <w:b/>
          <w:color w:val="auto"/>
          <w:highlight w:val="none"/>
        </w:rPr>
      </w:pPr>
      <w:r>
        <w:rPr>
          <w:rFonts w:hint="eastAsia" w:ascii="宋体" w:hAnsi="宋体" w:cs="宋体"/>
          <w:b/>
          <w:color w:val="auto"/>
          <w:highlight w:val="none"/>
        </w:rPr>
        <w:t>Ⅱ.采购需求一览表</w:t>
      </w:r>
    </w:p>
    <w:p w14:paraId="413410B9">
      <w:pPr>
        <w:pStyle w:val="18"/>
        <w:rPr>
          <w:rFonts w:ascii="宋体" w:hAnsi="宋体" w:cs="宋体"/>
          <w:color w:val="auto"/>
          <w:highlight w:val="none"/>
        </w:rPr>
      </w:pPr>
      <w:r>
        <w:rPr>
          <w:rFonts w:hint="eastAsia" w:ascii="宋体" w:hAnsi="宋体" w:cs="宋体"/>
          <w:color w:val="auto"/>
          <w:highlight w:val="none"/>
        </w:rPr>
        <w:t>分标1</w:t>
      </w:r>
    </w:p>
    <w:bookmarkEnd w:id="39"/>
    <w:bookmarkEnd w:id="40"/>
    <w:tbl>
      <w:tblPr>
        <w:tblStyle w:val="47"/>
        <w:tblW w:w="52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4"/>
        <w:gridCol w:w="849"/>
        <w:gridCol w:w="712"/>
        <w:gridCol w:w="801"/>
        <w:gridCol w:w="4799"/>
      </w:tblGrid>
      <w:tr w14:paraId="4FD7C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5000" w:type="pct"/>
            <w:gridSpan w:val="5"/>
            <w:vAlign w:val="center"/>
          </w:tcPr>
          <w:p w14:paraId="1EB8F2AF">
            <w:pPr>
              <w:tabs>
                <w:tab w:val="left" w:pos="180"/>
                <w:tab w:val="left" w:pos="1620"/>
              </w:tabs>
              <w:adjustRightInd w:val="0"/>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一、采购标的及技术需求</w:t>
            </w:r>
          </w:p>
        </w:tc>
      </w:tr>
      <w:tr w14:paraId="54EB7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110" w:type="pct"/>
            <w:tcBorders>
              <w:right w:val="single" w:color="auto" w:sz="4" w:space="0"/>
            </w:tcBorders>
            <w:vAlign w:val="center"/>
          </w:tcPr>
          <w:p w14:paraId="5FDD1F6F">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461" w:type="pct"/>
            <w:tcBorders>
              <w:left w:val="single" w:color="auto" w:sz="4" w:space="0"/>
            </w:tcBorders>
            <w:vAlign w:val="center"/>
          </w:tcPr>
          <w:p w14:paraId="38AC50B4">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386" w:type="pct"/>
            <w:vAlign w:val="center"/>
          </w:tcPr>
          <w:p w14:paraId="76DFBF7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435" w:type="pct"/>
            <w:vAlign w:val="center"/>
          </w:tcPr>
          <w:p w14:paraId="787B9D6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2606" w:type="pct"/>
            <w:vAlign w:val="center"/>
          </w:tcPr>
          <w:p w14:paraId="7750B30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70EB9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110" w:type="pct"/>
            <w:tcBorders>
              <w:bottom w:val="single" w:color="auto" w:sz="4" w:space="0"/>
              <w:right w:val="single" w:color="auto" w:sz="4" w:space="0"/>
            </w:tcBorders>
            <w:vAlign w:val="center"/>
          </w:tcPr>
          <w:p w14:paraId="5E9C5892">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呼吸内镜工作站</w:t>
            </w:r>
          </w:p>
        </w:tc>
        <w:tc>
          <w:tcPr>
            <w:tcW w:w="461" w:type="pct"/>
            <w:tcBorders>
              <w:left w:val="single" w:color="auto" w:sz="4" w:space="0"/>
            </w:tcBorders>
            <w:vAlign w:val="center"/>
          </w:tcPr>
          <w:p w14:paraId="5184D029">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1 </w:t>
            </w:r>
          </w:p>
        </w:tc>
        <w:tc>
          <w:tcPr>
            <w:tcW w:w="386" w:type="pct"/>
            <w:vAlign w:val="center"/>
          </w:tcPr>
          <w:p w14:paraId="03C6185B">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35" w:type="pct"/>
            <w:tcBorders>
              <w:bottom w:val="single" w:color="auto" w:sz="4" w:space="0"/>
            </w:tcBorders>
            <w:vAlign w:val="center"/>
          </w:tcPr>
          <w:p w14:paraId="0E1E7073">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2606" w:type="pct"/>
            <w:vAlign w:val="center"/>
          </w:tcPr>
          <w:p w14:paraId="56F08B61">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（一）呼吸内镜工作站（冷冻手术治疗仪）</w:t>
            </w:r>
          </w:p>
          <w:p w14:paraId="647EC541">
            <w:pPr>
              <w:widowControl/>
              <w:spacing w:line="36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1.软管冷冻探针能够在检查气管镜直径2.0活检通道下畅通使用，探针直径≤1.8mm。</w:t>
            </w:r>
          </w:p>
          <w:p w14:paraId="180D652F">
            <w:pPr>
              <w:widowControl/>
              <w:spacing w:line="36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2.配备检查镜下软管冷冻探针1根，能反复消毒使用。</w:t>
            </w:r>
          </w:p>
          <w:p w14:paraId="11461B94">
            <w:pPr>
              <w:widowControl/>
              <w:spacing w:line="36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3.配备治疗镜下软管冷冻探针1根，能反复消毒使用。</w:t>
            </w:r>
          </w:p>
          <w:p w14:paraId="15BBC6DD">
            <w:pPr>
              <w:widowControl/>
              <w:spacing w:line="36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4.配备钢瓶≥10升两个，可交替使用。</w:t>
            </w:r>
          </w:p>
          <w:p w14:paraId="4E9E99E4">
            <w:pPr>
              <w:widowControl/>
              <w:spacing w:line="36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5.制冷剂二氧化碳CO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w:t>
            </w:r>
          </w:p>
          <w:p w14:paraId="23AB3A58">
            <w:pPr>
              <w:widowControl/>
              <w:spacing w:line="36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6.电源220v 50HZ。</w:t>
            </w:r>
          </w:p>
          <w:p w14:paraId="4FF5CC9E">
            <w:pPr>
              <w:widowControl/>
              <w:spacing w:line="36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7.探头温度-40℃至-80℃。</w:t>
            </w:r>
          </w:p>
          <w:p w14:paraId="50B72065">
            <w:pPr>
              <w:widowControl/>
              <w:spacing w:line="360" w:lineRule="exact"/>
              <w:jc w:val="left"/>
              <w:textAlignment w:val="center"/>
              <w:rPr>
                <w:rFonts w:ascii="宋体" w:hAnsi="宋体" w:cs="宋体"/>
                <w:b/>
                <w:bCs/>
                <w:color w:val="auto"/>
                <w:szCs w:val="21"/>
                <w:highlight w:val="none"/>
              </w:rPr>
            </w:pPr>
            <w:r>
              <w:rPr>
                <w:rFonts w:hint="eastAsia" w:ascii="宋体" w:hAnsi="宋体" w:cs="宋体"/>
                <w:b/>
                <w:bCs/>
                <w:color w:val="auto"/>
                <w:szCs w:val="21"/>
                <w:highlight w:val="none"/>
              </w:rPr>
              <w:t>▲8.冷冻降温时间＜5s。</w:t>
            </w:r>
          </w:p>
          <w:p w14:paraId="0AD3239A">
            <w:pPr>
              <w:widowControl/>
              <w:spacing w:line="36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9.冷冻升温时间＜5s。</w:t>
            </w:r>
          </w:p>
          <w:p w14:paraId="36229216">
            <w:pPr>
              <w:widowControl/>
              <w:spacing w:line="360" w:lineRule="exact"/>
              <w:jc w:val="left"/>
              <w:textAlignment w:val="center"/>
              <w:rPr>
                <w:rFonts w:ascii="宋体" w:hAnsi="宋体" w:cs="宋体"/>
                <w:b/>
                <w:bCs/>
                <w:color w:val="auto"/>
                <w:szCs w:val="21"/>
                <w:highlight w:val="none"/>
              </w:rPr>
            </w:pPr>
            <w:r>
              <w:rPr>
                <w:rFonts w:hint="eastAsia" w:ascii="宋体" w:hAnsi="宋体" w:cs="宋体"/>
                <w:b/>
                <w:bCs/>
                <w:color w:val="auto"/>
                <w:szCs w:val="21"/>
                <w:highlight w:val="none"/>
              </w:rPr>
              <w:t>▲10.主机具有自动温度检测，数字显示温度。</w:t>
            </w:r>
          </w:p>
          <w:p w14:paraId="153B6342">
            <w:pPr>
              <w:widowControl/>
              <w:spacing w:line="36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11.主机具有时间定时，报警，数字显示。</w:t>
            </w:r>
          </w:p>
          <w:p w14:paraId="59A7980E">
            <w:pPr>
              <w:widowControl/>
              <w:spacing w:line="36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12.主机具有自动压力控制，仪表显示压力。</w:t>
            </w:r>
          </w:p>
          <w:p w14:paraId="745AC0B3">
            <w:pPr>
              <w:widowControl/>
              <w:spacing w:line="36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13.功率≤150W。</w:t>
            </w:r>
          </w:p>
          <w:p w14:paraId="089C4655">
            <w:pPr>
              <w:widowControl/>
              <w:spacing w:line="36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14.工作压力5-10Mpa。</w:t>
            </w:r>
          </w:p>
          <w:p w14:paraId="1D8276B7">
            <w:pPr>
              <w:widowControl/>
              <w:spacing w:line="36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15.对地漏电流＜0.1mA。</w:t>
            </w:r>
          </w:p>
          <w:p w14:paraId="1DAC930B">
            <w:pPr>
              <w:widowControl/>
              <w:spacing w:line="36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16.脚踏开关医用防爆、防水。</w:t>
            </w:r>
          </w:p>
          <w:p w14:paraId="3A03EEE8">
            <w:pPr>
              <w:pStyle w:val="57"/>
              <w:spacing w:line="36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17.产品主机使用年限≥10年。</w:t>
            </w:r>
          </w:p>
          <w:p w14:paraId="2AD6C052">
            <w:pPr>
              <w:widowControl/>
              <w:spacing w:line="360" w:lineRule="exact"/>
              <w:jc w:val="left"/>
              <w:textAlignment w:val="center"/>
              <w:rPr>
                <w:rFonts w:ascii="宋体" w:hAnsi="宋体" w:cs="宋体"/>
                <w:b/>
                <w:bCs/>
                <w:color w:val="auto"/>
                <w:szCs w:val="21"/>
                <w:highlight w:val="none"/>
              </w:rPr>
            </w:pPr>
            <w:r>
              <w:rPr>
                <w:rFonts w:hint="eastAsia" w:ascii="宋体" w:hAnsi="宋体" w:cs="宋体"/>
                <w:b/>
                <w:bCs/>
                <w:color w:val="auto"/>
                <w:szCs w:val="21"/>
                <w:highlight w:val="none"/>
              </w:rPr>
              <w:t>▲18.产品配置清单</w:t>
            </w:r>
          </w:p>
          <w:p w14:paraId="124E0873">
            <w:pPr>
              <w:widowControl/>
              <w:spacing w:line="360" w:lineRule="exact"/>
              <w:jc w:val="left"/>
              <w:textAlignment w:val="center"/>
              <w:rPr>
                <w:rFonts w:ascii="宋体" w:hAnsi="宋体" w:cs="宋体"/>
                <w:b/>
                <w:bCs/>
                <w:color w:val="auto"/>
                <w:szCs w:val="21"/>
                <w:highlight w:val="none"/>
              </w:rPr>
            </w:pPr>
            <w:r>
              <w:rPr>
                <w:rFonts w:hint="eastAsia" w:ascii="宋体" w:hAnsi="宋体" w:cs="宋体"/>
                <w:b/>
                <w:bCs/>
                <w:color w:val="auto"/>
                <w:szCs w:val="21"/>
                <w:highlight w:val="none"/>
              </w:rPr>
              <w:t>（1）冷冻手术治疗机主机1台。</w:t>
            </w:r>
          </w:p>
          <w:p w14:paraId="4A22EEC4">
            <w:pPr>
              <w:widowControl/>
              <w:spacing w:line="360" w:lineRule="exact"/>
              <w:jc w:val="left"/>
              <w:textAlignment w:val="center"/>
              <w:rPr>
                <w:rFonts w:ascii="宋体" w:hAnsi="宋体" w:cs="宋体"/>
                <w:b/>
                <w:bCs/>
                <w:color w:val="auto"/>
                <w:szCs w:val="21"/>
                <w:highlight w:val="none"/>
              </w:rPr>
            </w:pPr>
            <w:r>
              <w:rPr>
                <w:rFonts w:hint="eastAsia" w:ascii="宋体" w:hAnsi="宋体" w:cs="宋体"/>
                <w:b/>
                <w:bCs/>
                <w:color w:val="auto"/>
                <w:szCs w:val="21"/>
                <w:highlight w:val="none"/>
              </w:rPr>
              <w:t>（2）软管探针手柄1把。</w:t>
            </w:r>
          </w:p>
          <w:p w14:paraId="237D5F90">
            <w:pPr>
              <w:widowControl/>
              <w:spacing w:line="360" w:lineRule="exact"/>
              <w:jc w:val="left"/>
              <w:textAlignment w:val="center"/>
              <w:rPr>
                <w:rFonts w:ascii="宋体" w:hAnsi="宋体" w:cs="宋体"/>
                <w:b/>
                <w:bCs/>
                <w:color w:val="auto"/>
                <w:szCs w:val="21"/>
                <w:highlight w:val="none"/>
              </w:rPr>
            </w:pPr>
            <w:r>
              <w:rPr>
                <w:rFonts w:hint="eastAsia" w:ascii="宋体" w:hAnsi="宋体" w:cs="宋体"/>
                <w:b/>
                <w:bCs/>
                <w:color w:val="auto"/>
                <w:szCs w:val="21"/>
                <w:highlight w:val="none"/>
              </w:rPr>
              <w:t>（3）软管探针（直径≤1.8毫米，气管镜2.0活检通道下活检用）1根。</w:t>
            </w:r>
          </w:p>
          <w:p w14:paraId="04DD4717">
            <w:pPr>
              <w:widowControl/>
              <w:spacing w:line="360" w:lineRule="exact"/>
              <w:jc w:val="left"/>
              <w:textAlignment w:val="center"/>
              <w:rPr>
                <w:rFonts w:ascii="宋体" w:hAnsi="宋体" w:cs="宋体"/>
                <w:b/>
                <w:bCs/>
                <w:color w:val="auto"/>
                <w:szCs w:val="21"/>
                <w:highlight w:val="none"/>
              </w:rPr>
            </w:pPr>
            <w:r>
              <w:rPr>
                <w:rFonts w:hint="eastAsia" w:ascii="宋体" w:hAnsi="宋体" w:cs="宋体"/>
                <w:b/>
                <w:bCs/>
                <w:color w:val="auto"/>
                <w:szCs w:val="21"/>
                <w:highlight w:val="none"/>
              </w:rPr>
              <w:t>（4）软管探针（直径≤2.4毫米，气管镜2.6检查镜下活检用）1根。</w:t>
            </w:r>
          </w:p>
          <w:p w14:paraId="5E909B5D">
            <w:pPr>
              <w:widowControl/>
              <w:spacing w:line="360" w:lineRule="exact"/>
              <w:jc w:val="left"/>
              <w:textAlignment w:val="center"/>
              <w:rPr>
                <w:rFonts w:ascii="宋体" w:hAnsi="宋体" w:cs="宋体"/>
                <w:b/>
                <w:bCs/>
                <w:color w:val="auto"/>
                <w:szCs w:val="21"/>
                <w:highlight w:val="none"/>
              </w:rPr>
            </w:pPr>
            <w:r>
              <w:rPr>
                <w:rFonts w:hint="eastAsia" w:ascii="宋体" w:hAnsi="宋体" w:cs="宋体"/>
                <w:b/>
                <w:bCs/>
                <w:color w:val="auto"/>
                <w:szCs w:val="21"/>
                <w:highlight w:val="none"/>
              </w:rPr>
              <w:t>（5）钢瓶2瓶。</w:t>
            </w:r>
          </w:p>
          <w:p w14:paraId="7FA496A8">
            <w:pPr>
              <w:widowControl/>
              <w:spacing w:line="360" w:lineRule="exact"/>
              <w:jc w:val="left"/>
              <w:textAlignment w:val="center"/>
              <w:rPr>
                <w:rFonts w:ascii="宋体" w:hAnsi="宋体" w:cs="宋体"/>
                <w:b/>
                <w:bCs/>
                <w:color w:val="auto"/>
                <w:szCs w:val="21"/>
                <w:highlight w:val="none"/>
              </w:rPr>
            </w:pPr>
            <w:r>
              <w:rPr>
                <w:rFonts w:hint="eastAsia" w:ascii="宋体" w:hAnsi="宋体" w:cs="宋体"/>
                <w:b/>
                <w:bCs/>
                <w:color w:val="auto"/>
                <w:szCs w:val="21"/>
                <w:highlight w:val="none"/>
              </w:rPr>
              <w:t>（6）脚踏开关1副。</w:t>
            </w:r>
          </w:p>
          <w:p w14:paraId="76E00530">
            <w:pPr>
              <w:widowControl/>
              <w:spacing w:line="360" w:lineRule="exact"/>
              <w:jc w:val="left"/>
              <w:textAlignment w:val="center"/>
              <w:rPr>
                <w:rFonts w:ascii="宋体" w:hAnsi="宋体" w:cs="宋体"/>
                <w:b/>
                <w:bCs/>
                <w:color w:val="auto"/>
                <w:szCs w:val="21"/>
                <w:highlight w:val="none"/>
              </w:rPr>
            </w:pPr>
            <w:r>
              <w:rPr>
                <w:rFonts w:hint="eastAsia" w:ascii="宋体" w:hAnsi="宋体" w:cs="宋体"/>
                <w:b/>
                <w:bCs/>
                <w:color w:val="auto"/>
                <w:szCs w:val="21"/>
                <w:highlight w:val="none"/>
              </w:rPr>
              <w:t>（7）电源线1条。</w:t>
            </w:r>
          </w:p>
          <w:p w14:paraId="16F93EB0">
            <w:pPr>
              <w:widowControl/>
              <w:spacing w:line="360" w:lineRule="exact"/>
              <w:jc w:val="left"/>
              <w:textAlignment w:val="center"/>
              <w:rPr>
                <w:rFonts w:ascii="宋体" w:hAnsi="宋体" w:cs="宋体"/>
                <w:b/>
                <w:bCs/>
                <w:color w:val="auto"/>
                <w:szCs w:val="21"/>
                <w:highlight w:val="none"/>
              </w:rPr>
            </w:pPr>
            <w:r>
              <w:rPr>
                <w:rFonts w:hint="eastAsia" w:ascii="宋体" w:hAnsi="宋体" w:cs="宋体"/>
                <w:b/>
                <w:bCs/>
                <w:color w:val="auto"/>
                <w:szCs w:val="21"/>
                <w:highlight w:val="none"/>
              </w:rPr>
              <w:t>（8）扳手1把。</w:t>
            </w:r>
          </w:p>
          <w:p w14:paraId="6314562F">
            <w:pPr>
              <w:pStyle w:val="57"/>
              <w:spacing w:line="360" w:lineRule="exact"/>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（9）高压软管 1根。</w:t>
            </w:r>
          </w:p>
          <w:p w14:paraId="6113462B">
            <w:pPr>
              <w:widowControl/>
              <w:spacing w:line="360" w:lineRule="exact"/>
              <w:jc w:val="left"/>
              <w:textAlignment w:val="center"/>
              <w:rPr>
                <w:rFonts w:ascii="宋体" w:hAnsi="宋体" w:cs="宋体"/>
                <w:b/>
                <w:bCs/>
                <w:color w:val="auto"/>
                <w:kern w:val="0"/>
                <w:szCs w:val="21"/>
                <w:highlight w:val="none"/>
                <w:u w:val="single"/>
              </w:rPr>
            </w:pPr>
            <w:r>
              <w:rPr>
                <w:rFonts w:hint="eastAsia" w:ascii="宋体" w:hAnsi="宋体" w:cs="宋体"/>
                <w:b/>
                <w:bCs/>
                <w:color w:val="auto"/>
                <w:kern w:val="0"/>
                <w:szCs w:val="21"/>
                <w:highlight w:val="none"/>
              </w:rPr>
              <w:t>（二）呼吸内镜工作站（氩气高频电刀）</w:t>
            </w:r>
          </w:p>
          <w:p w14:paraId="076E53D7">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1.高频电、氩气一体化设计，工作频率：450KHz，最大输出功率220W。</w:t>
            </w:r>
          </w:p>
          <w:p w14:paraId="7B62D6FA">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2.具有专用的电外科治疗模块，可满足各科手术要求，具体要求如下：</w:t>
            </w:r>
          </w:p>
          <w:p w14:paraId="3D2FB0EB">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（1）电切：纯切、混切最大输出功率为220W。</w:t>
            </w:r>
          </w:p>
          <w:p w14:paraId="03F22473">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（2）单极电凝：柔和凝、强力凝，最大输出功率为100-150W。</w:t>
            </w:r>
          </w:p>
          <w:p w14:paraId="284C563B">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3.具有专用内镜治疗模块：内镜切1最大输出功率为150W，分别具有≥3种强度，3种效果可调。可开展内镜下各种高频治疗。</w:t>
            </w:r>
          </w:p>
          <w:p w14:paraId="062F175A">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4.具有氩气输出模块，氩束凝：最大输出功率120W氩气流量0.1-12L/min可调，0.1-0.5L/min步进。</w:t>
            </w:r>
          </w:p>
          <w:p w14:paraId="23048DE4">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5.≥5英寸大屏幕液晶显示。</w:t>
            </w:r>
          </w:p>
          <w:p w14:paraId="3C1B8AD6">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6.内镜治疗一键式选择，内镜切1用于息肉圈套、EMR、ERCP、呼吸内镜手术等治疗。智能控制输出功率大小，精细切割。</w:t>
            </w:r>
          </w:p>
          <w:p w14:paraId="768C44CE">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7.步进方式：0-50W时，以0.5-2W步进；大于50W，以5W步进。</w:t>
            </w:r>
          </w:p>
          <w:p w14:paraId="78D7F9A1">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8.氩气高频电刀电磁兼容。</w:t>
            </w:r>
          </w:p>
          <w:p w14:paraId="3514DB75">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9.具有手控、脚控两种控制方式。</w:t>
            </w:r>
          </w:p>
          <w:p w14:paraId="64F0E183">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10.采用三联脚踏分别控制电切、电凝、氩束凝，可自动转换。</w:t>
            </w:r>
          </w:p>
          <w:p w14:paraId="0149778C">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11.单、双中性极板检测功能，极板故障时，发出报警并停止输出。</w:t>
            </w:r>
          </w:p>
          <w:p w14:paraId="6A586D04">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12.具有语音报警提示，能醒目、直观了解报警原因。</w:t>
            </w:r>
          </w:p>
          <w:p w14:paraId="606B8E15">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13.具有双反馈回路总的功率控制，要求输出功率稳定可靠。</w:t>
            </w:r>
          </w:p>
          <w:p w14:paraId="0A29BAD5">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14.具有音量调节功能，亮度调节功能。</w:t>
            </w:r>
          </w:p>
          <w:p w14:paraId="36FD96C6">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15.氩束激发距离在5-10mm以上，保证内镜下的视野清晰。</w:t>
            </w:r>
          </w:p>
          <w:p w14:paraId="066781D7">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16.具有氩气冲洗功能，有效提高氩气激发距离，防止氩束电极阻塞。</w:t>
            </w:r>
          </w:p>
          <w:p w14:paraId="589BC820">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17.氩气软电极具有与设备同品牌的重复使用和一次性使用两种，可满足不同需求。</w:t>
            </w:r>
          </w:p>
          <w:p w14:paraId="10F84EFF">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18.具有自动保护装置。</w:t>
            </w:r>
          </w:p>
          <w:p w14:paraId="16B7A703">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19.工作模式≥3种。</w:t>
            </w:r>
          </w:p>
          <w:p w14:paraId="7D75741E">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20.配置清单：</w:t>
            </w:r>
          </w:p>
          <w:p w14:paraId="4C7399FC">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（1）主机1台。</w:t>
            </w:r>
          </w:p>
          <w:p w14:paraId="54798B3E">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（2）电源电缆1根。</w:t>
            </w:r>
          </w:p>
          <w:p w14:paraId="16ECA503">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（3）氩气软电极（支气管）2支。</w:t>
            </w:r>
          </w:p>
          <w:p w14:paraId="02A84A11">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（4）高频连接电缆2根。</w:t>
            </w:r>
          </w:p>
          <w:p w14:paraId="62F81E83">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（5）一次性使用可监测中性电极10片。</w:t>
            </w:r>
          </w:p>
          <w:p w14:paraId="4F6CF570">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（6）中性电极连接电缆2根。</w:t>
            </w:r>
          </w:p>
          <w:p w14:paraId="191AA8F3">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（7）脚踏开关1只。</w:t>
            </w:r>
          </w:p>
          <w:p w14:paraId="7C50DBA4">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（8）氩气减压阀1个。</w:t>
            </w:r>
          </w:p>
          <w:p w14:paraId="3B41614F">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（9）气管1根。</w:t>
            </w:r>
          </w:p>
          <w:p w14:paraId="05E96ED8">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（10）氩气专用钢瓶1个。</w:t>
            </w:r>
          </w:p>
          <w:p w14:paraId="323A5394">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（11）专用推车1辆。</w:t>
            </w:r>
          </w:p>
          <w:p w14:paraId="2CBF11D7">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（12）氩气瓶1个。</w:t>
            </w:r>
          </w:p>
          <w:p w14:paraId="76113633">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（13）氩气软电极2.3mm复用的2支。</w:t>
            </w:r>
          </w:p>
          <w:p w14:paraId="005392D6">
            <w:pPr>
              <w:tabs>
                <w:tab w:val="left" w:pos="180"/>
                <w:tab w:val="left" w:pos="1620"/>
              </w:tabs>
              <w:adjustRightInd w:val="0"/>
              <w:snapToGrid w:val="0"/>
              <w:spacing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（14）氩气软电极1.6mm复用的1支。</w:t>
            </w:r>
          </w:p>
          <w:p w14:paraId="5EFD4138">
            <w:pPr>
              <w:tabs>
                <w:tab w:val="left" w:pos="180"/>
                <w:tab w:val="left" w:pos="1620"/>
              </w:tabs>
              <w:adjustRightInd w:val="0"/>
              <w:snapToGrid w:val="0"/>
              <w:spacing w:line="360" w:lineRule="exact"/>
              <w:jc w:val="left"/>
              <w:rPr>
                <w:rFonts w:ascii="宋体" w:hAnsi="宋体" w:cs="宋体"/>
                <w:color w:val="auto"/>
                <w:highlight w:val="none"/>
              </w:rPr>
            </w:pPr>
            <w:r>
              <w:rPr>
                <w:rFonts w:hint="eastAsia" w:ascii="宋体" w:hAnsi="宋体" w:cs="宋体"/>
                <w:b/>
                <w:color w:val="auto"/>
                <w:highlight w:val="none"/>
              </w:rPr>
              <w:t>▲（三）</w:t>
            </w:r>
            <w:r>
              <w:rPr>
                <w:rFonts w:hint="eastAsia" w:ascii="宋体" w:hAnsi="宋体" w:cs="宋体"/>
                <w:b/>
                <w:color w:val="auto"/>
                <w:szCs w:val="21"/>
                <w:highlight w:val="none"/>
              </w:rPr>
              <w:t>投标人于投标文件中必须提供所投本分标产品相应、完整且有效的《医疗器械产品注册证》复印件，并加盖投标人电子签章。</w:t>
            </w:r>
          </w:p>
        </w:tc>
      </w:tr>
      <w:tr w14:paraId="629AD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Pr>
          <w:p w14:paraId="6744A72F">
            <w:pPr>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▲二、商务要求</w:t>
            </w:r>
          </w:p>
        </w:tc>
      </w:tr>
      <w:tr w14:paraId="507C7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4591E312">
            <w:pPr>
              <w:spacing w:line="360" w:lineRule="exact"/>
              <w:jc w:val="center"/>
              <w:rPr>
                <w:rFonts w:ascii="宋体" w:hAnsi="宋体" w:cs="宋体"/>
                <w:b/>
                <w:color w:val="auto"/>
                <w:szCs w:val="21"/>
                <w:highlight w:val="none"/>
              </w:rPr>
            </w:pPr>
            <w:r>
              <w:rPr>
                <w:rFonts w:hint="eastAsia" w:ascii="宋体" w:hAnsi="宋体" w:cs="宋体"/>
                <w:b/>
                <w:bCs/>
                <w:color w:val="auto"/>
                <w:szCs w:val="21"/>
                <w:highlight w:val="none"/>
              </w:rPr>
              <w:t>（一）售后服务基本要求</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638B7E7F">
            <w:pPr>
              <w:spacing w:line="360" w:lineRule="exact"/>
              <w:jc w:val="left"/>
              <w:rPr>
                <w:rFonts w:ascii="宋体" w:hAnsi="宋体" w:cs="宋体"/>
                <w:color w:val="auto"/>
                <w:szCs w:val="21"/>
                <w:highlight w:val="none"/>
              </w:rPr>
            </w:pPr>
            <w:r>
              <w:rPr>
                <w:rFonts w:hint="eastAsia" w:ascii="宋体" w:hAnsi="宋体" w:cs="宋体"/>
                <w:bCs/>
                <w:color w:val="auto"/>
                <w:highlight w:val="none"/>
              </w:rPr>
              <w:t>投标人提供的以下售后服务产生的费用均应综合包含在投标报价中，采购人不再就此另行</w:t>
            </w:r>
            <w:r>
              <w:rPr>
                <w:rFonts w:hint="eastAsia" w:ascii="宋体" w:hAnsi="宋体" w:cs="宋体"/>
                <w:color w:val="auto"/>
                <w:highlight w:val="none"/>
              </w:rPr>
              <w:t>支付任何费用</w:t>
            </w:r>
            <w:r>
              <w:rPr>
                <w:rFonts w:hint="eastAsia" w:ascii="宋体" w:hAnsi="宋体" w:cs="宋体"/>
                <w:bCs/>
                <w:color w:val="auto"/>
                <w:highlight w:val="none"/>
              </w:rPr>
              <w:t>：</w:t>
            </w:r>
          </w:p>
          <w:p w14:paraId="0C61081E">
            <w:pPr>
              <w:spacing w:line="360" w:lineRule="exact"/>
              <w:jc w:val="left"/>
              <w:rPr>
                <w:rFonts w:ascii="宋体" w:hAnsi="宋体" w:cs="宋体"/>
                <w:bCs/>
                <w:color w:val="auto"/>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保修期：按国家有关产品“三包”规定执行“三包”；保修期不得少于</w:t>
            </w:r>
            <w:r>
              <w:rPr>
                <w:rFonts w:hint="eastAsia" w:ascii="宋体" w:hAnsi="宋体" w:cs="宋体"/>
                <w:bCs/>
                <w:color w:val="auto"/>
                <w:szCs w:val="21"/>
                <w:highlight w:val="none"/>
                <w:u w:val="single"/>
              </w:rPr>
              <w:t>2</w:t>
            </w:r>
            <w:r>
              <w:rPr>
                <w:rFonts w:hint="eastAsia" w:ascii="宋体" w:hAnsi="宋体" w:cs="宋体"/>
                <w:bCs/>
                <w:color w:val="auto"/>
                <w:szCs w:val="21"/>
                <w:highlight w:val="none"/>
              </w:rPr>
              <w:t>年（保</w:t>
            </w:r>
            <w:r>
              <w:rPr>
                <w:rFonts w:hint="eastAsia" w:ascii="宋体" w:hAnsi="宋体" w:cs="宋体"/>
                <w:bCs/>
                <w:color w:val="auto"/>
                <w:highlight w:val="none"/>
              </w:rPr>
              <w:t>修期从设备验收合格之日起计算）</w:t>
            </w:r>
            <w:r>
              <w:rPr>
                <w:rFonts w:hint="eastAsia" w:ascii="宋体" w:hAnsi="宋体" w:cs="宋体"/>
                <w:bCs/>
                <w:color w:val="auto"/>
                <w:szCs w:val="21"/>
                <w:highlight w:val="none"/>
              </w:rPr>
              <w:t>，保修期内上门维修不收取任何费用</w:t>
            </w:r>
            <w:r>
              <w:rPr>
                <w:rFonts w:hint="eastAsia" w:ascii="宋体" w:hAnsi="宋体" w:cs="宋体"/>
                <w:bCs/>
                <w:color w:val="auto"/>
                <w:highlight w:val="none"/>
              </w:rPr>
              <w:t>。</w:t>
            </w:r>
          </w:p>
          <w:p w14:paraId="379BAE87">
            <w:pPr>
              <w:spacing w:line="360" w:lineRule="exact"/>
              <w:jc w:val="left"/>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Cs/>
                <w:color w:val="auto"/>
                <w:szCs w:val="21"/>
                <w:highlight w:val="none"/>
              </w:rPr>
              <w:t>采购范围内的货物</w:t>
            </w:r>
            <w:r>
              <w:rPr>
                <w:rFonts w:hint="eastAsia" w:ascii="宋体" w:hAnsi="宋体" w:cs="宋体"/>
                <w:bCs/>
                <w:color w:val="auto"/>
                <w:highlight w:val="none"/>
              </w:rPr>
              <w:t>送货上门、安装调试合格(仪器到货后1周内到用户处安装调试)，提供技术及使用培训服务（负责培训 1~2 名操作人员直至能完全独立操作），保证操作人员能正常操作设备的各种功能；若设备自带软件，则在保修期内提供升级服务（采购人不再另行支付费用）。</w:t>
            </w:r>
          </w:p>
          <w:p w14:paraId="32C50348">
            <w:pPr>
              <w:spacing w:line="360" w:lineRule="exact"/>
              <w:jc w:val="left"/>
              <w:rPr>
                <w:rFonts w:ascii="宋体" w:hAnsi="宋体" w:cs="宋体"/>
                <w:bCs/>
                <w:color w:val="auto"/>
                <w:highlight w:val="none"/>
              </w:rPr>
            </w:pPr>
            <w:r>
              <w:rPr>
                <w:rFonts w:hint="eastAsia" w:ascii="宋体" w:hAnsi="宋体" w:cs="宋体"/>
                <w:bCs/>
                <w:color w:val="auto"/>
                <w:highlight w:val="none"/>
              </w:rPr>
              <w:t>3.保修期内仪器设备出现故障，在接到电话通知后，2小时内做出响应，48小时内到达维修现场。一般问题应在72小时内解决。重大问题或其它无法迅速解决的问题应在一周内解决，否则须在二个工作日内提供与原设备技术参数要求相同或高于原设备技术参数要求的备用设备，以保证采购人的正常工作。</w:t>
            </w:r>
          </w:p>
          <w:p w14:paraId="148E8F96">
            <w:pPr>
              <w:spacing w:line="360" w:lineRule="exact"/>
              <w:jc w:val="left"/>
              <w:rPr>
                <w:rFonts w:ascii="宋体" w:hAnsi="宋体" w:cs="宋体"/>
                <w:b/>
                <w:bCs/>
                <w:color w:val="auto"/>
                <w:szCs w:val="21"/>
                <w:highlight w:val="none"/>
              </w:rPr>
            </w:pPr>
            <w:r>
              <w:rPr>
                <w:rFonts w:hint="eastAsia" w:ascii="宋体" w:hAnsi="宋体" w:cs="宋体"/>
                <w:bCs/>
                <w:color w:val="auto"/>
                <w:highlight w:val="none"/>
              </w:rPr>
              <w:t>4.提供每半年一次定期回访以及对设备维护服务。</w:t>
            </w:r>
          </w:p>
        </w:tc>
      </w:tr>
      <w:tr w14:paraId="53A31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2FBBF5C8">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（二）合同签订时间</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563CA194">
            <w:pPr>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自中标通知书发出之日起 25日内签订采购合同。</w:t>
            </w:r>
          </w:p>
        </w:tc>
      </w:tr>
      <w:tr w14:paraId="2603C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19C50660">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（三）交付时间和地点</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1193A82A">
            <w:pPr>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1.交付时间：自签订合同之日起30个工作日内到货并安装调试完毕。</w:t>
            </w:r>
          </w:p>
          <w:p w14:paraId="3E015DDF">
            <w:pPr>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2.交付地点：广西桂林市采购人</w:t>
            </w:r>
            <w:r>
              <w:rPr>
                <w:rFonts w:hint="eastAsia" w:ascii="宋体" w:hAnsi="宋体" w:cs="宋体"/>
                <w:b/>
                <w:color w:val="auto"/>
                <w:szCs w:val="21"/>
                <w:highlight w:val="none"/>
                <w:lang w:eastAsia="zh-CN"/>
              </w:rPr>
              <w:t>医院内</w:t>
            </w:r>
            <w:r>
              <w:rPr>
                <w:rFonts w:hint="eastAsia" w:ascii="宋体" w:hAnsi="宋体" w:cs="宋体"/>
                <w:b/>
                <w:color w:val="auto"/>
                <w:szCs w:val="21"/>
                <w:highlight w:val="none"/>
              </w:rPr>
              <w:t>指定地点。</w:t>
            </w:r>
          </w:p>
        </w:tc>
      </w:tr>
      <w:tr w14:paraId="33E9C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212D6778">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（四）付款方式</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5289EC35">
            <w:pPr>
              <w:adjustRightInd w:val="0"/>
              <w:snapToGrid w:val="0"/>
              <w:spacing w:line="360" w:lineRule="exact"/>
              <w:rPr>
                <w:rFonts w:ascii="宋体" w:hAnsi="宋体" w:cs="宋体"/>
                <w:b/>
                <w:color w:val="auto"/>
                <w:szCs w:val="21"/>
                <w:highlight w:val="none"/>
              </w:rPr>
            </w:pPr>
            <w:r>
              <w:rPr>
                <w:rFonts w:hint="eastAsia" w:ascii="宋体" w:hAnsi="宋体" w:cs="宋体"/>
                <w:color w:val="auto"/>
                <w:highlight w:val="none"/>
              </w:rPr>
              <w:t>本分标预付款为合同总金额的30%，在合同生效以及具备实施条件后，采购人30个工作日内支付预付款；设备验收合格正常运转30个工作日内，采购人支付合同价款的70%（无息）。在设备验收合格正常运转30个工作日内，中标人必须向采购人提供符合国家规定及采购人要求的全额有效的税务发票，采购人未收到发票的，有权不予支付相应款项直至中标人提供合格发票，并不承担延迟付款责任。发票认证通过是付款的必要前提之一。</w:t>
            </w:r>
          </w:p>
        </w:tc>
      </w:tr>
      <w:tr w14:paraId="6C18B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2137DEA2">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（五）包装和运输</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4670EC0F">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1.中标人提供的货物均要求为原厂原包装，包装完好完整、无破损、未开封。国家对包装及运输有相关强制性标准或要求的，中标人应当执行。</w:t>
            </w:r>
          </w:p>
          <w:p w14:paraId="157234E5">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2.中标人的包装及运输应综合考虑运输距离、防水、防潮、防震、防锈和防破损装卸等要求，以保证货物安全、完好运达采购人指定地点。国家对包装及运输有相关强制性标准或要求的，中标人应当执行。</w:t>
            </w:r>
          </w:p>
          <w:p w14:paraId="2D0F3B2F">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3.货物的使用说明书（货物属于进口产品的，供货时应同时附上中文使用说明书）、质量检验证明书、质量合格证、随配附件和工具以及清单一并附于货物包装内。</w:t>
            </w:r>
          </w:p>
          <w:p w14:paraId="031EE192">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4.产品（含包装）运抵采购人指定交付地点并经采购人验收合格前发生损坏及相关风险，相关损失由中标人自行承担。</w:t>
            </w:r>
          </w:p>
          <w:p w14:paraId="292F63A6">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5.中标人负责货物运输，货物运输合理损耗及计算方法：由中标人负责。</w:t>
            </w:r>
          </w:p>
          <w:p w14:paraId="0A8FA033">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6.中标人在货物发运手续办理完毕后二十四小时内或货到采购人四十八小时前通知采购人，以准备接货。</w:t>
            </w:r>
          </w:p>
          <w:p w14:paraId="62D00B60">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7.中标人应将所提供货物的装箱清单、用户手册、原厂保修卡、随机资料、工具和备品、备件等一并交付给采购人，如有缺失应及时补齐，否则视为逾期交货。</w:t>
            </w:r>
          </w:p>
        </w:tc>
      </w:tr>
      <w:tr w14:paraId="0AAB2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6BC52EBD">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（六）保险</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1EF6E292">
            <w:pPr>
              <w:adjustRightInd w:val="0"/>
              <w:snapToGrid w:val="0"/>
              <w:spacing w:line="360" w:lineRule="exact"/>
              <w:rPr>
                <w:rFonts w:ascii="宋体" w:hAnsi="宋体" w:cs="宋体"/>
                <w:b/>
                <w:color w:val="auto"/>
                <w:szCs w:val="21"/>
                <w:highlight w:val="none"/>
              </w:rPr>
            </w:pPr>
            <w:r>
              <w:rPr>
                <w:rFonts w:hint="eastAsia" w:ascii="宋体" w:hAnsi="宋体" w:cs="宋体"/>
                <w:b/>
                <w:bCs/>
                <w:color w:val="auto"/>
                <w:kern w:val="0"/>
                <w:szCs w:val="21"/>
                <w:highlight w:val="none"/>
              </w:rPr>
              <w:t>若投标人为本项目标的及标的涉及的相关材料、设备、人员、运输等购买保险的，相关费用由投标人自行承担。</w:t>
            </w:r>
          </w:p>
        </w:tc>
      </w:tr>
      <w:tr w14:paraId="7DD89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478E8233">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（七）验收标准</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339F9F99">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1.履约验收时间：</w:t>
            </w:r>
          </w:p>
          <w:p w14:paraId="38D0A16E">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（1）初步验收：标的到达采购人指定地点之日起7个工作日内。</w:t>
            </w:r>
          </w:p>
          <w:p w14:paraId="6E82F7C2">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（2）交付验收：标的安装调试完毕之日起7个工作日内。</w:t>
            </w:r>
          </w:p>
          <w:p w14:paraId="0851C2CF">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（3）最终验收：中标人履行完合同约定的应当由中标人履行的全部事项之日起7个工作日内。</w:t>
            </w:r>
          </w:p>
          <w:p w14:paraId="5FC0EE98">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2.履约验收程序：</w:t>
            </w:r>
          </w:p>
          <w:p w14:paraId="76A543B8">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标的到达采购人指定地点，采购人在规定的时间内进行初步验收；初步验收合格、标的安装调试完毕后，采购人在规定的时间内进行交付验收；交付验收合格，中标人履行完合同约定的应当由中标人履行的全部事项之日起7个工作日内进行最终验收。</w:t>
            </w:r>
          </w:p>
          <w:p w14:paraId="230B98FA">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3.履约验收内容：</w:t>
            </w:r>
          </w:p>
          <w:p w14:paraId="69CAC6A4">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采购人依据招标文件要求、中标人的投标承诺以及国家有关质量标准，就中标人提供对标的每一项技术、商务要求等相关内容进行验收。</w:t>
            </w:r>
          </w:p>
          <w:p w14:paraId="16FEE3FA">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4.履约验收标准：</w:t>
            </w:r>
          </w:p>
          <w:p w14:paraId="16E9EA95">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（1）初步验收：</w:t>
            </w:r>
          </w:p>
          <w:p w14:paraId="71ED20BE">
            <w:pPr>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标的在规定的时间内到货，标的（含包装）完整、完好，与投标承诺的产品（制造商、品牌、规格型号等）一致，标的无明显瑕疵、无损坏，装箱清单、用户手册、原厂保修卡、安装操作使用和维护手册、随机资料等所有技术资料、工具和备品、备件齐全。全部满足以上情形的，视为初步验收合格，标的不符合上述情形的，采购人在初步验收后七个工作日内以书面形式向中标人提出，中标人应自收到采购人书面异议后七个工作日内及时予以解决，否则，视为初步验收不合格，不予进行交付验收。</w:t>
            </w:r>
          </w:p>
          <w:p w14:paraId="07452AFB">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（2）交付验收：</w:t>
            </w:r>
          </w:p>
          <w:p w14:paraId="58DA26B6">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标的的技术指标与中标人的投标承诺一致或更高，且满足招标文件全部实质性要求，视为交付验收合格。标的不符合上述情形的，采购人在交付验收后七个工作日内以书面形式向中标人提出，中标人应自收到采购人书面异议后七个工作日内及时予以解决，否则，视为交付验收不合格。</w:t>
            </w:r>
          </w:p>
          <w:p w14:paraId="024ED63A">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（3）最终验收：</w:t>
            </w:r>
          </w:p>
          <w:p w14:paraId="0DDDC3FF">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标的交付验收合格投入使用后，中标人提供的售后服务与其投标承诺一致或更优，且中标人履行完合同约定的应当由中标人履行的全部事项，视为最终验收合格。</w:t>
            </w:r>
          </w:p>
          <w:p w14:paraId="186913D9">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5.其他事项：</w:t>
            </w:r>
          </w:p>
          <w:p w14:paraId="4CF1F6FE">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（1）验收时，采购人与中标人双方应当派员在场，并对验收结果签署意见，否则视为其同意验收结果。</w:t>
            </w:r>
          </w:p>
          <w:p w14:paraId="0330E2CA">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2）由于中标人的原因造成采购人验收不合格、影响采购人正常使用的，由此造成的损失由中标人承担。初步验收或交付验收不合格的，采购人有权终止合同并全部退货，同时报相关监督管理部门处理，由此造成采购人经济损失的由中标人负责承担全部赔偿责任。</w:t>
            </w:r>
          </w:p>
          <w:p w14:paraId="33196881">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（3）对技术复杂的货物，采购人可请国家认可的专业检测机构参与初步验收及交付验收，并由其出具质量检测报告，费用由中标人承担。</w:t>
            </w:r>
          </w:p>
          <w:p w14:paraId="6973324B">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（4）验收过程中所产生的一切费用均由中标人承担，投标人在投标报价时应综合考虑相关费用。</w:t>
            </w:r>
          </w:p>
          <w:p w14:paraId="29341E1A">
            <w:pPr>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（5）采购人产品的验收不免除中标人的质量保证责任。</w:t>
            </w:r>
          </w:p>
        </w:tc>
      </w:tr>
      <w:tr w14:paraId="4812A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1F545A57">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（八）知识产权</w:t>
            </w:r>
          </w:p>
        </w:tc>
        <w:tc>
          <w:tcPr>
            <w:tcW w:w="5600" w:type="dxa"/>
            <w:gridSpan w:val="2"/>
            <w:tcBorders>
              <w:top w:val="single" w:color="auto" w:sz="4" w:space="0"/>
              <w:left w:val="single" w:color="auto" w:sz="4" w:space="0"/>
              <w:bottom w:val="single" w:color="auto" w:sz="4" w:space="0"/>
              <w:right w:val="single" w:color="auto" w:sz="4" w:space="0"/>
            </w:tcBorders>
          </w:tcPr>
          <w:p w14:paraId="0F64232F">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1.采购人在履行合同过程中提供给中标人的全部文件和其他含有数据和信息的资料，其知识产权属于采购人。</w:t>
            </w:r>
          </w:p>
          <w:p w14:paraId="14A01F1E">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2.除招标文件采购需求另有约定外，采购人不因签署和履行合同而享有中标人在履行合同过程中提供给采购人的文件、配套软件、电子辅助程序和其他含有数据和信息的资料的知识产权。</w:t>
            </w:r>
          </w:p>
          <w:p w14:paraId="06A3B602">
            <w:pPr>
              <w:spacing w:line="360" w:lineRule="exact"/>
              <w:jc w:val="left"/>
              <w:rPr>
                <w:rFonts w:ascii="宋体" w:hAnsi="宋体" w:cs="宋体"/>
                <w:color w:val="auto"/>
                <w:szCs w:val="21"/>
                <w:highlight w:val="none"/>
              </w:rPr>
            </w:pPr>
            <w:r>
              <w:rPr>
                <w:rFonts w:hint="eastAsia" w:ascii="宋体" w:hAnsi="宋体" w:cs="宋体"/>
                <w:b/>
                <w:color w:val="auto"/>
                <w:szCs w:val="21"/>
                <w:highlight w:val="none"/>
              </w:rPr>
              <w:t>3.中标人应保证所提供货物在使用时不会侵犯任何第三方的知识产权或者其他权利。如合同货物涉及知识产权，则中标人保证采购人在使用合同货物过程中免于受到第三方提出的有关知识产权侵权的主张、索赔或诉讼的伤害。</w:t>
            </w:r>
          </w:p>
        </w:tc>
      </w:tr>
      <w:tr w14:paraId="12428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2745329E">
            <w:pPr>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（九）违约责任</w:t>
            </w:r>
          </w:p>
        </w:tc>
        <w:tc>
          <w:tcPr>
            <w:tcW w:w="5600" w:type="dxa"/>
            <w:gridSpan w:val="2"/>
            <w:tcBorders>
              <w:top w:val="single" w:color="auto" w:sz="4" w:space="0"/>
              <w:left w:val="single" w:color="auto" w:sz="4" w:space="0"/>
              <w:bottom w:val="single" w:color="auto" w:sz="4" w:space="0"/>
              <w:right w:val="single" w:color="auto" w:sz="4" w:space="0"/>
            </w:tcBorders>
          </w:tcPr>
          <w:p w14:paraId="561914B8">
            <w:pPr>
              <w:spacing w:line="360" w:lineRule="exact"/>
              <w:rPr>
                <w:rFonts w:ascii="宋体" w:hAnsi="宋体" w:cs="宋体"/>
                <w:b/>
                <w:color w:val="auto"/>
                <w:szCs w:val="21"/>
                <w:highlight w:val="none"/>
              </w:rPr>
            </w:pPr>
            <w:r>
              <w:rPr>
                <w:rFonts w:hint="eastAsia" w:ascii="宋体" w:hAnsi="宋体" w:cs="宋体"/>
                <w:b/>
                <w:color w:val="auto"/>
                <w:szCs w:val="21"/>
                <w:highlight w:val="none"/>
              </w:rPr>
              <w:t>1.合同一方不履行合同义务、履行合同义务不符合约定或者违反合同项下所作保证的， 应向对方承担继续履行、采取修理、更换、退货等补救措施或者赔偿损失等违约责任。</w:t>
            </w:r>
          </w:p>
          <w:p w14:paraId="3D00D036">
            <w:pPr>
              <w:spacing w:line="360" w:lineRule="exact"/>
              <w:rPr>
                <w:rFonts w:ascii="宋体" w:hAnsi="宋体" w:cs="宋体"/>
                <w:b/>
                <w:color w:val="auto"/>
                <w:szCs w:val="21"/>
                <w:highlight w:val="none"/>
              </w:rPr>
            </w:pPr>
            <w:r>
              <w:rPr>
                <w:rFonts w:hint="eastAsia" w:ascii="宋体" w:hAnsi="宋体" w:cs="宋体"/>
                <w:b/>
                <w:color w:val="auto"/>
                <w:szCs w:val="21"/>
                <w:highlight w:val="none"/>
              </w:rPr>
              <w:t>2.中标人延迟交付货物的，应向采购人支付延迟违约金。延迟违约金的计算方法如下：每延迟一天向对方偿付货款总额3‰违约金，超过30 天采购人有权解除合同，中标人承担因此给采购人造成的全部损失，并按照货款总额的15%向采购人支付违约金，且中标人应当退还采购人支付过的全部费用。如延迟交付必然导致合同货物安装、调试、验收等工作推迟的，相关工作应相应顺延。</w:t>
            </w:r>
          </w:p>
          <w:p w14:paraId="68ECBC11">
            <w:pPr>
              <w:spacing w:line="360" w:lineRule="exact"/>
              <w:rPr>
                <w:rFonts w:ascii="宋体" w:hAnsi="宋体" w:cs="宋体"/>
                <w:b/>
                <w:color w:val="auto"/>
                <w:szCs w:val="21"/>
                <w:highlight w:val="none"/>
              </w:rPr>
            </w:pPr>
            <w:r>
              <w:rPr>
                <w:rFonts w:hint="eastAsia" w:ascii="宋体" w:hAnsi="宋体" w:cs="宋体"/>
                <w:b/>
                <w:color w:val="auto"/>
                <w:szCs w:val="21"/>
                <w:highlight w:val="none"/>
              </w:rPr>
              <w:t>3.采购人未能按合同约定支付合同价款的，经中标人书面催告，采购人无正当理由在合理期限（不少于10个工作日）内仍未支付的，自合理期限届满之次日起，应向中标人支付延迟付款违约金。延迟付款违约金的计算方法如下：每延迟一天向中标人偿付当期应付未付金额0.3‰违约金，但违约金累计不得超过当期应付未付总额的5%。</w:t>
            </w:r>
          </w:p>
          <w:p w14:paraId="7B6EFE63">
            <w:pPr>
              <w:spacing w:line="360" w:lineRule="exact"/>
              <w:rPr>
                <w:rFonts w:ascii="宋体" w:hAnsi="宋体" w:cs="宋体"/>
                <w:b/>
                <w:color w:val="auto"/>
                <w:szCs w:val="21"/>
                <w:highlight w:val="none"/>
              </w:rPr>
            </w:pPr>
            <w:r>
              <w:rPr>
                <w:rFonts w:hint="eastAsia" w:ascii="宋体" w:hAnsi="宋体" w:cs="宋体"/>
                <w:b/>
                <w:color w:val="auto"/>
                <w:szCs w:val="21"/>
                <w:highlight w:val="none"/>
              </w:rPr>
              <w:t>4.中标人提供的产品不符合本合同约定或存在质量问题的，中标人应当按照本合同约定以及采购人要求进行退换，并承担由此产生的一切费用，因退换导致逾期交货的，中标人应当按照本文件“第五章 拟签订的合同文本”中第十一条第2点的内容承担逾期交货违约责任；中标人拒绝退换的，采购人有权解除合同，中标人应当自行取回货物，采购人不承担任何保管义务，并且中标人应当按照合同总金额的15%向采购人支付违约金。</w:t>
            </w:r>
          </w:p>
          <w:p w14:paraId="3B0D657D">
            <w:pPr>
              <w:spacing w:line="360" w:lineRule="exact"/>
              <w:rPr>
                <w:rFonts w:ascii="宋体" w:hAnsi="宋体" w:cs="宋体"/>
                <w:b/>
                <w:color w:val="auto"/>
                <w:szCs w:val="21"/>
                <w:highlight w:val="none"/>
              </w:rPr>
            </w:pPr>
            <w:r>
              <w:rPr>
                <w:rFonts w:hint="eastAsia" w:ascii="宋体" w:hAnsi="宋体" w:cs="宋体"/>
                <w:b/>
                <w:color w:val="auto"/>
                <w:szCs w:val="21"/>
                <w:highlight w:val="none"/>
              </w:rPr>
              <w:t>5.中标人未按本合同和投标承诺提供售后服务的，经采购人书面催告1次仍不整改的，中标人应按本合同价款（报酬）的 5%向采购人支付违约金，同时采购人有权寻找第三方机构获得售后服务，全部费用由中标人承担，且无需经过中标人同意、确认。中标人经采购人书面催告3次仍不整改的，采购人有权解除合同，采购人解除合同的，无需向中标人支付任何设备使用费、折旧费以及其他补偿，中标人应当退还采购人支付过的费用，并自行取回货物，采购人不承担任何保管义务。</w:t>
            </w:r>
          </w:p>
          <w:p w14:paraId="62E79B04">
            <w:pPr>
              <w:spacing w:line="360" w:lineRule="exact"/>
              <w:rPr>
                <w:rFonts w:ascii="宋体" w:hAnsi="宋体" w:cs="宋体"/>
                <w:b/>
                <w:color w:val="auto"/>
                <w:szCs w:val="21"/>
                <w:highlight w:val="none"/>
              </w:rPr>
            </w:pPr>
            <w:r>
              <w:rPr>
                <w:rFonts w:hint="eastAsia" w:ascii="宋体" w:hAnsi="宋体" w:cs="宋体"/>
                <w:b/>
                <w:color w:val="auto"/>
                <w:szCs w:val="21"/>
                <w:highlight w:val="none"/>
              </w:rPr>
              <w:t>6.因某一方原因导致变更、中止或者终止政府采购合同的，该方应当对另一方受到的损失予以赔偿或者补偿。</w:t>
            </w:r>
          </w:p>
          <w:p w14:paraId="1AC20B23">
            <w:pPr>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7.其它违约责任按《中华人民共和国民法典》处理。</w:t>
            </w:r>
          </w:p>
        </w:tc>
      </w:tr>
      <w:tr w14:paraId="748D6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6D8DADA1">
            <w:pPr>
              <w:pStyle w:val="18"/>
              <w:spacing w:line="360" w:lineRule="exact"/>
              <w:jc w:val="center"/>
              <w:rPr>
                <w:rFonts w:ascii="宋体" w:hAnsi="宋体" w:cs="宋体"/>
                <w:b/>
                <w:color w:val="auto"/>
                <w:kern w:val="2"/>
                <w:sz w:val="21"/>
                <w:szCs w:val="21"/>
                <w:highlight w:val="none"/>
              </w:rPr>
            </w:pPr>
            <w:r>
              <w:rPr>
                <w:rFonts w:hint="eastAsia" w:ascii="宋体" w:hAnsi="宋体" w:cs="宋体"/>
                <w:b/>
                <w:color w:val="auto"/>
                <w:sz w:val="21"/>
                <w:szCs w:val="21"/>
                <w:highlight w:val="none"/>
              </w:rPr>
              <w:t>（十）进口产品说明</w:t>
            </w:r>
          </w:p>
        </w:tc>
        <w:tc>
          <w:tcPr>
            <w:tcW w:w="5600" w:type="dxa"/>
            <w:gridSpan w:val="2"/>
            <w:tcBorders>
              <w:top w:val="single" w:color="auto" w:sz="4" w:space="0"/>
              <w:left w:val="single" w:color="auto" w:sz="4" w:space="0"/>
              <w:bottom w:val="single" w:color="auto" w:sz="4" w:space="0"/>
              <w:right w:val="single" w:color="auto" w:sz="4" w:space="0"/>
            </w:tcBorders>
          </w:tcPr>
          <w:p w14:paraId="53BD3EA8">
            <w:pPr>
              <w:spacing w:line="360" w:lineRule="exact"/>
              <w:rPr>
                <w:rFonts w:ascii="宋体" w:hAnsi="宋体" w:cs="宋体"/>
                <w:b/>
                <w:color w:val="auto"/>
                <w:szCs w:val="21"/>
                <w:highlight w:val="none"/>
              </w:rPr>
            </w:pPr>
            <w:r>
              <w:rPr>
                <w:rFonts w:hint="eastAsia" w:ascii="宋体" w:hAnsi="宋体" w:cs="宋体"/>
                <w:b/>
                <w:color w:val="auto"/>
                <w:szCs w:val="21"/>
                <w:highlight w:val="none"/>
              </w:rPr>
              <w:t>本分标货物不接受进口产品（即通过中国海关报关验放进入中国境内且产自关境外的产品）参与投标，如有进口产品参与投标的作无效标处理。</w:t>
            </w:r>
          </w:p>
        </w:tc>
      </w:tr>
      <w:tr w14:paraId="592BF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2CC9E00B">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（十一）采购预算及最高限价</w:t>
            </w:r>
          </w:p>
        </w:tc>
        <w:tc>
          <w:tcPr>
            <w:tcW w:w="3041" w:type="pct"/>
            <w:gridSpan w:val="2"/>
            <w:tcBorders>
              <w:top w:val="single" w:color="auto" w:sz="4" w:space="0"/>
              <w:left w:val="single" w:color="auto" w:sz="4" w:space="0"/>
              <w:bottom w:val="single" w:color="auto" w:sz="4" w:space="0"/>
              <w:right w:val="single" w:color="auto" w:sz="4" w:space="0"/>
            </w:tcBorders>
          </w:tcPr>
          <w:p w14:paraId="6710B8D3">
            <w:pPr>
              <w:spacing w:line="360" w:lineRule="exact"/>
              <w:rPr>
                <w:rFonts w:ascii="宋体" w:hAnsi="宋体" w:cs="宋体"/>
                <w:b/>
                <w:color w:val="auto"/>
                <w:szCs w:val="21"/>
                <w:highlight w:val="none"/>
              </w:rPr>
            </w:pPr>
            <w:r>
              <w:rPr>
                <w:rFonts w:hint="eastAsia" w:ascii="宋体" w:hAnsi="宋体" w:cs="宋体"/>
                <w:color w:val="auto"/>
                <w:highlight w:val="none"/>
              </w:rPr>
              <w:t>本分标采购预算为壹佰玖拾伍万元整（¥1950000.00），最高限价为陆拾壹万元整（¥610000.00），</w:t>
            </w:r>
            <w:r>
              <w:rPr>
                <w:rFonts w:hint="eastAsia" w:ascii="宋体" w:hAnsi="宋体" w:cs="宋体"/>
                <w:b/>
                <w:color w:val="auto"/>
                <w:szCs w:val="21"/>
                <w:highlight w:val="none"/>
              </w:rPr>
              <w:t>投标人投标报价超最高限价的，本分标投标文件按无效处理。</w:t>
            </w:r>
          </w:p>
        </w:tc>
      </w:tr>
      <w:tr w14:paraId="6CD2F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Pr>
          <w:p w14:paraId="0219F69D">
            <w:pPr>
              <w:adjustRightInd w:val="0"/>
              <w:snapToGrid w:val="0"/>
              <w:spacing w:line="360" w:lineRule="exact"/>
              <w:rPr>
                <w:rFonts w:ascii="宋体" w:hAnsi="宋体" w:cs="宋体"/>
                <w:b/>
                <w:color w:val="auto"/>
                <w:szCs w:val="21"/>
                <w:highlight w:val="none"/>
              </w:rPr>
            </w:pPr>
            <w:r>
              <w:rPr>
                <w:rFonts w:hint="eastAsia" w:ascii="宋体" w:hAnsi="宋体" w:cs="宋体"/>
                <w:b/>
                <w:bCs/>
                <w:color w:val="auto"/>
                <w:szCs w:val="21"/>
                <w:highlight w:val="none"/>
              </w:rPr>
              <w:t>五、与实现项目目标相关的其他要求</w:t>
            </w:r>
          </w:p>
        </w:tc>
      </w:tr>
      <w:tr w14:paraId="76DCE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70DD8853">
            <w:pPr>
              <w:adjustRightInd w:val="0"/>
              <w:snapToGrid w:val="0"/>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（一）安装实施方案</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1F296A83">
            <w:pPr>
              <w:adjustRightInd w:val="0"/>
              <w:snapToGrid w:val="0"/>
              <w:spacing w:line="360" w:lineRule="exact"/>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安装实施方案</w:t>
            </w:r>
            <w:r>
              <w:rPr>
                <w:rFonts w:hint="eastAsia" w:ascii="宋体" w:hAnsi="宋体" w:cs="宋体"/>
                <w:color w:val="auto"/>
                <w:szCs w:val="21"/>
                <w:highlight w:val="none"/>
              </w:rPr>
              <w:t>，包含但不限于：①安装方案；②设备调试方案；③设备试运行方案等</w:t>
            </w:r>
            <w:r>
              <w:rPr>
                <w:rFonts w:hint="eastAsia" w:ascii="宋体" w:hAnsi="宋体" w:cs="宋体"/>
                <w:bCs/>
                <w:color w:val="auto"/>
                <w:szCs w:val="21"/>
                <w:highlight w:val="none"/>
              </w:rPr>
              <w:t>。</w:t>
            </w:r>
          </w:p>
          <w:p w14:paraId="5F8F40DD">
            <w:pPr>
              <w:adjustRightInd w:val="0"/>
              <w:snapToGrid w:val="0"/>
              <w:spacing w:line="360" w:lineRule="exact"/>
              <w:rPr>
                <w:rFonts w:ascii="宋体" w:hAnsi="宋体" w:cs="宋体"/>
                <w:b/>
                <w:i/>
                <w:color w:val="auto"/>
                <w:szCs w:val="21"/>
                <w:highlight w:val="none"/>
              </w:rPr>
            </w:pPr>
            <w:r>
              <w:rPr>
                <w:rFonts w:hint="eastAsia" w:ascii="宋体" w:hAnsi="宋体" w:cs="宋体"/>
                <w:b/>
                <w:bCs/>
                <w:color w:val="auto"/>
                <w:highlight w:val="none"/>
              </w:rPr>
              <w:t>注：上述</w:t>
            </w:r>
            <w:r>
              <w:rPr>
                <w:rFonts w:hint="eastAsia" w:ascii="宋体" w:hAnsi="宋体" w:cs="宋体"/>
                <w:b/>
                <w:color w:val="auto"/>
                <w:spacing w:val="-4"/>
                <w:szCs w:val="21"/>
                <w:highlight w:val="none"/>
              </w:rPr>
              <w:t>具体详见“第四章评标方法及评标标准”。</w:t>
            </w:r>
          </w:p>
        </w:tc>
      </w:tr>
      <w:tr w14:paraId="1F2A0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5E92D7">
            <w:pPr>
              <w:adjustRightInd w:val="0"/>
              <w:snapToGrid w:val="0"/>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（二）增值售后服务方案</w:t>
            </w:r>
          </w:p>
        </w:tc>
        <w:tc>
          <w:tcPr>
            <w:tcW w:w="304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1C16D4">
            <w:pPr>
              <w:adjustRightInd w:val="0"/>
              <w:snapToGrid w:val="0"/>
              <w:spacing w:line="360" w:lineRule="exact"/>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增值售后服务方案</w:t>
            </w:r>
            <w:r>
              <w:rPr>
                <w:rFonts w:hint="eastAsia" w:ascii="宋体" w:hAnsi="宋体" w:cs="宋体"/>
                <w:color w:val="auto"/>
                <w:szCs w:val="21"/>
                <w:highlight w:val="none"/>
              </w:rPr>
              <w:t>，包含但不限于：①</w:t>
            </w:r>
            <w:r>
              <w:rPr>
                <w:rFonts w:hint="eastAsia" w:ascii="宋体" w:hAnsi="宋体" w:cs="宋体"/>
                <w:color w:val="auto"/>
                <w:highlight w:val="none"/>
              </w:rPr>
              <w:t>服务人员的配备</w:t>
            </w:r>
            <w:r>
              <w:rPr>
                <w:rFonts w:hint="eastAsia" w:ascii="宋体" w:hAnsi="宋体" w:cs="宋体"/>
                <w:color w:val="auto"/>
                <w:szCs w:val="21"/>
                <w:highlight w:val="none"/>
              </w:rPr>
              <w:t>、故障出现解决方案，②定期维护 (注明时间)，③技术培训方案，④保修期外维修方案，⑤售后服务措施及其他优惠措施等</w:t>
            </w:r>
            <w:r>
              <w:rPr>
                <w:rFonts w:hint="eastAsia" w:ascii="宋体" w:hAnsi="宋体" w:cs="宋体"/>
                <w:bCs/>
                <w:color w:val="auto"/>
                <w:szCs w:val="21"/>
                <w:highlight w:val="none"/>
              </w:rPr>
              <w:t>。</w:t>
            </w:r>
          </w:p>
          <w:p w14:paraId="5FD46C0C">
            <w:pPr>
              <w:adjustRightInd w:val="0"/>
              <w:snapToGrid w:val="0"/>
              <w:spacing w:line="360" w:lineRule="exact"/>
              <w:rPr>
                <w:rFonts w:ascii="宋体" w:hAnsi="宋体" w:cs="宋体"/>
                <w:b/>
                <w:i/>
                <w:color w:val="auto"/>
                <w:szCs w:val="21"/>
                <w:highlight w:val="none"/>
              </w:rPr>
            </w:pPr>
            <w:r>
              <w:rPr>
                <w:rFonts w:hint="eastAsia" w:ascii="宋体" w:hAnsi="宋体" w:cs="宋体"/>
                <w:b/>
                <w:bCs/>
                <w:color w:val="auto"/>
                <w:highlight w:val="none"/>
              </w:rPr>
              <w:t>注：上述</w:t>
            </w:r>
            <w:r>
              <w:rPr>
                <w:rFonts w:hint="eastAsia" w:ascii="宋体" w:hAnsi="宋体" w:cs="宋体"/>
                <w:b/>
                <w:color w:val="auto"/>
                <w:spacing w:val="-4"/>
                <w:szCs w:val="21"/>
                <w:highlight w:val="none"/>
              </w:rPr>
              <w:t>具体详见“第四章评标方法及评标标准”。</w:t>
            </w:r>
          </w:p>
        </w:tc>
      </w:tr>
      <w:tr w14:paraId="48846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1A54AE7D">
            <w:pPr>
              <w:adjustRightInd w:val="0"/>
              <w:snapToGrid w:val="0"/>
              <w:spacing w:line="360" w:lineRule="exact"/>
              <w:jc w:val="center"/>
              <w:rPr>
                <w:rFonts w:ascii="宋体" w:hAnsi="宋体" w:cs="宋体"/>
                <w:i/>
                <w:color w:val="auto"/>
                <w:szCs w:val="21"/>
                <w:highlight w:val="none"/>
              </w:rPr>
            </w:pPr>
            <w:r>
              <w:rPr>
                <w:rFonts w:hint="eastAsia" w:ascii="宋体" w:hAnsi="宋体" w:cs="宋体"/>
                <w:color w:val="auto"/>
                <w:szCs w:val="21"/>
                <w:highlight w:val="none"/>
              </w:rPr>
              <w:t>（三）履约能力要求</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6463514B">
            <w:pPr>
              <w:spacing w:line="360" w:lineRule="exac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投标人或所投产品生产厂家通过ISO13485</w:t>
            </w:r>
            <w:r>
              <w:rPr>
                <w:rFonts w:hint="eastAsia" w:ascii="宋体" w:hAnsi="宋体" w:cs="宋体"/>
                <w:color w:val="auto"/>
                <w:highlight w:val="none"/>
              </w:rPr>
              <w:t>医疗器械质量管理体系认证</w:t>
            </w:r>
            <w:r>
              <w:rPr>
                <w:rFonts w:hint="eastAsia" w:ascii="宋体" w:hAnsi="宋体" w:cs="宋体"/>
                <w:color w:val="auto"/>
                <w:szCs w:val="21"/>
                <w:highlight w:val="none"/>
              </w:rPr>
              <w:t>、ISO9001质量管理体系认证且有效的。</w:t>
            </w:r>
          </w:p>
          <w:p w14:paraId="0DDBD6BB">
            <w:pPr>
              <w:spacing w:line="360" w:lineRule="exact"/>
              <w:rPr>
                <w:rFonts w:ascii="宋体" w:hAnsi="宋体" w:cs="宋体"/>
                <w:color w:val="auto"/>
                <w:highlight w:val="none"/>
              </w:rPr>
            </w:pPr>
            <w:r>
              <w:rPr>
                <w:rFonts w:hint="eastAsia" w:ascii="宋体" w:hAnsi="宋体" w:cs="宋体"/>
                <w:bCs/>
                <w:color w:val="auto"/>
                <w:highlight w:val="none"/>
              </w:rPr>
              <w:t>2.</w:t>
            </w:r>
            <w:r>
              <w:rPr>
                <w:rFonts w:hint="eastAsia" w:ascii="宋体" w:hAnsi="宋体" w:cs="宋体"/>
                <w:color w:val="auto"/>
                <w:highlight w:val="none"/>
              </w:rPr>
              <w:t>投标人或所投产品生产厂家2021年以来具有同类产品的销售业绩的。</w:t>
            </w:r>
          </w:p>
          <w:p w14:paraId="43C57BB4">
            <w:pPr>
              <w:adjustRightInd w:val="0"/>
              <w:snapToGrid w:val="0"/>
              <w:spacing w:line="360" w:lineRule="exact"/>
              <w:rPr>
                <w:rFonts w:ascii="宋体" w:hAnsi="宋体" w:cs="宋体"/>
                <w:b/>
                <w:i/>
                <w:color w:val="auto"/>
                <w:szCs w:val="21"/>
                <w:highlight w:val="none"/>
              </w:rPr>
            </w:pPr>
            <w:r>
              <w:rPr>
                <w:rFonts w:hint="eastAsia" w:ascii="宋体" w:hAnsi="宋体" w:cs="宋体"/>
                <w:b/>
                <w:bCs/>
                <w:color w:val="auto"/>
                <w:highlight w:val="none"/>
              </w:rPr>
              <w:t>注：上述履约能力加分详见“第四章评标办法及评标标准”。</w:t>
            </w:r>
          </w:p>
        </w:tc>
      </w:tr>
      <w:tr w14:paraId="249BD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5A9DCFA9">
            <w:pPr>
              <w:adjustRightInd w:val="0"/>
              <w:snapToGrid w:val="0"/>
              <w:spacing w:line="360" w:lineRule="exact"/>
              <w:jc w:val="center"/>
              <w:rPr>
                <w:rFonts w:ascii="宋体" w:hAnsi="宋体" w:cs="宋体"/>
                <w:i/>
                <w:color w:val="auto"/>
                <w:szCs w:val="21"/>
                <w:highlight w:val="none"/>
              </w:rPr>
            </w:pPr>
            <w:r>
              <w:rPr>
                <w:rFonts w:hint="eastAsia" w:ascii="宋体" w:hAnsi="宋体" w:cs="宋体"/>
                <w:color w:val="auto"/>
                <w:szCs w:val="21"/>
                <w:highlight w:val="none"/>
              </w:rPr>
              <w:t>（四）政策性加分条件</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120D4FBD">
            <w:pPr>
              <w:spacing w:line="360" w:lineRule="exact"/>
              <w:rPr>
                <w:rFonts w:ascii="宋体" w:hAnsi="宋体" w:cs="宋体"/>
                <w:color w:val="auto"/>
                <w:highlight w:val="none"/>
              </w:rPr>
            </w:pPr>
            <w:r>
              <w:rPr>
                <w:rFonts w:hint="eastAsia" w:ascii="宋体" w:hAnsi="宋体" w:cs="宋体"/>
                <w:color w:val="auto"/>
                <w:highlight w:val="none"/>
              </w:rPr>
              <w:t>1.节能产品：属于财政部《节能产品政府采购品目清单》内优先采购（清单内未标注“★”的品目）的产品[投标文件中提供有效的认证证书复印件及品目清单（标注投标产品在品目清单中所属的品目），并加盖投标人电子签章]。</w:t>
            </w:r>
          </w:p>
          <w:p w14:paraId="0CC9D16F">
            <w:pPr>
              <w:spacing w:line="360" w:lineRule="exact"/>
              <w:rPr>
                <w:rFonts w:ascii="宋体" w:hAnsi="宋体" w:cs="宋体"/>
                <w:color w:val="auto"/>
                <w:highlight w:val="none"/>
              </w:rPr>
            </w:pPr>
            <w:r>
              <w:rPr>
                <w:rFonts w:hint="eastAsia" w:ascii="宋体" w:hAnsi="宋体" w:cs="宋体"/>
                <w:color w:val="auto"/>
                <w:highlight w:val="none"/>
              </w:rPr>
              <w:t>2.环境标志产品：属于财政部《环境标志产品政府采购品目清单》内的产品[投标文件中提供有效的认证证书复印件及品目清单（标注投标产品在品目清单中所属的品目），并加盖投标人电子签章]。</w:t>
            </w:r>
          </w:p>
          <w:p w14:paraId="6C7C617D">
            <w:pPr>
              <w:adjustRightInd w:val="0"/>
              <w:snapToGrid w:val="0"/>
              <w:spacing w:line="360" w:lineRule="exact"/>
              <w:rPr>
                <w:rFonts w:ascii="宋体" w:hAnsi="宋体" w:cs="宋体"/>
                <w:b/>
                <w:color w:val="auto"/>
                <w:szCs w:val="21"/>
                <w:highlight w:val="none"/>
              </w:rPr>
            </w:pPr>
            <w:r>
              <w:rPr>
                <w:rFonts w:hint="eastAsia" w:ascii="宋体" w:hAnsi="宋体" w:cs="宋体"/>
                <w:b/>
                <w:color w:val="auto"/>
                <w:highlight w:val="none"/>
              </w:rPr>
              <w:t>注：上述政策性加分详见“第四章评标办法及评标标准”。</w:t>
            </w:r>
          </w:p>
        </w:tc>
      </w:tr>
    </w:tbl>
    <w:p w14:paraId="1399F8CF">
      <w:pPr>
        <w:pStyle w:val="18"/>
        <w:rPr>
          <w:rFonts w:ascii="宋体" w:hAnsi="宋体" w:cs="宋体"/>
          <w:color w:val="auto"/>
          <w:highlight w:val="none"/>
        </w:rPr>
      </w:pPr>
    </w:p>
    <w:p w14:paraId="7A39F69A">
      <w:pPr>
        <w:pStyle w:val="18"/>
        <w:rPr>
          <w:rFonts w:ascii="宋体" w:hAnsi="宋体" w:cs="宋体"/>
          <w:color w:val="auto"/>
          <w:highlight w:val="none"/>
        </w:rPr>
      </w:pPr>
    </w:p>
    <w:p w14:paraId="2A4320AC">
      <w:pPr>
        <w:rPr>
          <w:rFonts w:ascii="宋体" w:hAnsi="宋体" w:cs="宋体"/>
          <w:color w:val="auto"/>
          <w:highlight w:val="none"/>
        </w:rPr>
      </w:pPr>
    </w:p>
    <w:p w14:paraId="1A876AA5">
      <w:pPr>
        <w:pStyle w:val="57"/>
        <w:ind w:firstLine="420"/>
        <w:rPr>
          <w:rFonts w:ascii="宋体" w:hAnsi="宋体" w:cs="宋体"/>
          <w:color w:val="auto"/>
          <w:highlight w:val="none"/>
        </w:rPr>
      </w:pPr>
    </w:p>
    <w:p w14:paraId="1D055D8C">
      <w:pPr>
        <w:pStyle w:val="57"/>
        <w:ind w:firstLine="420"/>
        <w:rPr>
          <w:rFonts w:ascii="宋体" w:hAnsi="宋体" w:cs="宋体"/>
          <w:color w:val="auto"/>
          <w:highlight w:val="none"/>
        </w:rPr>
      </w:pPr>
    </w:p>
    <w:p w14:paraId="4198147E">
      <w:pPr>
        <w:pStyle w:val="57"/>
        <w:ind w:firstLine="420"/>
        <w:rPr>
          <w:rFonts w:ascii="宋体" w:hAnsi="宋体" w:cs="宋体"/>
          <w:color w:val="auto"/>
          <w:highlight w:val="none"/>
        </w:rPr>
      </w:pPr>
    </w:p>
    <w:p w14:paraId="52E9B8CF">
      <w:pPr>
        <w:pStyle w:val="57"/>
        <w:ind w:firstLine="420"/>
        <w:rPr>
          <w:rFonts w:ascii="宋体" w:hAnsi="宋体" w:cs="宋体"/>
          <w:color w:val="auto"/>
          <w:highlight w:val="none"/>
        </w:rPr>
      </w:pPr>
    </w:p>
    <w:p w14:paraId="51891564">
      <w:pPr>
        <w:pStyle w:val="57"/>
        <w:ind w:firstLine="420"/>
        <w:rPr>
          <w:rFonts w:ascii="宋体" w:hAnsi="宋体" w:cs="宋体"/>
          <w:color w:val="auto"/>
          <w:highlight w:val="none"/>
        </w:rPr>
      </w:pPr>
    </w:p>
    <w:p w14:paraId="3C9B3797">
      <w:pPr>
        <w:pStyle w:val="57"/>
        <w:ind w:firstLine="420"/>
        <w:rPr>
          <w:rFonts w:ascii="宋体" w:hAnsi="宋体" w:cs="宋体"/>
          <w:color w:val="auto"/>
          <w:highlight w:val="none"/>
        </w:rPr>
      </w:pPr>
    </w:p>
    <w:p w14:paraId="015A1343">
      <w:pPr>
        <w:pStyle w:val="57"/>
        <w:ind w:firstLine="420"/>
        <w:rPr>
          <w:rFonts w:ascii="宋体" w:hAnsi="宋体" w:cs="宋体"/>
          <w:color w:val="auto"/>
          <w:highlight w:val="none"/>
        </w:rPr>
      </w:pPr>
    </w:p>
    <w:p w14:paraId="68377784">
      <w:pPr>
        <w:pStyle w:val="57"/>
        <w:ind w:firstLine="420"/>
        <w:rPr>
          <w:rFonts w:ascii="宋体" w:hAnsi="宋体" w:cs="宋体"/>
          <w:color w:val="auto"/>
          <w:highlight w:val="none"/>
        </w:rPr>
      </w:pPr>
    </w:p>
    <w:p w14:paraId="5BD5E914">
      <w:pPr>
        <w:pStyle w:val="57"/>
        <w:ind w:firstLine="420"/>
        <w:rPr>
          <w:rFonts w:ascii="宋体" w:hAnsi="宋体" w:cs="宋体"/>
          <w:color w:val="auto"/>
          <w:highlight w:val="none"/>
        </w:rPr>
      </w:pPr>
    </w:p>
    <w:p w14:paraId="1CCAA818">
      <w:pPr>
        <w:pStyle w:val="57"/>
        <w:ind w:firstLine="420"/>
        <w:rPr>
          <w:rFonts w:ascii="宋体" w:hAnsi="宋体" w:cs="宋体"/>
          <w:color w:val="auto"/>
          <w:highlight w:val="none"/>
        </w:rPr>
      </w:pPr>
    </w:p>
    <w:p w14:paraId="542EAC09">
      <w:pPr>
        <w:pStyle w:val="57"/>
        <w:ind w:firstLine="420"/>
        <w:rPr>
          <w:rFonts w:ascii="宋体" w:hAnsi="宋体" w:cs="宋体"/>
          <w:color w:val="auto"/>
          <w:highlight w:val="none"/>
        </w:rPr>
      </w:pPr>
    </w:p>
    <w:p w14:paraId="392119F3">
      <w:pPr>
        <w:pStyle w:val="57"/>
        <w:ind w:firstLine="420"/>
        <w:rPr>
          <w:rFonts w:ascii="宋体" w:hAnsi="宋体" w:cs="宋体"/>
          <w:color w:val="auto"/>
          <w:highlight w:val="none"/>
        </w:rPr>
      </w:pPr>
    </w:p>
    <w:p w14:paraId="0C125016">
      <w:pPr>
        <w:pStyle w:val="57"/>
        <w:ind w:firstLine="420"/>
        <w:rPr>
          <w:rFonts w:ascii="宋体" w:hAnsi="宋体" w:cs="宋体"/>
          <w:color w:val="auto"/>
          <w:highlight w:val="none"/>
        </w:rPr>
      </w:pPr>
    </w:p>
    <w:p w14:paraId="24FDFB43">
      <w:pPr>
        <w:pStyle w:val="57"/>
        <w:ind w:firstLine="420"/>
        <w:rPr>
          <w:rFonts w:ascii="宋体" w:hAnsi="宋体" w:cs="宋体"/>
          <w:color w:val="auto"/>
          <w:highlight w:val="none"/>
        </w:rPr>
      </w:pPr>
    </w:p>
    <w:p w14:paraId="542A29A5">
      <w:pPr>
        <w:pStyle w:val="57"/>
        <w:ind w:firstLine="420"/>
        <w:rPr>
          <w:rFonts w:ascii="宋体" w:hAnsi="宋体" w:cs="宋体"/>
          <w:color w:val="auto"/>
          <w:highlight w:val="none"/>
        </w:rPr>
      </w:pPr>
    </w:p>
    <w:p w14:paraId="185C2D0B">
      <w:pPr>
        <w:pStyle w:val="57"/>
        <w:ind w:firstLine="420"/>
        <w:rPr>
          <w:rFonts w:ascii="宋体" w:hAnsi="宋体" w:cs="宋体"/>
          <w:color w:val="auto"/>
          <w:highlight w:val="none"/>
        </w:rPr>
      </w:pPr>
    </w:p>
    <w:p w14:paraId="7D91CED4">
      <w:pPr>
        <w:pStyle w:val="57"/>
        <w:ind w:firstLine="420"/>
        <w:rPr>
          <w:rFonts w:ascii="宋体" w:hAnsi="宋体" w:cs="宋体"/>
          <w:color w:val="auto"/>
          <w:highlight w:val="none"/>
        </w:rPr>
      </w:pPr>
    </w:p>
    <w:p w14:paraId="0B288BDE">
      <w:pPr>
        <w:pStyle w:val="57"/>
        <w:ind w:firstLine="420"/>
        <w:rPr>
          <w:rFonts w:ascii="宋体" w:hAnsi="宋体" w:cs="宋体"/>
          <w:color w:val="auto"/>
          <w:highlight w:val="none"/>
        </w:rPr>
      </w:pPr>
    </w:p>
    <w:p w14:paraId="36A025B8">
      <w:pPr>
        <w:pStyle w:val="57"/>
        <w:ind w:firstLine="420"/>
        <w:rPr>
          <w:rFonts w:ascii="宋体" w:hAnsi="宋体" w:cs="宋体"/>
          <w:color w:val="auto"/>
          <w:highlight w:val="none"/>
        </w:rPr>
      </w:pPr>
    </w:p>
    <w:p w14:paraId="707A6456">
      <w:pPr>
        <w:pStyle w:val="57"/>
        <w:ind w:firstLine="420"/>
        <w:rPr>
          <w:rFonts w:ascii="宋体" w:hAnsi="宋体" w:cs="宋体"/>
          <w:color w:val="auto"/>
          <w:highlight w:val="none"/>
        </w:rPr>
      </w:pPr>
    </w:p>
    <w:p w14:paraId="1129B851">
      <w:pPr>
        <w:pStyle w:val="57"/>
        <w:ind w:firstLine="420"/>
        <w:rPr>
          <w:rFonts w:ascii="宋体" w:hAnsi="宋体" w:cs="宋体"/>
          <w:color w:val="auto"/>
          <w:highlight w:val="none"/>
        </w:rPr>
      </w:pPr>
    </w:p>
    <w:p w14:paraId="3E70D096">
      <w:pPr>
        <w:pStyle w:val="57"/>
        <w:ind w:firstLine="420"/>
        <w:rPr>
          <w:rFonts w:ascii="宋体" w:hAnsi="宋体" w:cs="宋体"/>
          <w:color w:val="auto"/>
          <w:highlight w:val="none"/>
        </w:rPr>
      </w:pPr>
    </w:p>
    <w:p w14:paraId="3AD53B49">
      <w:pPr>
        <w:pStyle w:val="57"/>
        <w:ind w:firstLine="420"/>
        <w:rPr>
          <w:rFonts w:ascii="宋体" w:hAnsi="宋体" w:cs="宋体"/>
          <w:color w:val="auto"/>
          <w:highlight w:val="none"/>
        </w:rPr>
      </w:pPr>
    </w:p>
    <w:p w14:paraId="60A63D56">
      <w:pPr>
        <w:pStyle w:val="57"/>
        <w:ind w:firstLine="420"/>
        <w:rPr>
          <w:rFonts w:ascii="宋体" w:hAnsi="宋体" w:cs="宋体"/>
          <w:color w:val="auto"/>
          <w:highlight w:val="none"/>
        </w:rPr>
      </w:pPr>
    </w:p>
    <w:p w14:paraId="7AC19631">
      <w:pPr>
        <w:pStyle w:val="57"/>
        <w:ind w:firstLine="420"/>
        <w:rPr>
          <w:rFonts w:ascii="宋体" w:hAnsi="宋体" w:cs="宋体"/>
          <w:color w:val="auto"/>
          <w:highlight w:val="none"/>
        </w:rPr>
      </w:pPr>
    </w:p>
    <w:p w14:paraId="1D7D367B">
      <w:pPr>
        <w:pStyle w:val="18"/>
        <w:rPr>
          <w:rFonts w:ascii="宋体" w:hAnsi="宋体" w:cs="宋体"/>
          <w:b/>
          <w:bCs/>
          <w:color w:val="auto"/>
          <w:highlight w:val="none"/>
        </w:rPr>
      </w:pPr>
      <w:r>
        <w:rPr>
          <w:rFonts w:hint="eastAsia" w:ascii="宋体" w:hAnsi="宋体" w:cs="宋体"/>
          <w:b/>
          <w:bCs/>
          <w:color w:val="auto"/>
          <w:highlight w:val="none"/>
        </w:rPr>
        <w:t>分标2</w:t>
      </w:r>
    </w:p>
    <w:tbl>
      <w:tblPr>
        <w:tblStyle w:val="47"/>
        <w:tblW w:w="52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4"/>
        <w:gridCol w:w="849"/>
        <w:gridCol w:w="712"/>
        <w:gridCol w:w="801"/>
        <w:gridCol w:w="4799"/>
      </w:tblGrid>
      <w:tr w14:paraId="6F7DE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5000" w:type="pct"/>
            <w:gridSpan w:val="5"/>
            <w:vAlign w:val="center"/>
          </w:tcPr>
          <w:p w14:paraId="449BCAFD">
            <w:pPr>
              <w:tabs>
                <w:tab w:val="left" w:pos="180"/>
                <w:tab w:val="left" w:pos="1620"/>
              </w:tabs>
              <w:adjustRightInd w:val="0"/>
              <w:snapToGrid w:val="0"/>
              <w:spacing w:line="350" w:lineRule="exact"/>
              <w:rPr>
                <w:rFonts w:ascii="宋体" w:hAnsi="宋体" w:cs="宋体"/>
                <w:color w:val="auto"/>
                <w:szCs w:val="21"/>
                <w:highlight w:val="none"/>
              </w:rPr>
            </w:pPr>
            <w:r>
              <w:rPr>
                <w:rFonts w:hint="eastAsia" w:ascii="宋体" w:hAnsi="宋体" w:cs="宋体"/>
                <w:b/>
                <w:color w:val="auto"/>
                <w:szCs w:val="21"/>
                <w:highlight w:val="none"/>
              </w:rPr>
              <w:t>一、采购标的及技术需求</w:t>
            </w:r>
          </w:p>
        </w:tc>
      </w:tr>
      <w:tr w14:paraId="1E21E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110" w:type="pct"/>
            <w:tcBorders>
              <w:right w:val="single" w:color="auto" w:sz="4" w:space="0"/>
            </w:tcBorders>
            <w:vAlign w:val="center"/>
          </w:tcPr>
          <w:p w14:paraId="42959974">
            <w:pPr>
              <w:tabs>
                <w:tab w:val="left" w:pos="180"/>
                <w:tab w:val="left" w:pos="1620"/>
              </w:tabs>
              <w:adjustRightInd w:val="0"/>
              <w:snapToGrid w:val="0"/>
              <w:spacing w:line="35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461" w:type="pct"/>
            <w:tcBorders>
              <w:left w:val="single" w:color="auto" w:sz="4" w:space="0"/>
            </w:tcBorders>
            <w:vAlign w:val="center"/>
          </w:tcPr>
          <w:p w14:paraId="3C308AE1">
            <w:pPr>
              <w:tabs>
                <w:tab w:val="left" w:pos="180"/>
                <w:tab w:val="left" w:pos="1620"/>
              </w:tabs>
              <w:adjustRightInd w:val="0"/>
              <w:snapToGrid w:val="0"/>
              <w:spacing w:line="35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386" w:type="pct"/>
            <w:vAlign w:val="center"/>
          </w:tcPr>
          <w:p w14:paraId="43E7028B">
            <w:pPr>
              <w:tabs>
                <w:tab w:val="left" w:pos="180"/>
                <w:tab w:val="left" w:pos="1620"/>
              </w:tabs>
              <w:adjustRightInd w:val="0"/>
              <w:snapToGrid w:val="0"/>
              <w:spacing w:line="35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435" w:type="pct"/>
            <w:vAlign w:val="center"/>
          </w:tcPr>
          <w:p w14:paraId="5E4E5066">
            <w:pPr>
              <w:tabs>
                <w:tab w:val="left" w:pos="180"/>
                <w:tab w:val="left" w:pos="1620"/>
              </w:tabs>
              <w:adjustRightInd w:val="0"/>
              <w:snapToGrid w:val="0"/>
              <w:spacing w:line="35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2606" w:type="pct"/>
            <w:vAlign w:val="center"/>
          </w:tcPr>
          <w:p w14:paraId="269E6950">
            <w:pPr>
              <w:tabs>
                <w:tab w:val="left" w:pos="180"/>
                <w:tab w:val="left" w:pos="1620"/>
              </w:tabs>
              <w:adjustRightInd w:val="0"/>
              <w:snapToGrid w:val="0"/>
              <w:spacing w:line="35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0B682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110" w:type="pct"/>
            <w:tcBorders>
              <w:bottom w:val="single" w:color="auto" w:sz="4" w:space="0"/>
              <w:right w:val="single" w:color="auto" w:sz="4" w:space="0"/>
            </w:tcBorders>
            <w:vAlign w:val="center"/>
          </w:tcPr>
          <w:p w14:paraId="038EC13E">
            <w:pPr>
              <w:tabs>
                <w:tab w:val="left" w:pos="180"/>
                <w:tab w:val="left" w:pos="1620"/>
              </w:tabs>
              <w:adjustRightInd w:val="0"/>
              <w:snapToGrid w:val="0"/>
              <w:spacing w:line="350" w:lineRule="exact"/>
              <w:jc w:val="center"/>
              <w:rPr>
                <w:rFonts w:ascii="宋体" w:hAnsi="宋体" w:cs="宋体"/>
                <w:color w:val="auto"/>
                <w:szCs w:val="21"/>
                <w:highlight w:val="none"/>
              </w:rPr>
            </w:pPr>
            <w:r>
              <w:rPr>
                <w:rFonts w:hint="eastAsia" w:ascii="宋体" w:hAnsi="宋体" w:cs="宋体"/>
                <w:color w:val="auto"/>
                <w:szCs w:val="21"/>
                <w:highlight w:val="none"/>
              </w:rPr>
              <w:t>肺功能测试系统</w:t>
            </w:r>
          </w:p>
        </w:tc>
        <w:tc>
          <w:tcPr>
            <w:tcW w:w="461" w:type="pct"/>
            <w:tcBorders>
              <w:left w:val="single" w:color="auto" w:sz="4" w:space="0"/>
            </w:tcBorders>
            <w:vAlign w:val="center"/>
          </w:tcPr>
          <w:p w14:paraId="0AF9D87C">
            <w:pPr>
              <w:tabs>
                <w:tab w:val="left" w:pos="180"/>
                <w:tab w:val="left" w:pos="1620"/>
              </w:tabs>
              <w:adjustRightInd w:val="0"/>
              <w:snapToGrid w:val="0"/>
              <w:spacing w:line="350" w:lineRule="exact"/>
              <w:jc w:val="center"/>
              <w:rPr>
                <w:rFonts w:ascii="宋体" w:hAnsi="宋体" w:cs="宋体"/>
                <w:color w:val="auto"/>
                <w:szCs w:val="21"/>
                <w:highlight w:val="none"/>
              </w:rPr>
            </w:pPr>
            <w:r>
              <w:rPr>
                <w:rFonts w:hint="eastAsia" w:ascii="宋体" w:hAnsi="宋体" w:cs="宋体"/>
                <w:color w:val="auto"/>
                <w:szCs w:val="21"/>
                <w:highlight w:val="none"/>
              </w:rPr>
              <w:t xml:space="preserve">1 </w:t>
            </w:r>
          </w:p>
        </w:tc>
        <w:tc>
          <w:tcPr>
            <w:tcW w:w="386" w:type="pct"/>
            <w:vAlign w:val="center"/>
          </w:tcPr>
          <w:p w14:paraId="3AC73ACE">
            <w:pPr>
              <w:tabs>
                <w:tab w:val="left" w:pos="180"/>
                <w:tab w:val="left" w:pos="1620"/>
              </w:tabs>
              <w:adjustRightInd w:val="0"/>
              <w:snapToGrid w:val="0"/>
              <w:spacing w:line="35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台</w:t>
            </w:r>
          </w:p>
        </w:tc>
        <w:tc>
          <w:tcPr>
            <w:tcW w:w="435" w:type="pct"/>
            <w:tcBorders>
              <w:bottom w:val="single" w:color="auto" w:sz="4" w:space="0"/>
            </w:tcBorders>
            <w:vAlign w:val="center"/>
          </w:tcPr>
          <w:p w14:paraId="67CB003E">
            <w:pPr>
              <w:tabs>
                <w:tab w:val="left" w:pos="180"/>
                <w:tab w:val="left" w:pos="1620"/>
              </w:tabs>
              <w:adjustRightInd w:val="0"/>
              <w:snapToGrid w:val="0"/>
              <w:spacing w:line="35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2606" w:type="pct"/>
            <w:vAlign w:val="center"/>
          </w:tcPr>
          <w:p w14:paraId="38575612">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（一） 产品用途：</w:t>
            </w:r>
          </w:p>
          <w:p w14:paraId="5D5CBB27">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要求产品智能化，测量项目在同一软件实现，用于人体的肺功能参数测量。常规肺通气功能适用于患者进行通气功能测试，呼吸压力功能用于适用于患者呼吸压力参数测试，肺弥散功能适用于患者进行一口气弥散残气测试，气道阻力功能适用于患者进行气道阻力测试，气道过敏反应测试系统适用于患者进行支气管给药试验。</w:t>
            </w:r>
          </w:p>
          <w:p w14:paraId="186C681D">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2.产品注册标准：符合国家肺功能仪有关技术规范要求和技术标准。</w:t>
            </w:r>
          </w:p>
          <w:p w14:paraId="253A8B6F">
            <w:pPr>
              <w:widowControl/>
              <w:spacing w:line="35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▲3.该产品适用于呼吸动作下进行的成人或儿童的静态肺功能参数测试，而非运动负荷下的心肺功能评估用。</w:t>
            </w:r>
          </w:p>
          <w:p w14:paraId="7CB0D6D4">
            <w:pPr>
              <w:widowControl/>
              <w:spacing w:line="35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▲4.可升级同品牌呼吸阻抗综合测量装置用于脉冲振荡法肺功能测量，采用单点脉冲发送模式，可以单独发送各频段脉冲。</w:t>
            </w:r>
          </w:p>
          <w:p w14:paraId="74FA966D">
            <w:pPr>
              <w:widowControl/>
              <w:spacing w:line="350" w:lineRule="exact"/>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（二）产品</w:t>
            </w:r>
            <w:r>
              <w:rPr>
                <w:rFonts w:hint="eastAsia" w:ascii="宋体" w:hAnsi="宋体" w:cs="宋体"/>
                <w:color w:val="auto"/>
                <w:kern w:val="0"/>
                <w:szCs w:val="21"/>
                <w:highlight w:val="none"/>
                <w:lang w:val="en-US" w:eastAsia="zh-CN"/>
              </w:rPr>
              <w:t>组成</w:t>
            </w:r>
          </w:p>
          <w:p w14:paraId="2ED07E92">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产品由常规肺通气功能、呼吸压力功能、肺弥散功能、气道阻力功能、气道过敏反应测试系统、台车、环境功能、电脑端软件和附件组成。</w:t>
            </w:r>
          </w:p>
          <w:p w14:paraId="277DD9C4">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（三）功能与参数</w:t>
            </w:r>
          </w:p>
          <w:p w14:paraId="36FDC4BC">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1.常规肺通气测试</w:t>
            </w:r>
          </w:p>
          <w:p w14:paraId="20E2FCFF">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（1）测量参数：用力肺活量、慢肺活量、最大分钟通气量。</w:t>
            </w:r>
          </w:p>
          <w:p w14:paraId="207313B2">
            <w:pPr>
              <w:widowControl/>
              <w:spacing w:line="35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▲（2）传感器类型：数字超声式传感器。传感器中间没有任何障碍物，以减少交叉感染。</w:t>
            </w:r>
          </w:p>
          <w:p w14:paraId="267A4D64">
            <w:pPr>
              <w:widowControl/>
              <w:spacing w:line="350" w:lineRule="exact"/>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▲（3）流量测量范围：0～19L/s；流量精确范围：±3%或者60ml，取其大者；分辨率：0.1L/s。</w:t>
            </w:r>
          </w:p>
          <w:p w14:paraId="5578E33C">
            <w:pPr>
              <w:widowControl/>
              <w:spacing w:line="35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▲（4）容量测量范围：0～19L；容量精确范围±3%或者±60ml，取其大者；分辨率：0.1L。</w:t>
            </w:r>
          </w:p>
          <w:p w14:paraId="0390A11C">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（5）线性度：±4%。</w:t>
            </w:r>
          </w:p>
          <w:p w14:paraId="1F463C96">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（6）舒张试验：可进行支气管舒张试验。</w:t>
            </w:r>
          </w:p>
          <w:p w14:paraId="59E03CC9">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（7）质量控制：依据ATS/ERS自动计算质控评级A、B、C、D、F，受检者检查过程中，实时数据图像监测呼气时间，呼气末流速等，严格把控检查质量，保证检查结果准确。</w:t>
            </w:r>
          </w:p>
          <w:p w14:paraId="77DBA42B">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（8）标定功能：具备自动测量环境参数(温度、湿度、大气压)并进行BTPS自动修正功能；可通过定标筒进行常规定标和三流速定标。</w:t>
            </w:r>
          </w:p>
          <w:p w14:paraId="703E2B31">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（9）流速传感器头部配套2个。</w:t>
            </w:r>
          </w:p>
          <w:p w14:paraId="6B08D328">
            <w:pPr>
              <w:widowControl/>
              <w:spacing w:line="350" w:lineRule="exact"/>
              <w:jc w:val="left"/>
              <w:rPr>
                <w:rFonts w:hint="eastAsia" w:ascii="宋体" w:hAnsi="宋体" w:eastAsia="宋体" w:cs="宋体"/>
                <w:b w:val="0"/>
                <w:bCs w:val="0"/>
                <w:color w:val="auto"/>
                <w:kern w:val="0"/>
                <w:szCs w:val="21"/>
                <w:highlight w:val="none"/>
                <w:lang w:eastAsia="zh-CN"/>
              </w:rPr>
            </w:pPr>
            <w:r>
              <w:rPr>
                <w:rFonts w:hint="eastAsia" w:ascii="宋体" w:hAnsi="宋体" w:cs="宋体"/>
                <w:b w:val="0"/>
                <w:bCs w:val="0"/>
                <w:color w:val="auto"/>
                <w:kern w:val="0"/>
                <w:szCs w:val="21"/>
                <w:highlight w:val="none"/>
                <w:lang w:eastAsia="zh-CN"/>
              </w:rPr>
              <w:t>（</w:t>
            </w:r>
            <w:r>
              <w:rPr>
                <w:rFonts w:hint="eastAsia" w:ascii="宋体" w:hAnsi="宋体" w:cs="宋体"/>
                <w:b w:val="0"/>
                <w:bCs w:val="0"/>
                <w:color w:val="auto"/>
                <w:kern w:val="0"/>
                <w:szCs w:val="21"/>
                <w:highlight w:val="none"/>
              </w:rPr>
              <w:t>10）设备使用年限不少于8年（投标人于投标文件中必须提供所投产品满足此项技术要求的相关有效证明材料，可以是产品铭牌材料、产品彩页等，并加盖投标人</w:t>
            </w:r>
            <w:r>
              <w:rPr>
                <w:rFonts w:hint="eastAsia" w:ascii="宋体" w:hAnsi="宋体" w:cs="宋体"/>
                <w:b w:val="0"/>
                <w:bCs w:val="0"/>
                <w:color w:val="auto"/>
                <w:kern w:val="0"/>
                <w:szCs w:val="21"/>
                <w:highlight w:val="none"/>
                <w:lang w:val="en-US" w:eastAsia="zh-CN"/>
              </w:rPr>
              <w:t>电子签章）</w:t>
            </w:r>
            <w:r>
              <w:rPr>
                <w:rFonts w:hint="eastAsia" w:ascii="宋体" w:hAnsi="宋体" w:cs="宋体"/>
                <w:b w:val="0"/>
                <w:bCs w:val="0"/>
                <w:color w:val="auto"/>
                <w:kern w:val="0"/>
                <w:szCs w:val="21"/>
                <w:highlight w:val="none"/>
              </w:rPr>
              <w:t>。</w:t>
            </w:r>
          </w:p>
          <w:p w14:paraId="5A026EAF">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（11）流速传感器头部可徒手拆卸，可浸泡消毒；用户可自行购买通用口径可拆卸式咬嘴和一次性肺功能仪用过滤嘴。</w:t>
            </w:r>
          </w:p>
          <w:p w14:paraId="678B19E2">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2.呼吸压力测试</w:t>
            </w:r>
          </w:p>
          <w:p w14:paraId="32C28B82">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（1）测量参数：MIP、MEP、P0.1、P0.1MAX。</w:t>
            </w:r>
          </w:p>
          <w:p w14:paraId="36D17145">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（2）压力测量范围：±20kPa；精确范围：±1%或者±0.05kPa，取其大者；分辨率：0.01kPa。</w:t>
            </w:r>
          </w:p>
          <w:p w14:paraId="2EDDDB09">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（3）检测过程激励式动画操作界面。</w:t>
            </w:r>
          </w:p>
          <w:p w14:paraId="7291D8F1">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（4）语音智能播报：含操作使用方法，语音激励等。</w:t>
            </w:r>
          </w:p>
          <w:p w14:paraId="20176524">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（5）院感防控：传感器中间没有任何障碍物，以减少交叉感染，具备交叉感染的防控措施，可徒手拆卸浸泡消毒压力传感器头部，可使用通用口径的一次性肺功能仪用过滤嘴。</w:t>
            </w:r>
          </w:p>
          <w:p w14:paraId="5A165386">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 </w:t>
            </w:r>
            <w:bookmarkStart w:id="42" w:name="_Toc102744564"/>
            <w:bookmarkStart w:id="43" w:name="_Toc114664795"/>
            <w:bookmarkStart w:id="44" w:name="_Toc102815261"/>
            <w:r>
              <w:rPr>
                <w:rFonts w:hint="eastAsia" w:ascii="宋体" w:hAnsi="宋体" w:cs="宋体"/>
                <w:color w:val="auto"/>
                <w:kern w:val="0"/>
                <w:szCs w:val="21"/>
                <w:highlight w:val="none"/>
              </w:rPr>
              <w:t>肺弥散</w:t>
            </w:r>
            <w:bookmarkEnd w:id="42"/>
            <w:bookmarkEnd w:id="43"/>
            <w:bookmarkEnd w:id="44"/>
            <w:r>
              <w:rPr>
                <w:rFonts w:hint="eastAsia" w:ascii="宋体" w:hAnsi="宋体" w:cs="宋体"/>
                <w:color w:val="auto"/>
                <w:kern w:val="0"/>
                <w:szCs w:val="21"/>
                <w:highlight w:val="none"/>
              </w:rPr>
              <w:t>测试</w:t>
            </w:r>
          </w:p>
          <w:p w14:paraId="4CDA7F98">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（1）测量参数：RV、TLC、FRC、DLCO、VA、KCO（DLCO/VA）。</w:t>
            </w:r>
          </w:p>
          <w:p w14:paraId="40D073AB">
            <w:pPr>
              <w:widowControl/>
              <w:spacing w:line="35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▲（2）使用He（氦气）和CO（一氧化碳）的混合气体作为弥散残气的测试气体。</w:t>
            </w:r>
          </w:p>
          <w:p w14:paraId="3B76C1E2">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（3）CO传感器为红外吸收法传感器。</w:t>
            </w:r>
          </w:p>
          <w:p w14:paraId="4C2FA627">
            <w:pPr>
              <w:widowControl/>
              <w:spacing w:line="350" w:lineRule="exact"/>
              <w:jc w:val="left"/>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▲（4）CO传感器测量范围：0%-0.280%；He传感器测量范围：0-9%，采用数字超声摩尔分子检测技术</w:t>
            </w:r>
            <w:r>
              <w:rPr>
                <w:rFonts w:hint="eastAsia" w:ascii="宋体" w:hAnsi="宋体" w:cs="宋体"/>
                <w:b/>
                <w:bCs/>
                <w:color w:val="auto"/>
                <w:kern w:val="0"/>
                <w:szCs w:val="21"/>
                <w:highlight w:val="none"/>
                <w:lang w:eastAsia="zh-CN"/>
              </w:rPr>
              <w:t>。</w:t>
            </w:r>
          </w:p>
          <w:p w14:paraId="3DA0212A">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（5）管道/阻断阀死腔：＜250mL。</w:t>
            </w:r>
          </w:p>
          <w:p w14:paraId="50D3EFC4">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（6）阻断阀敏感性：＜5cmH</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O @6L/s流量。</w:t>
            </w:r>
          </w:p>
          <w:p w14:paraId="15DA17F1">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（7）弥散测试过程气流阻力：≤1.2cmH</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O/（L/s）@6L/s流量。</w:t>
            </w:r>
          </w:p>
          <w:p w14:paraId="73D7C1CC">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（8）肺弥散测试的使用年限不少于5年。</w:t>
            </w:r>
          </w:p>
          <w:p w14:paraId="695FE533">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（9）使用肺弥散功能时，预热时间不超过20分钟。</w:t>
            </w:r>
          </w:p>
          <w:p w14:paraId="08FBA94A">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4.气道阻力测试</w:t>
            </w:r>
          </w:p>
          <w:p w14:paraId="7B759BB8">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测量参数：ROCC、GOCC，阻断器压力范围：±20kPa；精确范围：±2%或者±0.1kPa，取其大者。</w:t>
            </w:r>
          </w:p>
          <w:p w14:paraId="0DC1F6E1">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5.气道过敏反应测试系统</w:t>
            </w:r>
          </w:p>
          <w:p w14:paraId="2FA77666">
            <w:pPr>
              <w:widowControl/>
              <w:spacing w:line="350" w:lineRule="exact"/>
              <w:jc w:val="left"/>
              <w:rPr>
                <w:rFonts w:ascii="宋体" w:hAnsi="宋体" w:cs="宋体"/>
                <w:b/>
                <w:bCs/>
                <w:color w:val="auto"/>
                <w:highlight w:val="none"/>
              </w:rPr>
            </w:pPr>
            <w:r>
              <w:rPr>
                <w:rFonts w:hint="eastAsia" w:ascii="宋体" w:hAnsi="宋体" w:cs="宋体"/>
                <w:b/>
                <w:bCs/>
                <w:color w:val="auto"/>
                <w:kern w:val="0"/>
                <w:szCs w:val="21"/>
                <w:highlight w:val="none"/>
              </w:rPr>
              <w:t>▲（1）配备与肺功能测试系统同一生产厂家生产的气道过敏反应测试系统（投标人于投标文件中必须提供相关有效证明材料，可以是该装置的医疗器械注册证等，并加盖投标人公章）。</w:t>
            </w:r>
          </w:p>
          <w:p w14:paraId="30B7D014">
            <w:pPr>
              <w:widowControl/>
              <w:spacing w:line="350" w:lineRule="exact"/>
              <w:jc w:val="left"/>
              <w:rPr>
                <w:rFonts w:ascii="宋体" w:hAnsi="宋体" w:cs="宋体"/>
                <w:b/>
                <w:bCs/>
                <w:color w:val="auto"/>
                <w:kern w:val="0"/>
                <w:szCs w:val="21"/>
                <w:highlight w:val="none"/>
              </w:rPr>
            </w:pPr>
            <w:r>
              <w:rPr>
                <w:rFonts w:hint="eastAsia" w:ascii="宋体" w:hAnsi="宋体" w:cs="宋体"/>
                <w:b/>
                <w:bCs/>
                <w:color w:val="auto"/>
                <w:highlight w:val="none"/>
              </w:rPr>
              <w:t>▲（2）用于定量雾化吸入法支气管激发测试，系统可通过肺功能测试软件控制药物雾化的剂量、时间，实现精准雾化，定量雾化装置的工作压力最大1.9 bar，雾化颗粒大小2-5 µm，雾化速率最大0.38ml/min。</w:t>
            </w:r>
          </w:p>
          <w:p w14:paraId="6131F9CC">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（四）系统及数据连接</w:t>
            </w:r>
          </w:p>
          <w:p w14:paraId="6507ED89">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1.传输连接：支持USB/RS232数据线传输。</w:t>
            </w:r>
          </w:p>
          <w:p w14:paraId="3855A95D">
            <w:pPr>
              <w:widowControl/>
              <w:spacing w:line="35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2.系统连接：配备肺功能测试系统软件，包括：电脑端软件；支持电脑端测试数据上存至服务器端保存。</w:t>
            </w:r>
          </w:p>
          <w:p w14:paraId="34723C33">
            <w:pPr>
              <w:widowControl/>
              <w:spacing w:line="350" w:lineRule="exact"/>
              <w:jc w:val="lef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（五）配置清单（包括但不限于以下内容）：</w:t>
            </w:r>
          </w:p>
          <w:p w14:paraId="6C8249E3">
            <w:pPr>
              <w:widowControl/>
              <w:spacing w:line="350" w:lineRule="exact"/>
              <w:jc w:val="lef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1.主机1台。</w:t>
            </w:r>
          </w:p>
          <w:p w14:paraId="45A2DD2E">
            <w:pPr>
              <w:widowControl/>
              <w:spacing w:line="350" w:lineRule="exact"/>
              <w:jc w:val="lef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2.超声流量传感器1套。</w:t>
            </w:r>
          </w:p>
          <w:p w14:paraId="7ECF8086">
            <w:pPr>
              <w:widowControl/>
              <w:spacing w:line="350" w:lineRule="exact"/>
              <w:jc w:val="lef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3.过滤器50个。</w:t>
            </w:r>
          </w:p>
          <w:p w14:paraId="21C7156C">
            <w:pPr>
              <w:widowControl/>
              <w:spacing w:line="350" w:lineRule="exact"/>
              <w:jc w:val="lef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4.气道过敏反应测试系统1套。</w:t>
            </w:r>
          </w:p>
          <w:p w14:paraId="7472DC0A">
            <w:pPr>
              <w:pStyle w:val="16"/>
              <w:spacing w:line="350" w:lineRule="exac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5.配套数据工作站1台。</w:t>
            </w:r>
          </w:p>
          <w:p w14:paraId="512CACAF">
            <w:pPr>
              <w:widowControl/>
              <w:spacing w:line="350" w:lineRule="exact"/>
              <w:jc w:val="lef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6.台车1台。</w:t>
            </w:r>
          </w:p>
          <w:p w14:paraId="3ECECADC">
            <w:pPr>
              <w:widowControl/>
              <w:spacing w:line="350" w:lineRule="exact"/>
              <w:jc w:val="lef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7.专用配套显示器1台。</w:t>
            </w:r>
          </w:p>
          <w:p w14:paraId="36871C47">
            <w:pPr>
              <w:widowControl/>
              <w:spacing w:line="350" w:lineRule="exact"/>
              <w:jc w:val="lef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8.</w:t>
            </w:r>
            <w:r>
              <w:rPr>
                <w:rFonts w:hint="eastAsia" w:ascii="宋体" w:hAnsi="宋体" w:cs="宋体"/>
                <w:b w:val="0"/>
                <w:bCs w:val="0"/>
                <w:color w:val="auto"/>
                <w:highlight w:val="none"/>
              </w:rPr>
              <w:t>配套数据工作站软件</w:t>
            </w:r>
            <w:r>
              <w:rPr>
                <w:rFonts w:hint="eastAsia" w:ascii="宋体" w:hAnsi="宋体" w:cs="宋体"/>
                <w:b w:val="0"/>
                <w:bCs w:val="0"/>
                <w:color w:val="auto"/>
                <w:kern w:val="0"/>
                <w:szCs w:val="21"/>
                <w:highlight w:val="none"/>
              </w:rPr>
              <w:t>1套。</w:t>
            </w:r>
          </w:p>
          <w:p w14:paraId="671FED6B">
            <w:pPr>
              <w:widowControl/>
              <w:spacing w:line="350" w:lineRule="exact"/>
              <w:jc w:val="lef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9</w:t>
            </w:r>
            <w:r>
              <w:rPr>
                <w:rFonts w:hint="eastAsia" w:ascii="宋体" w:hAnsi="宋体" w:cs="宋体"/>
                <w:b w:val="0"/>
                <w:bCs w:val="0"/>
                <w:color w:val="auto"/>
                <w:highlight w:val="none"/>
              </w:rPr>
              <w:t>.配套鼠标及键盘1套</w:t>
            </w:r>
            <w:r>
              <w:rPr>
                <w:rFonts w:hint="eastAsia" w:ascii="宋体" w:hAnsi="宋体" w:cs="宋体"/>
                <w:b w:val="0"/>
                <w:bCs w:val="0"/>
                <w:color w:val="auto"/>
                <w:kern w:val="0"/>
                <w:szCs w:val="21"/>
                <w:highlight w:val="none"/>
              </w:rPr>
              <w:t>。</w:t>
            </w:r>
          </w:p>
          <w:p w14:paraId="76BE2A25">
            <w:pPr>
              <w:widowControl/>
              <w:spacing w:line="350" w:lineRule="exact"/>
              <w:jc w:val="lef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10.说明书1本。</w:t>
            </w:r>
          </w:p>
          <w:p w14:paraId="4EC72275">
            <w:pPr>
              <w:widowControl/>
              <w:spacing w:line="350" w:lineRule="exact"/>
              <w:jc w:val="lef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11.合格证1张。</w:t>
            </w:r>
          </w:p>
          <w:p w14:paraId="572CC914">
            <w:pPr>
              <w:widowControl/>
              <w:spacing w:line="350" w:lineRule="exact"/>
              <w:jc w:val="lef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12.保修卡1张。</w:t>
            </w:r>
          </w:p>
          <w:p w14:paraId="553003FD">
            <w:pPr>
              <w:widowControl/>
              <w:spacing w:line="350" w:lineRule="exact"/>
              <w:jc w:val="lef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13.定标桶（3L）1个。</w:t>
            </w:r>
          </w:p>
          <w:p w14:paraId="444251B2">
            <w:pPr>
              <w:widowControl/>
              <w:spacing w:line="350" w:lineRule="exact"/>
              <w:jc w:val="lef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14.配套激光输入输出设备1台。</w:t>
            </w:r>
          </w:p>
          <w:p w14:paraId="3ACC62D7">
            <w:pPr>
              <w:widowControl/>
              <w:spacing w:line="350" w:lineRule="exact"/>
              <w:jc w:val="lef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15.一氧化氮检测仪1套。</w:t>
            </w:r>
          </w:p>
          <w:p w14:paraId="3F7A9679">
            <w:pPr>
              <w:tabs>
                <w:tab w:val="left" w:pos="180"/>
                <w:tab w:val="left" w:pos="1620"/>
              </w:tabs>
              <w:adjustRightInd w:val="0"/>
              <w:snapToGrid w:val="0"/>
              <w:spacing w:line="350" w:lineRule="exact"/>
              <w:jc w:val="left"/>
              <w:rPr>
                <w:rFonts w:ascii="宋体" w:hAnsi="宋体" w:cs="宋体"/>
                <w:color w:val="auto"/>
                <w:highlight w:val="none"/>
              </w:rPr>
            </w:pPr>
            <w:r>
              <w:rPr>
                <w:rFonts w:hint="eastAsia" w:ascii="宋体" w:hAnsi="宋体" w:cs="宋体"/>
                <w:b/>
                <w:color w:val="auto"/>
                <w:highlight w:val="none"/>
              </w:rPr>
              <w:t>▲（六）</w:t>
            </w:r>
            <w:r>
              <w:rPr>
                <w:rFonts w:hint="eastAsia" w:ascii="宋体" w:hAnsi="宋体" w:cs="宋体"/>
                <w:b/>
                <w:color w:val="auto"/>
                <w:szCs w:val="21"/>
                <w:highlight w:val="none"/>
              </w:rPr>
              <w:t>投标人于投标文件中必须提供所投本分标产品相应、完整且有效的《医疗器械产品注册证》复印件，并加盖投标人电子签章。</w:t>
            </w:r>
          </w:p>
        </w:tc>
      </w:tr>
      <w:tr w14:paraId="5DF94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Pr>
          <w:p w14:paraId="146A95F6">
            <w:pPr>
              <w:adjustRightInd w:val="0"/>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▲二、商务要求</w:t>
            </w:r>
          </w:p>
        </w:tc>
      </w:tr>
      <w:tr w14:paraId="27847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539ECA44">
            <w:pPr>
              <w:spacing w:line="350" w:lineRule="exact"/>
              <w:jc w:val="center"/>
              <w:rPr>
                <w:rFonts w:ascii="宋体" w:hAnsi="宋体" w:cs="宋体"/>
                <w:b/>
                <w:color w:val="auto"/>
                <w:szCs w:val="21"/>
                <w:highlight w:val="none"/>
              </w:rPr>
            </w:pPr>
            <w:r>
              <w:rPr>
                <w:rFonts w:hint="eastAsia" w:ascii="宋体" w:hAnsi="宋体" w:cs="宋体"/>
                <w:b/>
                <w:bCs/>
                <w:color w:val="auto"/>
                <w:szCs w:val="21"/>
                <w:highlight w:val="none"/>
              </w:rPr>
              <w:t>（一）售后服务基本要求</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76B53E1D">
            <w:pPr>
              <w:spacing w:line="350" w:lineRule="exact"/>
              <w:jc w:val="left"/>
              <w:rPr>
                <w:rFonts w:ascii="宋体" w:hAnsi="宋体" w:cs="宋体"/>
                <w:color w:val="auto"/>
                <w:szCs w:val="21"/>
                <w:highlight w:val="none"/>
              </w:rPr>
            </w:pPr>
            <w:r>
              <w:rPr>
                <w:rFonts w:hint="eastAsia" w:ascii="宋体" w:hAnsi="宋体" w:cs="宋体"/>
                <w:bCs/>
                <w:color w:val="auto"/>
                <w:highlight w:val="none"/>
              </w:rPr>
              <w:t>投标人提供的以下售后服务产生的费用均应综合包含在投标报价中，采购人不再就此另行</w:t>
            </w:r>
            <w:r>
              <w:rPr>
                <w:rFonts w:hint="eastAsia" w:ascii="宋体" w:hAnsi="宋体" w:cs="宋体"/>
                <w:color w:val="auto"/>
                <w:highlight w:val="none"/>
              </w:rPr>
              <w:t>支付任何费用</w:t>
            </w:r>
            <w:r>
              <w:rPr>
                <w:rFonts w:hint="eastAsia" w:ascii="宋体" w:hAnsi="宋体" w:cs="宋体"/>
                <w:bCs/>
                <w:color w:val="auto"/>
                <w:highlight w:val="none"/>
              </w:rPr>
              <w:t>：</w:t>
            </w:r>
          </w:p>
          <w:p w14:paraId="3E2815AF">
            <w:pPr>
              <w:spacing w:line="350" w:lineRule="exact"/>
              <w:jc w:val="left"/>
              <w:rPr>
                <w:rFonts w:ascii="宋体" w:hAnsi="宋体" w:cs="宋体"/>
                <w:bCs/>
                <w:color w:val="auto"/>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保修期：按国家有关产品“三包”规定执行“三包”；保修期不得少于</w:t>
            </w:r>
            <w:r>
              <w:rPr>
                <w:rFonts w:hint="eastAsia" w:ascii="宋体" w:hAnsi="宋体" w:cs="宋体"/>
                <w:bCs/>
                <w:color w:val="auto"/>
                <w:szCs w:val="21"/>
                <w:highlight w:val="none"/>
                <w:u w:val="single"/>
              </w:rPr>
              <w:t>5</w:t>
            </w:r>
            <w:r>
              <w:rPr>
                <w:rFonts w:hint="eastAsia" w:ascii="宋体" w:hAnsi="宋体" w:cs="宋体"/>
                <w:bCs/>
                <w:color w:val="auto"/>
                <w:szCs w:val="21"/>
                <w:highlight w:val="none"/>
              </w:rPr>
              <w:t>年（保</w:t>
            </w:r>
            <w:r>
              <w:rPr>
                <w:rFonts w:hint="eastAsia" w:ascii="宋体" w:hAnsi="宋体" w:cs="宋体"/>
                <w:bCs/>
                <w:color w:val="auto"/>
                <w:highlight w:val="none"/>
              </w:rPr>
              <w:t>修期从设备验收合格之日起计算）</w:t>
            </w:r>
            <w:r>
              <w:rPr>
                <w:rFonts w:hint="eastAsia" w:ascii="宋体" w:hAnsi="宋体" w:cs="宋体"/>
                <w:bCs/>
                <w:color w:val="auto"/>
                <w:szCs w:val="21"/>
                <w:highlight w:val="none"/>
              </w:rPr>
              <w:t>，保修期内上门维修不收取任何费用</w:t>
            </w:r>
            <w:r>
              <w:rPr>
                <w:rFonts w:hint="eastAsia" w:ascii="宋体" w:hAnsi="宋体" w:cs="宋体"/>
                <w:bCs/>
                <w:color w:val="auto"/>
                <w:highlight w:val="none"/>
              </w:rPr>
              <w:t>。</w:t>
            </w:r>
          </w:p>
          <w:p w14:paraId="2F274204">
            <w:pPr>
              <w:spacing w:line="350" w:lineRule="exact"/>
              <w:jc w:val="left"/>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Cs/>
                <w:color w:val="auto"/>
                <w:szCs w:val="21"/>
                <w:highlight w:val="none"/>
              </w:rPr>
              <w:t>采购范围内的货物</w:t>
            </w:r>
            <w:r>
              <w:rPr>
                <w:rFonts w:hint="eastAsia" w:ascii="宋体" w:hAnsi="宋体" w:cs="宋体"/>
                <w:bCs/>
                <w:color w:val="auto"/>
                <w:highlight w:val="none"/>
              </w:rPr>
              <w:t>送货上门、安装调试合格(仪器到货后1周内到用户处安装调试)，提供技术及使用培训服务（负责培训 1~2 名操作人员直至能完全独立操作），保证操作人员能正常操作设备的各种功能；若设备自带软件，则在保修期内提供升级服务（采购人不再另行支付费用）。</w:t>
            </w:r>
          </w:p>
          <w:p w14:paraId="2AE914B7">
            <w:pPr>
              <w:spacing w:line="350" w:lineRule="exact"/>
              <w:jc w:val="left"/>
              <w:rPr>
                <w:rFonts w:ascii="宋体" w:hAnsi="宋体" w:cs="宋体"/>
                <w:bCs/>
                <w:color w:val="auto"/>
                <w:highlight w:val="none"/>
              </w:rPr>
            </w:pPr>
            <w:r>
              <w:rPr>
                <w:rFonts w:hint="eastAsia" w:ascii="宋体" w:hAnsi="宋体" w:cs="宋体"/>
                <w:bCs/>
                <w:color w:val="auto"/>
                <w:highlight w:val="none"/>
              </w:rPr>
              <w:t>3.保修期内仪器设备出现故障，在接到电话通知后，2小时内做出响应，48小时内到达维修现场。一般问题应在72小时内解决。重大问题或其它无法迅速解决的问题应在一周内解决，否则须在二个工作日内提供与原设备技术参数要求相同或高于原设备技术参数要求的备用设备，以保证采购人的正常工作。</w:t>
            </w:r>
          </w:p>
          <w:p w14:paraId="6740D6AA">
            <w:pPr>
              <w:spacing w:line="350" w:lineRule="exact"/>
              <w:jc w:val="left"/>
              <w:rPr>
                <w:rFonts w:ascii="宋体" w:hAnsi="宋体" w:cs="宋体"/>
                <w:bCs/>
                <w:color w:val="auto"/>
                <w:highlight w:val="none"/>
              </w:rPr>
            </w:pPr>
            <w:r>
              <w:rPr>
                <w:rFonts w:hint="eastAsia" w:ascii="宋体" w:hAnsi="宋体" w:cs="宋体"/>
                <w:bCs/>
                <w:color w:val="auto"/>
                <w:highlight w:val="none"/>
              </w:rPr>
              <w:t>4.提供每半年一次定期回访以及对设备维护服务。</w:t>
            </w:r>
          </w:p>
          <w:p w14:paraId="224E551E">
            <w:pPr>
              <w:spacing w:line="350" w:lineRule="exact"/>
              <w:jc w:val="left"/>
              <w:rPr>
                <w:rFonts w:ascii="宋体" w:hAnsi="宋体" w:cs="宋体"/>
                <w:color w:val="auto"/>
                <w:highlight w:val="none"/>
              </w:rPr>
            </w:pPr>
            <w:r>
              <w:rPr>
                <w:rFonts w:hint="eastAsia" w:ascii="宋体" w:hAnsi="宋体" w:cs="宋体"/>
                <w:bCs/>
                <w:color w:val="auto"/>
                <w:highlight w:val="none"/>
              </w:rPr>
              <w:t>5.提供维修密码及所附软件在该项目的永久使用权并承担相应费用。</w:t>
            </w:r>
          </w:p>
        </w:tc>
      </w:tr>
      <w:tr w14:paraId="37753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75C6DA35">
            <w:pPr>
              <w:adjustRightInd w:val="0"/>
              <w:snapToGrid w:val="0"/>
              <w:spacing w:line="350" w:lineRule="exact"/>
              <w:jc w:val="center"/>
              <w:rPr>
                <w:rFonts w:ascii="宋体" w:hAnsi="宋体" w:cs="宋体"/>
                <w:b/>
                <w:color w:val="auto"/>
                <w:szCs w:val="21"/>
                <w:highlight w:val="none"/>
              </w:rPr>
            </w:pPr>
            <w:r>
              <w:rPr>
                <w:rFonts w:hint="eastAsia" w:ascii="宋体" w:hAnsi="宋体" w:cs="宋体"/>
                <w:b/>
                <w:color w:val="auto"/>
                <w:szCs w:val="21"/>
                <w:highlight w:val="none"/>
              </w:rPr>
              <w:t>（二）合同签订时间</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24277EFC">
            <w:pPr>
              <w:adjustRightInd w:val="0"/>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自中标通知书发出之日起 25日内签订采购合同。</w:t>
            </w:r>
          </w:p>
        </w:tc>
      </w:tr>
      <w:tr w14:paraId="7E326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0EA5BD61">
            <w:pPr>
              <w:adjustRightInd w:val="0"/>
              <w:snapToGrid w:val="0"/>
              <w:spacing w:line="350" w:lineRule="exact"/>
              <w:jc w:val="center"/>
              <w:rPr>
                <w:rFonts w:ascii="宋体" w:hAnsi="宋体" w:cs="宋体"/>
                <w:b/>
                <w:color w:val="auto"/>
                <w:szCs w:val="21"/>
                <w:highlight w:val="none"/>
              </w:rPr>
            </w:pPr>
            <w:r>
              <w:rPr>
                <w:rFonts w:hint="eastAsia" w:ascii="宋体" w:hAnsi="宋体" w:cs="宋体"/>
                <w:b/>
                <w:color w:val="auto"/>
                <w:szCs w:val="21"/>
                <w:highlight w:val="none"/>
              </w:rPr>
              <w:t>（三）交付时间和地点</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065D43EA">
            <w:pPr>
              <w:adjustRightInd w:val="0"/>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1.交付时间：自签订合同之日起30个工作日内到货并安装调试完毕。</w:t>
            </w:r>
          </w:p>
          <w:p w14:paraId="18F88215">
            <w:pPr>
              <w:adjustRightInd w:val="0"/>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2.交付地点：广西桂林市采购人</w:t>
            </w:r>
            <w:r>
              <w:rPr>
                <w:rFonts w:hint="eastAsia" w:ascii="宋体" w:hAnsi="宋体" w:cs="宋体"/>
                <w:b/>
                <w:color w:val="auto"/>
                <w:szCs w:val="21"/>
                <w:highlight w:val="none"/>
                <w:lang w:eastAsia="zh-CN"/>
              </w:rPr>
              <w:t>医院内</w:t>
            </w:r>
            <w:r>
              <w:rPr>
                <w:rFonts w:hint="eastAsia" w:ascii="宋体" w:hAnsi="宋体" w:cs="宋体"/>
                <w:b/>
                <w:color w:val="auto"/>
                <w:szCs w:val="21"/>
                <w:highlight w:val="none"/>
              </w:rPr>
              <w:t>指定地点。</w:t>
            </w:r>
          </w:p>
        </w:tc>
      </w:tr>
      <w:tr w14:paraId="6B2F1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3F55BEA3">
            <w:pPr>
              <w:spacing w:line="350" w:lineRule="exact"/>
              <w:jc w:val="center"/>
              <w:rPr>
                <w:rFonts w:ascii="宋体" w:hAnsi="宋体" w:cs="宋体"/>
                <w:b/>
                <w:color w:val="auto"/>
                <w:szCs w:val="21"/>
                <w:highlight w:val="none"/>
              </w:rPr>
            </w:pPr>
            <w:r>
              <w:rPr>
                <w:rFonts w:hint="eastAsia" w:ascii="宋体" w:hAnsi="宋体" w:cs="宋体"/>
                <w:b/>
                <w:color w:val="auto"/>
                <w:szCs w:val="21"/>
                <w:highlight w:val="none"/>
              </w:rPr>
              <w:t>（四）付款方式</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40AA8828">
            <w:pPr>
              <w:adjustRightInd w:val="0"/>
              <w:snapToGrid w:val="0"/>
              <w:spacing w:line="350" w:lineRule="exact"/>
              <w:rPr>
                <w:rFonts w:ascii="宋体" w:hAnsi="宋体" w:cs="宋体"/>
                <w:b/>
                <w:color w:val="auto"/>
                <w:szCs w:val="21"/>
                <w:highlight w:val="none"/>
              </w:rPr>
            </w:pPr>
            <w:r>
              <w:rPr>
                <w:rFonts w:hint="eastAsia" w:ascii="宋体" w:hAnsi="宋体" w:cs="宋体"/>
                <w:color w:val="auto"/>
                <w:highlight w:val="none"/>
              </w:rPr>
              <w:t>本分标预付款为合同总金额的30%，在合同生效以及具备实施条件后，采购人30个工作日内支付预付款；设备验收合格正常运转30个工作日内，采购人支付合同价款的70%（无息）。在设备验收合格正常运转30个工作日内，中标人必须向采购人提供符合国家规定及采购人要求的全额有效的税务发票，采购人未收到发票的，有权不予支付相应款项直至中标人提供合格发票，并不承担延迟付款责任。发票认证通过是付款的必要前提之一。</w:t>
            </w:r>
          </w:p>
        </w:tc>
      </w:tr>
      <w:tr w14:paraId="2EB5F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31DAD1D0">
            <w:pPr>
              <w:adjustRightInd w:val="0"/>
              <w:snapToGrid w:val="0"/>
              <w:spacing w:line="35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（五）包装和运输</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5AAEBBDF">
            <w:pPr>
              <w:adjustRightInd w:val="0"/>
              <w:snapToGrid w:val="0"/>
              <w:spacing w:line="35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1.中标人提供的货物均要求为原厂原包装，包装完好完整、无破损、未开封。国家对包装及运输有相关强制性标准或要求的，中标人应当执行。</w:t>
            </w:r>
          </w:p>
          <w:p w14:paraId="31CDBDF8">
            <w:pPr>
              <w:adjustRightInd w:val="0"/>
              <w:snapToGrid w:val="0"/>
              <w:spacing w:line="35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2.中标人的包装及运输应综合考虑运输距离、防水、防潮、防震、防锈和防破损装卸等要求，以保证货物安全、完好运达采购人指定地点。国家对包装及运输有相关强制性标准或要求的，中标人应当执行。</w:t>
            </w:r>
          </w:p>
          <w:p w14:paraId="03D15A41">
            <w:pPr>
              <w:adjustRightInd w:val="0"/>
              <w:snapToGrid w:val="0"/>
              <w:spacing w:line="35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3.货物的使用说明书（货物属于进口产品的，供货时应同时附上中文使用说明书）、质量检验证明书、质量合格证、随配附件和工具以及清单一并附于货物包装内。</w:t>
            </w:r>
          </w:p>
          <w:p w14:paraId="2892FA66">
            <w:pPr>
              <w:adjustRightInd w:val="0"/>
              <w:snapToGrid w:val="0"/>
              <w:spacing w:line="35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4.产品（含包装）运抵采购人指定交付地点并经采购人验收合格前发生损坏及相关风险，相关损失由中标人自行承担。</w:t>
            </w:r>
          </w:p>
          <w:p w14:paraId="7F8EB38F">
            <w:pPr>
              <w:adjustRightInd w:val="0"/>
              <w:snapToGrid w:val="0"/>
              <w:spacing w:line="35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5.中标人负责货物运输，货物运输合理损耗及计算方法：由中标人负责。</w:t>
            </w:r>
          </w:p>
          <w:p w14:paraId="4698BE47">
            <w:pPr>
              <w:adjustRightInd w:val="0"/>
              <w:snapToGrid w:val="0"/>
              <w:spacing w:line="35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6.中标人在货物发运手续办理完毕后二十四小时内或货到采购人四十八小时前通知采购人，以准备接货。</w:t>
            </w:r>
          </w:p>
          <w:p w14:paraId="4EF84AB5">
            <w:pPr>
              <w:adjustRightInd w:val="0"/>
              <w:snapToGrid w:val="0"/>
              <w:spacing w:line="35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7.中标人应将所提供货物的装箱清单、用户手册、原厂保修卡、随机资料、工具和备品、备件等一并交付给采购人，如有缺失应及时补齐，否则视为逾期交货。</w:t>
            </w:r>
          </w:p>
        </w:tc>
      </w:tr>
      <w:tr w14:paraId="417A2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14E52445">
            <w:pPr>
              <w:adjustRightInd w:val="0"/>
              <w:snapToGrid w:val="0"/>
              <w:spacing w:line="35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（六）保险</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3CF04CD2">
            <w:pPr>
              <w:adjustRightInd w:val="0"/>
              <w:snapToGrid w:val="0"/>
              <w:spacing w:line="350" w:lineRule="exact"/>
              <w:rPr>
                <w:rFonts w:ascii="宋体" w:hAnsi="宋体" w:cs="宋体"/>
                <w:b/>
                <w:color w:val="auto"/>
                <w:szCs w:val="21"/>
                <w:highlight w:val="none"/>
              </w:rPr>
            </w:pPr>
            <w:r>
              <w:rPr>
                <w:rFonts w:hint="eastAsia" w:ascii="宋体" w:hAnsi="宋体" w:cs="宋体"/>
                <w:b/>
                <w:bCs/>
                <w:color w:val="auto"/>
                <w:kern w:val="0"/>
                <w:szCs w:val="21"/>
                <w:highlight w:val="none"/>
              </w:rPr>
              <w:t>若投标人为本项目标的及标的涉及的相关材料、设备、人员、运输等购买保险的，相关费用由投标人自行承担。</w:t>
            </w:r>
          </w:p>
        </w:tc>
      </w:tr>
      <w:tr w14:paraId="232FC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7D9A14A0">
            <w:pPr>
              <w:widowControl/>
              <w:spacing w:line="35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（七）验收标准</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2012D1AE">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1.履约验收时间：</w:t>
            </w:r>
          </w:p>
          <w:p w14:paraId="05BE0EB5">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（1）初步验收：标的到达采购人指定地点之日起7个工作日内。</w:t>
            </w:r>
          </w:p>
          <w:p w14:paraId="5F5C5298">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（2）交付验收：标的安装调试完毕之日起7个工作日内。</w:t>
            </w:r>
          </w:p>
          <w:p w14:paraId="5B547313">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（3）最终验收：中标人履行完合同约定的应当由中标人履行的全部事项之日起7个工作日内。</w:t>
            </w:r>
          </w:p>
          <w:p w14:paraId="398804C2">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2.履约验收程序：</w:t>
            </w:r>
          </w:p>
          <w:p w14:paraId="3DD78604">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标的到达采购人指定地点，采购人在规定的时间内进行初步验收；初步验收合格、标的安装调试完毕后，采购人在规定的时间内进行交付验收；交付验收合格，中标人履行完合同约定的应当由中标人履行的全部事项之日起7个工作日内进行最终验收。</w:t>
            </w:r>
          </w:p>
          <w:p w14:paraId="47576A8A">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3.履约验收内容：</w:t>
            </w:r>
          </w:p>
          <w:p w14:paraId="441219F2">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采购人依据招标文件要求、中标人的投标承诺以及国家有关质量标准，就中标人提供对标的每一项技术、商务要求等相关内容进行验收。</w:t>
            </w:r>
          </w:p>
          <w:p w14:paraId="45949205">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4.履约验收标准：</w:t>
            </w:r>
          </w:p>
          <w:p w14:paraId="7B589C2F">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（1）初步验收：</w:t>
            </w:r>
          </w:p>
          <w:p w14:paraId="7A355648">
            <w:pPr>
              <w:spacing w:line="350" w:lineRule="exact"/>
              <w:jc w:val="left"/>
              <w:rPr>
                <w:rFonts w:ascii="宋体" w:hAnsi="宋体" w:cs="宋体"/>
                <w:b/>
                <w:color w:val="auto"/>
                <w:szCs w:val="21"/>
                <w:highlight w:val="none"/>
              </w:rPr>
            </w:pPr>
            <w:r>
              <w:rPr>
                <w:rFonts w:hint="eastAsia" w:ascii="宋体" w:hAnsi="宋体" w:cs="宋体"/>
                <w:b/>
                <w:color w:val="auto"/>
                <w:szCs w:val="21"/>
                <w:highlight w:val="none"/>
              </w:rPr>
              <w:t>标的在规定的时间内到货，标的（含包装）完整、完好，与投标承诺的产品（制造商、品牌、规格型号等）一致，标的无明显瑕疵、无损坏，装箱清单、用户手册、原厂保修卡、安装操作使用和维护手册、随机资料等所有技术资料、工具和备品、软件备份、故障代码表、备件齐全。全部满足以上情形的，视为初步验收合格，标的不符合上述情形的，采购人在初步验收后七个工作日内以书面形式向中标人提出，中标人应自收到采购人书面异议后七个工作日内及时予以解决，否则，视为初步验收不合格，不予进行交付验收。</w:t>
            </w:r>
          </w:p>
          <w:p w14:paraId="3917FA7F">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（2）交付验收：</w:t>
            </w:r>
          </w:p>
          <w:p w14:paraId="159EF2F7">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标的的技术指标与中标人的投标承诺一致或更高，且满足招标文件全部实质性要求，视为交付验收合格。标的不符合上述情形的，采购人在交付验收后七个工作日内以书面形式向中标人提出，中标人应自收到采购人书面异议后七个工作日内及时予以解决，否则，视为交付验收不合格。</w:t>
            </w:r>
          </w:p>
          <w:p w14:paraId="269D8579">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（3）最终验收：</w:t>
            </w:r>
          </w:p>
          <w:p w14:paraId="766338ED">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标的交付验收合格投入使用后，中标人提供的售后服务与其投标承诺一致或更优，且中标人履行完合同约定的应当由中标人履行的全部事项，视为最终验收合格。</w:t>
            </w:r>
          </w:p>
          <w:p w14:paraId="71AD9939">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5.其他事项：</w:t>
            </w:r>
          </w:p>
          <w:p w14:paraId="4B7B51C7">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（1）验收时，采购人与中标人双方应当派员在场，并对验收结果签署意见，否则视为其同意验收结果。</w:t>
            </w:r>
          </w:p>
          <w:p w14:paraId="40D4F8E6">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2）由于中标人的原因造成采购人验收不合格、影响采购人正常使用的，由此造成的损失由中标人承担。初步验收或交付验收不合格的，采购人有权终止合同并全部退货，同时报相关监督管理部门处理，由此造成采购人经济损失的由中标人负责承担全部赔偿责任。</w:t>
            </w:r>
          </w:p>
          <w:p w14:paraId="50576D7C">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（3）对技术复杂的货物，采购人可请国家认可的专业检测机构参与初步验收及交付验收，并由其出具质量检测报告，费用由中标人承担。</w:t>
            </w:r>
          </w:p>
          <w:p w14:paraId="2C359832">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（4）验收过程中所产生的一切费用均由中标人承担，投标人在投标报价时应综合考虑相关费用。</w:t>
            </w:r>
          </w:p>
          <w:p w14:paraId="52170B1F">
            <w:pPr>
              <w:snapToGrid w:val="0"/>
              <w:spacing w:line="350" w:lineRule="exact"/>
              <w:rPr>
                <w:rFonts w:ascii="宋体" w:hAnsi="宋体" w:cs="宋体"/>
                <w:color w:val="auto"/>
                <w:szCs w:val="21"/>
                <w:highlight w:val="none"/>
              </w:rPr>
            </w:pPr>
            <w:r>
              <w:rPr>
                <w:rFonts w:hint="eastAsia" w:ascii="宋体" w:hAnsi="宋体" w:cs="宋体"/>
                <w:b/>
                <w:color w:val="auto"/>
                <w:szCs w:val="21"/>
                <w:highlight w:val="none"/>
              </w:rPr>
              <w:t>（5）采购人产品的验收不免除中标人的质量保证责任。</w:t>
            </w:r>
          </w:p>
        </w:tc>
      </w:tr>
      <w:tr w14:paraId="4B130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253471FC">
            <w:pPr>
              <w:spacing w:line="350" w:lineRule="exact"/>
              <w:jc w:val="center"/>
              <w:rPr>
                <w:rFonts w:ascii="宋体" w:hAnsi="宋体" w:cs="宋体"/>
                <w:b/>
                <w:color w:val="auto"/>
                <w:szCs w:val="21"/>
                <w:highlight w:val="none"/>
              </w:rPr>
            </w:pPr>
            <w:r>
              <w:rPr>
                <w:rFonts w:hint="eastAsia" w:ascii="宋体" w:hAnsi="宋体" w:cs="宋体"/>
                <w:b/>
                <w:color w:val="auto"/>
                <w:szCs w:val="21"/>
                <w:highlight w:val="none"/>
              </w:rPr>
              <w:t>（八）知识产权</w:t>
            </w:r>
          </w:p>
        </w:tc>
        <w:tc>
          <w:tcPr>
            <w:tcW w:w="3041" w:type="pct"/>
            <w:gridSpan w:val="2"/>
            <w:tcBorders>
              <w:top w:val="single" w:color="auto" w:sz="4" w:space="0"/>
              <w:left w:val="single" w:color="auto" w:sz="4" w:space="0"/>
              <w:bottom w:val="single" w:color="auto" w:sz="4" w:space="0"/>
              <w:right w:val="single" w:color="auto" w:sz="4" w:space="0"/>
            </w:tcBorders>
          </w:tcPr>
          <w:p w14:paraId="6F22AFBD">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1.采购人在履行合同过程中提供给中标人的全部文件和其他含有数据和信息的资料，其知识产权属于采购人。</w:t>
            </w:r>
          </w:p>
          <w:p w14:paraId="34A18CF9">
            <w:pPr>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2.除招标文件采购需求另有约定外，采购人不因签署和履行合同而享有中标人在履行合同过程中提供给采购人的文件、配套软件、电子辅助程序和其他含有数据和信息的资料的知识产权。</w:t>
            </w:r>
          </w:p>
          <w:p w14:paraId="416FC251">
            <w:pPr>
              <w:spacing w:line="350" w:lineRule="exact"/>
              <w:jc w:val="left"/>
              <w:rPr>
                <w:rFonts w:ascii="宋体" w:hAnsi="宋体" w:cs="宋体"/>
                <w:color w:val="auto"/>
                <w:szCs w:val="21"/>
                <w:highlight w:val="none"/>
              </w:rPr>
            </w:pPr>
            <w:r>
              <w:rPr>
                <w:rFonts w:hint="eastAsia" w:ascii="宋体" w:hAnsi="宋体" w:cs="宋体"/>
                <w:b/>
                <w:color w:val="auto"/>
                <w:szCs w:val="21"/>
                <w:highlight w:val="none"/>
              </w:rPr>
              <w:t>3.中标人应保证所提供货物在使用时不会侵犯任何第三方的知识产权或者其他权利。如合同货物涉及知识产权，则中标人保证采购人在使用合同货物过程中免于受到第三方提出的有关知识产权侵权的主张、索赔或诉讼的伤害。</w:t>
            </w:r>
          </w:p>
        </w:tc>
      </w:tr>
      <w:tr w14:paraId="41F1B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26D9FF96">
            <w:pPr>
              <w:spacing w:line="350" w:lineRule="exact"/>
              <w:jc w:val="center"/>
              <w:rPr>
                <w:rFonts w:ascii="宋体" w:hAnsi="宋体" w:cs="宋体"/>
                <w:b/>
                <w:color w:val="auto"/>
                <w:szCs w:val="21"/>
                <w:highlight w:val="none"/>
              </w:rPr>
            </w:pPr>
            <w:r>
              <w:rPr>
                <w:rFonts w:hint="eastAsia" w:ascii="宋体" w:hAnsi="宋体" w:cs="宋体"/>
                <w:b/>
                <w:color w:val="auto"/>
                <w:szCs w:val="21"/>
                <w:highlight w:val="none"/>
              </w:rPr>
              <w:t>（九）违约责任</w:t>
            </w:r>
          </w:p>
        </w:tc>
        <w:tc>
          <w:tcPr>
            <w:tcW w:w="3041" w:type="pct"/>
            <w:gridSpan w:val="2"/>
            <w:tcBorders>
              <w:top w:val="single" w:color="auto" w:sz="4" w:space="0"/>
              <w:left w:val="single" w:color="auto" w:sz="4" w:space="0"/>
              <w:bottom w:val="single" w:color="auto" w:sz="4" w:space="0"/>
              <w:right w:val="single" w:color="auto" w:sz="4" w:space="0"/>
            </w:tcBorders>
          </w:tcPr>
          <w:p w14:paraId="3F0EE0AA">
            <w:pPr>
              <w:spacing w:line="350" w:lineRule="exact"/>
              <w:rPr>
                <w:rFonts w:ascii="宋体" w:hAnsi="宋体" w:cs="宋体"/>
                <w:b/>
                <w:color w:val="auto"/>
                <w:szCs w:val="21"/>
                <w:highlight w:val="none"/>
              </w:rPr>
            </w:pPr>
            <w:r>
              <w:rPr>
                <w:rFonts w:hint="eastAsia" w:ascii="宋体" w:hAnsi="宋体" w:cs="宋体"/>
                <w:b/>
                <w:color w:val="auto"/>
                <w:szCs w:val="21"/>
                <w:highlight w:val="none"/>
              </w:rPr>
              <w:t>1.合同一方不履行合同义务、履行合同义务不符合约定或者违反合同项下所作保证的， 应向对方承担继续履行、采取修理、更换、退货等补救措施或者赔偿损失等违约责任。</w:t>
            </w:r>
          </w:p>
          <w:p w14:paraId="40D2A8F7">
            <w:pPr>
              <w:spacing w:line="350" w:lineRule="exact"/>
              <w:rPr>
                <w:rFonts w:ascii="宋体" w:hAnsi="宋体" w:cs="宋体"/>
                <w:b/>
                <w:color w:val="auto"/>
                <w:szCs w:val="21"/>
                <w:highlight w:val="none"/>
              </w:rPr>
            </w:pPr>
            <w:r>
              <w:rPr>
                <w:rFonts w:hint="eastAsia" w:ascii="宋体" w:hAnsi="宋体" w:cs="宋体"/>
                <w:b/>
                <w:color w:val="auto"/>
                <w:szCs w:val="21"/>
                <w:highlight w:val="none"/>
              </w:rPr>
              <w:t>2.中标人延迟交付货物的，应向采购人支付延迟违约金。延迟违约金的计算方法如下：每延迟一天向对方偿付货款总额3‰违约金，超过30 天采购人有权解除合同，中标人承担因此给采购人造成的全部损失，并按照货款总额的15%向采购人支付违约金，且中标人应当退还采购人支付过的全部费用。如延迟交付必然导致合同货物安装、调试、验收等工作推迟的，相关工作应相应顺延。</w:t>
            </w:r>
          </w:p>
          <w:p w14:paraId="2CBF4161">
            <w:pPr>
              <w:spacing w:line="350" w:lineRule="exact"/>
              <w:rPr>
                <w:rFonts w:ascii="宋体" w:hAnsi="宋体" w:cs="宋体"/>
                <w:b/>
                <w:color w:val="auto"/>
                <w:szCs w:val="21"/>
                <w:highlight w:val="none"/>
              </w:rPr>
            </w:pPr>
            <w:r>
              <w:rPr>
                <w:rFonts w:hint="eastAsia" w:ascii="宋体" w:hAnsi="宋体" w:cs="宋体"/>
                <w:b/>
                <w:color w:val="auto"/>
                <w:szCs w:val="21"/>
                <w:highlight w:val="none"/>
              </w:rPr>
              <w:t>3.采购人未能按合同约定支付合同价款的，经中标人书面催告，采购人无正当理由在合理期限（不少于10个工作日）内仍未支付的，自合理期限届满之次日起，应向中标人支付延迟付款违约金。延迟付款违约金的计算方法如下：每延迟一天向中标人偿付当期应付未付金额0.3‰违约金，但违约金累计不得超过当期应付未付总额的5%。</w:t>
            </w:r>
          </w:p>
          <w:p w14:paraId="78F17463">
            <w:pPr>
              <w:spacing w:line="350" w:lineRule="exact"/>
              <w:rPr>
                <w:rFonts w:ascii="宋体" w:hAnsi="宋体" w:cs="宋体"/>
                <w:b/>
                <w:color w:val="auto"/>
                <w:szCs w:val="21"/>
                <w:highlight w:val="none"/>
              </w:rPr>
            </w:pPr>
            <w:r>
              <w:rPr>
                <w:rFonts w:hint="eastAsia" w:ascii="宋体" w:hAnsi="宋体" w:cs="宋体"/>
                <w:b/>
                <w:color w:val="auto"/>
                <w:szCs w:val="21"/>
                <w:highlight w:val="none"/>
              </w:rPr>
              <w:t>4.中标人提供的产品不符合本合同约定或存在质量问题的，中标人应当按照本合同约定以及采购人要求进行退换，并承担由此产生的一切费用，因退换导致逾期交货的，中标人应当按照本文件“第五章 拟签订的合同文本”中第十一条第2点的内容承担逾期交货违约责任；中标人拒绝退换的，采购人有权解除合同，中标人应当自行取回货物，采购人不承担任何保管义务，并且中标人应当按照合同总金额的15%向采购人支付违约金。</w:t>
            </w:r>
          </w:p>
          <w:p w14:paraId="1C5E5B89">
            <w:pPr>
              <w:spacing w:line="350" w:lineRule="exact"/>
              <w:rPr>
                <w:rFonts w:ascii="宋体" w:hAnsi="宋体" w:cs="宋体"/>
                <w:b/>
                <w:color w:val="auto"/>
                <w:szCs w:val="21"/>
                <w:highlight w:val="none"/>
              </w:rPr>
            </w:pPr>
            <w:r>
              <w:rPr>
                <w:rFonts w:hint="eastAsia" w:ascii="宋体" w:hAnsi="宋体" w:cs="宋体"/>
                <w:b/>
                <w:color w:val="auto"/>
                <w:szCs w:val="21"/>
                <w:highlight w:val="none"/>
              </w:rPr>
              <w:t>5.中标人未按本合同和投标承诺提供售后服务的，经采购人书面催告1次仍不整改的，中标人应按本合同价款（报酬）的 5%向采购人支付违约金，同时采购人有权寻找第三方机构获得售后服务，全部费用由中标人承担，且无需经过中标人同意、确认。中标人经采购人书面催告3次仍不整改的，采购人有权解除合同，采购人解除合同的，无需向中标人支付任何设备使用费、折旧费以及其他补偿，中标人应当退还采购人支付过的费用，并自行取回货物，采购人不承担任何保管义务。</w:t>
            </w:r>
          </w:p>
          <w:p w14:paraId="2C01A3E6">
            <w:pPr>
              <w:spacing w:line="350" w:lineRule="exact"/>
              <w:rPr>
                <w:rFonts w:ascii="宋体" w:hAnsi="宋体" w:cs="宋体"/>
                <w:b/>
                <w:color w:val="auto"/>
                <w:szCs w:val="21"/>
                <w:highlight w:val="none"/>
              </w:rPr>
            </w:pPr>
            <w:r>
              <w:rPr>
                <w:rFonts w:hint="eastAsia" w:ascii="宋体" w:hAnsi="宋体" w:cs="宋体"/>
                <w:b/>
                <w:color w:val="auto"/>
                <w:szCs w:val="21"/>
                <w:highlight w:val="none"/>
              </w:rPr>
              <w:t>6.因某一方原因导致变更、中止或者终止政府采购合同的，该方应当对另一方受到的损失予以赔偿或者补偿。</w:t>
            </w:r>
          </w:p>
          <w:p w14:paraId="5F436CB5">
            <w:pPr>
              <w:adjustRightInd w:val="0"/>
              <w:snapToGrid w:val="0"/>
              <w:spacing w:line="350" w:lineRule="exact"/>
              <w:rPr>
                <w:rFonts w:ascii="宋体" w:hAnsi="宋体" w:cs="宋体"/>
                <w:b/>
                <w:color w:val="auto"/>
                <w:szCs w:val="21"/>
                <w:highlight w:val="none"/>
              </w:rPr>
            </w:pPr>
            <w:r>
              <w:rPr>
                <w:rFonts w:hint="eastAsia" w:ascii="宋体" w:hAnsi="宋体" w:cs="宋体"/>
                <w:b/>
                <w:color w:val="auto"/>
                <w:szCs w:val="21"/>
                <w:highlight w:val="none"/>
              </w:rPr>
              <w:t>7.其它违约责任按《中华人民共和国民法典》处理。</w:t>
            </w:r>
          </w:p>
        </w:tc>
      </w:tr>
      <w:tr w14:paraId="31980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348727EB">
            <w:pPr>
              <w:pStyle w:val="18"/>
              <w:spacing w:line="350" w:lineRule="exact"/>
              <w:jc w:val="center"/>
              <w:rPr>
                <w:rFonts w:ascii="宋体" w:hAnsi="宋体" w:cs="宋体"/>
                <w:b/>
                <w:color w:val="auto"/>
                <w:kern w:val="2"/>
                <w:sz w:val="21"/>
                <w:szCs w:val="21"/>
                <w:highlight w:val="none"/>
              </w:rPr>
            </w:pPr>
            <w:r>
              <w:rPr>
                <w:rFonts w:hint="eastAsia" w:ascii="宋体" w:hAnsi="宋体" w:cs="宋体"/>
                <w:b/>
                <w:color w:val="auto"/>
                <w:sz w:val="21"/>
                <w:szCs w:val="21"/>
                <w:highlight w:val="none"/>
              </w:rPr>
              <w:t>（十）进口产品说明</w:t>
            </w:r>
          </w:p>
        </w:tc>
        <w:tc>
          <w:tcPr>
            <w:tcW w:w="3041" w:type="pct"/>
            <w:gridSpan w:val="2"/>
            <w:tcBorders>
              <w:top w:val="single" w:color="auto" w:sz="4" w:space="0"/>
              <w:left w:val="single" w:color="auto" w:sz="4" w:space="0"/>
              <w:bottom w:val="single" w:color="auto" w:sz="4" w:space="0"/>
              <w:right w:val="single" w:color="auto" w:sz="4" w:space="0"/>
            </w:tcBorders>
          </w:tcPr>
          <w:p w14:paraId="7711839C">
            <w:pPr>
              <w:spacing w:line="350" w:lineRule="exact"/>
              <w:rPr>
                <w:rFonts w:ascii="宋体" w:hAnsi="宋体" w:cs="宋体"/>
                <w:b/>
                <w:color w:val="auto"/>
                <w:szCs w:val="21"/>
                <w:highlight w:val="none"/>
              </w:rPr>
            </w:pPr>
            <w:r>
              <w:rPr>
                <w:rFonts w:hint="eastAsia" w:ascii="宋体" w:hAnsi="宋体" w:cs="宋体"/>
                <w:b/>
                <w:color w:val="auto"/>
                <w:szCs w:val="21"/>
                <w:highlight w:val="none"/>
              </w:rPr>
              <w:t>本分标货物不接受进口产品（即通过中国海关报关验放进入中国境内且产自关境外的产品）参与投标，如有进口产品参与投标的作无效标处理。</w:t>
            </w:r>
          </w:p>
        </w:tc>
      </w:tr>
      <w:tr w14:paraId="3DD99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03CD40AE">
            <w:pPr>
              <w:adjustRightInd w:val="0"/>
              <w:snapToGrid w:val="0"/>
              <w:spacing w:line="350" w:lineRule="exact"/>
              <w:jc w:val="center"/>
              <w:rPr>
                <w:rFonts w:ascii="宋体" w:hAnsi="宋体" w:cs="宋体"/>
                <w:b/>
                <w:color w:val="auto"/>
                <w:szCs w:val="21"/>
                <w:highlight w:val="none"/>
              </w:rPr>
            </w:pPr>
            <w:r>
              <w:rPr>
                <w:rFonts w:hint="eastAsia" w:ascii="宋体" w:hAnsi="宋体" w:cs="宋体"/>
                <w:b/>
                <w:color w:val="auto"/>
                <w:szCs w:val="21"/>
                <w:highlight w:val="none"/>
              </w:rPr>
              <w:t>（十一）采购预算及最高限价</w:t>
            </w:r>
          </w:p>
        </w:tc>
        <w:tc>
          <w:tcPr>
            <w:tcW w:w="3041" w:type="pct"/>
            <w:gridSpan w:val="2"/>
            <w:tcBorders>
              <w:top w:val="single" w:color="auto" w:sz="4" w:space="0"/>
              <w:left w:val="single" w:color="auto" w:sz="4" w:space="0"/>
              <w:bottom w:val="single" w:color="auto" w:sz="4" w:space="0"/>
              <w:right w:val="single" w:color="auto" w:sz="4" w:space="0"/>
            </w:tcBorders>
          </w:tcPr>
          <w:p w14:paraId="204FF959">
            <w:pPr>
              <w:spacing w:line="350" w:lineRule="exact"/>
              <w:rPr>
                <w:rFonts w:ascii="宋体" w:hAnsi="宋体" w:cs="宋体"/>
                <w:b/>
                <w:color w:val="auto"/>
                <w:szCs w:val="21"/>
                <w:highlight w:val="none"/>
              </w:rPr>
            </w:pPr>
            <w:r>
              <w:rPr>
                <w:rFonts w:hint="eastAsia" w:ascii="宋体" w:hAnsi="宋体" w:cs="宋体"/>
                <w:color w:val="auto"/>
                <w:highlight w:val="none"/>
              </w:rPr>
              <w:t>本分标采购预算为捌拾伍万元整（¥850000.00），最高限价为叁拾捌万元整（¥380000.00），</w:t>
            </w:r>
            <w:r>
              <w:rPr>
                <w:rFonts w:hint="eastAsia" w:ascii="宋体" w:hAnsi="宋体" w:cs="宋体"/>
                <w:b/>
                <w:color w:val="auto"/>
                <w:szCs w:val="21"/>
                <w:highlight w:val="none"/>
              </w:rPr>
              <w:t>投标人投标报价超最高限价的，本分标投标文件按无效处理。</w:t>
            </w:r>
          </w:p>
        </w:tc>
      </w:tr>
      <w:tr w14:paraId="7D98F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Pr>
          <w:p w14:paraId="1EE4BA2C">
            <w:pPr>
              <w:adjustRightInd w:val="0"/>
              <w:snapToGrid w:val="0"/>
              <w:spacing w:line="350" w:lineRule="exact"/>
              <w:rPr>
                <w:rFonts w:ascii="宋体" w:hAnsi="宋体" w:cs="宋体"/>
                <w:b/>
                <w:color w:val="auto"/>
                <w:szCs w:val="21"/>
                <w:highlight w:val="none"/>
              </w:rPr>
            </w:pPr>
            <w:r>
              <w:rPr>
                <w:rFonts w:hint="eastAsia" w:ascii="宋体" w:hAnsi="宋体" w:cs="宋体"/>
                <w:b/>
                <w:bCs/>
                <w:color w:val="auto"/>
                <w:szCs w:val="21"/>
                <w:highlight w:val="none"/>
              </w:rPr>
              <w:t>五、与实现项目目标相关的其他要求</w:t>
            </w:r>
          </w:p>
        </w:tc>
      </w:tr>
      <w:tr w14:paraId="0BB29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3CE30D86">
            <w:pPr>
              <w:adjustRightInd w:val="0"/>
              <w:snapToGrid w:val="0"/>
              <w:spacing w:line="350" w:lineRule="exact"/>
              <w:jc w:val="center"/>
              <w:rPr>
                <w:rFonts w:ascii="宋体" w:hAnsi="宋体" w:cs="宋体"/>
                <w:bCs/>
                <w:color w:val="auto"/>
                <w:szCs w:val="21"/>
                <w:highlight w:val="none"/>
              </w:rPr>
            </w:pPr>
            <w:r>
              <w:rPr>
                <w:rFonts w:hint="eastAsia" w:ascii="宋体" w:hAnsi="宋体" w:cs="宋体"/>
                <w:bCs/>
                <w:color w:val="auto"/>
                <w:szCs w:val="21"/>
                <w:highlight w:val="none"/>
              </w:rPr>
              <w:t>（一）安装实施方案</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7D8197FA">
            <w:pPr>
              <w:adjustRightInd w:val="0"/>
              <w:snapToGrid w:val="0"/>
              <w:spacing w:line="350" w:lineRule="exact"/>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安装实施方案</w:t>
            </w:r>
            <w:r>
              <w:rPr>
                <w:rFonts w:hint="eastAsia" w:ascii="宋体" w:hAnsi="宋体" w:cs="宋体"/>
                <w:color w:val="auto"/>
                <w:szCs w:val="21"/>
                <w:highlight w:val="none"/>
              </w:rPr>
              <w:t>，包含但不限于：①安装方案；②设备调试方案；③设备试运行方案等</w:t>
            </w:r>
            <w:r>
              <w:rPr>
                <w:rFonts w:hint="eastAsia" w:ascii="宋体" w:hAnsi="宋体" w:cs="宋体"/>
                <w:bCs/>
                <w:color w:val="auto"/>
                <w:szCs w:val="21"/>
                <w:highlight w:val="none"/>
              </w:rPr>
              <w:t>。</w:t>
            </w:r>
          </w:p>
          <w:p w14:paraId="6C6B266C">
            <w:pPr>
              <w:adjustRightInd w:val="0"/>
              <w:snapToGrid w:val="0"/>
              <w:spacing w:line="350" w:lineRule="exact"/>
              <w:rPr>
                <w:rFonts w:ascii="宋体" w:hAnsi="宋体" w:cs="宋体"/>
                <w:b/>
                <w:i/>
                <w:color w:val="auto"/>
                <w:szCs w:val="21"/>
                <w:highlight w:val="none"/>
              </w:rPr>
            </w:pPr>
            <w:r>
              <w:rPr>
                <w:rFonts w:hint="eastAsia" w:ascii="宋体" w:hAnsi="宋体" w:cs="宋体"/>
                <w:b/>
                <w:bCs/>
                <w:color w:val="auto"/>
                <w:highlight w:val="none"/>
              </w:rPr>
              <w:t>注：上述</w:t>
            </w:r>
            <w:r>
              <w:rPr>
                <w:rFonts w:hint="eastAsia" w:ascii="宋体" w:hAnsi="宋体" w:cs="宋体"/>
                <w:b/>
                <w:color w:val="auto"/>
                <w:spacing w:val="-4"/>
                <w:szCs w:val="21"/>
                <w:highlight w:val="none"/>
              </w:rPr>
              <w:t>具体详见“第四章评标方法及评标标准”。</w:t>
            </w:r>
          </w:p>
        </w:tc>
      </w:tr>
      <w:tr w14:paraId="59DE6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3B5F0D">
            <w:pPr>
              <w:adjustRightInd w:val="0"/>
              <w:snapToGrid w:val="0"/>
              <w:spacing w:line="350" w:lineRule="exact"/>
              <w:jc w:val="center"/>
              <w:rPr>
                <w:rFonts w:ascii="宋体" w:hAnsi="宋体" w:cs="宋体"/>
                <w:bCs/>
                <w:color w:val="auto"/>
                <w:szCs w:val="21"/>
                <w:highlight w:val="none"/>
              </w:rPr>
            </w:pPr>
            <w:r>
              <w:rPr>
                <w:rFonts w:hint="eastAsia" w:ascii="宋体" w:hAnsi="宋体" w:cs="宋体"/>
                <w:bCs/>
                <w:color w:val="auto"/>
                <w:szCs w:val="21"/>
                <w:highlight w:val="none"/>
              </w:rPr>
              <w:t>（二）增值售后服务方案</w:t>
            </w:r>
          </w:p>
        </w:tc>
        <w:tc>
          <w:tcPr>
            <w:tcW w:w="304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2BB53B">
            <w:pPr>
              <w:adjustRightInd w:val="0"/>
              <w:snapToGrid w:val="0"/>
              <w:spacing w:line="350" w:lineRule="exact"/>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增值售后服务方案</w:t>
            </w:r>
            <w:r>
              <w:rPr>
                <w:rFonts w:hint="eastAsia" w:ascii="宋体" w:hAnsi="宋体" w:cs="宋体"/>
                <w:color w:val="auto"/>
                <w:szCs w:val="21"/>
                <w:highlight w:val="none"/>
              </w:rPr>
              <w:t>，包含但不限于：①</w:t>
            </w:r>
            <w:r>
              <w:rPr>
                <w:rFonts w:hint="eastAsia" w:ascii="宋体" w:hAnsi="宋体" w:cs="宋体"/>
                <w:color w:val="auto"/>
                <w:highlight w:val="none"/>
              </w:rPr>
              <w:t>服务人员的配备</w:t>
            </w:r>
            <w:r>
              <w:rPr>
                <w:rFonts w:hint="eastAsia" w:ascii="宋体" w:hAnsi="宋体" w:cs="宋体"/>
                <w:color w:val="auto"/>
                <w:szCs w:val="21"/>
                <w:highlight w:val="none"/>
              </w:rPr>
              <w:t>、故障出现解决方案，②定期维护 (注明时间)，③技术培训方案，④保修期外维修方案，⑤售后服务措施及其他优惠措施等</w:t>
            </w:r>
            <w:r>
              <w:rPr>
                <w:rFonts w:hint="eastAsia" w:ascii="宋体" w:hAnsi="宋体" w:cs="宋体"/>
                <w:bCs/>
                <w:color w:val="auto"/>
                <w:szCs w:val="21"/>
                <w:highlight w:val="none"/>
              </w:rPr>
              <w:t>。</w:t>
            </w:r>
          </w:p>
          <w:p w14:paraId="533F4B5B">
            <w:pPr>
              <w:adjustRightInd w:val="0"/>
              <w:snapToGrid w:val="0"/>
              <w:spacing w:line="350" w:lineRule="exact"/>
              <w:rPr>
                <w:rFonts w:ascii="宋体" w:hAnsi="宋体" w:cs="宋体"/>
                <w:b/>
                <w:i/>
                <w:color w:val="auto"/>
                <w:szCs w:val="21"/>
                <w:highlight w:val="none"/>
              </w:rPr>
            </w:pPr>
            <w:r>
              <w:rPr>
                <w:rFonts w:hint="eastAsia" w:ascii="宋体" w:hAnsi="宋体" w:cs="宋体"/>
                <w:b/>
                <w:bCs/>
                <w:color w:val="auto"/>
                <w:highlight w:val="none"/>
              </w:rPr>
              <w:t>注：上述</w:t>
            </w:r>
            <w:r>
              <w:rPr>
                <w:rFonts w:hint="eastAsia" w:ascii="宋体" w:hAnsi="宋体" w:cs="宋体"/>
                <w:b/>
                <w:color w:val="auto"/>
                <w:spacing w:val="-4"/>
                <w:szCs w:val="21"/>
                <w:highlight w:val="none"/>
              </w:rPr>
              <w:t>具体详见“第四章评标方法及评标标准”。</w:t>
            </w:r>
          </w:p>
        </w:tc>
      </w:tr>
      <w:tr w14:paraId="3279B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5C4297F2">
            <w:pPr>
              <w:adjustRightInd w:val="0"/>
              <w:snapToGrid w:val="0"/>
              <w:spacing w:line="350" w:lineRule="exact"/>
              <w:jc w:val="center"/>
              <w:rPr>
                <w:rFonts w:ascii="宋体" w:hAnsi="宋体" w:cs="宋体"/>
                <w:i/>
                <w:color w:val="auto"/>
                <w:szCs w:val="21"/>
                <w:highlight w:val="none"/>
              </w:rPr>
            </w:pPr>
            <w:r>
              <w:rPr>
                <w:rFonts w:hint="eastAsia" w:ascii="宋体" w:hAnsi="宋体" w:cs="宋体"/>
                <w:color w:val="auto"/>
                <w:szCs w:val="21"/>
                <w:highlight w:val="none"/>
              </w:rPr>
              <w:t>（三）履约能力要求</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37398B9B">
            <w:pPr>
              <w:spacing w:line="350" w:lineRule="exact"/>
              <w:rPr>
                <w:rFonts w:ascii="宋体" w:hAnsi="宋体" w:cs="宋体"/>
                <w:color w:val="auto"/>
                <w:szCs w:val="21"/>
                <w:highlight w:val="none"/>
              </w:rPr>
            </w:pPr>
            <w:r>
              <w:rPr>
                <w:rFonts w:hint="eastAsia" w:ascii="宋体" w:hAnsi="宋体" w:cs="宋体"/>
                <w:color w:val="auto"/>
                <w:highlight w:val="none"/>
              </w:rPr>
              <w:t>1.</w:t>
            </w:r>
            <w:r>
              <w:rPr>
                <w:rFonts w:hint="eastAsia" w:ascii="宋体" w:hAnsi="宋体" w:cs="宋体"/>
                <w:color w:val="auto"/>
                <w:szCs w:val="21"/>
                <w:highlight w:val="none"/>
              </w:rPr>
              <w:t>投标人或所投产品生产厂家通过ISO13485</w:t>
            </w:r>
            <w:r>
              <w:rPr>
                <w:rFonts w:hint="eastAsia" w:ascii="宋体" w:hAnsi="宋体" w:cs="宋体"/>
                <w:color w:val="auto"/>
                <w:highlight w:val="none"/>
              </w:rPr>
              <w:t>医疗器械质量管理体系认证</w:t>
            </w:r>
            <w:r>
              <w:rPr>
                <w:rFonts w:hint="eastAsia" w:ascii="宋体" w:hAnsi="宋体" w:cs="宋体"/>
                <w:color w:val="auto"/>
                <w:szCs w:val="21"/>
                <w:highlight w:val="none"/>
              </w:rPr>
              <w:t>、ISO9001质量管理体系认证且有效的。</w:t>
            </w:r>
          </w:p>
          <w:p w14:paraId="7994B09D">
            <w:pPr>
              <w:spacing w:line="350" w:lineRule="exact"/>
              <w:rPr>
                <w:rFonts w:ascii="宋体" w:hAnsi="宋体" w:cs="宋体"/>
                <w:color w:val="auto"/>
                <w:highlight w:val="none"/>
              </w:rPr>
            </w:pPr>
            <w:r>
              <w:rPr>
                <w:rFonts w:hint="eastAsia" w:ascii="宋体" w:hAnsi="宋体" w:cs="宋体"/>
                <w:bCs/>
                <w:color w:val="auto"/>
                <w:highlight w:val="none"/>
                <w:lang w:val="en-US" w:eastAsia="zh-CN"/>
              </w:rPr>
              <w:t>2</w:t>
            </w:r>
            <w:r>
              <w:rPr>
                <w:rFonts w:hint="eastAsia" w:ascii="宋体" w:hAnsi="宋体" w:cs="宋体"/>
                <w:bCs/>
                <w:color w:val="auto"/>
                <w:highlight w:val="none"/>
              </w:rPr>
              <w:t>.</w:t>
            </w:r>
            <w:r>
              <w:rPr>
                <w:rFonts w:hint="eastAsia" w:ascii="宋体" w:hAnsi="宋体" w:cs="宋体"/>
                <w:color w:val="auto"/>
                <w:highlight w:val="none"/>
              </w:rPr>
              <w:t>投标人或所投产品生产厂家2021年以来具有同类产品的销售业绩。</w:t>
            </w:r>
          </w:p>
          <w:p w14:paraId="27E56BD2">
            <w:pPr>
              <w:adjustRightInd w:val="0"/>
              <w:snapToGrid w:val="0"/>
              <w:spacing w:line="350" w:lineRule="exact"/>
              <w:rPr>
                <w:rFonts w:ascii="宋体" w:hAnsi="宋体" w:cs="宋体"/>
                <w:b/>
                <w:i/>
                <w:color w:val="auto"/>
                <w:szCs w:val="21"/>
                <w:highlight w:val="none"/>
              </w:rPr>
            </w:pPr>
            <w:r>
              <w:rPr>
                <w:rFonts w:hint="eastAsia" w:ascii="宋体" w:hAnsi="宋体" w:cs="宋体"/>
                <w:b/>
                <w:bCs/>
                <w:color w:val="auto"/>
                <w:highlight w:val="none"/>
              </w:rPr>
              <w:t>注：上述履约能力加分详见“第四章评标办法及评标标准”。</w:t>
            </w:r>
          </w:p>
        </w:tc>
      </w:tr>
      <w:tr w14:paraId="6179A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36E88681">
            <w:pPr>
              <w:adjustRightInd w:val="0"/>
              <w:snapToGrid w:val="0"/>
              <w:spacing w:line="350" w:lineRule="exact"/>
              <w:jc w:val="center"/>
              <w:rPr>
                <w:rFonts w:ascii="宋体" w:hAnsi="宋体" w:cs="宋体"/>
                <w:i/>
                <w:color w:val="auto"/>
                <w:szCs w:val="21"/>
                <w:highlight w:val="none"/>
              </w:rPr>
            </w:pPr>
            <w:r>
              <w:rPr>
                <w:rFonts w:hint="eastAsia" w:ascii="宋体" w:hAnsi="宋体" w:cs="宋体"/>
                <w:color w:val="auto"/>
                <w:szCs w:val="21"/>
                <w:highlight w:val="none"/>
              </w:rPr>
              <w:t>（四）政策性加分条件</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019FEBA6">
            <w:pPr>
              <w:spacing w:line="350" w:lineRule="exact"/>
              <w:rPr>
                <w:rFonts w:ascii="宋体" w:hAnsi="宋体" w:cs="宋体"/>
                <w:color w:val="auto"/>
                <w:highlight w:val="none"/>
              </w:rPr>
            </w:pPr>
            <w:r>
              <w:rPr>
                <w:rFonts w:hint="eastAsia" w:ascii="宋体" w:hAnsi="宋体" w:cs="宋体"/>
                <w:color w:val="auto"/>
                <w:highlight w:val="none"/>
              </w:rPr>
              <w:t>1.节能产品加分：属于财政部《节能产品政府采购品目清单》内优先采购（清单内未标注“★”的品目）的产品[投标文件中提供有效的认证证书复印件及品目清单（标注投标产品在品目清单中所属的品目），并加盖投标人电子签章]，相应予以加分。</w:t>
            </w:r>
          </w:p>
          <w:p w14:paraId="7CC95FCA">
            <w:pPr>
              <w:spacing w:line="350" w:lineRule="exact"/>
              <w:rPr>
                <w:rFonts w:ascii="宋体" w:hAnsi="宋体" w:cs="宋体"/>
                <w:color w:val="auto"/>
                <w:highlight w:val="none"/>
              </w:rPr>
            </w:pPr>
            <w:r>
              <w:rPr>
                <w:rFonts w:hint="eastAsia" w:ascii="宋体" w:hAnsi="宋体" w:cs="宋体"/>
                <w:color w:val="auto"/>
                <w:highlight w:val="none"/>
              </w:rPr>
              <w:t>2.环境标志产品加分：属于财政部《环境标志产品政府采购品目清单》内的产品[投标文件中提供有效的认证证书复印件及品目清单（标注投标产品在品目清单中所属的品目），并加盖投标人电子签章]，相应予以加分。</w:t>
            </w:r>
          </w:p>
          <w:p w14:paraId="706F09FD">
            <w:pPr>
              <w:adjustRightInd w:val="0"/>
              <w:snapToGrid w:val="0"/>
              <w:spacing w:line="350" w:lineRule="exact"/>
              <w:rPr>
                <w:rFonts w:ascii="宋体" w:hAnsi="宋体" w:cs="宋体"/>
                <w:b/>
                <w:color w:val="auto"/>
                <w:szCs w:val="21"/>
                <w:highlight w:val="none"/>
              </w:rPr>
            </w:pPr>
            <w:r>
              <w:rPr>
                <w:rFonts w:hint="eastAsia" w:ascii="宋体" w:hAnsi="宋体" w:cs="宋体"/>
                <w:b/>
                <w:color w:val="auto"/>
                <w:highlight w:val="none"/>
              </w:rPr>
              <w:t>注：上述政策性加分详见“第四章评标办法及评标标准”。</w:t>
            </w:r>
          </w:p>
        </w:tc>
      </w:tr>
    </w:tbl>
    <w:p w14:paraId="70D4D8BC">
      <w:pPr>
        <w:pStyle w:val="18"/>
        <w:rPr>
          <w:rFonts w:ascii="宋体" w:hAnsi="宋体" w:cs="宋体"/>
          <w:color w:val="auto"/>
          <w:highlight w:val="none"/>
        </w:rPr>
      </w:pPr>
    </w:p>
    <w:p w14:paraId="396AE3A2">
      <w:pPr>
        <w:pStyle w:val="57"/>
        <w:ind w:firstLine="420"/>
        <w:rPr>
          <w:rFonts w:ascii="宋体" w:hAnsi="宋体" w:cs="宋体"/>
          <w:color w:val="auto"/>
          <w:highlight w:val="none"/>
        </w:rPr>
      </w:pPr>
    </w:p>
    <w:p w14:paraId="71ED4B4E">
      <w:pPr>
        <w:pStyle w:val="57"/>
        <w:ind w:firstLine="420"/>
        <w:rPr>
          <w:rFonts w:ascii="宋体" w:hAnsi="宋体" w:cs="宋体"/>
          <w:color w:val="auto"/>
          <w:highlight w:val="none"/>
        </w:rPr>
      </w:pPr>
    </w:p>
    <w:p w14:paraId="59F5E301">
      <w:pPr>
        <w:pStyle w:val="57"/>
        <w:ind w:firstLine="420"/>
        <w:rPr>
          <w:rFonts w:ascii="宋体" w:hAnsi="宋体" w:cs="宋体"/>
          <w:color w:val="auto"/>
          <w:highlight w:val="none"/>
        </w:rPr>
      </w:pPr>
    </w:p>
    <w:p w14:paraId="575AB6BA">
      <w:pPr>
        <w:pStyle w:val="57"/>
        <w:ind w:firstLine="420"/>
        <w:rPr>
          <w:rFonts w:ascii="宋体" w:hAnsi="宋体" w:cs="宋体"/>
          <w:color w:val="auto"/>
          <w:highlight w:val="none"/>
        </w:rPr>
      </w:pPr>
    </w:p>
    <w:p w14:paraId="4F197F4D">
      <w:pPr>
        <w:pStyle w:val="57"/>
        <w:ind w:firstLine="420"/>
        <w:rPr>
          <w:rFonts w:ascii="宋体" w:hAnsi="宋体" w:cs="宋体"/>
          <w:color w:val="auto"/>
          <w:highlight w:val="none"/>
        </w:rPr>
      </w:pPr>
    </w:p>
    <w:p w14:paraId="7A65F230">
      <w:pPr>
        <w:pStyle w:val="57"/>
        <w:ind w:firstLine="420"/>
        <w:rPr>
          <w:rFonts w:ascii="宋体" w:hAnsi="宋体" w:cs="宋体"/>
          <w:color w:val="auto"/>
          <w:highlight w:val="none"/>
        </w:rPr>
      </w:pPr>
    </w:p>
    <w:p w14:paraId="07F680A6">
      <w:pPr>
        <w:pStyle w:val="57"/>
        <w:ind w:firstLine="420"/>
        <w:rPr>
          <w:rFonts w:ascii="宋体" w:hAnsi="宋体" w:cs="宋体"/>
          <w:color w:val="auto"/>
          <w:highlight w:val="none"/>
        </w:rPr>
      </w:pPr>
    </w:p>
    <w:p w14:paraId="1E625DC3">
      <w:pPr>
        <w:pStyle w:val="18"/>
        <w:rPr>
          <w:rFonts w:ascii="宋体" w:hAnsi="宋体" w:cs="宋体"/>
          <w:color w:val="auto"/>
          <w:highlight w:val="none"/>
        </w:rPr>
      </w:pPr>
      <w:r>
        <w:rPr>
          <w:rFonts w:hint="eastAsia" w:ascii="宋体" w:hAnsi="宋体" w:cs="宋体"/>
          <w:color w:val="auto"/>
          <w:highlight w:val="none"/>
        </w:rPr>
        <w:t>分标3</w:t>
      </w:r>
    </w:p>
    <w:tbl>
      <w:tblPr>
        <w:tblStyle w:val="47"/>
        <w:tblW w:w="52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4"/>
        <w:gridCol w:w="849"/>
        <w:gridCol w:w="712"/>
        <w:gridCol w:w="801"/>
        <w:gridCol w:w="4799"/>
      </w:tblGrid>
      <w:tr w14:paraId="18916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5000" w:type="pct"/>
            <w:gridSpan w:val="5"/>
            <w:vAlign w:val="center"/>
          </w:tcPr>
          <w:p w14:paraId="534749C1">
            <w:pPr>
              <w:tabs>
                <w:tab w:val="left" w:pos="180"/>
                <w:tab w:val="left" w:pos="1620"/>
              </w:tabs>
              <w:adjustRightInd w:val="0"/>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一、采购标的及技术需求</w:t>
            </w:r>
          </w:p>
        </w:tc>
      </w:tr>
      <w:tr w14:paraId="75B25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110" w:type="pct"/>
            <w:tcBorders>
              <w:right w:val="single" w:color="auto" w:sz="4" w:space="0"/>
            </w:tcBorders>
            <w:vAlign w:val="center"/>
          </w:tcPr>
          <w:p w14:paraId="09FC02AA">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461" w:type="pct"/>
            <w:tcBorders>
              <w:left w:val="single" w:color="auto" w:sz="4" w:space="0"/>
            </w:tcBorders>
            <w:vAlign w:val="center"/>
          </w:tcPr>
          <w:p w14:paraId="0A816098">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386" w:type="pct"/>
            <w:vAlign w:val="center"/>
          </w:tcPr>
          <w:p w14:paraId="7B76F6F4">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435" w:type="pct"/>
            <w:vAlign w:val="center"/>
          </w:tcPr>
          <w:p w14:paraId="4DB8E0A7">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2606" w:type="pct"/>
            <w:vAlign w:val="center"/>
          </w:tcPr>
          <w:p w14:paraId="459DE152">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03E06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110" w:type="pct"/>
            <w:tcBorders>
              <w:bottom w:val="single" w:color="auto" w:sz="4" w:space="0"/>
              <w:right w:val="single" w:color="auto" w:sz="4" w:space="0"/>
            </w:tcBorders>
            <w:vAlign w:val="center"/>
          </w:tcPr>
          <w:p w14:paraId="059236DA">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全自动连续血滤系统</w:t>
            </w:r>
          </w:p>
        </w:tc>
        <w:tc>
          <w:tcPr>
            <w:tcW w:w="461" w:type="pct"/>
            <w:tcBorders>
              <w:left w:val="single" w:color="auto" w:sz="4" w:space="0"/>
            </w:tcBorders>
            <w:vAlign w:val="center"/>
          </w:tcPr>
          <w:p w14:paraId="3CB316F8">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1</w:t>
            </w:r>
          </w:p>
        </w:tc>
        <w:tc>
          <w:tcPr>
            <w:tcW w:w="386" w:type="pct"/>
            <w:vAlign w:val="center"/>
          </w:tcPr>
          <w:p w14:paraId="4DDA1AC6">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台</w:t>
            </w:r>
          </w:p>
        </w:tc>
        <w:tc>
          <w:tcPr>
            <w:tcW w:w="435" w:type="pct"/>
            <w:tcBorders>
              <w:bottom w:val="single" w:color="auto" w:sz="4" w:space="0"/>
            </w:tcBorders>
            <w:vAlign w:val="center"/>
          </w:tcPr>
          <w:p w14:paraId="2FD64FF4">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2606" w:type="pct"/>
            <w:vAlign w:val="center"/>
          </w:tcPr>
          <w:p w14:paraId="3252E268">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（一）本产品采购人临床用于连续性血液净化治疗、血浆置换治疗、血浆吸附治疗、血液灌流治疗等。</w:t>
            </w:r>
          </w:p>
          <w:p w14:paraId="19B392A8">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（二）治疗模式：</w:t>
            </w:r>
          </w:p>
          <w:p w14:paraId="67DFDE6A">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支持连续性静脉静脉血液透析（CVVHD）、连续性静脉静脉血液滤过（CVVH）、连续性静脉静脉血液透析滤过（CVVHDF）、缓慢性连续性超滤（SCUF）、血液灌流（HP）、单重血浆置换（PE）、血浆吸附（PA）治疗功能。</w:t>
            </w:r>
          </w:p>
          <w:p w14:paraId="005C45B5">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（三）技术要求</w:t>
            </w:r>
          </w:p>
          <w:p w14:paraId="760B3C05">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1.采用≥10.1英寸，液晶触摸显示屏，具中文操作界面。</w:t>
            </w:r>
          </w:p>
          <w:p w14:paraId="6F722777">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2.设备有枸橼酸抗凝输入功能。</w:t>
            </w:r>
          </w:p>
          <w:p w14:paraId="525B3425">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3.设备有碳酸氢钠单独输入功能（置换基础液与碳酸氢钠两个通路输入），防止出现钙镁离子沉淀。</w:t>
            </w:r>
          </w:p>
          <w:p w14:paraId="245794DD">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4.管路的安装有图文引导。</w:t>
            </w:r>
          </w:p>
          <w:p w14:paraId="4A87B078">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5.管路和血液滤过器分离，可兼容多种品牌的透析器、血浆分离器和灌流器等。</w:t>
            </w:r>
          </w:p>
          <w:p w14:paraId="36423CF8">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6．设备配置1个肝素泵，支持20ml、30ml、50ml 规格的注射器。</w:t>
            </w:r>
          </w:p>
          <w:p w14:paraId="531A77C6">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7.设备配置≥4个流量泵（不包括肝素泵）。</w:t>
            </w:r>
          </w:p>
          <w:p w14:paraId="77041C69">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8.流量控制范围</w:t>
            </w:r>
          </w:p>
          <w:p w14:paraId="5EDCF84C">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（1）血泵流量范围：15-225 mL/min。</w:t>
            </w:r>
          </w:p>
          <w:p w14:paraId="076E3969">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（2）置换液流量范围：4-120 mL/min。</w:t>
            </w:r>
          </w:p>
          <w:p w14:paraId="6566C561">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（3）废液流量范围：5-120 mL/min。</w:t>
            </w:r>
          </w:p>
          <w:p w14:paraId="6AF9658D">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（4）透析液流量范围：2-50 mL/min。</w:t>
            </w:r>
          </w:p>
          <w:p w14:paraId="42B507AB">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▲9.压力监测范围</w:t>
            </w:r>
          </w:p>
          <w:p w14:paraId="41C91A2A">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（1）动脉压监测范围: -400mmHg～+300mmHg。</w:t>
            </w:r>
          </w:p>
          <w:p w14:paraId="4D34F2E5">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（2）静脉压监测范围: -400mmHg～+300mmHg。</w:t>
            </w:r>
          </w:p>
          <w:p w14:paraId="24B48D0C">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（3）跨膜压监测范围: -400mmHg～+300mmHg。</w:t>
            </w:r>
          </w:p>
          <w:p w14:paraId="49DFDA3E">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（4）滤前压监测范围：-400mmHg～+300mmHg。</w:t>
            </w:r>
          </w:p>
          <w:p w14:paraId="6CC72A79">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（5）一级膜外压监测范围：-400mmHg～+300mmHg。</w:t>
            </w:r>
          </w:p>
          <w:p w14:paraId="3500AD2A">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（6）血浆入口压监测范围：-400mmHg～+300mmHg。</w:t>
            </w:r>
          </w:p>
          <w:p w14:paraId="20A0D3A5">
            <w:pPr>
              <w:widowControl/>
              <w:spacing w:line="360" w:lineRule="exact"/>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（7）二级膜外压监测范围：-400mmHg～+300mmHg。</w:t>
            </w:r>
            <w:r>
              <w:rPr>
                <w:rFonts w:hint="eastAsia" w:ascii="宋体" w:hAnsi="宋体" w:cs="宋体"/>
                <w:color w:val="auto"/>
                <w:kern w:val="0"/>
                <w:szCs w:val="21"/>
                <w:highlight w:val="none"/>
              </w:rPr>
              <w:t>10.气泡检测器：可监测＞100ul的气泡。</w:t>
            </w:r>
          </w:p>
          <w:p w14:paraId="64E0C128">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11.漏血监测：利用光学原理，分辨率可达到千分之一。</w:t>
            </w:r>
          </w:p>
          <w:p w14:paraId="499C366E">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12.脱水范围为0～3000mL/h。</w:t>
            </w:r>
          </w:p>
          <w:p w14:paraId="12D48861">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13.加热系统：直接控制置换液温度，温度范围：35～38℃，置换液温度控制精度：±1℃。</w:t>
            </w:r>
          </w:p>
          <w:p w14:paraId="7C592E22">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14.设备≥2个高精度称重计，单个最大的称重范围：0-10kg。</w:t>
            </w:r>
          </w:p>
          <w:p w14:paraId="42D97DD3">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▲15.具备两组振摇夹持器，自动摇摆，利于气泡排除，降低凝血风险。</w:t>
            </w:r>
          </w:p>
          <w:p w14:paraId="4E57E65B">
            <w:pPr>
              <w:widowControl/>
              <w:spacing w:line="360" w:lineRule="exact"/>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▲16.具备四组管路截止阀，自动开启、闭合动作，完成自动冲洗，出现异常时锁住管路，防止气泡进入人体。</w:t>
            </w:r>
          </w:p>
          <w:p w14:paraId="505CDDE6">
            <w:pPr>
              <w:widowControl/>
              <w:spacing w:line="36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17.专机专用耗材（一次性使用血液回路导管）：单价≤550元/套。</w:t>
            </w:r>
          </w:p>
          <w:p w14:paraId="4B9FD4D5">
            <w:pPr>
              <w:tabs>
                <w:tab w:val="left" w:pos="180"/>
                <w:tab w:val="left" w:pos="1620"/>
              </w:tabs>
              <w:adjustRightInd w:val="0"/>
              <w:snapToGrid w:val="0"/>
              <w:spacing w:line="360" w:lineRule="exact"/>
              <w:jc w:val="left"/>
              <w:rPr>
                <w:rFonts w:ascii="宋体" w:hAnsi="宋体" w:cs="宋体"/>
                <w:b/>
                <w:color w:val="auto"/>
                <w:szCs w:val="21"/>
                <w:highlight w:val="none"/>
              </w:rPr>
            </w:pPr>
            <w:r>
              <w:rPr>
                <w:rFonts w:hint="eastAsia" w:ascii="宋体" w:hAnsi="宋体" w:cs="宋体"/>
                <w:b/>
                <w:color w:val="auto"/>
                <w:highlight w:val="none"/>
              </w:rPr>
              <w:t>▲</w:t>
            </w:r>
            <w:r>
              <w:rPr>
                <w:rFonts w:hint="eastAsia" w:ascii="宋体" w:hAnsi="宋体" w:cs="宋体"/>
                <w:b/>
                <w:color w:val="auto"/>
                <w:szCs w:val="21"/>
                <w:highlight w:val="none"/>
              </w:rPr>
              <w:t>（四）配置要求</w:t>
            </w:r>
          </w:p>
          <w:p w14:paraId="2DCC8389">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1.显示屏1台。</w:t>
            </w:r>
          </w:p>
          <w:p w14:paraId="39DCCBC8">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2.流量泵4个（血泵、滤过液泵/分浆泵、置换液泵/返浆泵、透析液泵/弃浆泵各1个）。</w:t>
            </w:r>
          </w:p>
          <w:p w14:paraId="3D224F0F">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3.肝素泵1个。</w:t>
            </w:r>
          </w:p>
          <w:p w14:paraId="3592B749">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4.体外循环监测系统：</w:t>
            </w:r>
          </w:p>
          <w:p w14:paraId="0E5DE16D">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（1）动脉压监测1个。</w:t>
            </w:r>
          </w:p>
          <w:p w14:paraId="56CC095B">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（2）静脉压监测1个。</w:t>
            </w:r>
          </w:p>
          <w:p w14:paraId="60806AEA">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（3）跨膜压监测1个。</w:t>
            </w:r>
          </w:p>
          <w:p w14:paraId="4905EE16">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（4）滤器入口压监测1个。</w:t>
            </w:r>
          </w:p>
          <w:p w14:paraId="755F045F">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（5）血浆入口压监测1个。</w:t>
            </w:r>
          </w:p>
          <w:p w14:paraId="0C53576E">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（6）一级膜外压监测1个。</w:t>
            </w:r>
          </w:p>
          <w:p w14:paraId="07746F1C">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（7）二级膜外压监测1个。</w:t>
            </w:r>
          </w:p>
          <w:p w14:paraId="26958E5B">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（8）空气检测器3个（静脉端气泡检测、补液断流检测、血浆断流检测各1个）。</w:t>
            </w:r>
          </w:p>
          <w:p w14:paraId="5153BD50">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（9）静脉管路夹1个。</w:t>
            </w:r>
          </w:p>
          <w:p w14:paraId="0B20FA17">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（10）漏血检测器1个。</w:t>
            </w:r>
          </w:p>
          <w:p w14:paraId="3B016CAC">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5.液体平衡称重系统3套。</w:t>
            </w:r>
          </w:p>
          <w:p w14:paraId="00974FA8">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6.加热系统（双面板加温）1个。</w:t>
            </w:r>
          </w:p>
          <w:p w14:paraId="0722F8A9">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7.管路截止阀（电磁开闭式）4个。</w:t>
            </w:r>
          </w:p>
          <w:p w14:paraId="2972E32B">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8.滤器夹持器（自动振摇夹持器）2个。</w:t>
            </w:r>
          </w:p>
          <w:p w14:paraId="1429ACB1">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9.输液杆1个。</w:t>
            </w:r>
          </w:p>
          <w:p w14:paraId="4E186CF8">
            <w:pPr>
              <w:tabs>
                <w:tab w:val="left" w:pos="180"/>
                <w:tab w:val="left" w:pos="1620"/>
              </w:tabs>
              <w:adjustRightInd w:val="0"/>
              <w:snapToGrid w:val="0"/>
              <w:spacing w:line="360" w:lineRule="exact"/>
              <w:jc w:val="left"/>
              <w:rPr>
                <w:rFonts w:ascii="宋体" w:hAnsi="宋体" w:cs="宋体"/>
                <w:color w:val="auto"/>
                <w:highlight w:val="none"/>
              </w:rPr>
            </w:pPr>
            <w:r>
              <w:rPr>
                <w:rFonts w:hint="eastAsia" w:ascii="宋体" w:hAnsi="宋体" w:cs="宋体"/>
                <w:b/>
                <w:color w:val="auto"/>
                <w:highlight w:val="none"/>
              </w:rPr>
              <w:t>▲（五）</w:t>
            </w:r>
            <w:r>
              <w:rPr>
                <w:rFonts w:hint="eastAsia" w:ascii="宋体" w:hAnsi="宋体" w:cs="宋体"/>
                <w:b/>
                <w:color w:val="auto"/>
                <w:szCs w:val="21"/>
                <w:highlight w:val="none"/>
              </w:rPr>
              <w:t>投标人于投标文件中必须提供所投本分标产品相应、完整且有效的《医疗器械产品注册证》复印件，并加盖投标人电子签章。</w:t>
            </w:r>
          </w:p>
        </w:tc>
      </w:tr>
      <w:tr w14:paraId="7D3F8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Pr>
          <w:p w14:paraId="6F5D60F1">
            <w:pPr>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▲二、商务要求</w:t>
            </w:r>
          </w:p>
        </w:tc>
      </w:tr>
      <w:tr w14:paraId="6B21D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05" w:type="dxa"/>
            <w:gridSpan w:val="3"/>
            <w:tcBorders>
              <w:top w:val="single" w:color="auto" w:sz="4" w:space="0"/>
              <w:left w:val="single" w:color="auto" w:sz="4" w:space="0"/>
              <w:bottom w:val="single" w:color="auto" w:sz="4" w:space="0"/>
              <w:right w:val="single" w:color="auto" w:sz="4" w:space="0"/>
            </w:tcBorders>
            <w:vAlign w:val="center"/>
          </w:tcPr>
          <w:p w14:paraId="1E408AE8">
            <w:pPr>
              <w:spacing w:line="360" w:lineRule="exact"/>
              <w:jc w:val="center"/>
              <w:rPr>
                <w:rFonts w:ascii="宋体" w:hAnsi="宋体" w:cs="宋体"/>
                <w:b/>
                <w:color w:val="auto"/>
                <w:szCs w:val="21"/>
                <w:highlight w:val="none"/>
              </w:rPr>
            </w:pPr>
            <w:r>
              <w:rPr>
                <w:rFonts w:hint="eastAsia" w:ascii="宋体" w:hAnsi="宋体" w:cs="宋体"/>
                <w:b/>
                <w:bCs/>
                <w:color w:val="auto"/>
                <w:szCs w:val="21"/>
                <w:highlight w:val="none"/>
              </w:rPr>
              <w:t>（一）售后服务基本要求</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4B70253F">
            <w:pPr>
              <w:spacing w:line="360" w:lineRule="exact"/>
              <w:jc w:val="left"/>
              <w:rPr>
                <w:rFonts w:ascii="宋体" w:hAnsi="宋体" w:cs="宋体"/>
                <w:color w:val="auto"/>
                <w:szCs w:val="21"/>
                <w:highlight w:val="none"/>
              </w:rPr>
            </w:pPr>
            <w:r>
              <w:rPr>
                <w:rFonts w:hint="eastAsia" w:ascii="宋体" w:hAnsi="宋体" w:cs="宋体"/>
                <w:bCs/>
                <w:color w:val="auto"/>
                <w:highlight w:val="none"/>
              </w:rPr>
              <w:t>投标人提供的以下售后服务产生的费用均应综合包含在投标报价中，采购人不再就此另行</w:t>
            </w:r>
            <w:r>
              <w:rPr>
                <w:rFonts w:hint="eastAsia" w:ascii="宋体" w:hAnsi="宋体" w:cs="宋体"/>
                <w:color w:val="auto"/>
                <w:highlight w:val="none"/>
              </w:rPr>
              <w:t>支付任何费用</w:t>
            </w:r>
            <w:r>
              <w:rPr>
                <w:rFonts w:hint="eastAsia" w:ascii="宋体" w:hAnsi="宋体" w:cs="宋体"/>
                <w:bCs/>
                <w:color w:val="auto"/>
                <w:highlight w:val="none"/>
              </w:rPr>
              <w:t>：</w:t>
            </w:r>
          </w:p>
          <w:p w14:paraId="0A1568FC">
            <w:pPr>
              <w:spacing w:line="360" w:lineRule="exact"/>
              <w:jc w:val="left"/>
              <w:rPr>
                <w:rFonts w:ascii="宋体" w:hAnsi="宋体" w:cs="宋体"/>
                <w:bCs/>
                <w:color w:val="auto"/>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保修期：按国家有关产品“三包”规定执行“三包”；保修期不得少于</w:t>
            </w:r>
            <w:r>
              <w:rPr>
                <w:rFonts w:hint="eastAsia" w:ascii="宋体" w:hAnsi="宋体" w:cs="宋体"/>
                <w:bCs/>
                <w:color w:val="auto"/>
                <w:szCs w:val="21"/>
                <w:highlight w:val="none"/>
                <w:u w:val="single"/>
              </w:rPr>
              <w:t>5</w:t>
            </w:r>
            <w:r>
              <w:rPr>
                <w:rFonts w:hint="eastAsia" w:ascii="宋体" w:hAnsi="宋体" w:cs="宋体"/>
                <w:bCs/>
                <w:color w:val="auto"/>
                <w:szCs w:val="21"/>
                <w:highlight w:val="none"/>
              </w:rPr>
              <w:t>年（保</w:t>
            </w:r>
            <w:r>
              <w:rPr>
                <w:rFonts w:hint="eastAsia" w:ascii="宋体" w:hAnsi="宋体" w:cs="宋体"/>
                <w:bCs/>
                <w:color w:val="auto"/>
                <w:highlight w:val="none"/>
              </w:rPr>
              <w:t>修期从设备验收合格之日起计算）</w:t>
            </w:r>
            <w:r>
              <w:rPr>
                <w:rFonts w:hint="eastAsia" w:ascii="宋体" w:hAnsi="宋体" w:cs="宋体"/>
                <w:bCs/>
                <w:color w:val="auto"/>
                <w:szCs w:val="21"/>
                <w:highlight w:val="none"/>
              </w:rPr>
              <w:t>，保修期内上门维修不收取任何费用</w:t>
            </w:r>
            <w:r>
              <w:rPr>
                <w:rFonts w:hint="eastAsia" w:ascii="宋体" w:hAnsi="宋体" w:cs="宋体"/>
                <w:bCs/>
                <w:color w:val="auto"/>
                <w:highlight w:val="none"/>
              </w:rPr>
              <w:t>。</w:t>
            </w:r>
          </w:p>
          <w:p w14:paraId="05DB1A5D">
            <w:pPr>
              <w:spacing w:line="360" w:lineRule="exact"/>
              <w:jc w:val="left"/>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Cs/>
                <w:color w:val="auto"/>
                <w:szCs w:val="21"/>
                <w:highlight w:val="none"/>
              </w:rPr>
              <w:t>采购范围内的货物</w:t>
            </w:r>
            <w:r>
              <w:rPr>
                <w:rFonts w:hint="eastAsia" w:ascii="宋体" w:hAnsi="宋体" w:cs="宋体"/>
                <w:bCs/>
                <w:color w:val="auto"/>
                <w:highlight w:val="none"/>
              </w:rPr>
              <w:t>送货上门、安装调试合格(仪器到货后1周内到用户处安装调试)，提供技术及使用培训服务（负责培训 1~2 名操作人员直至能完全独立操作），保证操作人员能正常操作设备的各种功能；若设备自带软件，则在保修期内提供升级服务（采购人不再另行支付费用）。</w:t>
            </w:r>
          </w:p>
          <w:p w14:paraId="02962F91">
            <w:pPr>
              <w:spacing w:line="360" w:lineRule="exact"/>
              <w:jc w:val="left"/>
              <w:rPr>
                <w:rFonts w:ascii="宋体" w:hAnsi="宋体" w:cs="宋体"/>
                <w:bCs/>
                <w:color w:val="auto"/>
                <w:highlight w:val="none"/>
              </w:rPr>
            </w:pPr>
            <w:r>
              <w:rPr>
                <w:rFonts w:hint="eastAsia" w:ascii="宋体" w:hAnsi="宋体" w:cs="宋体"/>
                <w:bCs/>
                <w:color w:val="auto"/>
                <w:highlight w:val="none"/>
              </w:rPr>
              <w:t>3.保修期内仪器设备出现故障，在接到电话通知后，2小时内做出响应，48小时内到达维修现场。一般问题应在72小时内解决。重大问题或其它无法迅速解决的问题应在一周内解决，否则须在二个工作日内提供与原设备技术参数要求相同或高于原设备技术参数要求的备用设备，以保证采购人的正常工作。</w:t>
            </w:r>
          </w:p>
          <w:p w14:paraId="3CF3695C">
            <w:pPr>
              <w:spacing w:line="360" w:lineRule="exact"/>
              <w:jc w:val="left"/>
              <w:rPr>
                <w:rFonts w:ascii="宋体" w:hAnsi="宋体" w:cs="宋体"/>
                <w:b/>
                <w:bCs/>
                <w:color w:val="auto"/>
                <w:szCs w:val="21"/>
                <w:highlight w:val="none"/>
              </w:rPr>
            </w:pPr>
            <w:r>
              <w:rPr>
                <w:rFonts w:hint="eastAsia" w:ascii="宋体" w:hAnsi="宋体" w:cs="宋体"/>
                <w:bCs/>
                <w:color w:val="auto"/>
                <w:highlight w:val="none"/>
              </w:rPr>
              <w:t>4.提供每半年一次定期回访以及对设备维护服务。</w:t>
            </w:r>
          </w:p>
        </w:tc>
      </w:tr>
      <w:tr w14:paraId="287EE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05" w:type="dxa"/>
            <w:gridSpan w:val="3"/>
            <w:tcBorders>
              <w:top w:val="single" w:color="auto" w:sz="4" w:space="0"/>
              <w:left w:val="single" w:color="auto" w:sz="4" w:space="0"/>
              <w:bottom w:val="single" w:color="auto" w:sz="4" w:space="0"/>
              <w:right w:val="single" w:color="auto" w:sz="4" w:space="0"/>
            </w:tcBorders>
            <w:vAlign w:val="center"/>
          </w:tcPr>
          <w:p w14:paraId="13F18619">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（二）合同签订时间</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234D2A58">
            <w:pPr>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自中标通知书发出之日起 25日内签订采购合同。</w:t>
            </w:r>
          </w:p>
        </w:tc>
      </w:tr>
      <w:tr w14:paraId="4ADBD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05" w:type="dxa"/>
            <w:gridSpan w:val="3"/>
            <w:tcBorders>
              <w:top w:val="single" w:color="auto" w:sz="4" w:space="0"/>
              <w:left w:val="single" w:color="auto" w:sz="4" w:space="0"/>
              <w:bottom w:val="single" w:color="auto" w:sz="4" w:space="0"/>
              <w:right w:val="single" w:color="auto" w:sz="4" w:space="0"/>
            </w:tcBorders>
            <w:vAlign w:val="center"/>
          </w:tcPr>
          <w:p w14:paraId="1079DCDB">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（三）交付时间和地点</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140C770E">
            <w:pPr>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1.交付时间：自签订合同之日起30个工作日内到货并安装调试完毕。</w:t>
            </w:r>
          </w:p>
          <w:p w14:paraId="17BCBAFB">
            <w:pPr>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2.交付地点：广西桂林市采购人</w:t>
            </w:r>
            <w:r>
              <w:rPr>
                <w:rFonts w:hint="eastAsia" w:ascii="宋体" w:hAnsi="宋体" w:cs="宋体"/>
                <w:b/>
                <w:color w:val="auto"/>
                <w:szCs w:val="21"/>
                <w:highlight w:val="none"/>
                <w:lang w:eastAsia="zh-CN"/>
              </w:rPr>
              <w:t>医院内</w:t>
            </w:r>
            <w:r>
              <w:rPr>
                <w:rFonts w:hint="eastAsia" w:ascii="宋体" w:hAnsi="宋体" w:cs="宋体"/>
                <w:b/>
                <w:color w:val="auto"/>
                <w:szCs w:val="21"/>
                <w:highlight w:val="none"/>
              </w:rPr>
              <w:t>指定地点。</w:t>
            </w:r>
          </w:p>
        </w:tc>
      </w:tr>
      <w:tr w14:paraId="7B239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05" w:type="dxa"/>
            <w:gridSpan w:val="3"/>
            <w:tcBorders>
              <w:top w:val="single" w:color="auto" w:sz="4" w:space="0"/>
              <w:left w:val="single" w:color="auto" w:sz="4" w:space="0"/>
              <w:bottom w:val="single" w:color="auto" w:sz="4" w:space="0"/>
              <w:right w:val="single" w:color="auto" w:sz="4" w:space="0"/>
            </w:tcBorders>
            <w:vAlign w:val="center"/>
          </w:tcPr>
          <w:p w14:paraId="24CB5194">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（四）付款方式</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1D62D8B8">
            <w:pPr>
              <w:adjustRightInd w:val="0"/>
              <w:snapToGrid w:val="0"/>
              <w:spacing w:line="360" w:lineRule="exact"/>
              <w:rPr>
                <w:rFonts w:ascii="宋体" w:hAnsi="宋体" w:cs="宋体"/>
                <w:b/>
                <w:color w:val="auto"/>
                <w:szCs w:val="21"/>
                <w:highlight w:val="none"/>
              </w:rPr>
            </w:pPr>
            <w:r>
              <w:rPr>
                <w:rFonts w:hint="eastAsia" w:ascii="宋体" w:hAnsi="宋体" w:cs="宋体"/>
                <w:color w:val="auto"/>
                <w:highlight w:val="none"/>
              </w:rPr>
              <w:t>本分标预付款为合同总金额的30%，在合同生效以及具备实施条件后，采购人30个工作日内支付预付款；设备验收合格正常运转30个工作日内，采购人支付合同价款的70%（无息）。在设备验收合格正常运转30个工作日内，中标人必须向采购人提供符合国家规定及采购人要求的全额有效的税务发票，采购人未收到发票的，有权不予支付相应款项直至中标人提供合格发票，并不承担延迟付款责任。发票认证通过是付款的必要前提之一。</w:t>
            </w:r>
          </w:p>
        </w:tc>
      </w:tr>
      <w:tr w14:paraId="5F0C4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05" w:type="dxa"/>
            <w:gridSpan w:val="3"/>
            <w:tcBorders>
              <w:top w:val="single" w:color="auto" w:sz="4" w:space="0"/>
              <w:left w:val="single" w:color="auto" w:sz="4" w:space="0"/>
              <w:bottom w:val="single" w:color="auto" w:sz="4" w:space="0"/>
              <w:right w:val="single" w:color="auto" w:sz="4" w:space="0"/>
            </w:tcBorders>
            <w:vAlign w:val="center"/>
          </w:tcPr>
          <w:p w14:paraId="53AE3E92">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（五）包装和运输</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054D2396">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1.中标人提供的货物均要求为原厂原包装，包装完好完整、无破损、未开封。国家对包装及运输有相关强制性标准或要求的，中标人应当执行。</w:t>
            </w:r>
          </w:p>
          <w:p w14:paraId="28817DC7">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2.中标人的包装及运输应综合考虑运输距离、防水、防潮、防震、防锈和防破损装卸等要求，以保证货物安全、完好运达采购人指定地点。国家对包装及运输有相关强制性标准或要求的，中标人应当执行。</w:t>
            </w:r>
          </w:p>
          <w:p w14:paraId="3B6735BC">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3.货物的使用说明书（货物属于进口产品的，供货时应同时附上中文使用说明书）、质量检验证明书、质量合格证、随配附件和工具以及清单一并附于货物包装内。</w:t>
            </w:r>
          </w:p>
          <w:p w14:paraId="483FAA44">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4.产品（含包装）运抵采购人指定交付地点并经采购人验收合格前发生损坏及相关风险，相关损失由中标人自行承担。</w:t>
            </w:r>
          </w:p>
          <w:p w14:paraId="6EFFD397">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5.中标人负责货物运输，货物运输合理损耗及计算方法：由中标人负责。</w:t>
            </w:r>
          </w:p>
          <w:p w14:paraId="3FA4CE0E">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6.中标人在货物发运手续办理完毕后二十四小时内或货到采购人四十八小时前通知采购人，以准备接货。</w:t>
            </w:r>
          </w:p>
          <w:p w14:paraId="7C93EFAB">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7.中标人应将所提供货物的装箱清单、用户手册、原厂保修卡、随机资料、工具和备品、备件等一并交付给采购人，如有缺失应及时补齐，否则视为逾期交货。</w:t>
            </w:r>
          </w:p>
        </w:tc>
      </w:tr>
      <w:tr w14:paraId="49FE5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05" w:type="dxa"/>
            <w:gridSpan w:val="3"/>
            <w:tcBorders>
              <w:top w:val="single" w:color="auto" w:sz="4" w:space="0"/>
              <w:left w:val="single" w:color="auto" w:sz="4" w:space="0"/>
              <w:bottom w:val="single" w:color="auto" w:sz="4" w:space="0"/>
              <w:right w:val="single" w:color="auto" w:sz="4" w:space="0"/>
            </w:tcBorders>
            <w:vAlign w:val="center"/>
          </w:tcPr>
          <w:p w14:paraId="435CB1E9">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（六）保险</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166558BE">
            <w:pPr>
              <w:adjustRightInd w:val="0"/>
              <w:snapToGrid w:val="0"/>
              <w:spacing w:line="360" w:lineRule="exact"/>
              <w:rPr>
                <w:rFonts w:ascii="宋体" w:hAnsi="宋体" w:cs="宋体"/>
                <w:b/>
                <w:color w:val="auto"/>
                <w:szCs w:val="21"/>
                <w:highlight w:val="none"/>
              </w:rPr>
            </w:pPr>
            <w:r>
              <w:rPr>
                <w:rFonts w:hint="eastAsia" w:ascii="宋体" w:hAnsi="宋体" w:cs="宋体"/>
                <w:b/>
                <w:bCs/>
                <w:color w:val="auto"/>
                <w:kern w:val="0"/>
                <w:szCs w:val="21"/>
                <w:highlight w:val="none"/>
              </w:rPr>
              <w:t>若投标人为本项目标的及标的涉及的相关材料、设备、人员、运输等购买保险的，相关费用由投标人自行承担。</w:t>
            </w:r>
          </w:p>
        </w:tc>
      </w:tr>
      <w:tr w14:paraId="7A4BA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05" w:type="dxa"/>
            <w:gridSpan w:val="3"/>
            <w:tcBorders>
              <w:top w:val="single" w:color="auto" w:sz="4" w:space="0"/>
              <w:left w:val="single" w:color="auto" w:sz="4" w:space="0"/>
              <w:bottom w:val="single" w:color="auto" w:sz="4" w:space="0"/>
              <w:right w:val="single" w:color="auto" w:sz="4" w:space="0"/>
            </w:tcBorders>
            <w:vAlign w:val="center"/>
          </w:tcPr>
          <w:p w14:paraId="29A32AD6">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（七）验收标准</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15925F7D">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1.履约验收时间：</w:t>
            </w:r>
          </w:p>
          <w:p w14:paraId="411AF921">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（1）初步验收：标的到达采购人指定地点之日起7个工作日内。</w:t>
            </w:r>
          </w:p>
          <w:p w14:paraId="39473869">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（2）交付验收：标的安装调试完毕之日起7个工作日内。</w:t>
            </w:r>
          </w:p>
          <w:p w14:paraId="4F2A32ED">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（3）最终验收：中标人履行完合同约定的应当由中标人履行的全部事项之日起7个工作日内。</w:t>
            </w:r>
          </w:p>
          <w:p w14:paraId="7DC50D3D">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2.履约验收程序：</w:t>
            </w:r>
          </w:p>
          <w:p w14:paraId="6EED8460">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标的到达采购人指定地点，采购人在规定的时间内进行初步验收；初步验收合格、标的安装调试完毕后，采购人在规定的时间内进行交付验收；交付验收合格，中标人履行完合同约定的应当由中标人履行的全部事项之日起7个工作日内进行最终验收。</w:t>
            </w:r>
          </w:p>
          <w:p w14:paraId="5FA89EB6">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3.履约验收内容：</w:t>
            </w:r>
          </w:p>
          <w:p w14:paraId="73F5AD0A">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采购人依据招标文件要求、中标人的投标承诺以及国家有关质量标准，就中标人提供对标的每一项技术、商务要求等相关内容进行验收。</w:t>
            </w:r>
          </w:p>
          <w:p w14:paraId="1EC8C5D9">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4.履约验收标准：</w:t>
            </w:r>
          </w:p>
          <w:p w14:paraId="0734D9F5">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（1）初步验收：</w:t>
            </w:r>
          </w:p>
          <w:p w14:paraId="60BD0650">
            <w:pPr>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标的在规定的时间内到货，标的（含包装）完整、完好，与投标承诺的产品（制造商、品牌、规格型号等）一致，标的无明显瑕疵、无损坏，装箱清单、用户手册、原厂保修卡、安装操作使用和维护手册、随机资料等所有技术资料、工具和备品、备件齐全。全部满足以上情形的，视为初步验收合格，标的不符合上述情形的，采购人在初步验收后七个工作日内以书面形式向中标人提出，中标人应自收到采购人书面异议后七个工作日内及时予以解决，否则，视为初步验收不合格，不予进行交付验收。</w:t>
            </w:r>
          </w:p>
          <w:p w14:paraId="69B8373C">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（2）交付验收：</w:t>
            </w:r>
          </w:p>
          <w:p w14:paraId="65162054">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标的的技术指标与中标人的投标承诺一致或更高，且满足招标文件全部实质性要求，视为交付验收合格。标的不符合上述情形的，采购人在交付验收后七个工作日内以书面形式向中标人提出，中标人应自收到采购人书面异议后七个工作日内及时予以解决，否则，视为交付验收不合格。</w:t>
            </w:r>
          </w:p>
          <w:p w14:paraId="08D6BB22">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（3）最终验收：</w:t>
            </w:r>
          </w:p>
          <w:p w14:paraId="5843AE0B">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标的交付验收合格投入使用后，中标人提供的售后服务与其投标承诺一致或更优，且中标人履行完合同约定的应当由中标人履行的全部事项，视为最终验收合格。</w:t>
            </w:r>
          </w:p>
          <w:p w14:paraId="5DCAA125">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5.其他事项：</w:t>
            </w:r>
          </w:p>
          <w:p w14:paraId="6B4A68F3">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（1）验收时，采购人与中标人双方应当派员在场，并对验收结果签署意见，否则视为其同意验收结果。</w:t>
            </w:r>
          </w:p>
          <w:p w14:paraId="784A34E9">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2）由于中标人的原因造成采购人验收不合格、影响采购人正常使用的，由此造成的损失由中标人承担。初步验收或交付验收不合格的，采购人有权终止合同并全部退货，同时报相关监督管理部门处理，由此造成采购人经济损失的由中标人负责承担全部赔偿责任。</w:t>
            </w:r>
          </w:p>
          <w:p w14:paraId="5AF835DF">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（3）对技术复杂的货物，采购人可请国家认可的专业检测机构参与初步验收及交付验收，并由其出具质量检测报告，费用由中标人承担。</w:t>
            </w:r>
          </w:p>
          <w:p w14:paraId="4EED60EE">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（4）验收过程中所产生的一切费用均由中标人承担，投标人在投标报价时应综合考虑相关费用。</w:t>
            </w:r>
          </w:p>
          <w:p w14:paraId="20B7BCEB">
            <w:pPr>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（5）采购人产品的验收不免除中标人的质量保证责任。</w:t>
            </w:r>
          </w:p>
        </w:tc>
      </w:tr>
      <w:tr w14:paraId="26902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05" w:type="dxa"/>
            <w:gridSpan w:val="3"/>
            <w:tcBorders>
              <w:top w:val="single" w:color="auto" w:sz="4" w:space="0"/>
              <w:left w:val="single" w:color="auto" w:sz="4" w:space="0"/>
              <w:bottom w:val="single" w:color="auto" w:sz="4" w:space="0"/>
              <w:right w:val="single" w:color="auto" w:sz="4" w:space="0"/>
            </w:tcBorders>
            <w:vAlign w:val="center"/>
          </w:tcPr>
          <w:p w14:paraId="71B6A495">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（八）知识产权</w:t>
            </w:r>
          </w:p>
        </w:tc>
        <w:tc>
          <w:tcPr>
            <w:tcW w:w="5600" w:type="dxa"/>
            <w:gridSpan w:val="2"/>
            <w:tcBorders>
              <w:top w:val="single" w:color="auto" w:sz="4" w:space="0"/>
              <w:left w:val="single" w:color="auto" w:sz="4" w:space="0"/>
              <w:bottom w:val="single" w:color="auto" w:sz="4" w:space="0"/>
              <w:right w:val="single" w:color="auto" w:sz="4" w:space="0"/>
            </w:tcBorders>
          </w:tcPr>
          <w:p w14:paraId="4B3F84A9">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1.采购人在履行合同过程中提供给中标人的全部文件和其他含有数据和信息的资料，其知识产权属于采购人。</w:t>
            </w:r>
          </w:p>
          <w:p w14:paraId="0E7DD2D8">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2.除招标文件采购需求另有约定外，采购人不因签署和履行合同而享有中标人在履行合同过程中提供给采购人的文件、配套软件、电子辅助程序和其他含有数据和信息的资料的知识产权。</w:t>
            </w:r>
          </w:p>
          <w:p w14:paraId="0323C7A8">
            <w:pPr>
              <w:spacing w:line="360" w:lineRule="exact"/>
              <w:jc w:val="left"/>
              <w:rPr>
                <w:rFonts w:ascii="宋体" w:hAnsi="宋体" w:cs="宋体"/>
                <w:color w:val="auto"/>
                <w:szCs w:val="21"/>
                <w:highlight w:val="none"/>
              </w:rPr>
            </w:pPr>
            <w:r>
              <w:rPr>
                <w:rFonts w:hint="eastAsia" w:ascii="宋体" w:hAnsi="宋体" w:cs="宋体"/>
                <w:b/>
                <w:color w:val="auto"/>
                <w:szCs w:val="21"/>
                <w:highlight w:val="none"/>
              </w:rPr>
              <w:t>3.中标人应保证所提供货物在使用时不会侵犯任何第三方的知识产权或者其他权利。如合同货物涉及知识产权，则中标人保证采购人在使用合同货物过程中免于受到第三方提出的有关知识产权侵权的主张、索赔或诉讼的伤害。</w:t>
            </w:r>
          </w:p>
        </w:tc>
      </w:tr>
      <w:tr w14:paraId="18AF8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05" w:type="dxa"/>
            <w:gridSpan w:val="3"/>
            <w:tcBorders>
              <w:top w:val="single" w:color="auto" w:sz="4" w:space="0"/>
              <w:left w:val="single" w:color="auto" w:sz="4" w:space="0"/>
              <w:bottom w:val="single" w:color="auto" w:sz="4" w:space="0"/>
              <w:right w:val="single" w:color="auto" w:sz="4" w:space="0"/>
            </w:tcBorders>
            <w:vAlign w:val="center"/>
          </w:tcPr>
          <w:p w14:paraId="62E428CF">
            <w:pPr>
              <w:keepNext w:val="0"/>
              <w:keepLines w:val="0"/>
              <w:pageBreakBefore w:val="0"/>
              <w:widowControl w:val="0"/>
              <w:kinsoku/>
              <w:wordWrap/>
              <w:overflowPunct/>
              <w:topLinePunct w:val="0"/>
              <w:autoSpaceDE/>
              <w:autoSpaceDN/>
              <w:bidi w:val="0"/>
              <w:spacing w:line="34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（九）违约责任</w:t>
            </w:r>
          </w:p>
        </w:tc>
        <w:tc>
          <w:tcPr>
            <w:tcW w:w="5600" w:type="dxa"/>
            <w:gridSpan w:val="2"/>
            <w:tcBorders>
              <w:top w:val="single" w:color="auto" w:sz="4" w:space="0"/>
              <w:left w:val="single" w:color="auto" w:sz="4" w:space="0"/>
              <w:bottom w:val="single" w:color="auto" w:sz="4" w:space="0"/>
              <w:right w:val="single" w:color="auto" w:sz="4" w:space="0"/>
            </w:tcBorders>
          </w:tcPr>
          <w:p w14:paraId="7E05281D">
            <w:pPr>
              <w:keepNext w:val="0"/>
              <w:keepLines w:val="0"/>
              <w:pageBreakBefore w:val="0"/>
              <w:widowControl w:val="0"/>
              <w:kinsoku/>
              <w:wordWrap/>
              <w:overflowPunct/>
              <w:topLinePunct w:val="0"/>
              <w:autoSpaceDE/>
              <w:autoSpaceDN/>
              <w:bidi w:val="0"/>
              <w:spacing w:line="340" w:lineRule="exact"/>
              <w:textAlignment w:val="auto"/>
              <w:rPr>
                <w:rFonts w:ascii="宋体" w:hAnsi="宋体" w:cs="宋体"/>
                <w:b/>
                <w:color w:val="auto"/>
                <w:szCs w:val="21"/>
                <w:highlight w:val="none"/>
              </w:rPr>
            </w:pPr>
            <w:r>
              <w:rPr>
                <w:rFonts w:hint="eastAsia" w:ascii="宋体" w:hAnsi="宋体" w:cs="宋体"/>
                <w:b/>
                <w:color w:val="auto"/>
                <w:szCs w:val="21"/>
                <w:highlight w:val="none"/>
              </w:rPr>
              <w:t>1.合同一方不履行合同义务、履行合同义务不符合约定或者违反合同项下所作保证的， 应向对方承担继续履行、采取修理、更换、退货等补救措施或者赔偿损失等违约责任。</w:t>
            </w:r>
          </w:p>
          <w:p w14:paraId="297953CB">
            <w:pPr>
              <w:keepNext w:val="0"/>
              <w:keepLines w:val="0"/>
              <w:pageBreakBefore w:val="0"/>
              <w:widowControl w:val="0"/>
              <w:kinsoku/>
              <w:wordWrap/>
              <w:overflowPunct/>
              <w:topLinePunct w:val="0"/>
              <w:autoSpaceDE/>
              <w:autoSpaceDN/>
              <w:bidi w:val="0"/>
              <w:spacing w:line="340" w:lineRule="exact"/>
              <w:textAlignment w:val="auto"/>
              <w:rPr>
                <w:rFonts w:ascii="宋体" w:hAnsi="宋体" w:cs="宋体"/>
                <w:b/>
                <w:color w:val="auto"/>
                <w:szCs w:val="21"/>
                <w:highlight w:val="none"/>
              </w:rPr>
            </w:pPr>
            <w:r>
              <w:rPr>
                <w:rFonts w:hint="eastAsia" w:ascii="宋体" w:hAnsi="宋体" w:cs="宋体"/>
                <w:b/>
                <w:color w:val="auto"/>
                <w:szCs w:val="21"/>
                <w:highlight w:val="none"/>
              </w:rPr>
              <w:t>2.中标人延迟交付货物的，应向采购人支付延迟违约金。延迟违约金的计算方法如下：每延迟一天向对方偿付货款总额3‰违约金，超过30 天采购人有权解除合同，中标人承担因此给采购人造成的全部损失，并按照货款总额的15%向采购人支付违约金，且中标人应当退还采购人支付过的全部费用。如延迟交付必然导致合同货物安装、调试、验收等工作推迟的，相关工作应相应顺延。</w:t>
            </w:r>
          </w:p>
          <w:p w14:paraId="7E3AAB67">
            <w:pPr>
              <w:keepNext w:val="0"/>
              <w:keepLines w:val="0"/>
              <w:pageBreakBefore w:val="0"/>
              <w:widowControl w:val="0"/>
              <w:kinsoku/>
              <w:wordWrap/>
              <w:overflowPunct/>
              <w:topLinePunct w:val="0"/>
              <w:autoSpaceDE/>
              <w:autoSpaceDN/>
              <w:bidi w:val="0"/>
              <w:spacing w:line="340" w:lineRule="exact"/>
              <w:textAlignment w:val="auto"/>
              <w:rPr>
                <w:rFonts w:ascii="宋体" w:hAnsi="宋体" w:cs="宋体"/>
                <w:b/>
                <w:color w:val="auto"/>
                <w:szCs w:val="21"/>
                <w:highlight w:val="none"/>
              </w:rPr>
            </w:pPr>
            <w:r>
              <w:rPr>
                <w:rFonts w:hint="eastAsia" w:ascii="宋体" w:hAnsi="宋体" w:cs="宋体"/>
                <w:b/>
                <w:color w:val="auto"/>
                <w:szCs w:val="21"/>
                <w:highlight w:val="none"/>
              </w:rPr>
              <w:t>3.采购人未能按合同约定支付合同价款的，经中标人书面催告，采购人无正当理由在合理期限（不少于10个工作日）内仍未支付的，自合理期限届满之次日起，应向中标人支付延迟付款违约金。延迟付款违约金的计算方法如下：每延迟一天向中标人偿付当期应付未付金额0.3‰违约金，但违约金累计不得超过当期应付未付总额的5%。</w:t>
            </w:r>
          </w:p>
          <w:p w14:paraId="0E2C2CE6">
            <w:pPr>
              <w:keepNext w:val="0"/>
              <w:keepLines w:val="0"/>
              <w:pageBreakBefore w:val="0"/>
              <w:widowControl w:val="0"/>
              <w:kinsoku/>
              <w:wordWrap/>
              <w:overflowPunct/>
              <w:topLinePunct w:val="0"/>
              <w:autoSpaceDE/>
              <w:autoSpaceDN/>
              <w:bidi w:val="0"/>
              <w:spacing w:line="340" w:lineRule="exact"/>
              <w:textAlignment w:val="auto"/>
              <w:rPr>
                <w:rFonts w:ascii="宋体" w:hAnsi="宋体" w:cs="宋体"/>
                <w:b/>
                <w:color w:val="auto"/>
                <w:szCs w:val="21"/>
                <w:highlight w:val="none"/>
              </w:rPr>
            </w:pPr>
            <w:r>
              <w:rPr>
                <w:rFonts w:hint="eastAsia" w:ascii="宋体" w:hAnsi="宋体" w:cs="宋体"/>
                <w:b/>
                <w:color w:val="auto"/>
                <w:szCs w:val="21"/>
                <w:highlight w:val="none"/>
              </w:rPr>
              <w:t>4.中标人提供的产品不符合本合同约定或存在质量问题的，中标人应当按照本合同约定以及采购人要求进行退换，并承担由此产生的一切费用，因退换导致逾期交货的，中标人应当按照本文件“第五章 拟签订的合同文本”中第十一条第2点的内容承担逾期交货违约责任；中标人拒绝退换的，采购人有权解除合同，中标人应当自行取回货物，采购人不承担任何保管义务，并且中标人应当按照合同总金额的15%向采购人支付违约金。</w:t>
            </w:r>
          </w:p>
          <w:p w14:paraId="18E28FAF">
            <w:pPr>
              <w:keepNext w:val="0"/>
              <w:keepLines w:val="0"/>
              <w:pageBreakBefore w:val="0"/>
              <w:widowControl w:val="0"/>
              <w:kinsoku/>
              <w:wordWrap/>
              <w:overflowPunct/>
              <w:topLinePunct w:val="0"/>
              <w:autoSpaceDE/>
              <w:autoSpaceDN/>
              <w:bidi w:val="0"/>
              <w:spacing w:line="340" w:lineRule="exact"/>
              <w:textAlignment w:val="auto"/>
              <w:rPr>
                <w:rFonts w:ascii="宋体" w:hAnsi="宋体" w:cs="宋体"/>
                <w:b/>
                <w:color w:val="auto"/>
                <w:szCs w:val="21"/>
                <w:highlight w:val="none"/>
              </w:rPr>
            </w:pPr>
            <w:r>
              <w:rPr>
                <w:rFonts w:hint="eastAsia" w:ascii="宋体" w:hAnsi="宋体" w:cs="宋体"/>
                <w:b/>
                <w:color w:val="auto"/>
                <w:szCs w:val="21"/>
                <w:highlight w:val="none"/>
              </w:rPr>
              <w:t>5.中标人未按本合同和投标承诺提供售后服务的，经采购人书面催告1次仍不整改的，中标人应按本合同价款（报酬）的 5%向采购人支付违约金，同时采购人有权寻找第三方机构获得售后服务，全部费用由中标人承担，且无需经过中标人同意、确认。中标人经采购人书面催告3次仍不整改的，采购人有权解除合同，采购人解除合同的，无需向中标人支付任何设备使用费、折旧费以及其他补偿，中标人应当退还采购人支付过的费用，并自行取回货物，采购人不承担任何保管义务。</w:t>
            </w:r>
          </w:p>
          <w:p w14:paraId="491E8D45">
            <w:pPr>
              <w:keepNext w:val="0"/>
              <w:keepLines w:val="0"/>
              <w:pageBreakBefore w:val="0"/>
              <w:widowControl w:val="0"/>
              <w:kinsoku/>
              <w:wordWrap/>
              <w:overflowPunct/>
              <w:topLinePunct w:val="0"/>
              <w:autoSpaceDE/>
              <w:autoSpaceDN/>
              <w:bidi w:val="0"/>
              <w:spacing w:line="340" w:lineRule="exact"/>
              <w:textAlignment w:val="auto"/>
              <w:rPr>
                <w:rFonts w:ascii="宋体" w:hAnsi="宋体" w:cs="宋体"/>
                <w:b/>
                <w:color w:val="auto"/>
                <w:szCs w:val="21"/>
                <w:highlight w:val="none"/>
              </w:rPr>
            </w:pPr>
            <w:r>
              <w:rPr>
                <w:rFonts w:hint="eastAsia" w:ascii="宋体" w:hAnsi="宋体" w:cs="宋体"/>
                <w:b/>
                <w:color w:val="auto"/>
                <w:szCs w:val="21"/>
                <w:highlight w:val="none"/>
              </w:rPr>
              <w:t>6.因某一方原因导致变更、中止或者终止政府采购合同的，该方应当对另一方受到的损失予以赔偿或者补偿。</w:t>
            </w:r>
          </w:p>
          <w:p w14:paraId="42C8FF6D">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宋体" w:hAnsi="宋体" w:cs="宋体"/>
                <w:b/>
                <w:color w:val="auto"/>
                <w:szCs w:val="21"/>
                <w:highlight w:val="none"/>
              </w:rPr>
            </w:pPr>
            <w:r>
              <w:rPr>
                <w:rFonts w:hint="eastAsia" w:ascii="宋体" w:hAnsi="宋体" w:cs="宋体"/>
                <w:b/>
                <w:color w:val="auto"/>
                <w:szCs w:val="21"/>
                <w:highlight w:val="none"/>
              </w:rPr>
              <w:t>7.其它违约责任按《中华人民共和国民法典》处理。</w:t>
            </w:r>
          </w:p>
        </w:tc>
      </w:tr>
      <w:tr w14:paraId="5864E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05" w:type="dxa"/>
            <w:gridSpan w:val="3"/>
            <w:tcBorders>
              <w:top w:val="single" w:color="auto" w:sz="4" w:space="0"/>
              <w:left w:val="single" w:color="auto" w:sz="4" w:space="0"/>
              <w:bottom w:val="single" w:color="auto" w:sz="4" w:space="0"/>
              <w:right w:val="single" w:color="auto" w:sz="4" w:space="0"/>
            </w:tcBorders>
            <w:vAlign w:val="center"/>
          </w:tcPr>
          <w:p w14:paraId="1BF1E2E2">
            <w:pPr>
              <w:pStyle w:val="18"/>
              <w:keepNext w:val="0"/>
              <w:keepLines w:val="0"/>
              <w:pageBreakBefore w:val="0"/>
              <w:widowControl w:val="0"/>
              <w:kinsoku/>
              <w:wordWrap/>
              <w:overflowPunct/>
              <w:topLinePunct w:val="0"/>
              <w:autoSpaceDE/>
              <w:autoSpaceDN/>
              <w:bidi w:val="0"/>
              <w:spacing w:line="340" w:lineRule="exact"/>
              <w:jc w:val="center"/>
              <w:textAlignment w:val="auto"/>
              <w:rPr>
                <w:rFonts w:ascii="宋体" w:hAnsi="宋体" w:cs="宋体"/>
                <w:b/>
                <w:color w:val="auto"/>
                <w:kern w:val="2"/>
                <w:sz w:val="21"/>
                <w:szCs w:val="21"/>
                <w:highlight w:val="none"/>
              </w:rPr>
            </w:pPr>
            <w:r>
              <w:rPr>
                <w:rFonts w:hint="eastAsia" w:ascii="宋体" w:hAnsi="宋体" w:cs="宋体"/>
                <w:b/>
                <w:color w:val="auto"/>
                <w:sz w:val="21"/>
                <w:szCs w:val="21"/>
                <w:highlight w:val="none"/>
              </w:rPr>
              <w:t>（十）进口产品说明</w:t>
            </w:r>
          </w:p>
        </w:tc>
        <w:tc>
          <w:tcPr>
            <w:tcW w:w="5600" w:type="dxa"/>
            <w:gridSpan w:val="2"/>
            <w:tcBorders>
              <w:top w:val="single" w:color="auto" w:sz="4" w:space="0"/>
              <w:left w:val="single" w:color="auto" w:sz="4" w:space="0"/>
              <w:bottom w:val="single" w:color="auto" w:sz="4" w:space="0"/>
              <w:right w:val="single" w:color="auto" w:sz="4" w:space="0"/>
            </w:tcBorders>
          </w:tcPr>
          <w:p w14:paraId="60D5AD3E">
            <w:pPr>
              <w:keepNext w:val="0"/>
              <w:keepLines w:val="0"/>
              <w:pageBreakBefore w:val="0"/>
              <w:widowControl w:val="0"/>
              <w:kinsoku/>
              <w:wordWrap/>
              <w:overflowPunct/>
              <w:topLinePunct w:val="0"/>
              <w:autoSpaceDE/>
              <w:autoSpaceDN/>
              <w:bidi w:val="0"/>
              <w:spacing w:line="340" w:lineRule="exact"/>
              <w:textAlignment w:val="auto"/>
              <w:rPr>
                <w:rFonts w:ascii="宋体" w:hAnsi="宋体" w:cs="宋体"/>
                <w:b/>
                <w:color w:val="auto"/>
                <w:szCs w:val="21"/>
                <w:highlight w:val="none"/>
              </w:rPr>
            </w:pPr>
            <w:r>
              <w:rPr>
                <w:rFonts w:hint="eastAsia" w:ascii="宋体" w:hAnsi="宋体" w:cs="宋体"/>
                <w:b/>
                <w:color w:val="auto"/>
                <w:szCs w:val="21"/>
                <w:highlight w:val="none"/>
              </w:rPr>
              <w:t>本分标货物不接受进口产品（即通过中国海关报关验放进入中国境内且产自关境外的产品）参与投标，如有进口产品参与投标的作无效标处理。</w:t>
            </w:r>
          </w:p>
        </w:tc>
      </w:tr>
      <w:tr w14:paraId="7D89A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679DEE0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（十一）采购预算及最高限价</w:t>
            </w:r>
          </w:p>
        </w:tc>
        <w:tc>
          <w:tcPr>
            <w:tcW w:w="3041" w:type="pct"/>
            <w:gridSpan w:val="2"/>
            <w:tcBorders>
              <w:top w:val="single" w:color="auto" w:sz="4" w:space="0"/>
              <w:left w:val="single" w:color="auto" w:sz="4" w:space="0"/>
              <w:bottom w:val="single" w:color="auto" w:sz="4" w:space="0"/>
              <w:right w:val="single" w:color="auto" w:sz="4" w:space="0"/>
            </w:tcBorders>
          </w:tcPr>
          <w:p w14:paraId="39DFCCEA">
            <w:pPr>
              <w:keepNext w:val="0"/>
              <w:keepLines w:val="0"/>
              <w:pageBreakBefore w:val="0"/>
              <w:widowControl w:val="0"/>
              <w:kinsoku/>
              <w:wordWrap/>
              <w:overflowPunct/>
              <w:topLinePunct w:val="0"/>
              <w:autoSpaceDE/>
              <w:autoSpaceDN/>
              <w:bidi w:val="0"/>
              <w:spacing w:line="340" w:lineRule="exact"/>
              <w:textAlignment w:val="auto"/>
              <w:rPr>
                <w:rFonts w:ascii="宋体" w:hAnsi="宋体" w:cs="宋体"/>
                <w:b/>
                <w:color w:val="auto"/>
                <w:szCs w:val="21"/>
                <w:highlight w:val="none"/>
              </w:rPr>
            </w:pPr>
            <w:r>
              <w:rPr>
                <w:rFonts w:hint="eastAsia" w:ascii="宋体" w:hAnsi="宋体" w:cs="宋体"/>
                <w:color w:val="auto"/>
                <w:highlight w:val="none"/>
              </w:rPr>
              <w:t>本分标采购预算为叁拾柒万元整（¥370000.00），最高限价为贰拾壹万元整（¥210000.00），</w:t>
            </w:r>
            <w:r>
              <w:rPr>
                <w:rFonts w:hint="eastAsia" w:ascii="宋体" w:hAnsi="宋体" w:cs="宋体"/>
                <w:b/>
                <w:color w:val="auto"/>
                <w:szCs w:val="21"/>
                <w:highlight w:val="none"/>
              </w:rPr>
              <w:t>投标人投标报价超最高限价的，本分标投标文件按无效处理。</w:t>
            </w:r>
          </w:p>
        </w:tc>
      </w:tr>
      <w:tr w14:paraId="1C2A8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Pr>
          <w:p w14:paraId="359AAD25">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宋体" w:hAnsi="宋体" w:cs="宋体"/>
                <w:b/>
                <w:color w:val="auto"/>
                <w:szCs w:val="21"/>
                <w:highlight w:val="none"/>
              </w:rPr>
            </w:pPr>
            <w:r>
              <w:rPr>
                <w:rFonts w:hint="eastAsia" w:ascii="宋体" w:hAnsi="宋体" w:cs="宋体"/>
                <w:b/>
                <w:bCs/>
                <w:color w:val="auto"/>
                <w:szCs w:val="21"/>
                <w:highlight w:val="none"/>
              </w:rPr>
              <w:t>五、与实现项目目标相关的其他要求</w:t>
            </w:r>
          </w:p>
        </w:tc>
      </w:tr>
      <w:tr w14:paraId="334B8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5777E7A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（一）安装实施方案</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23B71C17">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安装实施方案</w:t>
            </w:r>
            <w:r>
              <w:rPr>
                <w:rFonts w:hint="eastAsia" w:ascii="宋体" w:hAnsi="宋体" w:cs="宋体"/>
                <w:color w:val="auto"/>
                <w:szCs w:val="21"/>
                <w:highlight w:val="none"/>
              </w:rPr>
              <w:t>，包含但不限于：①安装方案；②设备调试方案；③设备试运行方案等</w:t>
            </w:r>
            <w:r>
              <w:rPr>
                <w:rFonts w:hint="eastAsia" w:ascii="宋体" w:hAnsi="宋体" w:cs="宋体"/>
                <w:bCs/>
                <w:color w:val="auto"/>
                <w:szCs w:val="21"/>
                <w:highlight w:val="none"/>
              </w:rPr>
              <w:t>。</w:t>
            </w:r>
          </w:p>
          <w:p w14:paraId="12DD094D">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宋体" w:hAnsi="宋体" w:cs="宋体"/>
                <w:b/>
                <w:i/>
                <w:color w:val="auto"/>
                <w:szCs w:val="21"/>
                <w:highlight w:val="none"/>
              </w:rPr>
            </w:pPr>
            <w:r>
              <w:rPr>
                <w:rFonts w:hint="eastAsia" w:ascii="宋体" w:hAnsi="宋体" w:cs="宋体"/>
                <w:b/>
                <w:bCs/>
                <w:color w:val="auto"/>
                <w:highlight w:val="none"/>
              </w:rPr>
              <w:t>注：上述</w:t>
            </w:r>
            <w:r>
              <w:rPr>
                <w:rFonts w:hint="eastAsia" w:ascii="宋体" w:hAnsi="宋体" w:cs="宋体"/>
                <w:b/>
                <w:color w:val="auto"/>
                <w:spacing w:val="-4"/>
                <w:szCs w:val="21"/>
                <w:highlight w:val="none"/>
              </w:rPr>
              <w:t>具体详见“第四章评标方法及评标标准”。</w:t>
            </w:r>
          </w:p>
        </w:tc>
      </w:tr>
      <w:tr w14:paraId="1C917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4A649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（二）增值售后服务方案</w:t>
            </w:r>
          </w:p>
        </w:tc>
        <w:tc>
          <w:tcPr>
            <w:tcW w:w="304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FB1FEE">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增值售后服务方案</w:t>
            </w:r>
            <w:r>
              <w:rPr>
                <w:rFonts w:hint="eastAsia" w:ascii="宋体" w:hAnsi="宋体" w:cs="宋体"/>
                <w:color w:val="auto"/>
                <w:szCs w:val="21"/>
                <w:highlight w:val="none"/>
              </w:rPr>
              <w:t>，包含但不限于：①</w:t>
            </w:r>
            <w:r>
              <w:rPr>
                <w:rFonts w:hint="eastAsia" w:ascii="宋体" w:hAnsi="宋体" w:cs="宋体"/>
                <w:color w:val="auto"/>
                <w:highlight w:val="none"/>
              </w:rPr>
              <w:t>服务人员的配备</w:t>
            </w:r>
            <w:r>
              <w:rPr>
                <w:rFonts w:hint="eastAsia" w:ascii="宋体" w:hAnsi="宋体" w:cs="宋体"/>
                <w:color w:val="auto"/>
                <w:szCs w:val="21"/>
                <w:highlight w:val="none"/>
              </w:rPr>
              <w:t>、故障出现解决方案，②定期维护 (注明时间)，③技术培训方案，④保修期外维修方案，⑤售后服务措施及其他优惠措施等</w:t>
            </w:r>
            <w:r>
              <w:rPr>
                <w:rFonts w:hint="eastAsia" w:ascii="宋体" w:hAnsi="宋体" w:cs="宋体"/>
                <w:bCs/>
                <w:color w:val="auto"/>
                <w:szCs w:val="21"/>
                <w:highlight w:val="none"/>
              </w:rPr>
              <w:t>。</w:t>
            </w:r>
          </w:p>
          <w:p w14:paraId="1A2BBD37">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宋体" w:hAnsi="宋体" w:cs="宋体"/>
                <w:b/>
                <w:i/>
                <w:color w:val="auto"/>
                <w:szCs w:val="21"/>
                <w:highlight w:val="none"/>
              </w:rPr>
            </w:pPr>
            <w:r>
              <w:rPr>
                <w:rFonts w:hint="eastAsia" w:ascii="宋体" w:hAnsi="宋体" w:cs="宋体"/>
                <w:b/>
                <w:bCs/>
                <w:color w:val="auto"/>
                <w:highlight w:val="none"/>
              </w:rPr>
              <w:t>注：上述</w:t>
            </w:r>
            <w:r>
              <w:rPr>
                <w:rFonts w:hint="eastAsia" w:ascii="宋体" w:hAnsi="宋体" w:cs="宋体"/>
                <w:b/>
                <w:color w:val="auto"/>
                <w:spacing w:val="-4"/>
                <w:szCs w:val="21"/>
                <w:highlight w:val="none"/>
              </w:rPr>
              <w:t>具体详见“第四章评标方法及评标标准”。</w:t>
            </w:r>
          </w:p>
        </w:tc>
      </w:tr>
      <w:tr w14:paraId="4E756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281FA19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ascii="宋体" w:hAnsi="宋体" w:cs="宋体"/>
                <w:i/>
                <w:color w:val="auto"/>
                <w:szCs w:val="21"/>
                <w:highlight w:val="none"/>
              </w:rPr>
            </w:pPr>
            <w:r>
              <w:rPr>
                <w:rFonts w:hint="eastAsia" w:ascii="宋体" w:hAnsi="宋体" w:cs="宋体"/>
                <w:color w:val="auto"/>
                <w:szCs w:val="21"/>
                <w:highlight w:val="none"/>
              </w:rPr>
              <w:t>（三）履约能力要求</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55F04D6B">
            <w:pPr>
              <w:keepNext w:val="0"/>
              <w:keepLines w:val="0"/>
              <w:pageBreakBefore w:val="0"/>
              <w:widowControl w:val="0"/>
              <w:kinsoku/>
              <w:wordWrap/>
              <w:overflowPunct/>
              <w:topLinePunct w:val="0"/>
              <w:autoSpaceDE/>
              <w:autoSpaceDN/>
              <w:bidi w:val="0"/>
              <w:spacing w:line="340" w:lineRule="exact"/>
              <w:textAlignment w:val="auto"/>
              <w:rPr>
                <w:rFonts w:ascii="宋体" w:hAnsi="宋体" w:cs="宋体"/>
                <w:color w:val="auto"/>
                <w:szCs w:val="21"/>
                <w:highlight w:val="none"/>
              </w:rPr>
            </w:pPr>
            <w:r>
              <w:rPr>
                <w:rFonts w:hint="eastAsia" w:ascii="宋体" w:hAnsi="宋体" w:cs="宋体"/>
                <w:color w:val="auto"/>
                <w:highlight w:val="none"/>
              </w:rPr>
              <w:t>1.</w:t>
            </w:r>
            <w:r>
              <w:rPr>
                <w:rFonts w:hint="eastAsia" w:ascii="宋体" w:hAnsi="宋体" w:cs="宋体"/>
                <w:color w:val="auto"/>
                <w:szCs w:val="21"/>
                <w:highlight w:val="none"/>
              </w:rPr>
              <w:t>投标人或所投产品生产厂家通过ISO13485</w:t>
            </w:r>
            <w:r>
              <w:rPr>
                <w:rFonts w:hint="eastAsia" w:ascii="宋体" w:hAnsi="宋体" w:cs="宋体"/>
                <w:color w:val="auto"/>
                <w:highlight w:val="none"/>
              </w:rPr>
              <w:t>医疗器械质量管理体系认证</w:t>
            </w:r>
            <w:r>
              <w:rPr>
                <w:rFonts w:hint="eastAsia" w:ascii="宋体" w:hAnsi="宋体" w:cs="宋体"/>
                <w:color w:val="auto"/>
                <w:szCs w:val="21"/>
                <w:highlight w:val="none"/>
              </w:rPr>
              <w:t>、ISO9001质量管理体系认证且有效的。</w:t>
            </w:r>
          </w:p>
          <w:p w14:paraId="65C4373E">
            <w:pPr>
              <w:keepNext w:val="0"/>
              <w:keepLines w:val="0"/>
              <w:pageBreakBefore w:val="0"/>
              <w:widowControl w:val="0"/>
              <w:kinsoku/>
              <w:wordWrap/>
              <w:overflowPunct/>
              <w:topLinePunct w:val="0"/>
              <w:autoSpaceDE/>
              <w:autoSpaceDN/>
              <w:bidi w:val="0"/>
              <w:spacing w:line="340" w:lineRule="exact"/>
              <w:textAlignment w:val="auto"/>
              <w:rPr>
                <w:rFonts w:ascii="宋体" w:hAnsi="宋体" w:cs="宋体"/>
                <w:color w:val="auto"/>
                <w:highlight w:val="none"/>
              </w:rPr>
            </w:pPr>
            <w:r>
              <w:rPr>
                <w:rFonts w:hint="eastAsia" w:ascii="宋体" w:hAnsi="宋体" w:cs="宋体"/>
                <w:bCs/>
                <w:color w:val="auto"/>
                <w:highlight w:val="none"/>
              </w:rPr>
              <w:t>2.</w:t>
            </w:r>
            <w:r>
              <w:rPr>
                <w:rFonts w:hint="eastAsia" w:ascii="宋体" w:hAnsi="宋体" w:cs="宋体"/>
                <w:color w:val="auto"/>
                <w:highlight w:val="none"/>
              </w:rPr>
              <w:t>投标人或所投产品生产厂家2021年以来具有同类产品的销售业绩。</w:t>
            </w:r>
          </w:p>
          <w:p w14:paraId="79959015">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宋体" w:hAnsi="宋体" w:cs="宋体"/>
                <w:b/>
                <w:i/>
                <w:color w:val="auto"/>
                <w:szCs w:val="21"/>
                <w:highlight w:val="none"/>
              </w:rPr>
            </w:pPr>
            <w:r>
              <w:rPr>
                <w:rFonts w:hint="eastAsia" w:ascii="宋体" w:hAnsi="宋体" w:cs="宋体"/>
                <w:b/>
                <w:bCs/>
                <w:color w:val="auto"/>
                <w:highlight w:val="none"/>
              </w:rPr>
              <w:t>注：上述履约能力加分详见“第四章评标办法及评标标准”。</w:t>
            </w:r>
          </w:p>
        </w:tc>
      </w:tr>
      <w:tr w14:paraId="72CEF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2601C40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ascii="宋体" w:hAnsi="宋体" w:cs="宋体"/>
                <w:i/>
                <w:color w:val="auto"/>
                <w:szCs w:val="21"/>
                <w:highlight w:val="none"/>
              </w:rPr>
            </w:pPr>
            <w:r>
              <w:rPr>
                <w:rFonts w:hint="eastAsia" w:ascii="宋体" w:hAnsi="宋体" w:cs="宋体"/>
                <w:color w:val="auto"/>
                <w:szCs w:val="21"/>
                <w:highlight w:val="none"/>
              </w:rPr>
              <w:t>（四）政策性加分条件</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5DB4E344">
            <w:pPr>
              <w:keepNext w:val="0"/>
              <w:keepLines w:val="0"/>
              <w:pageBreakBefore w:val="0"/>
              <w:widowControl w:val="0"/>
              <w:kinsoku/>
              <w:wordWrap/>
              <w:overflowPunct/>
              <w:topLinePunct w:val="0"/>
              <w:autoSpaceDE/>
              <w:autoSpaceDN/>
              <w:bidi w:val="0"/>
              <w:spacing w:line="340" w:lineRule="exact"/>
              <w:textAlignment w:val="auto"/>
              <w:rPr>
                <w:rFonts w:ascii="宋体" w:hAnsi="宋体" w:cs="宋体"/>
                <w:color w:val="auto"/>
                <w:highlight w:val="none"/>
              </w:rPr>
            </w:pPr>
            <w:r>
              <w:rPr>
                <w:rFonts w:hint="eastAsia" w:ascii="宋体" w:hAnsi="宋体" w:cs="宋体"/>
                <w:color w:val="auto"/>
                <w:highlight w:val="none"/>
              </w:rPr>
              <w:t>1.节能产品加分：属于财政部《节能产品政府采购品目清单》内优先采购（清单内未标注“★”的品目）的产品[投标文件中提供有效的认证证书复印件及品目清单（标注投标产品在品目清单中所属的品目），并加盖投标人电子签章]，相应予以加分。</w:t>
            </w:r>
          </w:p>
          <w:p w14:paraId="21593AE5">
            <w:pPr>
              <w:keepNext w:val="0"/>
              <w:keepLines w:val="0"/>
              <w:pageBreakBefore w:val="0"/>
              <w:widowControl w:val="0"/>
              <w:kinsoku/>
              <w:wordWrap/>
              <w:overflowPunct/>
              <w:topLinePunct w:val="0"/>
              <w:autoSpaceDE/>
              <w:autoSpaceDN/>
              <w:bidi w:val="0"/>
              <w:spacing w:line="340" w:lineRule="exact"/>
              <w:textAlignment w:val="auto"/>
              <w:rPr>
                <w:rFonts w:ascii="宋体" w:hAnsi="宋体" w:cs="宋体"/>
                <w:color w:val="auto"/>
                <w:highlight w:val="none"/>
              </w:rPr>
            </w:pPr>
            <w:r>
              <w:rPr>
                <w:rFonts w:hint="eastAsia" w:ascii="宋体" w:hAnsi="宋体" w:cs="宋体"/>
                <w:color w:val="auto"/>
                <w:highlight w:val="none"/>
              </w:rPr>
              <w:t>2.环境标志产品加分：属于财政部《环境标志产品政府采购品目清单》内的产品[投标文件中提供有效的认证证书复印件及品目清单（标注投标产品在品目清单中所属的品目），并加盖投标人电子签章]，相应予以加分。</w:t>
            </w:r>
          </w:p>
          <w:p w14:paraId="3048F9BA">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宋体" w:hAnsi="宋体" w:cs="宋体"/>
                <w:b/>
                <w:color w:val="auto"/>
                <w:szCs w:val="21"/>
                <w:highlight w:val="none"/>
              </w:rPr>
            </w:pPr>
            <w:r>
              <w:rPr>
                <w:rFonts w:hint="eastAsia" w:ascii="宋体" w:hAnsi="宋体" w:cs="宋体"/>
                <w:b/>
                <w:color w:val="auto"/>
                <w:highlight w:val="none"/>
              </w:rPr>
              <w:t>注：上述政策性加分详见“第四章评标办法及评标标准”。</w:t>
            </w:r>
          </w:p>
        </w:tc>
      </w:tr>
    </w:tbl>
    <w:p w14:paraId="0C55EDCD">
      <w:pPr>
        <w:spacing w:line="428" w:lineRule="exact"/>
        <w:ind w:left="119"/>
        <w:rPr>
          <w:rFonts w:hint="eastAsia" w:ascii="宋体" w:hAnsi="宋体" w:cs="宋体"/>
          <w:color w:val="auto"/>
          <w:sz w:val="32"/>
          <w:szCs w:val="32"/>
          <w:highlight w:val="none"/>
        </w:rPr>
      </w:pPr>
      <w:bookmarkStart w:id="45" w:name="_Toc74320802"/>
    </w:p>
    <w:p w14:paraId="04C8B759">
      <w:pPr>
        <w:spacing w:line="428" w:lineRule="exact"/>
        <w:ind w:left="119"/>
        <w:rPr>
          <w:rFonts w:hint="eastAsia" w:ascii="宋体" w:hAnsi="宋体" w:cs="宋体"/>
          <w:color w:val="auto"/>
          <w:sz w:val="32"/>
          <w:szCs w:val="32"/>
          <w:highlight w:val="none"/>
        </w:rPr>
      </w:pPr>
    </w:p>
    <w:p w14:paraId="0B89602A">
      <w:pPr>
        <w:spacing w:line="428" w:lineRule="exact"/>
        <w:ind w:left="119"/>
        <w:rPr>
          <w:rFonts w:hint="eastAsia" w:ascii="宋体" w:hAnsi="宋体" w:cs="宋体"/>
          <w:color w:val="auto"/>
          <w:sz w:val="32"/>
          <w:szCs w:val="32"/>
          <w:highlight w:val="none"/>
        </w:rPr>
      </w:pPr>
    </w:p>
    <w:p w14:paraId="110EC5ED">
      <w:pPr>
        <w:spacing w:line="428" w:lineRule="exact"/>
        <w:ind w:left="119"/>
        <w:rPr>
          <w:rFonts w:ascii="宋体" w:hAnsi="宋体" w:cs="宋体"/>
          <w:color w:val="auto"/>
          <w:sz w:val="32"/>
          <w:szCs w:val="32"/>
          <w:highlight w:val="none"/>
        </w:rPr>
      </w:pPr>
      <w:r>
        <w:rPr>
          <w:rFonts w:hint="eastAsia" w:ascii="宋体" w:hAnsi="宋体" w:cs="宋体"/>
          <w:color w:val="auto"/>
          <w:sz w:val="32"/>
          <w:szCs w:val="32"/>
          <w:highlight w:val="none"/>
        </w:rPr>
        <w:t>附件1：</w:t>
      </w:r>
    </w:p>
    <w:p w14:paraId="6922AFF9">
      <w:pPr>
        <w:spacing w:before="7"/>
        <w:rPr>
          <w:rFonts w:ascii="宋体" w:hAnsi="宋体" w:cs="宋体"/>
          <w:color w:val="auto"/>
          <w:sz w:val="17"/>
          <w:szCs w:val="17"/>
          <w:highlight w:val="none"/>
        </w:rPr>
      </w:pPr>
    </w:p>
    <w:p w14:paraId="5DB2EA1F">
      <w:pPr>
        <w:spacing w:line="528" w:lineRule="exact"/>
        <w:ind w:left="1871"/>
        <w:rPr>
          <w:rFonts w:ascii="宋体" w:hAnsi="宋体" w:cs="宋体"/>
          <w:color w:val="auto"/>
          <w:sz w:val="40"/>
          <w:szCs w:val="40"/>
          <w:highlight w:val="none"/>
        </w:rPr>
      </w:pPr>
      <w:r>
        <w:rPr>
          <w:rFonts w:hint="eastAsia" w:ascii="宋体" w:hAnsi="宋体" w:cs="宋体"/>
          <w:color w:val="auto"/>
          <w:sz w:val="44"/>
          <w:szCs w:val="44"/>
          <w:highlight w:val="none"/>
        </w:rPr>
        <w:t>节能产品政府采购品目清单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373"/>
        <w:gridCol w:w="3566"/>
      </w:tblGrid>
      <w:tr w14:paraId="0CCF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565DDB0F">
            <w:pPr>
              <w:jc w:val="center"/>
              <w:rPr>
                <w:rFonts w:ascii="宋体" w:hAnsi="宋体" w:cs="宋体"/>
                <w:color w:val="auto"/>
                <w:szCs w:val="22"/>
                <w:highlight w:val="none"/>
              </w:rPr>
            </w:pPr>
            <w:r>
              <w:rPr>
                <w:rFonts w:hint="eastAsia" w:ascii="宋体" w:hAnsi="宋体" w:cs="宋体"/>
                <w:b/>
                <w:bCs/>
                <w:color w:val="auto"/>
                <w:w w:val="99"/>
                <w:highlight w:val="none"/>
              </w:rPr>
              <w:t>品目序号</w:t>
            </w:r>
          </w:p>
        </w:tc>
        <w:tc>
          <w:tcPr>
            <w:tcW w:w="4285" w:type="dxa"/>
            <w:gridSpan w:val="3"/>
            <w:tcBorders>
              <w:top w:val="single" w:color="000000" w:sz="4" w:space="0"/>
              <w:left w:val="single" w:color="000000" w:sz="4" w:space="0"/>
              <w:bottom w:val="single" w:color="000000" w:sz="4" w:space="0"/>
              <w:right w:val="single" w:color="000000" w:sz="4" w:space="0"/>
            </w:tcBorders>
            <w:noWrap/>
            <w:vAlign w:val="center"/>
          </w:tcPr>
          <w:p w14:paraId="433EB6AA">
            <w:pPr>
              <w:jc w:val="center"/>
              <w:rPr>
                <w:rFonts w:ascii="宋体" w:hAnsi="宋体" w:cs="宋体"/>
                <w:color w:val="auto"/>
                <w:szCs w:val="22"/>
                <w:highlight w:val="none"/>
              </w:rPr>
            </w:pPr>
            <w:r>
              <w:rPr>
                <w:rFonts w:hint="eastAsia" w:ascii="宋体" w:hAnsi="宋体" w:cs="宋体"/>
                <w:b/>
                <w:bCs/>
                <w:color w:val="auto"/>
                <w:w w:val="99"/>
                <w:highlight w:val="none"/>
              </w:rPr>
              <w:t>名称</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76182A1">
            <w:pPr>
              <w:jc w:val="center"/>
              <w:rPr>
                <w:rFonts w:ascii="宋体" w:hAnsi="宋体" w:cs="宋体"/>
                <w:color w:val="auto"/>
                <w:szCs w:val="22"/>
                <w:highlight w:val="none"/>
              </w:rPr>
            </w:pPr>
            <w:r>
              <w:rPr>
                <w:rFonts w:hint="eastAsia" w:ascii="宋体" w:hAnsi="宋体" w:cs="宋体"/>
                <w:b/>
                <w:bCs/>
                <w:color w:val="auto"/>
                <w:w w:val="99"/>
                <w:highlight w:val="none"/>
              </w:rPr>
              <w:t>依据的标准</w:t>
            </w:r>
          </w:p>
        </w:tc>
      </w:tr>
      <w:tr w14:paraId="67BF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2C97C050">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021C6C63">
            <w:pPr>
              <w:jc w:val="center"/>
              <w:rPr>
                <w:rFonts w:ascii="宋体" w:hAnsi="宋体" w:cs="宋体"/>
                <w:color w:val="auto"/>
                <w:szCs w:val="21"/>
                <w:highlight w:val="none"/>
              </w:rPr>
            </w:pPr>
            <w:r>
              <w:rPr>
                <w:rFonts w:hint="eastAsia" w:ascii="宋体" w:hAnsi="宋体" w:cs="宋体"/>
                <w:color w:val="auto"/>
                <w:szCs w:val="21"/>
                <w:highlight w:val="none"/>
              </w:rPr>
              <w:t>A02010100</w:t>
            </w:r>
            <w:r>
              <w:rPr>
                <w:rFonts w:hint="eastAsia" w:ascii="宋体" w:hAnsi="宋体" w:cs="宋体"/>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D5C0C4F">
            <w:pPr>
              <w:pStyle w:val="135"/>
              <w:spacing w:before="93"/>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A02010105</w:t>
            </w:r>
            <w:r>
              <w:rPr>
                <w:rFonts w:hint="eastAsia" w:ascii="宋体" w:hAnsi="宋体" w:cs="宋体"/>
                <w:color w:val="auto"/>
                <w:w w:val="99"/>
                <w:kern w:val="2"/>
                <w:sz w:val="21"/>
                <w:szCs w:val="21"/>
                <w:highlight w:val="none"/>
              </w:rPr>
              <w:t>台式计算机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9F6AA5E">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19E5CF8">
            <w:pPr>
              <w:pStyle w:val="135"/>
              <w:spacing w:before="93"/>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451D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4E74F4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7D0611">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0540CA34">
            <w:pPr>
              <w:pStyle w:val="135"/>
              <w:spacing w:before="44"/>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A02010108</w:t>
            </w:r>
            <w:r>
              <w:rPr>
                <w:rFonts w:hint="eastAsia" w:ascii="宋体" w:hAnsi="宋体" w:cs="宋体"/>
                <w:color w:val="auto"/>
                <w:w w:val="99"/>
                <w:kern w:val="2"/>
                <w:sz w:val="21"/>
                <w:szCs w:val="21"/>
                <w:highlight w:val="none"/>
              </w:rPr>
              <w:t>便携式计算机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77A6D63">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581B601">
            <w:pPr>
              <w:pStyle w:val="135"/>
              <w:spacing w:before="44"/>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5C37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2A5135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B6672C1">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0EE09CB">
            <w:pPr>
              <w:pStyle w:val="135"/>
              <w:spacing w:before="64"/>
              <w:ind w:left="7" w:right="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w:t>
            </w:r>
            <w:r>
              <w:rPr>
                <w:rFonts w:hint="eastAsia" w:ascii="宋体" w:hAnsi="宋体" w:cs="宋体"/>
                <w:color w:val="auto"/>
                <w:kern w:val="2"/>
                <w:sz w:val="21"/>
                <w:szCs w:val="21"/>
                <w:highlight w:val="none"/>
                <w:lang w:eastAsia="zh-CN"/>
              </w:rPr>
              <w:t>A02010109平板式计算机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2105451">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A26A304">
            <w:pPr>
              <w:pStyle w:val="135"/>
              <w:spacing w:before="64"/>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225A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3DEF79D0">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763A4C93">
            <w:pPr>
              <w:pStyle w:val="135"/>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A02020000</w:t>
            </w:r>
            <w:r>
              <w:rPr>
                <w:rFonts w:hint="eastAsia" w:ascii="宋体" w:hAnsi="宋体" w:cs="宋体"/>
                <w:color w:val="auto"/>
                <w:w w:val="99"/>
                <w:kern w:val="2"/>
                <w:sz w:val="21"/>
                <w:szCs w:val="21"/>
                <w:highlight w:val="none"/>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656B8413">
            <w:pPr>
              <w:jc w:val="center"/>
              <w:rPr>
                <w:rFonts w:ascii="宋体" w:hAnsi="宋体" w:cs="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宋体"/>
                <w:color w:val="auto"/>
                <w:szCs w:val="21"/>
                <w:highlight w:val="none"/>
                <w:shd w:val="clear" w:color="auto" w:fill="FFFFFF"/>
              </w:rPr>
              <w:t>打印机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988989D">
            <w:pPr>
              <w:jc w:val="center"/>
              <w:rPr>
                <w:rFonts w:ascii="宋体" w:hAnsi="宋体" w:cs="宋体"/>
                <w:color w:val="auto"/>
                <w:szCs w:val="21"/>
                <w:highlight w:val="none"/>
              </w:rPr>
            </w:pPr>
            <w:r>
              <w:rPr>
                <w:rFonts w:hint="eastAsia" w:ascii="宋体" w:hAnsi="宋体" w:cs="宋体"/>
                <w:color w:val="auto"/>
                <w:szCs w:val="21"/>
                <w:highlight w:val="none"/>
              </w:rPr>
              <w:t>A02021001 A3黑白打印机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914A59D">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6209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6D67B3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142DD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CAB137F">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ABF8F2B">
            <w:pPr>
              <w:jc w:val="center"/>
              <w:rPr>
                <w:rFonts w:ascii="宋体" w:hAnsi="宋体" w:cs="宋体"/>
                <w:color w:val="auto"/>
                <w:szCs w:val="21"/>
                <w:highlight w:val="none"/>
              </w:rPr>
            </w:pPr>
            <w:r>
              <w:rPr>
                <w:rFonts w:hint="eastAsia" w:ascii="宋体" w:hAnsi="宋体" w:cs="宋体"/>
                <w:color w:val="auto"/>
                <w:szCs w:val="21"/>
                <w:highlight w:val="none"/>
              </w:rPr>
              <w:t>A02021002 A3彩色打印机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B308D05">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05AC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0776B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07AE4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C83310">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3C95953">
            <w:pPr>
              <w:jc w:val="center"/>
              <w:rPr>
                <w:rFonts w:ascii="宋体" w:hAnsi="宋体" w:cs="宋体"/>
                <w:color w:val="auto"/>
                <w:szCs w:val="21"/>
                <w:highlight w:val="none"/>
              </w:rPr>
            </w:pPr>
            <w:r>
              <w:rPr>
                <w:rFonts w:hint="eastAsia" w:ascii="宋体" w:hAnsi="宋体" w:cs="宋体"/>
                <w:color w:val="auto"/>
                <w:szCs w:val="21"/>
                <w:highlight w:val="none"/>
              </w:rPr>
              <w:t>A02021003 A4黑白打印机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4031869">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06BA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DF7C5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ECA88A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C66D8AA">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5A50698">
            <w:pPr>
              <w:jc w:val="center"/>
              <w:rPr>
                <w:rFonts w:ascii="宋体" w:hAnsi="宋体" w:cs="宋体"/>
                <w:color w:val="auto"/>
                <w:szCs w:val="21"/>
                <w:highlight w:val="none"/>
              </w:rPr>
            </w:pPr>
            <w:r>
              <w:rPr>
                <w:rFonts w:hint="eastAsia" w:ascii="宋体" w:hAnsi="宋体" w:cs="宋体"/>
                <w:color w:val="auto"/>
                <w:szCs w:val="21"/>
                <w:highlight w:val="none"/>
              </w:rPr>
              <w:t>A02021004 A4彩色打印机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AD48A5C">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4111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FA2417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32C44D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9EFCBA7">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658F5F3">
            <w:pPr>
              <w:jc w:val="center"/>
              <w:rPr>
                <w:rFonts w:ascii="宋体" w:hAnsi="宋体" w:cs="宋体"/>
                <w:color w:val="auto"/>
                <w:szCs w:val="21"/>
                <w:highlight w:val="none"/>
              </w:rPr>
            </w:pPr>
            <w:r>
              <w:rPr>
                <w:rFonts w:hint="eastAsia" w:ascii="宋体" w:hAnsi="宋体" w:cs="宋体"/>
                <w:color w:val="auto"/>
                <w:szCs w:val="21"/>
                <w:highlight w:val="none"/>
              </w:rPr>
              <w:t>A02021005 3D打印机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E5B4681">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333E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1F8ADA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058BC9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D55296">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BDC247A">
            <w:pPr>
              <w:jc w:val="center"/>
              <w:rPr>
                <w:rFonts w:ascii="宋体" w:hAnsi="宋体" w:cs="宋体"/>
                <w:color w:val="auto"/>
                <w:szCs w:val="21"/>
                <w:highlight w:val="none"/>
              </w:rPr>
            </w:pPr>
            <w:r>
              <w:rPr>
                <w:rFonts w:hint="eastAsia" w:ascii="宋体" w:hAnsi="宋体" w:cs="宋体"/>
                <w:color w:val="auto"/>
                <w:szCs w:val="21"/>
                <w:highlight w:val="none"/>
              </w:rPr>
              <w:t>A02021006票据打印机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AC7B8D6">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39C6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8FA96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82B0C3">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0C641AE">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6B79804">
            <w:pPr>
              <w:jc w:val="center"/>
              <w:rPr>
                <w:rFonts w:ascii="宋体" w:hAnsi="宋体" w:cs="宋体"/>
                <w:color w:val="auto"/>
                <w:szCs w:val="21"/>
                <w:highlight w:val="none"/>
              </w:rPr>
            </w:pPr>
            <w:r>
              <w:rPr>
                <w:rFonts w:hint="eastAsia" w:ascii="宋体" w:hAnsi="宋体" w:cs="宋体"/>
                <w:color w:val="auto"/>
                <w:szCs w:val="21"/>
                <w:highlight w:val="none"/>
              </w:rPr>
              <w:t>A02021007条码打印机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2F03114">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118D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7530E2">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A344B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1BEFDC2">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044C63C">
            <w:pPr>
              <w:jc w:val="center"/>
              <w:rPr>
                <w:rFonts w:ascii="宋体" w:hAnsi="宋体" w:cs="宋体"/>
                <w:color w:val="auto"/>
                <w:szCs w:val="21"/>
                <w:highlight w:val="none"/>
              </w:rPr>
            </w:pPr>
            <w:r>
              <w:rPr>
                <w:rFonts w:hint="eastAsia" w:ascii="宋体" w:hAnsi="宋体" w:cs="宋体"/>
                <w:color w:val="auto"/>
                <w:szCs w:val="21"/>
                <w:highlight w:val="none"/>
              </w:rPr>
              <w:t>A02021008地址打印机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E72DC18">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5EE0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B2F796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A697E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4A20EC2">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E7103BD">
            <w:pPr>
              <w:jc w:val="center"/>
              <w:rPr>
                <w:rFonts w:ascii="宋体" w:hAnsi="宋体" w:cs="宋体"/>
                <w:color w:val="auto"/>
                <w:szCs w:val="21"/>
                <w:highlight w:val="none"/>
              </w:rPr>
            </w:pPr>
            <w:r>
              <w:rPr>
                <w:rFonts w:hint="eastAsia" w:ascii="宋体" w:hAnsi="宋体" w:cs="宋体"/>
                <w:color w:val="auto"/>
                <w:szCs w:val="21"/>
                <w:highlight w:val="none"/>
              </w:rPr>
              <w:t>A02021099其他打印机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C3B5496">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7FE0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E1006D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B84416">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5D66C200">
            <w:pPr>
              <w:jc w:val="center"/>
              <w:rPr>
                <w:rFonts w:ascii="宋体" w:hAnsi="宋体" w:cs="宋体"/>
                <w:color w:val="auto"/>
                <w:szCs w:val="21"/>
                <w:highlight w:val="none"/>
              </w:rPr>
            </w:pPr>
            <w:r>
              <w:rPr>
                <w:rFonts w:hint="eastAsia" w:ascii="宋体" w:hAnsi="宋体" w:cs="宋体"/>
                <w:color w:val="auto"/>
                <w:szCs w:val="21"/>
                <w:highlight w:val="none"/>
              </w:rPr>
              <w:t>A02021100输入输出设备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C4D2877">
            <w:pPr>
              <w:jc w:val="center"/>
              <w:rPr>
                <w:rFonts w:ascii="宋体" w:hAnsi="宋体" w:cs="宋体"/>
                <w:color w:val="auto"/>
                <w:szCs w:val="21"/>
                <w:highlight w:val="none"/>
              </w:rPr>
            </w:pPr>
            <w:r>
              <w:rPr>
                <w:rFonts w:hint="eastAsia" w:ascii="宋体" w:hAnsi="宋体" w:cs="宋体"/>
                <w:color w:val="auto"/>
                <w:w w:val="99"/>
                <w:szCs w:val="21"/>
                <w:highlight w:val="none"/>
              </w:rPr>
              <w:t>★</w:t>
            </w:r>
            <w:r>
              <w:rPr>
                <w:rFonts w:hint="eastAsia" w:ascii="宋体" w:hAnsi="宋体" w:cs="宋体"/>
                <w:color w:val="auto"/>
                <w:szCs w:val="21"/>
                <w:highlight w:val="none"/>
              </w:rPr>
              <w:t>A02021104液晶显示器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4B94CB6">
            <w:pPr>
              <w:jc w:val="left"/>
              <w:rPr>
                <w:rFonts w:ascii="宋体" w:hAnsi="宋体" w:cs="宋体"/>
                <w:color w:val="auto"/>
                <w:szCs w:val="21"/>
                <w:highlight w:val="none"/>
              </w:rPr>
            </w:pPr>
            <w:r>
              <w:rPr>
                <w:rFonts w:hint="eastAsia" w:ascii="宋体" w:hAnsi="宋体" w:cs="宋体"/>
                <w:color w:val="auto"/>
                <w:spacing w:val="12"/>
                <w:w w:val="99"/>
                <w:szCs w:val="21"/>
                <w:highlight w:val="none"/>
              </w:rPr>
              <w:t>《计算机显示器能效限</w:t>
            </w:r>
            <w:r>
              <w:rPr>
                <w:rFonts w:hint="eastAsia" w:ascii="宋体" w:hAnsi="宋体" w:cs="宋体"/>
                <w:color w:val="auto"/>
                <w:spacing w:val="9"/>
                <w:w w:val="99"/>
                <w:szCs w:val="21"/>
                <w:highlight w:val="none"/>
              </w:rPr>
              <w:t>定</w:t>
            </w:r>
            <w:r>
              <w:rPr>
                <w:rFonts w:hint="eastAsia" w:ascii="宋体" w:hAnsi="宋体" w:cs="宋体"/>
                <w:color w:val="auto"/>
                <w:spacing w:val="12"/>
                <w:w w:val="99"/>
                <w:szCs w:val="21"/>
                <w:highlight w:val="none"/>
              </w:rPr>
              <w:t>值及</w:t>
            </w:r>
            <w:r>
              <w:rPr>
                <w:rFonts w:hint="eastAsia" w:ascii="宋体" w:hAnsi="宋体" w:cs="宋体"/>
                <w:color w:val="auto"/>
                <w:w w:val="99"/>
                <w:szCs w:val="21"/>
                <w:highlight w:val="none"/>
              </w:rPr>
              <w:t>能效等级</w:t>
            </w:r>
            <w:r>
              <w:rPr>
                <w:rFonts w:hint="eastAsia" w:ascii="宋体" w:hAnsi="宋体" w:cs="宋体"/>
                <w:color w:val="auto"/>
                <w:spacing w:val="2"/>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0</w:t>
            </w:r>
            <w:r>
              <w:rPr>
                <w:rFonts w:hint="eastAsia" w:ascii="宋体" w:hAnsi="宋体" w:cs="宋体"/>
                <w:color w:val="auto"/>
                <w:w w:val="99"/>
                <w:szCs w:val="21"/>
                <w:highlight w:val="none"/>
              </w:rPr>
              <w:t>）</w:t>
            </w:r>
          </w:p>
        </w:tc>
      </w:tr>
      <w:tr w14:paraId="3184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691AAF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EC6B60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F33F99">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ADB336D">
            <w:pPr>
              <w:jc w:val="center"/>
              <w:rPr>
                <w:rFonts w:ascii="宋体" w:hAnsi="宋体" w:cs="宋体"/>
                <w:color w:val="auto"/>
                <w:szCs w:val="21"/>
                <w:highlight w:val="none"/>
              </w:rPr>
            </w:pPr>
            <w:r>
              <w:rPr>
                <w:rFonts w:hint="eastAsia" w:ascii="宋体" w:hAnsi="宋体" w:cs="宋体"/>
                <w:color w:val="auto"/>
                <w:szCs w:val="21"/>
                <w:highlight w:val="none"/>
              </w:rPr>
              <w:t>A02021118扫描仪</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76C5EB7">
            <w:pPr>
              <w:jc w:val="left"/>
              <w:rPr>
                <w:rFonts w:ascii="宋体" w:hAnsi="宋体" w:cs="宋体"/>
                <w:color w:val="auto"/>
                <w:szCs w:val="21"/>
                <w:highlight w:val="none"/>
              </w:rPr>
            </w:pPr>
            <w:r>
              <w:rPr>
                <w:rFonts w:hint="eastAsia" w:ascii="宋体" w:hAnsi="宋体" w:cs="宋体"/>
                <w:color w:val="auto"/>
                <w:w w:val="99"/>
                <w:szCs w:val="21"/>
                <w:highlight w:val="none"/>
              </w:rPr>
              <w:t>参</w:t>
            </w:r>
            <w:r>
              <w:rPr>
                <w:rFonts w:hint="eastAsia" w:ascii="宋体" w:hAnsi="宋体" w:cs="宋体"/>
                <w:color w:val="auto"/>
                <w:spacing w:val="-29"/>
                <w:w w:val="99"/>
                <w:szCs w:val="21"/>
                <w:highlight w:val="none"/>
              </w:rPr>
              <w:t>照</w:t>
            </w:r>
            <w:r>
              <w:rPr>
                <w:rFonts w:hint="eastAsia" w:ascii="宋体" w:hAnsi="宋体" w:cs="宋体"/>
                <w:color w:val="auto"/>
                <w:w w:val="99"/>
                <w:szCs w:val="21"/>
                <w:highlight w:val="none"/>
              </w:rPr>
              <w:t>《</w:t>
            </w:r>
            <w:r>
              <w:rPr>
                <w:rFonts w:hint="eastAsia" w:ascii="宋体" w:hAnsi="宋体" w:cs="宋体"/>
                <w:color w:val="auto"/>
                <w:spacing w:val="2"/>
                <w:w w:val="99"/>
                <w:szCs w:val="21"/>
                <w:highlight w:val="none"/>
              </w:rPr>
              <w:t>复</w:t>
            </w:r>
            <w:r>
              <w:rPr>
                <w:rFonts w:hint="eastAsia" w:ascii="宋体" w:hAnsi="宋体" w:cs="宋体"/>
                <w:color w:val="auto"/>
                <w:w w:val="99"/>
                <w:szCs w:val="21"/>
                <w:highlight w:val="none"/>
              </w:rPr>
              <w:t>印</w:t>
            </w:r>
            <w:r>
              <w:rPr>
                <w:rFonts w:hint="eastAsia" w:ascii="宋体" w:hAnsi="宋体" w:cs="宋体"/>
                <w:color w:val="auto"/>
                <w:spacing w:val="2"/>
                <w:w w:val="99"/>
                <w:szCs w:val="21"/>
                <w:highlight w:val="none"/>
              </w:rPr>
              <w:t>机</w:t>
            </w:r>
            <w:r>
              <w:rPr>
                <w:rFonts w:hint="eastAsia" w:ascii="宋体" w:hAnsi="宋体" w:cs="宋体"/>
                <w:color w:val="auto"/>
                <w:spacing w:val="-29"/>
                <w:w w:val="99"/>
                <w:szCs w:val="21"/>
                <w:highlight w:val="none"/>
              </w:rPr>
              <w:t>、</w:t>
            </w:r>
            <w:r>
              <w:rPr>
                <w:rFonts w:hint="eastAsia" w:ascii="宋体" w:hAnsi="宋体" w:cs="宋体"/>
                <w:color w:val="auto"/>
                <w:w w:val="99"/>
                <w:szCs w:val="21"/>
                <w:highlight w:val="none"/>
              </w:rPr>
              <w:t>打</w:t>
            </w:r>
            <w:r>
              <w:rPr>
                <w:rFonts w:hint="eastAsia" w:ascii="宋体" w:hAnsi="宋体" w:cs="宋体"/>
                <w:color w:val="auto"/>
                <w:spacing w:val="2"/>
                <w:w w:val="99"/>
                <w:szCs w:val="21"/>
                <w:highlight w:val="none"/>
              </w:rPr>
              <w:t>印</w:t>
            </w:r>
            <w:r>
              <w:rPr>
                <w:rFonts w:hint="eastAsia" w:ascii="宋体" w:hAnsi="宋体" w:cs="宋体"/>
                <w:color w:val="auto"/>
                <w:w w:val="99"/>
                <w:szCs w:val="21"/>
                <w:highlight w:val="none"/>
              </w:rPr>
              <w:t>机和</w:t>
            </w:r>
            <w:r>
              <w:rPr>
                <w:rFonts w:hint="eastAsia" w:ascii="宋体" w:hAnsi="宋体" w:cs="宋体"/>
                <w:color w:val="auto"/>
                <w:spacing w:val="2"/>
                <w:w w:val="99"/>
                <w:szCs w:val="21"/>
                <w:highlight w:val="none"/>
              </w:rPr>
              <w:t>传</w:t>
            </w:r>
            <w:r>
              <w:rPr>
                <w:rFonts w:hint="eastAsia" w:ascii="宋体" w:hAnsi="宋体" w:cs="宋体"/>
                <w:color w:val="auto"/>
                <w:w w:val="99"/>
                <w:szCs w:val="21"/>
                <w:highlight w:val="none"/>
              </w:rPr>
              <w:t>真机能效限定</w:t>
            </w:r>
            <w:r>
              <w:rPr>
                <w:rFonts w:hint="eastAsia" w:ascii="宋体" w:hAnsi="宋体" w:cs="宋体"/>
                <w:color w:val="auto"/>
                <w:spacing w:val="2"/>
                <w:w w:val="99"/>
                <w:szCs w:val="21"/>
                <w:highlight w:val="none"/>
              </w:rPr>
              <w:t>值</w:t>
            </w:r>
            <w:r>
              <w:rPr>
                <w:rFonts w:hint="eastAsia" w:ascii="宋体" w:hAnsi="宋体" w:cs="宋体"/>
                <w:color w:val="auto"/>
                <w:w w:val="99"/>
                <w:szCs w:val="21"/>
                <w:highlight w:val="none"/>
              </w:rPr>
              <w:t>及能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06"/>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2152</w:t>
            </w:r>
            <w:r>
              <w:rPr>
                <w:rFonts w:hint="eastAsia" w:ascii="宋体" w:hAnsi="宋体" w:cs="宋体"/>
                <w:color w:val="auto"/>
                <w:w w:val="99"/>
                <w:szCs w:val="21"/>
                <w:highlight w:val="none"/>
              </w:rPr>
              <w:t>1）</w:t>
            </w:r>
            <w:r>
              <w:rPr>
                <w:rFonts w:hint="eastAsia" w:ascii="宋体" w:hAnsi="宋体" w:cs="宋体"/>
                <w:color w:val="auto"/>
                <w:spacing w:val="2"/>
                <w:w w:val="99"/>
                <w:szCs w:val="21"/>
                <w:highlight w:val="none"/>
              </w:rPr>
              <w:t>中</w:t>
            </w:r>
            <w:r>
              <w:rPr>
                <w:rFonts w:hint="eastAsia" w:ascii="宋体" w:hAnsi="宋体" w:cs="宋体"/>
                <w:color w:val="auto"/>
                <w:spacing w:val="4"/>
                <w:w w:val="99"/>
                <w:szCs w:val="21"/>
                <w:highlight w:val="none"/>
              </w:rPr>
              <w:t>打印速</w:t>
            </w:r>
            <w:r>
              <w:rPr>
                <w:rFonts w:hint="eastAsia" w:ascii="宋体" w:hAnsi="宋体" w:cs="宋体"/>
                <w:color w:val="auto"/>
                <w:spacing w:val="2"/>
                <w:w w:val="99"/>
                <w:szCs w:val="21"/>
                <w:highlight w:val="none"/>
              </w:rPr>
              <w:t>度</w:t>
            </w:r>
            <w:r>
              <w:rPr>
                <w:rFonts w:hint="eastAsia" w:ascii="宋体" w:hAnsi="宋体" w:cs="宋体"/>
                <w:color w:val="auto"/>
                <w:w w:val="99"/>
                <w:szCs w:val="21"/>
                <w:highlight w:val="none"/>
              </w:rPr>
              <w:t>为</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5</w:t>
            </w:r>
            <w:r>
              <w:rPr>
                <w:rFonts w:hint="eastAsia" w:ascii="宋体" w:hAnsi="宋体" w:cs="宋体"/>
                <w:color w:val="auto"/>
                <w:spacing w:val="2"/>
                <w:w w:val="99"/>
                <w:szCs w:val="21"/>
                <w:highlight w:val="none"/>
              </w:rPr>
              <w:t>页</w:t>
            </w:r>
            <w:r>
              <w:rPr>
                <w:rFonts w:hint="eastAsia" w:ascii="宋体" w:hAnsi="宋体" w:cs="宋体"/>
                <w:color w:val="auto"/>
                <w:spacing w:val="5"/>
                <w:w w:val="99"/>
                <w:szCs w:val="21"/>
                <w:highlight w:val="none"/>
              </w:rPr>
              <w:t>/</w:t>
            </w:r>
            <w:r>
              <w:rPr>
                <w:rFonts w:hint="eastAsia" w:ascii="宋体" w:hAnsi="宋体" w:cs="宋体"/>
                <w:color w:val="auto"/>
                <w:spacing w:val="4"/>
                <w:w w:val="99"/>
                <w:szCs w:val="21"/>
                <w:highlight w:val="none"/>
              </w:rPr>
              <w:t>分的</w:t>
            </w:r>
            <w:r>
              <w:rPr>
                <w:rFonts w:hint="eastAsia" w:ascii="宋体" w:hAnsi="宋体" w:cs="宋体"/>
                <w:color w:val="auto"/>
                <w:spacing w:val="2"/>
                <w:w w:val="99"/>
                <w:szCs w:val="21"/>
                <w:highlight w:val="none"/>
              </w:rPr>
              <w:t>针</w:t>
            </w:r>
            <w:r>
              <w:rPr>
                <w:rFonts w:hint="eastAsia" w:ascii="宋体" w:hAnsi="宋体" w:cs="宋体"/>
                <w:color w:val="auto"/>
                <w:spacing w:val="4"/>
                <w:w w:val="99"/>
                <w:szCs w:val="21"/>
                <w:highlight w:val="none"/>
              </w:rPr>
              <w:t>式</w:t>
            </w:r>
            <w:r>
              <w:rPr>
                <w:rFonts w:hint="eastAsia" w:ascii="宋体" w:hAnsi="宋体" w:cs="宋体"/>
                <w:color w:val="auto"/>
                <w:w w:val="99"/>
                <w:szCs w:val="21"/>
                <w:highlight w:val="none"/>
              </w:rPr>
              <w:t>打印机相</w:t>
            </w:r>
            <w:r>
              <w:rPr>
                <w:rFonts w:hint="eastAsia" w:ascii="宋体" w:hAnsi="宋体" w:cs="宋体"/>
                <w:color w:val="auto"/>
                <w:spacing w:val="2"/>
                <w:w w:val="99"/>
                <w:szCs w:val="21"/>
                <w:highlight w:val="none"/>
              </w:rPr>
              <w:t>关</w:t>
            </w:r>
            <w:r>
              <w:rPr>
                <w:rFonts w:hint="eastAsia" w:ascii="宋体" w:hAnsi="宋体" w:cs="宋体"/>
                <w:color w:val="auto"/>
                <w:w w:val="99"/>
                <w:szCs w:val="21"/>
                <w:highlight w:val="none"/>
              </w:rPr>
              <w:t>要求</w:t>
            </w:r>
          </w:p>
        </w:tc>
      </w:tr>
      <w:tr w14:paraId="2651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1027757">
            <w:pPr>
              <w:jc w:val="center"/>
              <w:rPr>
                <w:rFonts w:ascii="宋体" w:hAnsi="宋体" w:cs="宋体"/>
                <w:color w:val="auto"/>
                <w:szCs w:val="21"/>
                <w:highlight w:val="none"/>
              </w:rPr>
            </w:pPr>
            <w:r>
              <w:rPr>
                <w:rFonts w:hint="eastAsia" w:ascii="宋体" w:hAnsi="宋体" w:cs="宋体"/>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4671B3B5">
            <w:pPr>
              <w:jc w:val="center"/>
              <w:rPr>
                <w:rFonts w:ascii="宋体" w:hAnsi="宋体" w:cs="宋体"/>
                <w:color w:val="auto"/>
                <w:szCs w:val="21"/>
                <w:highlight w:val="none"/>
              </w:rPr>
            </w:pPr>
            <w:r>
              <w:rPr>
                <w:rFonts w:hint="eastAsia" w:ascii="宋体" w:hAnsi="宋体" w:cs="宋体"/>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D04D1F5">
            <w:pPr>
              <w:jc w:val="center"/>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348B72A">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1724B03">
            <w:pPr>
              <w:jc w:val="left"/>
              <w:rPr>
                <w:rFonts w:ascii="宋体" w:hAnsi="宋体" w:cs="宋体"/>
                <w:color w:val="auto"/>
                <w:szCs w:val="21"/>
                <w:highlight w:val="none"/>
              </w:rPr>
            </w:pPr>
            <w:r>
              <w:rPr>
                <w:rFonts w:hint="eastAsia" w:ascii="宋体" w:hAnsi="宋体" w:cs="宋体"/>
                <w:color w:val="auto"/>
                <w:w w:val="99"/>
                <w:szCs w:val="21"/>
                <w:highlight w:val="none"/>
              </w:rPr>
              <w:t>《投影</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w:t>
            </w:r>
            <w:r>
              <w:rPr>
                <w:rFonts w:hint="eastAsia" w:ascii="宋体" w:hAnsi="宋体" w:cs="宋体"/>
                <w:color w:val="auto"/>
                <w:spacing w:val="2"/>
                <w:w w:val="99"/>
                <w:szCs w:val="21"/>
                <w:highlight w:val="none"/>
              </w:rPr>
              <w:t>限</w:t>
            </w:r>
            <w:r>
              <w:rPr>
                <w:rFonts w:hint="eastAsia" w:ascii="宋体" w:hAnsi="宋体" w:cs="宋体"/>
                <w:color w:val="auto"/>
                <w:w w:val="99"/>
                <w:szCs w:val="21"/>
                <w:highlight w:val="none"/>
              </w:rPr>
              <w:t>定值</w:t>
            </w:r>
            <w:r>
              <w:rPr>
                <w:rFonts w:hint="eastAsia" w:ascii="宋体" w:hAnsi="宋体" w:cs="宋体"/>
                <w:color w:val="auto"/>
                <w:spacing w:val="2"/>
                <w:w w:val="99"/>
                <w:szCs w:val="21"/>
                <w:highlight w:val="none"/>
              </w:rPr>
              <w:t>及</w:t>
            </w:r>
            <w:r>
              <w:rPr>
                <w:rFonts w:hint="eastAsia" w:ascii="宋体" w:hAnsi="宋体" w:cs="宋体"/>
                <w:color w:val="auto"/>
                <w:w w:val="99"/>
                <w:szCs w:val="21"/>
                <w:highlight w:val="none"/>
              </w:rPr>
              <w:t>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3</w:t>
            </w:r>
            <w:r>
              <w:rPr>
                <w:rFonts w:hint="eastAsia" w:ascii="宋体" w:hAnsi="宋体" w:cs="宋体"/>
                <w:color w:val="auto"/>
                <w:w w:val="99"/>
                <w:szCs w:val="21"/>
                <w:highlight w:val="none"/>
              </w:rPr>
              <w:t>20</w:t>
            </w:r>
            <w:r>
              <w:rPr>
                <w:rFonts w:hint="eastAsia" w:ascii="宋体" w:hAnsi="宋体" w:cs="宋体"/>
                <w:color w:val="auto"/>
                <w:spacing w:val="1"/>
                <w:w w:val="99"/>
                <w:szCs w:val="21"/>
                <w:highlight w:val="none"/>
              </w:rPr>
              <w:t>28</w:t>
            </w:r>
            <w:r>
              <w:rPr>
                <w:rFonts w:hint="eastAsia" w:ascii="宋体" w:hAnsi="宋体" w:cs="宋体"/>
                <w:color w:val="auto"/>
                <w:w w:val="99"/>
                <w:szCs w:val="21"/>
                <w:highlight w:val="none"/>
              </w:rPr>
              <w:t>）</w:t>
            </w:r>
          </w:p>
        </w:tc>
      </w:tr>
      <w:tr w14:paraId="7489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7D4E93D6">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7B2DA611">
            <w:pPr>
              <w:pStyle w:val="135"/>
              <w:spacing w:before="66"/>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A02020400</w:t>
            </w:r>
            <w:r>
              <w:rPr>
                <w:rFonts w:hint="eastAsia" w:ascii="宋体" w:hAnsi="宋体" w:cs="宋体"/>
                <w:color w:val="auto"/>
                <w:w w:val="99"/>
                <w:kern w:val="2"/>
                <w:sz w:val="21"/>
                <w:szCs w:val="21"/>
                <w:highlight w:val="none"/>
              </w:rPr>
              <w:t>多功能一体机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F1D994E">
            <w:pPr>
              <w:jc w:val="center"/>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65F4246">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E5C2EC6">
            <w:pPr>
              <w:jc w:val="left"/>
              <w:rPr>
                <w:rFonts w:ascii="宋体" w:hAnsi="宋体" w:cs="宋体"/>
                <w:color w:val="auto"/>
                <w:szCs w:val="21"/>
                <w:highlight w:val="none"/>
              </w:rPr>
            </w:pPr>
            <w:r>
              <w:rPr>
                <w:rFonts w:hint="eastAsia" w:ascii="宋体" w:hAnsi="宋体" w:cs="宋体"/>
                <w:color w:val="auto"/>
                <w:w w:val="99"/>
                <w:szCs w:val="21"/>
                <w:highlight w:val="none"/>
              </w:rPr>
              <w:t>《复印</w:t>
            </w:r>
            <w:r>
              <w:rPr>
                <w:rFonts w:hint="eastAsia" w:ascii="宋体" w:hAnsi="宋体" w:cs="宋体"/>
                <w:color w:val="auto"/>
                <w:spacing w:val="2"/>
                <w:w w:val="99"/>
                <w:szCs w:val="21"/>
                <w:highlight w:val="none"/>
              </w:rPr>
              <w:t>机</w:t>
            </w:r>
            <w:r>
              <w:rPr>
                <w:rFonts w:hint="eastAsia" w:ascii="宋体" w:hAnsi="宋体" w:cs="宋体"/>
                <w:color w:val="auto"/>
                <w:spacing w:val="-58"/>
                <w:w w:val="99"/>
                <w:szCs w:val="21"/>
                <w:highlight w:val="none"/>
              </w:rPr>
              <w:t>、</w:t>
            </w:r>
            <w:r>
              <w:rPr>
                <w:rFonts w:hint="eastAsia" w:ascii="宋体" w:hAnsi="宋体" w:cs="宋体"/>
                <w:color w:val="auto"/>
                <w:spacing w:val="2"/>
                <w:w w:val="99"/>
                <w:szCs w:val="21"/>
                <w:highlight w:val="none"/>
              </w:rPr>
              <w:t>打</w:t>
            </w:r>
            <w:r>
              <w:rPr>
                <w:rFonts w:hint="eastAsia" w:ascii="宋体" w:hAnsi="宋体" w:cs="宋体"/>
                <w:color w:val="auto"/>
                <w:w w:val="99"/>
                <w:szCs w:val="21"/>
                <w:highlight w:val="none"/>
              </w:rPr>
              <w:t>印机</w:t>
            </w:r>
            <w:r>
              <w:rPr>
                <w:rFonts w:hint="eastAsia" w:ascii="宋体" w:hAnsi="宋体" w:cs="宋体"/>
                <w:color w:val="auto"/>
                <w:spacing w:val="2"/>
                <w:w w:val="99"/>
                <w:szCs w:val="21"/>
                <w:highlight w:val="none"/>
              </w:rPr>
              <w:t>和</w:t>
            </w:r>
            <w:r>
              <w:rPr>
                <w:rFonts w:hint="eastAsia" w:ascii="宋体" w:hAnsi="宋体" w:cs="宋体"/>
                <w:color w:val="auto"/>
                <w:w w:val="99"/>
                <w:szCs w:val="21"/>
                <w:highlight w:val="none"/>
              </w:rPr>
              <w:t>传真</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14:paraId="64F3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26EDE72C">
            <w:pPr>
              <w:pStyle w:val="135"/>
              <w:spacing w:before="160"/>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7BD426AC">
            <w:pPr>
              <w:pStyle w:val="135"/>
              <w:spacing w:before="160"/>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A02051900</w:t>
            </w:r>
            <w:r>
              <w:rPr>
                <w:rFonts w:hint="eastAsia" w:ascii="宋体" w:hAnsi="宋体" w:cs="宋体"/>
                <w:color w:val="auto"/>
                <w:w w:val="99"/>
                <w:kern w:val="2"/>
                <w:sz w:val="21"/>
                <w:szCs w:val="21"/>
                <w:highlight w:val="none"/>
              </w:rPr>
              <w:t>泵</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4E80AEB">
            <w:pPr>
              <w:pStyle w:val="135"/>
              <w:spacing w:before="160"/>
              <w:ind w:left="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05</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901离心泵</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C3EFB82">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699C45E">
            <w:pPr>
              <w:pStyle w:val="135"/>
              <w:spacing w:before="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《清水离心泵能效限定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及节</w:t>
            </w:r>
            <w:r>
              <w:rPr>
                <w:rFonts w:hint="eastAsia" w:ascii="宋体" w:hAnsi="宋体" w:cs="宋体"/>
                <w:color w:val="auto"/>
                <w:w w:val="99"/>
                <w:kern w:val="2"/>
                <w:sz w:val="21"/>
                <w:szCs w:val="21"/>
                <w:highlight w:val="none"/>
                <w:lang w:eastAsia="zh-CN"/>
              </w:rPr>
              <w:t>能评价值</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w:t>
            </w:r>
            <w:r>
              <w:rPr>
                <w:rFonts w:hint="eastAsia" w:ascii="宋体" w:hAnsi="宋体" w:cs="宋体"/>
                <w:color w:val="auto"/>
                <w:w w:val="99"/>
                <w:kern w:val="2"/>
                <w:sz w:val="21"/>
                <w:szCs w:val="21"/>
                <w:highlight w:val="none"/>
                <w:lang w:eastAsia="zh-CN"/>
              </w:rPr>
              <w:t>76</w:t>
            </w:r>
            <w:r>
              <w:rPr>
                <w:rFonts w:hint="eastAsia" w:ascii="宋体" w:hAnsi="宋体" w:cs="宋体"/>
                <w:color w:val="auto"/>
                <w:spacing w:val="1"/>
                <w:w w:val="99"/>
                <w:kern w:val="2"/>
                <w:sz w:val="21"/>
                <w:szCs w:val="21"/>
                <w:highlight w:val="none"/>
                <w:lang w:eastAsia="zh-CN"/>
              </w:rPr>
              <w:t>2</w:t>
            </w:r>
            <w:r>
              <w:rPr>
                <w:rFonts w:hint="eastAsia" w:ascii="宋体" w:hAnsi="宋体" w:cs="宋体"/>
                <w:color w:val="auto"/>
                <w:w w:val="99"/>
                <w:kern w:val="2"/>
                <w:sz w:val="21"/>
                <w:szCs w:val="21"/>
                <w:highlight w:val="none"/>
                <w:lang w:eastAsia="zh-CN"/>
              </w:rPr>
              <w:t>）</w:t>
            </w:r>
          </w:p>
        </w:tc>
      </w:tr>
      <w:tr w14:paraId="3B1A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207ADB68">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3036A583">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A02052300</w:t>
            </w:r>
            <w:r>
              <w:rPr>
                <w:rFonts w:hint="eastAsia" w:ascii="宋体" w:hAnsi="宋体" w:cs="宋体"/>
                <w:color w:val="auto"/>
                <w:w w:val="99"/>
                <w:kern w:val="2"/>
                <w:sz w:val="21"/>
                <w:szCs w:val="21"/>
                <w:highlight w:val="none"/>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42BAAA02">
            <w:pPr>
              <w:pStyle w:val="135"/>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52</w:t>
            </w:r>
            <w:r>
              <w:rPr>
                <w:rFonts w:hint="eastAsia" w:ascii="宋体" w:hAnsi="宋体" w:cs="宋体"/>
                <w:color w:val="auto"/>
                <w:spacing w:val="1"/>
                <w:w w:val="99"/>
                <w:kern w:val="2"/>
                <w:sz w:val="21"/>
                <w:szCs w:val="21"/>
                <w:highlight w:val="none"/>
              </w:rPr>
              <w:t>3</w:t>
            </w:r>
            <w:r>
              <w:rPr>
                <w:rFonts w:hint="eastAsia" w:ascii="宋体" w:hAnsi="宋体" w:cs="宋体"/>
                <w:color w:val="auto"/>
                <w:w w:val="99"/>
                <w:kern w:val="2"/>
                <w:sz w:val="21"/>
                <w:szCs w:val="21"/>
                <w:highlight w:val="none"/>
              </w:rPr>
              <w:t>01制冷压缩机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E64FDD">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冷水机组</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BA017A8">
            <w:pPr>
              <w:pStyle w:val="135"/>
              <w:spacing w:before="30"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《冷水机组能效限定值</w:t>
            </w:r>
            <w:r>
              <w:rPr>
                <w:rFonts w:hint="eastAsia" w:ascii="宋体" w:hAnsi="宋体" w:cs="宋体"/>
                <w:color w:val="auto"/>
                <w:spacing w:val="9"/>
                <w:w w:val="99"/>
                <w:kern w:val="2"/>
                <w:sz w:val="21"/>
                <w:szCs w:val="21"/>
                <w:highlight w:val="none"/>
                <w:lang w:eastAsia="zh-CN"/>
              </w:rPr>
              <w:t>及</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195</w:t>
            </w:r>
            <w:r>
              <w:rPr>
                <w:rFonts w:hint="eastAsia" w:ascii="宋体" w:hAnsi="宋体" w:cs="宋体"/>
                <w:color w:val="auto"/>
                <w:w w:val="99"/>
                <w:kern w:val="2"/>
                <w:sz w:val="21"/>
                <w:szCs w:val="21"/>
                <w:highlight w:val="none"/>
                <w:lang w:eastAsia="zh-CN"/>
              </w:rPr>
              <w:t>77</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《低</w:t>
            </w:r>
            <w:r>
              <w:rPr>
                <w:rFonts w:hint="eastAsia" w:ascii="宋体" w:hAnsi="宋体" w:cs="宋体"/>
                <w:color w:val="auto"/>
                <w:spacing w:val="2"/>
                <w:w w:val="99"/>
                <w:kern w:val="2"/>
                <w:sz w:val="21"/>
                <w:szCs w:val="21"/>
                <w:highlight w:val="none"/>
                <w:lang w:eastAsia="zh-CN"/>
              </w:rPr>
              <w:t>环</w:t>
            </w:r>
            <w:r>
              <w:rPr>
                <w:rFonts w:hint="eastAsia" w:ascii="宋体" w:hAnsi="宋体" w:cs="宋体"/>
                <w:color w:val="auto"/>
                <w:w w:val="99"/>
                <w:kern w:val="2"/>
                <w:sz w:val="21"/>
                <w:szCs w:val="21"/>
                <w:highlight w:val="none"/>
                <w:lang w:eastAsia="zh-CN"/>
              </w:rPr>
              <w:t>境温度空气源</w:t>
            </w:r>
            <w:r>
              <w:rPr>
                <w:rFonts w:hint="eastAsia" w:ascii="宋体" w:hAnsi="宋体" w:cs="宋体"/>
                <w:color w:val="auto"/>
                <w:spacing w:val="2"/>
                <w:w w:val="99"/>
                <w:kern w:val="2"/>
                <w:sz w:val="21"/>
                <w:szCs w:val="21"/>
                <w:highlight w:val="none"/>
                <w:lang w:eastAsia="zh-CN"/>
              </w:rPr>
              <w:t>热</w:t>
            </w:r>
            <w:r>
              <w:rPr>
                <w:rFonts w:hint="eastAsia" w:ascii="宋体" w:hAnsi="宋体" w:cs="宋体"/>
                <w:color w:val="auto"/>
                <w:spacing w:val="-29"/>
                <w:w w:val="99"/>
                <w:kern w:val="2"/>
                <w:sz w:val="21"/>
                <w:szCs w:val="21"/>
                <w:highlight w:val="none"/>
                <w:lang w:eastAsia="zh-CN"/>
              </w:rPr>
              <w:t>泵</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冷水</w:t>
            </w:r>
            <w:r>
              <w:rPr>
                <w:rFonts w:hint="eastAsia" w:ascii="宋体" w:hAnsi="宋体" w:cs="宋体"/>
                <w:color w:val="auto"/>
                <w:spacing w:val="-27"/>
                <w:w w:val="99"/>
                <w:kern w:val="2"/>
                <w:sz w:val="21"/>
                <w:szCs w:val="21"/>
                <w:highlight w:val="none"/>
                <w:lang w:eastAsia="zh-CN"/>
              </w:rPr>
              <w:t>）</w:t>
            </w:r>
            <w:r>
              <w:rPr>
                <w:rFonts w:hint="eastAsia" w:ascii="宋体" w:hAnsi="宋体" w:cs="宋体"/>
                <w:color w:val="auto"/>
                <w:w w:val="99"/>
                <w:kern w:val="2"/>
                <w:sz w:val="21"/>
                <w:szCs w:val="21"/>
                <w:highlight w:val="none"/>
                <w:lang w:eastAsia="zh-CN"/>
              </w:rPr>
              <w:t>机组</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效限定值及能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37</w:t>
            </w:r>
            <w:r>
              <w:rPr>
                <w:rFonts w:hint="eastAsia" w:ascii="宋体" w:hAnsi="宋体" w:cs="宋体"/>
                <w:color w:val="auto"/>
                <w:w w:val="99"/>
                <w:kern w:val="2"/>
                <w:sz w:val="21"/>
                <w:szCs w:val="21"/>
                <w:highlight w:val="none"/>
                <w:lang w:eastAsia="zh-CN"/>
              </w:rPr>
              <w:t>48</w:t>
            </w:r>
            <w:r>
              <w:rPr>
                <w:rFonts w:hint="eastAsia" w:ascii="宋体" w:hAnsi="宋体" w:cs="宋体"/>
                <w:color w:val="auto"/>
                <w:spacing w:val="-2"/>
                <w:w w:val="99"/>
                <w:kern w:val="2"/>
                <w:sz w:val="21"/>
                <w:szCs w:val="21"/>
                <w:highlight w:val="none"/>
                <w:lang w:eastAsia="zh-CN"/>
              </w:rPr>
              <w:t>0</w:t>
            </w:r>
            <w:r>
              <w:rPr>
                <w:rFonts w:hint="eastAsia" w:ascii="宋体" w:hAnsi="宋体" w:cs="宋体"/>
                <w:color w:val="auto"/>
                <w:w w:val="99"/>
                <w:kern w:val="2"/>
                <w:sz w:val="21"/>
                <w:szCs w:val="21"/>
                <w:highlight w:val="none"/>
                <w:lang w:eastAsia="zh-CN"/>
              </w:rPr>
              <w:t>）</w:t>
            </w:r>
          </w:p>
        </w:tc>
      </w:tr>
      <w:tr w14:paraId="0E5C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BD8D5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15306C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D868112">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F50BC45">
            <w:pPr>
              <w:jc w:val="center"/>
              <w:rPr>
                <w:rFonts w:ascii="宋体" w:hAnsi="宋体" w:cs="宋体"/>
                <w:color w:val="auto"/>
                <w:szCs w:val="21"/>
                <w:highlight w:val="none"/>
              </w:rPr>
            </w:pPr>
            <w:r>
              <w:rPr>
                <w:rFonts w:hint="eastAsia" w:ascii="宋体" w:hAnsi="宋体" w:cs="宋体"/>
                <w:color w:val="auto"/>
                <w:szCs w:val="21"/>
                <w:highlight w:val="none"/>
              </w:rPr>
              <w:t>溴化锂吸收式冷水机组</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0D79646">
            <w:pPr>
              <w:pStyle w:val="135"/>
              <w:spacing w:before="93"/>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《溴化锂吸收式冷水机组能效限</w:t>
            </w:r>
          </w:p>
          <w:p w14:paraId="05DB3845">
            <w:pPr>
              <w:jc w:val="left"/>
              <w:rPr>
                <w:rFonts w:ascii="宋体" w:hAnsi="宋体" w:cs="宋体"/>
                <w:color w:val="auto"/>
                <w:szCs w:val="21"/>
                <w:highlight w:val="none"/>
              </w:rPr>
            </w:pPr>
            <w:r>
              <w:rPr>
                <w:rFonts w:hint="eastAsia" w:ascii="宋体" w:hAnsi="宋体" w:cs="宋体"/>
                <w:color w:val="auto"/>
                <w:w w:val="99"/>
                <w:szCs w:val="21"/>
                <w:highlight w:val="none"/>
              </w:rPr>
              <w:t>定值及能效等级》（GB29540）</w:t>
            </w:r>
          </w:p>
        </w:tc>
      </w:tr>
      <w:tr w14:paraId="0F61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7A6EF3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55BD67D">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31DF01F4">
            <w:pPr>
              <w:pStyle w:val="135"/>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★A02052305空调机组</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C79239B">
            <w:pPr>
              <w:pStyle w:val="135"/>
              <w:spacing w:before="4" w:line="276" w:lineRule="auto"/>
              <w:ind w:left="7" w:righ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多联式空调（热泵）机组（制冷量&gt;14000W）</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416E775">
            <w:pPr>
              <w:pStyle w:val="135"/>
              <w:spacing w:before="160" w:line="276" w:lineRule="auto"/>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《多联式空调（热泵）机组能效限定值及能源效率等级》（GB21454）</w:t>
            </w:r>
          </w:p>
        </w:tc>
      </w:tr>
      <w:tr w14:paraId="279C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87787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6070E3">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C05B32">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A4F99E0">
            <w:pPr>
              <w:jc w:val="center"/>
              <w:rPr>
                <w:rFonts w:ascii="宋体" w:hAnsi="宋体" w:cs="宋体"/>
                <w:color w:val="auto"/>
                <w:szCs w:val="21"/>
                <w:highlight w:val="none"/>
              </w:rPr>
            </w:pPr>
            <w:r>
              <w:rPr>
                <w:rFonts w:hint="eastAsia" w:ascii="宋体" w:hAnsi="宋体" w:cs="宋体"/>
                <w:color w:val="auto"/>
                <w:w w:val="99"/>
                <w:szCs w:val="21"/>
                <w:highlight w:val="none"/>
              </w:rPr>
              <w:t>单元式空气调节机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D491BD5">
            <w:pPr>
              <w:jc w:val="left"/>
              <w:rPr>
                <w:rFonts w:ascii="宋体" w:hAnsi="宋体" w:cs="宋体"/>
                <w:color w:val="auto"/>
                <w:szCs w:val="21"/>
                <w:highlight w:val="none"/>
              </w:rPr>
            </w:pPr>
            <w:r>
              <w:rPr>
                <w:rFonts w:hint="eastAsia" w:ascii="宋体" w:hAnsi="宋体" w:cs="宋体"/>
                <w:color w:val="auto"/>
                <w:w w:val="99"/>
                <w:szCs w:val="21"/>
                <w:highlight w:val="none"/>
              </w:rPr>
              <w:t>《单元式空气调节机能效限定值及能效等级》（GB19576）《风管送风式空调机组能效限定值及能效等级》（GB37479）</w:t>
            </w:r>
          </w:p>
        </w:tc>
      </w:tr>
      <w:tr w14:paraId="4528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B9C4D1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BA8EBFE">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5DBCE78E">
            <w:pPr>
              <w:pStyle w:val="135"/>
              <w:spacing w:before="83"/>
              <w:ind w:lef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★A02052309专用制冷、空调设备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153AFFC">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机房空调</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CE5B111">
            <w:pPr>
              <w:pStyle w:val="135"/>
              <w:spacing w:before="83"/>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《单元式空气调节机能效限定值</w:t>
            </w:r>
          </w:p>
          <w:p w14:paraId="3D69E674">
            <w:pPr>
              <w:pStyle w:val="135"/>
              <w:spacing w:before="83"/>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及能效等级》（GB19576）</w:t>
            </w:r>
          </w:p>
        </w:tc>
      </w:tr>
      <w:tr w14:paraId="5AE8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2A31F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4D52AEA">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C19954D">
            <w:pPr>
              <w:pStyle w:val="135"/>
              <w:spacing w:line="254" w:lineRule="exact"/>
              <w:ind w:left="7"/>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A02052399其他制冷</w:t>
            </w:r>
          </w:p>
          <w:p w14:paraId="2CCFF365">
            <w:pPr>
              <w:pStyle w:val="135"/>
              <w:spacing w:line="254" w:lineRule="exact"/>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空调设备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F47512A">
            <w:pPr>
              <w:widowControl/>
              <w:jc w:val="center"/>
              <w:rPr>
                <w:rFonts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03B5A3F">
            <w:pPr>
              <w:pStyle w:val="135"/>
              <w:spacing w:line="254" w:lineRule="exact"/>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《机械通风冷却塔第1部分：中小型开式冷却塔》（GB/T7190.1）</w:t>
            </w:r>
          </w:p>
          <w:p w14:paraId="3A9DEB20">
            <w:pPr>
              <w:pStyle w:val="135"/>
              <w:spacing w:line="254" w:lineRule="exact"/>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《机械通风冷却塔第2部分：大型开式冷却塔》（GB/T7190.2）</w:t>
            </w:r>
          </w:p>
        </w:tc>
      </w:tr>
      <w:tr w14:paraId="001B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7DD9375A">
            <w:pPr>
              <w:pStyle w:val="135"/>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68962CDF">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A02060100</w:t>
            </w:r>
            <w:r>
              <w:rPr>
                <w:rFonts w:hint="eastAsia" w:ascii="宋体" w:hAnsi="宋体" w:cs="宋体"/>
                <w:color w:val="auto"/>
                <w:w w:val="99"/>
                <w:kern w:val="2"/>
                <w:sz w:val="21"/>
                <w:szCs w:val="21"/>
                <w:highlight w:val="none"/>
              </w:rPr>
              <w:t>电机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5E82A71">
            <w:pPr>
              <w:jc w:val="center"/>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D1AF0E9">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0063FF7">
            <w:pPr>
              <w:pStyle w:val="135"/>
              <w:spacing w:before="52" w:line="276" w:lineRule="auto"/>
              <w:ind w:left="7" w:right="4"/>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《中小型三相异步电动机能效限定值及能效等级》（GB18613）</w:t>
            </w:r>
          </w:p>
        </w:tc>
      </w:tr>
      <w:tr w14:paraId="7B11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36E125B2">
            <w:pPr>
              <w:pStyle w:val="135"/>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67DBB953">
            <w:pPr>
              <w:pStyle w:val="135"/>
              <w:spacing w:before="30"/>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A02060200</w:t>
            </w:r>
            <w:r>
              <w:rPr>
                <w:rFonts w:hint="eastAsia" w:ascii="宋体" w:hAnsi="宋体" w:cs="宋体"/>
                <w:color w:val="auto"/>
                <w:w w:val="99"/>
                <w:kern w:val="2"/>
                <w:sz w:val="21"/>
                <w:szCs w:val="21"/>
                <w:highlight w:val="none"/>
              </w:rPr>
              <w:t>变压</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0359FD8">
            <w:pPr>
              <w:pStyle w:val="135"/>
              <w:jc w:val="center"/>
              <w:rPr>
                <w:rFonts w:ascii="宋体" w:hAnsi="宋体" w:cs="宋体"/>
                <w:color w:val="auto"/>
                <w:kern w:val="2"/>
                <w:sz w:val="21"/>
                <w:szCs w:val="21"/>
                <w:highlight w:val="none"/>
              </w:rPr>
            </w:pPr>
            <w:r>
              <w:rPr>
                <w:rFonts w:hint="eastAsia" w:ascii="宋体" w:hAnsi="宋体" w:cs="宋体"/>
                <w:color w:val="auto"/>
                <w:w w:val="99"/>
                <w:szCs w:val="21"/>
                <w:highlight w:val="none"/>
              </w:rPr>
              <w:t>★</w:t>
            </w:r>
            <w:r>
              <w:rPr>
                <w:rFonts w:hint="eastAsia" w:ascii="宋体" w:hAnsi="宋体" w:cs="宋体"/>
                <w:color w:val="auto"/>
                <w:w w:val="99"/>
                <w:kern w:val="2"/>
                <w:sz w:val="21"/>
                <w:szCs w:val="21"/>
                <w:highlight w:val="none"/>
              </w:rPr>
              <w:t>配电变压器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31533AD">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02D68C3">
            <w:pPr>
              <w:pStyle w:val="135"/>
              <w:spacing w:before="30"/>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《三相配电变压器能效限定值及</w:t>
            </w:r>
          </w:p>
        </w:tc>
      </w:tr>
      <w:tr w14:paraId="487E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7CED09A">
            <w:pPr>
              <w:pStyle w:val="135"/>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003D8736">
            <w:pPr>
              <w:pStyle w:val="135"/>
              <w:spacing w:before="126"/>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387EFBB">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管型荧光灯镇流器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0E14DB7">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8945470">
            <w:pPr>
              <w:pStyle w:val="135"/>
              <w:spacing w:before="126"/>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《管形荧光灯镇流器能效限定值及能效等级》（GB17896）</w:t>
            </w:r>
          </w:p>
        </w:tc>
      </w:tr>
      <w:tr w14:paraId="73AA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0EE7F846">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3D86D1AD">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0549D9E6">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A02061801电冰箱</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0784733">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2BFCD3C">
            <w:pPr>
              <w:pStyle w:val="135"/>
              <w:spacing w:before="126"/>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《家用电冰箱耗电量限定值及能效等级》（GB12021.2）</w:t>
            </w:r>
          </w:p>
        </w:tc>
      </w:tr>
      <w:tr w14:paraId="27EF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8DEB84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2F3094">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76167CF8">
            <w:pPr>
              <w:pStyle w:val="135"/>
              <w:spacing w:before="17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A02061804</w:t>
            </w:r>
            <w:r>
              <w:rPr>
                <w:rFonts w:hint="eastAsia" w:ascii="宋体" w:hAnsi="宋体" w:cs="宋体"/>
                <w:color w:val="auto"/>
                <w:w w:val="99"/>
                <w:kern w:val="2"/>
                <w:sz w:val="21"/>
                <w:szCs w:val="21"/>
                <w:highlight w:val="none"/>
              </w:rPr>
              <w:t>空调机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8CF4FD1">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房间空气调节器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C66E0C4">
            <w:pPr>
              <w:pStyle w:val="135"/>
              <w:spacing w:line="256" w:lineRule="exact"/>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《房间空气调节器能效限定值及能效等级》（GB21455-2019）</w:t>
            </w:r>
          </w:p>
        </w:tc>
      </w:tr>
      <w:tr w14:paraId="3B73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EAA50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166E713">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DC5B7D">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8060777">
            <w:pPr>
              <w:pStyle w:val="135"/>
              <w:spacing w:before="4"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 14000W）</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1FAA338">
            <w:pPr>
              <w:pStyle w:val="135"/>
              <w:spacing w:before="160" w:line="276" w:lineRule="auto"/>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《多联式空调（热泵）机组能效限定值及能源效率等级》（GB21454）</w:t>
            </w:r>
          </w:p>
        </w:tc>
      </w:tr>
      <w:tr w14:paraId="6819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D818F0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58F03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9A1077">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FA26EB7">
            <w:pPr>
              <w:pStyle w:val="13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单元式空气调节机（制冷量≤ 14000W）</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9305BC0">
            <w:pPr>
              <w:pStyle w:val="135"/>
              <w:spacing w:before="4"/>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《单元式空气调节机能效限定值及能源效率等级》（GB19576）《风管送风式空调机组能效限定值及能效等级》（GB37479）</w:t>
            </w:r>
          </w:p>
        </w:tc>
      </w:tr>
      <w:tr w14:paraId="4752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D1C7F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D45793">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3686F20">
            <w:pPr>
              <w:pStyle w:val="135"/>
              <w:spacing w:before="162"/>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A02061810</w:t>
            </w:r>
            <w:r>
              <w:rPr>
                <w:rFonts w:hint="eastAsia" w:ascii="宋体" w:hAnsi="宋体" w:cs="宋体"/>
                <w:color w:val="auto"/>
                <w:w w:val="99"/>
                <w:kern w:val="2"/>
                <w:sz w:val="21"/>
                <w:szCs w:val="21"/>
                <w:highlight w:val="none"/>
              </w:rPr>
              <w:t>洗衣机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593CF49">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134AD21">
            <w:pPr>
              <w:pStyle w:val="135"/>
              <w:spacing w:before="6" w:line="276" w:lineRule="auto"/>
              <w:ind w:left="7" w:right="4"/>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《电动洗衣机能效水效限定值及等级》（GB12021.4）</w:t>
            </w:r>
          </w:p>
        </w:tc>
      </w:tr>
      <w:tr w14:paraId="4DE7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FDE6B8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830B8F3">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4FDC110E">
            <w:pPr>
              <w:pStyle w:val="135"/>
              <w:spacing w:before="161"/>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A02061819</w:t>
            </w:r>
            <w:r>
              <w:rPr>
                <w:rFonts w:hint="eastAsia" w:ascii="宋体" w:hAnsi="宋体" w:cs="宋体"/>
                <w:color w:val="auto"/>
                <w:w w:val="99"/>
                <w:kern w:val="2"/>
                <w:sz w:val="21"/>
                <w:szCs w:val="21"/>
                <w:highlight w:val="none"/>
              </w:rPr>
              <w:t>热水器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A56BC11">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9A83AE9">
            <w:pPr>
              <w:pStyle w:val="135"/>
              <w:tabs>
                <w:tab w:val="left" w:pos="1608"/>
              </w:tabs>
              <w:spacing w:before="5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《储水式电热水器能效</w:t>
            </w:r>
            <w:r>
              <w:rPr>
                <w:rFonts w:hint="eastAsia" w:ascii="宋体" w:hAnsi="宋体" w:cs="宋体"/>
                <w:color w:val="auto"/>
                <w:spacing w:val="9"/>
                <w:w w:val="99"/>
                <w:kern w:val="2"/>
                <w:sz w:val="21"/>
                <w:szCs w:val="21"/>
                <w:highlight w:val="none"/>
                <w:lang w:eastAsia="zh-CN"/>
              </w:rPr>
              <w:t>限</w:t>
            </w:r>
            <w:r>
              <w:rPr>
                <w:rFonts w:hint="eastAsia" w:ascii="宋体" w:hAnsi="宋体" w:cs="宋体"/>
                <w:color w:val="auto"/>
                <w:spacing w:val="12"/>
                <w:w w:val="99"/>
                <w:kern w:val="2"/>
                <w:sz w:val="21"/>
                <w:szCs w:val="21"/>
                <w:highlight w:val="none"/>
                <w:lang w:eastAsia="zh-CN"/>
              </w:rPr>
              <w:t>定值</w:t>
            </w:r>
            <w:r>
              <w:rPr>
                <w:rFonts w:hint="eastAsia" w:ascii="宋体" w:hAnsi="宋体" w:cs="宋体"/>
                <w:color w:val="auto"/>
                <w:w w:val="99"/>
                <w:kern w:val="2"/>
                <w:sz w:val="21"/>
                <w:szCs w:val="21"/>
                <w:highlight w:val="none"/>
                <w:lang w:eastAsia="zh-CN"/>
              </w:rPr>
              <w:t>及能效等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51</w:t>
            </w:r>
            <w:r>
              <w:rPr>
                <w:rFonts w:hint="eastAsia" w:ascii="宋体" w:hAnsi="宋体" w:cs="宋体"/>
                <w:color w:val="auto"/>
                <w:spacing w:val="1"/>
                <w:w w:val="99"/>
                <w:kern w:val="2"/>
                <w:sz w:val="21"/>
                <w:szCs w:val="21"/>
                <w:highlight w:val="none"/>
                <w:lang w:eastAsia="zh-CN"/>
              </w:rPr>
              <w:t>9</w:t>
            </w:r>
            <w:r>
              <w:rPr>
                <w:rFonts w:hint="eastAsia" w:ascii="宋体" w:hAnsi="宋体" w:cs="宋体"/>
                <w:color w:val="auto"/>
                <w:w w:val="99"/>
                <w:kern w:val="2"/>
                <w:sz w:val="21"/>
                <w:szCs w:val="21"/>
                <w:highlight w:val="none"/>
                <w:lang w:eastAsia="zh-CN"/>
              </w:rPr>
              <w:t>）</w:t>
            </w:r>
          </w:p>
        </w:tc>
      </w:tr>
      <w:tr w14:paraId="5C82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E8F07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4DBAD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3A5E1C">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C7279F8">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燃气热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7BF160F">
            <w:pPr>
              <w:pStyle w:val="135"/>
              <w:spacing w:before="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《家用燃气快速热水器</w:t>
            </w:r>
            <w:r>
              <w:rPr>
                <w:rFonts w:hint="eastAsia" w:ascii="宋体" w:hAnsi="宋体" w:cs="宋体"/>
                <w:color w:val="auto"/>
                <w:spacing w:val="9"/>
                <w:w w:val="99"/>
                <w:kern w:val="2"/>
                <w:sz w:val="21"/>
                <w:szCs w:val="21"/>
                <w:highlight w:val="none"/>
                <w:lang w:eastAsia="zh-CN"/>
              </w:rPr>
              <w:t>和</w:t>
            </w:r>
            <w:r>
              <w:rPr>
                <w:rFonts w:hint="eastAsia" w:ascii="宋体" w:hAnsi="宋体" w:cs="宋体"/>
                <w:color w:val="auto"/>
                <w:spacing w:val="12"/>
                <w:w w:val="99"/>
                <w:kern w:val="2"/>
                <w:sz w:val="21"/>
                <w:szCs w:val="21"/>
                <w:highlight w:val="none"/>
                <w:lang w:eastAsia="zh-CN"/>
              </w:rPr>
              <w:t>燃气</w:t>
            </w:r>
            <w:r>
              <w:rPr>
                <w:rFonts w:hint="eastAsia" w:ascii="宋体" w:hAnsi="宋体" w:cs="宋体"/>
                <w:color w:val="auto"/>
                <w:w w:val="99"/>
                <w:kern w:val="2"/>
                <w:sz w:val="21"/>
                <w:szCs w:val="21"/>
                <w:highlight w:val="none"/>
                <w:lang w:eastAsia="zh-CN"/>
              </w:rPr>
              <w:t>采暖热水</w:t>
            </w:r>
            <w:r>
              <w:rPr>
                <w:rFonts w:hint="eastAsia" w:ascii="宋体" w:hAnsi="宋体" w:cs="宋体"/>
                <w:color w:val="auto"/>
                <w:spacing w:val="2"/>
                <w:w w:val="99"/>
                <w:kern w:val="2"/>
                <w:sz w:val="21"/>
                <w:szCs w:val="21"/>
                <w:highlight w:val="none"/>
                <w:lang w:eastAsia="zh-CN"/>
              </w:rPr>
              <w:t>炉</w:t>
            </w:r>
            <w:r>
              <w:rPr>
                <w:rFonts w:hint="eastAsia" w:ascii="宋体" w:hAnsi="宋体" w:cs="宋体"/>
                <w:color w:val="auto"/>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w:t>
            </w:r>
            <w:r>
              <w:rPr>
                <w:rFonts w:hint="eastAsia" w:ascii="宋体" w:hAnsi="宋体" w:cs="宋体"/>
                <w:color w:val="auto"/>
                <w:spacing w:val="2"/>
                <w:w w:val="99"/>
                <w:kern w:val="2"/>
                <w:sz w:val="21"/>
                <w:szCs w:val="21"/>
                <w:highlight w:val="none"/>
                <w:lang w:eastAsia="zh-CN"/>
              </w:rPr>
              <w:t>及</w:t>
            </w:r>
            <w:r>
              <w:rPr>
                <w:rFonts w:hint="eastAsia" w:ascii="宋体" w:hAnsi="宋体" w:cs="宋体"/>
                <w:color w:val="auto"/>
                <w:w w:val="99"/>
                <w:kern w:val="2"/>
                <w:sz w:val="21"/>
                <w:szCs w:val="21"/>
                <w:highlight w:val="none"/>
                <w:lang w:eastAsia="zh-CN"/>
              </w:rPr>
              <w:t>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w:t>
            </w:r>
            <w:r>
              <w:rPr>
                <w:rFonts w:hint="eastAsia" w:ascii="宋体" w:hAnsi="宋体" w:cs="宋体"/>
                <w:color w:val="auto"/>
                <w:w w:val="99"/>
                <w:kern w:val="2"/>
                <w:sz w:val="21"/>
                <w:szCs w:val="21"/>
                <w:highlight w:val="none"/>
                <w:lang w:eastAsia="zh-CN"/>
              </w:rPr>
              <w:t>06</w:t>
            </w:r>
            <w:r>
              <w:rPr>
                <w:rFonts w:hint="eastAsia" w:ascii="宋体" w:hAnsi="宋体" w:cs="宋体"/>
                <w:color w:val="auto"/>
                <w:spacing w:val="1"/>
                <w:w w:val="99"/>
                <w:kern w:val="2"/>
                <w:sz w:val="21"/>
                <w:szCs w:val="21"/>
                <w:highlight w:val="none"/>
                <w:lang w:eastAsia="zh-CN"/>
              </w:rPr>
              <w:t>65</w:t>
            </w:r>
            <w:r>
              <w:rPr>
                <w:rFonts w:hint="eastAsia" w:ascii="宋体" w:hAnsi="宋体" w:cs="宋体"/>
                <w:color w:val="auto"/>
                <w:w w:val="99"/>
                <w:kern w:val="2"/>
                <w:sz w:val="21"/>
                <w:szCs w:val="21"/>
                <w:highlight w:val="none"/>
                <w:lang w:eastAsia="zh-CN"/>
              </w:rPr>
              <w:t>）</w:t>
            </w:r>
          </w:p>
        </w:tc>
      </w:tr>
      <w:tr w14:paraId="0DAA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E928C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07D4F3">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91327C1">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BF2990C">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热泵热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28EEDFD">
            <w:pPr>
              <w:pStyle w:val="135"/>
              <w:spacing w:before="93" w:line="276" w:lineRule="auto"/>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《热泵</w:t>
            </w:r>
            <w:r>
              <w:rPr>
                <w:rFonts w:hint="eastAsia" w:ascii="宋体" w:hAnsi="宋体" w:cs="宋体"/>
                <w:color w:val="auto"/>
                <w:spacing w:val="2"/>
                <w:w w:val="99"/>
                <w:kern w:val="2"/>
                <w:sz w:val="21"/>
                <w:szCs w:val="21"/>
                <w:highlight w:val="none"/>
                <w:lang w:eastAsia="zh-CN"/>
              </w:rPr>
              <w:t>热</w:t>
            </w:r>
            <w:r>
              <w:rPr>
                <w:rFonts w:hint="eastAsia" w:ascii="宋体" w:hAnsi="宋体" w:cs="宋体"/>
                <w:color w:val="auto"/>
                <w:w w:val="99"/>
                <w:kern w:val="2"/>
                <w:sz w:val="21"/>
                <w:szCs w:val="21"/>
                <w:highlight w:val="none"/>
                <w:lang w:eastAsia="zh-CN"/>
              </w:rPr>
              <w:t>水</w:t>
            </w:r>
            <w:r>
              <w:rPr>
                <w:rFonts w:hint="eastAsia" w:ascii="宋体" w:hAnsi="宋体" w:cs="宋体"/>
                <w:color w:val="auto"/>
                <w:spacing w:val="-27"/>
                <w:w w:val="99"/>
                <w:kern w:val="2"/>
                <w:sz w:val="21"/>
                <w:szCs w:val="21"/>
                <w:highlight w:val="none"/>
                <w:lang w:eastAsia="zh-CN"/>
              </w:rPr>
              <w:t>机</w:t>
            </w:r>
            <w:r>
              <w:rPr>
                <w:rFonts w:hint="eastAsia" w:ascii="宋体" w:hAnsi="宋体" w:cs="宋体"/>
                <w:color w:val="auto"/>
                <w:w w:val="99"/>
                <w:kern w:val="2"/>
                <w:sz w:val="21"/>
                <w:szCs w:val="21"/>
                <w:highlight w:val="none"/>
                <w:lang w:eastAsia="zh-CN"/>
              </w:rPr>
              <w:t>（器</w:t>
            </w:r>
            <w:r>
              <w:rPr>
                <w:rFonts w:hint="eastAsia" w:ascii="宋体" w:hAnsi="宋体" w:cs="宋体"/>
                <w:color w:val="auto"/>
                <w:spacing w:val="-27"/>
                <w:w w:val="99"/>
                <w:kern w:val="2"/>
                <w:sz w:val="21"/>
                <w:szCs w:val="21"/>
                <w:highlight w:val="none"/>
                <w:lang w:eastAsia="zh-CN"/>
              </w:rPr>
              <w:t>）</w:t>
            </w:r>
            <w:r>
              <w:rPr>
                <w:rFonts w:hint="eastAsia" w:ascii="宋体" w:hAnsi="宋体" w:cs="宋体"/>
                <w:color w:val="auto"/>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295</w:t>
            </w:r>
            <w:r>
              <w:rPr>
                <w:rFonts w:hint="eastAsia" w:ascii="宋体" w:hAnsi="宋体" w:cs="宋体"/>
                <w:color w:val="auto"/>
                <w:w w:val="99"/>
                <w:kern w:val="2"/>
                <w:sz w:val="21"/>
                <w:szCs w:val="21"/>
                <w:highlight w:val="none"/>
                <w:lang w:eastAsia="zh-CN"/>
              </w:rPr>
              <w:t>4</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7C4A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334A933">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ED14D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B1A1623">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D122F4B">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太阳能</w:t>
            </w:r>
            <w:r>
              <w:rPr>
                <w:rFonts w:hint="eastAsia" w:ascii="宋体" w:hAnsi="宋体" w:cs="宋体"/>
                <w:color w:val="auto"/>
                <w:spacing w:val="2"/>
                <w:w w:val="99"/>
                <w:kern w:val="2"/>
                <w:sz w:val="21"/>
                <w:szCs w:val="21"/>
                <w:highlight w:val="none"/>
              </w:rPr>
              <w:t>热</w:t>
            </w:r>
            <w:r>
              <w:rPr>
                <w:rFonts w:hint="eastAsia" w:ascii="宋体" w:hAnsi="宋体" w:cs="宋体"/>
                <w:color w:val="auto"/>
                <w:w w:val="99"/>
                <w:kern w:val="2"/>
                <w:sz w:val="21"/>
                <w:szCs w:val="21"/>
                <w:highlight w:val="none"/>
              </w:rPr>
              <w:t>水系统</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EA6A13F">
            <w:pPr>
              <w:pStyle w:val="135"/>
              <w:spacing w:before="5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《家用太阳能热水系统</w:t>
            </w:r>
            <w:r>
              <w:rPr>
                <w:rFonts w:hint="eastAsia" w:ascii="宋体" w:hAnsi="宋体" w:cs="宋体"/>
                <w:color w:val="auto"/>
                <w:spacing w:val="9"/>
                <w:w w:val="99"/>
                <w:kern w:val="2"/>
                <w:sz w:val="21"/>
                <w:szCs w:val="21"/>
                <w:highlight w:val="none"/>
                <w:lang w:eastAsia="zh-CN"/>
              </w:rPr>
              <w:t>能</w:t>
            </w:r>
            <w:r>
              <w:rPr>
                <w:rFonts w:hint="eastAsia" w:ascii="宋体" w:hAnsi="宋体" w:cs="宋体"/>
                <w:color w:val="auto"/>
                <w:spacing w:val="12"/>
                <w:w w:val="99"/>
                <w:kern w:val="2"/>
                <w:sz w:val="21"/>
                <w:szCs w:val="21"/>
                <w:highlight w:val="none"/>
                <w:lang w:eastAsia="zh-CN"/>
              </w:rPr>
              <w:t>效限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26</w:t>
            </w:r>
            <w:r>
              <w:rPr>
                <w:rFonts w:hint="eastAsia" w:ascii="宋体" w:hAnsi="宋体" w:cs="宋体"/>
                <w:color w:val="auto"/>
                <w:w w:val="99"/>
                <w:kern w:val="2"/>
                <w:sz w:val="21"/>
                <w:szCs w:val="21"/>
                <w:highlight w:val="none"/>
                <w:lang w:eastAsia="zh-CN"/>
              </w:rPr>
              <w:t>96</w:t>
            </w:r>
            <w:r>
              <w:rPr>
                <w:rFonts w:hint="eastAsia" w:ascii="宋体" w:hAnsi="宋体" w:cs="宋体"/>
                <w:color w:val="auto"/>
                <w:spacing w:val="-2"/>
                <w:w w:val="99"/>
                <w:kern w:val="2"/>
                <w:sz w:val="21"/>
                <w:szCs w:val="21"/>
                <w:highlight w:val="none"/>
                <w:lang w:eastAsia="zh-CN"/>
              </w:rPr>
              <w:t>9</w:t>
            </w:r>
            <w:r>
              <w:rPr>
                <w:rFonts w:hint="eastAsia" w:ascii="宋体" w:hAnsi="宋体" w:cs="宋体"/>
                <w:color w:val="auto"/>
                <w:w w:val="99"/>
                <w:kern w:val="2"/>
                <w:sz w:val="21"/>
                <w:szCs w:val="21"/>
                <w:highlight w:val="none"/>
                <w:lang w:eastAsia="zh-CN"/>
              </w:rPr>
              <w:t>）</w:t>
            </w:r>
          </w:p>
        </w:tc>
      </w:tr>
      <w:tr w14:paraId="24E3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77B28A4A">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49813B2B">
            <w:pPr>
              <w:pStyle w:val="135"/>
              <w:spacing w:before="15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06</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900照明设备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BABFE0E">
            <w:pPr>
              <w:pStyle w:val="135"/>
              <w:spacing w:before="133"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★通照明用端荧光灯</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C37FF8C">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671C376">
            <w:pPr>
              <w:pStyle w:val="135"/>
              <w:spacing w:before="13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《普通照明用双端荧光</w:t>
            </w:r>
            <w:r>
              <w:rPr>
                <w:rFonts w:hint="eastAsia" w:ascii="宋体" w:hAnsi="宋体" w:cs="宋体"/>
                <w:color w:val="auto"/>
                <w:spacing w:val="9"/>
                <w:w w:val="99"/>
                <w:kern w:val="2"/>
                <w:sz w:val="21"/>
                <w:szCs w:val="21"/>
                <w:highlight w:val="none"/>
                <w:lang w:eastAsia="zh-CN"/>
              </w:rPr>
              <w:t>灯</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w:t>
            </w:r>
            <w:r>
              <w:rPr>
                <w:rFonts w:hint="eastAsia" w:ascii="宋体" w:hAnsi="宋体" w:cs="宋体"/>
                <w:color w:val="auto"/>
                <w:w w:val="99"/>
                <w:kern w:val="2"/>
                <w:sz w:val="21"/>
                <w:szCs w:val="21"/>
                <w:highlight w:val="none"/>
                <w:lang w:eastAsia="zh-CN"/>
              </w:rPr>
              <w:t>04</w:t>
            </w:r>
            <w:r>
              <w:rPr>
                <w:rFonts w:hint="eastAsia" w:ascii="宋体" w:hAnsi="宋体" w:cs="宋体"/>
                <w:color w:val="auto"/>
                <w:spacing w:val="1"/>
                <w:w w:val="99"/>
                <w:kern w:val="2"/>
                <w:sz w:val="21"/>
                <w:szCs w:val="21"/>
                <w:highlight w:val="none"/>
                <w:lang w:eastAsia="zh-CN"/>
              </w:rPr>
              <w:t>3</w:t>
            </w:r>
            <w:r>
              <w:rPr>
                <w:rFonts w:hint="eastAsia" w:ascii="宋体" w:hAnsi="宋体" w:cs="宋体"/>
                <w:color w:val="auto"/>
                <w:w w:val="99"/>
                <w:kern w:val="2"/>
                <w:sz w:val="21"/>
                <w:szCs w:val="21"/>
                <w:highlight w:val="none"/>
                <w:lang w:eastAsia="zh-CN"/>
              </w:rPr>
              <w:t>）</w:t>
            </w:r>
          </w:p>
        </w:tc>
      </w:tr>
      <w:tr w14:paraId="1730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630B8C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114819">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51D225E5">
            <w:pPr>
              <w:pStyle w:val="135"/>
              <w:spacing w:before="92" w:line="276" w:lineRule="auto"/>
              <w:ind w:left="7" w:right="2"/>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w:t>
            </w:r>
            <w:r>
              <w:rPr>
                <w:rFonts w:hint="eastAsia" w:ascii="宋体" w:hAnsi="宋体" w:cs="宋体"/>
                <w:color w:val="auto"/>
                <w:spacing w:val="12"/>
                <w:w w:val="99"/>
                <w:kern w:val="2"/>
                <w:sz w:val="21"/>
                <w:szCs w:val="21"/>
                <w:highlight w:val="none"/>
              </w:rPr>
              <w:t>道</w:t>
            </w:r>
            <w:r>
              <w:rPr>
                <w:rFonts w:hint="eastAsia" w:ascii="宋体" w:hAnsi="宋体" w:cs="宋体"/>
                <w:color w:val="auto"/>
                <w:spacing w:val="9"/>
                <w:w w:val="99"/>
                <w:kern w:val="2"/>
                <w:sz w:val="21"/>
                <w:szCs w:val="21"/>
                <w:highlight w:val="none"/>
              </w:rPr>
              <w:t>路</w:t>
            </w:r>
            <w:r>
              <w:rPr>
                <w:rFonts w:hint="eastAsia" w:ascii="宋体" w:hAnsi="宋体" w:cs="宋体"/>
                <w:color w:val="auto"/>
                <w:spacing w:val="13"/>
                <w:w w:val="99"/>
                <w:kern w:val="2"/>
                <w:sz w:val="21"/>
                <w:szCs w:val="21"/>
                <w:highlight w:val="none"/>
              </w:rPr>
              <w:t>/</w:t>
            </w:r>
            <w:r>
              <w:rPr>
                <w:rFonts w:hint="eastAsia" w:ascii="宋体" w:hAnsi="宋体" w:cs="宋体"/>
                <w:color w:val="auto"/>
                <w:spacing w:val="12"/>
                <w:w w:val="99"/>
                <w:kern w:val="2"/>
                <w:sz w:val="21"/>
                <w:szCs w:val="21"/>
                <w:highlight w:val="none"/>
              </w:rPr>
              <w:t>隧道照</w:t>
            </w:r>
            <w:r>
              <w:rPr>
                <w:rFonts w:hint="eastAsia" w:ascii="宋体" w:hAnsi="宋体" w:cs="宋体"/>
                <w:color w:val="auto"/>
                <w:w w:val="99"/>
                <w:kern w:val="2"/>
                <w:sz w:val="21"/>
                <w:szCs w:val="21"/>
                <w:highlight w:val="none"/>
              </w:rPr>
              <w:t>明产品</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42A28C">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6626FD6">
            <w:pPr>
              <w:pStyle w:val="135"/>
              <w:spacing w:before="92" w:line="276" w:lineRule="auto"/>
              <w:ind w:left="7"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道</w:t>
            </w:r>
            <w:r>
              <w:rPr>
                <w:rFonts w:hint="eastAsia" w:ascii="宋体" w:hAnsi="宋体" w:cs="宋体"/>
                <w:color w:val="auto"/>
                <w:spacing w:val="4"/>
                <w:w w:val="99"/>
                <w:kern w:val="2"/>
                <w:sz w:val="21"/>
                <w:szCs w:val="21"/>
                <w:highlight w:val="none"/>
                <w:lang w:eastAsia="zh-CN"/>
              </w:rPr>
              <w:t>路和隧道照</w:t>
            </w:r>
            <w:r>
              <w:rPr>
                <w:rFonts w:hint="eastAsia" w:ascii="宋体" w:hAnsi="宋体" w:cs="宋体"/>
                <w:color w:val="auto"/>
                <w:spacing w:val="2"/>
                <w:w w:val="99"/>
                <w:kern w:val="2"/>
                <w:sz w:val="21"/>
                <w:szCs w:val="21"/>
                <w:highlight w:val="none"/>
                <w:lang w:eastAsia="zh-CN"/>
              </w:rPr>
              <w:t>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灯</w:t>
            </w:r>
            <w:r>
              <w:rPr>
                <w:rFonts w:hint="eastAsia" w:ascii="宋体" w:hAnsi="宋体" w:cs="宋体"/>
                <w:color w:val="auto"/>
                <w:spacing w:val="2"/>
                <w:w w:val="99"/>
                <w:kern w:val="2"/>
                <w:sz w:val="21"/>
                <w:szCs w:val="21"/>
                <w:highlight w:val="none"/>
                <w:lang w:eastAsia="zh-CN"/>
              </w:rPr>
              <w:t>具</w:t>
            </w:r>
            <w:r>
              <w:rPr>
                <w:rFonts w:hint="eastAsia" w:ascii="宋体" w:hAnsi="宋体" w:cs="宋体"/>
                <w:color w:val="auto"/>
                <w:w w:val="99"/>
                <w:kern w:val="2"/>
                <w:sz w:val="21"/>
                <w:szCs w:val="21"/>
                <w:highlight w:val="none"/>
                <w:lang w:eastAsia="zh-CN"/>
              </w:rPr>
              <w:t>能效限定</w:t>
            </w:r>
            <w:r>
              <w:rPr>
                <w:rFonts w:hint="eastAsia" w:ascii="宋体" w:hAnsi="宋体" w:cs="宋体"/>
                <w:color w:val="auto"/>
                <w:spacing w:val="2"/>
                <w:w w:val="99"/>
                <w:kern w:val="2"/>
                <w:sz w:val="21"/>
                <w:szCs w:val="21"/>
                <w:highlight w:val="none"/>
                <w:lang w:eastAsia="zh-CN"/>
              </w:rPr>
              <w:t>值</w:t>
            </w:r>
            <w:r>
              <w:rPr>
                <w:rFonts w:hint="eastAsia" w:ascii="宋体" w:hAnsi="宋体" w:cs="宋体"/>
                <w:color w:val="auto"/>
                <w:w w:val="99"/>
                <w:kern w:val="2"/>
                <w:sz w:val="21"/>
                <w:szCs w:val="21"/>
                <w:highlight w:val="none"/>
                <w:lang w:eastAsia="zh-CN"/>
              </w:rPr>
              <w:t>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06"/>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3747</w:t>
            </w:r>
            <w:r>
              <w:rPr>
                <w:rFonts w:hint="eastAsia" w:ascii="宋体" w:hAnsi="宋体" w:cs="宋体"/>
                <w:color w:val="auto"/>
                <w:w w:val="99"/>
                <w:kern w:val="2"/>
                <w:sz w:val="21"/>
                <w:szCs w:val="21"/>
                <w:highlight w:val="none"/>
                <w:lang w:eastAsia="zh-CN"/>
              </w:rPr>
              <w:t>8</w:t>
            </w:r>
          </w:p>
        </w:tc>
      </w:tr>
      <w:tr w14:paraId="5365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E3E13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63FDD8">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620C10B">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D筒灯</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C0D6A67">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2F070CD">
            <w:pPr>
              <w:pStyle w:val="135"/>
              <w:spacing w:before="83" w:line="276" w:lineRule="auto"/>
              <w:ind w:left="7"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室</w:t>
            </w:r>
            <w:r>
              <w:rPr>
                <w:rFonts w:hint="eastAsia" w:ascii="宋体" w:hAnsi="宋体" w:cs="宋体"/>
                <w:color w:val="auto"/>
                <w:spacing w:val="4"/>
                <w:w w:val="99"/>
                <w:kern w:val="2"/>
                <w:sz w:val="21"/>
                <w:szCs w:val="21"/>
                <w:highlight w:val="none"/>
                <w:lang w:eastAsia="zh-CN"/>
              </w:rPr>
              <w:t>内照明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产</w:t>
            </w:r>
            <w:r>
              <w:rPr>
                <w:rFonts w:hint="eastAsia" w:ascii="宋体" w:hAnsi="宋体" w:cs="宋体"/>
                <w:color w:val="auto"/>
                <w:spacing w:val="2"/>
                <w:w w:val="99"/>
                <w:kern w:val="2"/>
                <w:sz w:val="21"/>
                <w:szCs w:val="21"/>
                <w:highlight w:val="none"/>
                <w:lang w:eastAsia="zh-CN"/>
              </w:rPr>
              <w:t>品</w:t>
            </w:r>
            <w:r>
              <w:rPr>
                <w:rFonts w:hint="eastAsia" w:ascii="宋体" w:hAnsi="宋体" w:cs="宋体"/>
                <w:color w:val="auto"/>
                <w:spacing w:val="4"/>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25</w:t>
            </w:r>
            <w:r>
              <w:rPr>
                <w:rFonts w:hint="eastAsia" w:ascii="宋体" w:hAnsi="宋体" w:cs="宋体"/>
                <w:color w:val="auto"/>
                <w:spacing w:val="-2"/>
                <w:w w:val="99"/>
                <w:kern w:val="2"/>
                <w:sz w:val="21"/>
                <w:szCs w:val="21"/>
                <w:highlight w:val="none"/>
                <w:lang w:eastAsia="zh-CN"/>
              </w:rPr>
              <w:t>5</w:t>
            </w:r>
            <w:r>
              <w:rPr>
                <w:rFonts w:hint="eastAsia" w:ascii="宋体" w:hAnsi="宋体" w:cs="宋体"/>
                <w:color w:val="auto"/>
                <w:w w:val="99"/>
                <w:kern w:val="2"/>
                <w:sz w:val="21"/>
                <w:szCs w:val="21"/>
                <w:highlight w:val="none"/>
                <w:lang w:eastAsia="zh-CN"/>
              </w:rPr>
              <w:t>）</w:t>
            </w:r>
          </w:p>
        </w:tc>
      </w:tr>
      <w:tr w14:paraId="0B01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7B3F3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5C2A93">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54BE24D">
            <w:pPr>
              <w:pStyle w:val="135"/>
              <w:spacing w:line="276" w:lineRule="auto"/>
              <w:ind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w:t>
            </w:r>
            <w:r>
              <w:rPr>
                <w:rFonts w:hint="eastAsia" w:ascii="宋体" w:hAnsi="宋体" w:cs="宋体"/>
                <w:color w:val="auto"/>
                <w:spacing w:val="24"/>
                <w:w w:val="99"/>
                <w:kern w:val="2"/>
                <w:sz w:val="21"/>
                <w:szCs w:val="21"/>
                <w:highlight w:val="none"/>
                <w:lang w:eastAsia="zh-CN"/>
              </w:rPr>
              <w:t>通</w:t>
            </w:r>
            <w:r>
              <w:rPr>
                <w:rFonts w:hint="eastAsia" w:ascii="宋体" w:hAnsi="宋体" w:cs="宋体"/>
                <w:color w:val="auto"/>
                <w:w w:val="99"/>
                <w:kern w:val="2"/>
                <w:sz w:val="21"/>
                <w:szCs w:val="21"/>
                <w:highlight w:val="none"/>
                <w:lang w:eastAsia="zh-CN"/>
              </w:rPr>
              <w:t>照明用非</w:t>
            </w:r>
            <w:r>
              <w:rPr>
                <w:rFonts w:hint="eastAsia" w:ascii="宋体" w:hAnsi="宋体" w:cs="宋体"/>
                <w:color w:val="auto"/>
                <w:spacing w:val="24"/>
                <w:w w:val="99"/>
                <w:kern w:val="2"/>
                <w:sz w:val="21"/>
                <w:szCs w:val="21"/>
                <w:highlight w:val="none"/>
                <w:lang w:eastAsia="zh-CN"/>
              </w:rPr>
              <w:t>定</w:t>
            </w:r>
            <w:r>
              <w:rPr>
                <w:rFonts w:hint="eastAsia" w:ascii="宋体" w:hAnsi="宋体" w:cs="宋体"/>
                <w:color w:val="auto"/>
                <w:w w:val="99"/>
                <w:kern w:val="2"/>
                <w:sz w:val="21"/>
                <w:szCs w:val="21"/>
                <w:highlight w:val="none"/>
                <w:lang w:eastAsia="zh-CN"/>
              </w:rPr>
              <w:t>向自镇流</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D灯</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9225F30">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2CFCA45">
            <w:pPr>
              <w:pStyle w:val="135"/>
              <w:spacing w:line="276" w:lineRule="auto"/>
              <w:ind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室</w:t>
            </w:r>
            <w:r>
              <w:rPr>
                <w:rFonts w:hint="eastAsia" w:ascii="宋体" w:hAnsi="宋体" w:cs="宋体"/>
                <w:color w:val="auto"/>
                <w:spacing w:val="4"/>
                <w:w w:val="99"/>
                <w:kern w:val="2"/>
                <w:sz w:val="21"/>
                <w:szCs w:val="21"/>
                <w:highlight w:val="none"/>
                <w:lang w:eastAsia="zh-CN"/>
              </w:rPr>
              <w:t>内照明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产</w:t>
            </w:r>
            <w:r>
              <w:rPr>
                <w:rFonts w:hint="eastAsia" w:ascii="宋体" w:hAnsi="宋体" w:cs="宋体"/>
                <w:color w:val="auto"/>
                <w:spacing w:val="2"/>
                <w:w w:val="99"/>
                <w:kern w:val="2"/>
                <w:sz w:val="21"/>
                <w:szCs w:val="21"/>
                <w:highlight w:val="none"/>
                <w:lang w:eastAsia="zh-CN"/>
              </w:rPr>
              <w:t>品</w:t>
            </w:r>
            <w:r>
              <w:rPr>
                <w:rFonts w:hint="eastAsia" w:ascii="宋体" w:hAnsi="宋体" w:cs="宋体"/>
                <w:color w:val="auto"/>
                <w:spacing w:val="4"/>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25</w:t>
            </w:r>
            <w:r>
              <w:rPr>
                <w:rFonts w:hint="eastAsia" w:ascii="宋体" w:hAnsi="宋体" w:cs="宋体"/>
                <w:color w:val="auto"/>
                <w:spacing w:val="-2"/>
                <w:w w:val="99"/>
                <w:kern w:val="2"/>
                <w:sz w:val="21"/>
                <w:szCs w:val="21"/>
                <w:highlight w:val="none"/>
                <w:lang w:eastAsia="zh-CN"/>
              </w:rPr>
              <w:t>5</w:t>
            </w:r>
            <w:r>
              <w:rPr>
                <w:rFonts w:hint="eastAsia" w:ascii="宋体" w:hAnsi="宋体" w:cs="宋体"/>
                <w:color w:val="auto"/>
                <w:w w:val="99"/>
                <w:kern w:val="2"/>
                <w:sz w:val="21"/>
                <w:szCs w:val="21"/>
                <w:highlight w:val="none"/>
                <w:lang w:eastAsia="zh-CN"/>
              </w:rPr>
              <w:t>）</w:t>
            </w:r>
          </w:p>
        </w:tc>
      </w:tr>
      <w:tr w14:paraId="5FD2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5841680">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4910951C">
            <w:pPr>
              <w:pStyle w:val="135"/>
              <w:spacing w:before="81"/>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91000电视设备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D4D0CC2">
            <w:pPr>
              <w:pStyle w:val="135"/>
              <w:spacing w:before="81" w:line="276" w:lineRule="auto"/>
              <w:ind w:left="7" w:right="5"/>
              <w:jc w:val="center"/>
              <w:rPr>
                <w:rFonts w:ascii="宋体" w:hAnsi="宋体" w:cs="宋体"/>
                <w:color w:val="auto"/>
                <w:kern w:val="2"/>
                <w:sz w:val="21"/>
                <w:szCs w:val="21"/>
                <w:highlight w:val="none"/>
                <w:lang w:eastAsia="zh-CN"/>
              </w:rPr>
            </w:pPr>
            <w:r>
              <w:rPr>
                <w:rFonts w:hint="eastAsia" w:ascii="宋体" w:hAnsi="宋体" w:cs="宋体"/>
                <w:color w:val="auto"/>
                <w:spacing w:val="1"/>
                <w:w w:val="99"/>
                <w:kern w:val="2"/>
                <w:sz w:val="21"/>
                <w:szCs w:val="21"/>
                <w:highlight w:val="none"/>
                <w:lang w:eastAsia="zh-CN"/>
              </w:rPr>
              <w:t>A02</w:t>
            </w:r>
            <w:r>
              <w:rPr>
                <w:rFonts w:hint="eastAsia" w:ascii="宋体" w:hAnsi="宋体" w:cs="宋体"/>
                <w:color w:val="auto"/>
                <w:w w:val="99"/>
                <w:kern w:val="2"/>
                <w:sz w:val="21"/>
                <w:szCs w:val="21"/>
                <w:highlight w:val="none"/>
                <w:lang w:eastAsia="zh-CN"/>
              </w:rPr>
              <w:t>09</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001普通电视设备（</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4C51FF6">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3A0B83F">
            <w:pPr>
              <w:pStyle w:val="135"/>
              <w:spacing w:before="81" w:line="276" w:lineRule="auto"/>
              <w:ind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《平板电视能效限定值</w:t>
            </w:r>
            <w:r>
              <w:rPr>
                <w:rFonts w:hint="eastAsia" w:ascii="宋体" w:hAnsi="宋体" w:cs="宋体"/>
                <w:color w:val="auto"/>
                <w:spacing w:val="9"/>
                <w:w w:val="99"/>
                <w:kern w:val="2"/>
                <w:sz w:val="21"/>
                <w:szCs w:val="21"/>
                <w:highlight w:val="none"/>
                <w:lang w:eastAsia="zh-CN"/>
              </w:rPr>
              <w:t>及</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248</w:t>
            </w:r>
            <w:r>
              <w:rPr>
                <w:rFonts w:hint="eastAsia" w:ascii="宋体" w:hAnsi="宋体" w:cs="宋体"/>
                <w:color w:val="auto"/>
                <w:w w:val="99"/>
                <w:kern w:val="2"/>
                <w:sz w:val="21"/>
                <w:szCs w:val="21"/>
                <w:highlight w:val="none"/>
                <w:lang w:eastAsia="zh-CN"/>
              </w:rPr>
              <w:t>50）</w:t>
            </w:r>
          </w:p>
        </w:tc>
      </w:tr>
      <w:tr w14:paraId="7B38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7B339ABB">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003FDDF1">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91100视频设备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F115567">
            <w:pPr>
              <w:pStyle w:val="135"/>
              <w:spacing w:line="276" w:lineRule="auto"/>
              <w:ind w:right="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09</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107视频监控设备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70D811A">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监视器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A10ECCB">
            <w:pPr>
              <w:pStyle w:val="135"/>
              <w:spacing w:before="28" w:line="276" w:lineRule="auto"/>
              <w:ind w:left="7" w:right="5"/>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以射频信号为主要信号</w:t>
            </w:r>
            <w:r>
              <w:rPr>
                <w:rFonts w:hint="eastAsia" w:ascii="宋体" w:hAnsi="宋体" w:cs="宋体"/>
                <w:color w:val="auto"/>
                <w:spacing w:val="9"/>
                <w:w w:val="99"/>
                <w:kern w:val="2"/>
                <w:sz w:val="21"/>
                <w:szCs w:val="21"/>
                <w:highlight w:val="none"/>
                <w:lang w:eastAsia="zh-CN"/>
              </w:rPr>
              <w:t>输</w:t>
            </w:r>
            <w:r>
              <w:rPr>
                <w:rFonts w:hint="eastAsia" w:ascii="宋体" w:hAnsi="宋体" w:cs="宋体"/>
                <w:color w:val="auto"/>
                <w:spacing w:val="12"/>
                <w:w w:val="99"/>
                <w:kern w:val="2"/>
                <w:sz w:val="21"/>
                <w:szCs w:val="21"/>
                <w:highlight w:val="none"/>
                <w:lang w:eastAsia="zh-CN"/>
              </w:rPr>
              <w:t>入的</w:t>
            </w:r>
            <w:r>
              <w:rPr>
                <w:rFonts w:hint="eastAsia" w:ascii="宋体" w:hAnsi="宋体" w:cs="宋体"/>
                <w:color w:val="auto"/>
                <w:w w:val="99"/>
                <w:kern w:val="2"/>
                <w:sz w:val="21"/>
                <w:szCs w:val="21"/>
                <w:highlight w:val="none"/>
                <w:lang w:eastAsia="zh-CN"/>
              </w:rPr>
              <w:t>监视器应</w:t>
            </w:r>
            <w:r>
              <w:rPr>
                <w:rFonts w:hint="eastAsia" w:ascii="宋体" w:hAnsi="宋体" w:cs="宋体"/>
                <w:color w:val="auto"/>
                <w:spacing w:val="2"/>
                <w:w w:val="99"/>
                <w:kern w:val="2"/>
                <w:sz w:val="21"/>
                <w:szCs w:val="21"/>
                <w:highlight w:val="none"/>
                <w:lang w:eastAsia="zh-CN"/>
              </w:rPr>
              <w:t>符</w:t>
            </w:r>
            <w:r>
              <w:rPr>
                <w:rFonts w:hint="eastAsia" w:ascii="宋体" w:hAnsi="宋体" w:cs="宋体"/>
                <w:color w:val="auto"/>
                <w:spacing w:val="-58"/>
                <w:w w:val="99"/>
                <w:kern w:val="2"/>
                <w:sz w:val="21"/>
                <w:szCs w:val="21"/>
                <w:highlight w:val="none"/>
                <w:lang w:eastAsia="zh-CN"/>
              </w:rPr>
              <w:t>合</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平板</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限定值及能效</w:t>
            </w:r>
            <w:r>
              <w:rPr>
                <w:rFonts w:hint="eastAsia" w:ascii="宋体" w:hAnsi="宋体" w:cs="宋体"/>
                <w:color w:val="auto"/>
                <w:spacing w:val="2"/>
                <w:w w:val="99"/>
                <w:kern w:val="2"/>
                <w:sz w:val="21"/>
                <w:szCs w:val="21"/>
                <w:highlight w:val="none"/>
                <w:lang w:eastAsia="zh-CN"/>
              </w:rPr>
              <w:t>等</w:t>
            </w:r>
            <w:r>
              <w:rPr>
                <w:rFonts w:hint="eastAsia" w:ascii="宋体" w:hAnsi="宋体" w:cs="宋体"/>
                <w:color w:val="auto"/>
                <w:w w:val="99"/>
                <w:kern w:val="2"/>
                <w:sz w:val="21"/>
                <w:szCs w:val="21"/>
                <w:highlight w:val="none"/>
                <w:lang w:eastAsia="zh-CN"/>
              </w:rPr>
              <w:t>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24850</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2"/>
                <w:w w:val="99"/>
                <w:kern w:val="2"/>
                <w:sz w:val="21"/>
                <w:szCs w:val="21"/>
                <w:highlight w:val="none"/>
                <w:lang w:eastAsia="zh-CN"/>
              </w:rPr>
              <w:t>以数字信号为主要信号</w:t>
            </w:r>
            <w:r>
              <w:rPr>
                <w:rFonts w:hint="eastAsia" w:ascii="宋体" w:hAnsi="宋体" w:cs="宋体"/>
                <w:color w:val="auto"/>
                <w:spacing w:val="9"/>
                <w:w w:val="99"/>
                <w:kern w:val="2"/>
                <w:sz w:val="21"/>
                <w:szCs w:val="21"/>
                <w:highlight w:val="none"/>
                <w:lang w:eastAsia="zh-CN"/>
              </w:rPr>
              <w:t>输</w:t>
            </w:r>
            <w:r>
              <w:rPr>
                <w:rFonts w:hint="eastAsia" w:ascii="宋体" w:hAnsi="宋体" w:cs="宋体"/>
                <w:color w:val="auto"/>
                <w:spacing w:val="12"/>
                <w:w w:val="99"/>
                <w:kern w:val="2"/>
                <w:sz w:val="21"/>
                <w:szCs w:val="21"/>
                <w:highlight w:val="none"/>
                <w:lang w:eastAsia="zh-CN"/>
              </w:rPr>
              <w:t>入的</w:t>
            </w:r>
            <w:r>
              <w:rPr>
                <w:rFonts w:hint="eastAsia" w:ascii="宋体" w:hAnsi="宋体" w:cs="宋体"/>
                <w:color w:val="auto"/>
                <w:w w:val="99"/>
                <w:kern w:val="2"/>
                <w:sz w:val="21"/>
                <w:szCs w:val="21"/>
                <w:highlight w:val="none"/>
                <w:lang w:eastAsia="zh-CN"/>
              </w:rPr>
              <w:t>监视器应</w:t>
            </w:r>
            <w:r>
              <w:rPr>
                <w:rFonts w:hint="eastAsia" w:ascii="宋体" w:hAnsi="宋体" w:cs="宋体"/>
                <w:color w:val="auto"/>
                <w:spacing w:val="2"/>
                <w:w w:val="99"/>
                <w:kern w:val="2"/>
                <w:sz w:val="21"/>
                <w:szCs w:val="21"/>
                <w:highlight w:val="none"/>
                <w:lang w:eastAsia="zh-CN"/>
              </w:rPr>
              <w:t>符</w:t>
            </w:r>
            <w:r>
              <w:rPr>
                <w:rFonts w:hint="eastAsia" w:ascii="宋体" w:hAnsi="宋体" w:cs="宋体"/>
                <w:color w:val="auto"/>
                <w:spacing w:val="-58"/>
                <w:w w:val="99"/>
                <w:kern w:val="2"/>
                <w:sz w:val="21"/>
                <w:szCs w:val="21"/>
                <w:highlight w:val="none"/>
                <w:lang w:eastAsia="zh-CN"/>
              </w:rPr>
              <w:t>合</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计算</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显示</w:t>
            </w:r>
            <w:r>
              <w:rPr>
                <w:rFonts w:hint="eastAsia" w:ascii="宋体" w:hAnsi="宋体" w:cs="宋体"/>
                <w:color w:val="auto"/>
                <w:spacing w:val="2"/>
                <w:w w:val="99"/>
                <w:kern w:val="2"/>
                <w:sz w:val="21"/>
                <w:szCs w:val="21"/>
                <w:highlight w:val="none"/>
                <w:lang w:eastAsia="zh-CN"/>
              </w:rPr>
              <w:t>器</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0</w:t>
            </w:r>
            <w:r>
              <w:rPr>
                <w:rFonts w:hint="eastAsia" w:ascii="宋体" w:hAnsi="宋体" w:cs="宋体"/>
                <w:color w:val="auto"/>
                <w:w w:val="99"/>
                <w:kern w:val="2"/>
                <w:sz w:val="21"/>
                <w:szCs w:val="21"/>
                <w:highlight w:val="none"/>
                <w:lang w:eastAsia="zh-CN"/>
              </w:rPr>
              <w:t>）</w:t>
            </w:r>
          </w:p>
        </w:tc>
      </w:tr>
      <w:tr w14:paraId="4BB7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6AFFD56B">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0D9BE4D1">
            <w:pPr>
              <w:pStyle w:val="135"/>
              <w:spacing w:before="76"/>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A02241000</w:t>
            </w:r>
            <w:r>
              <w:rPr>
                <w:rFonts w:hint="eastAsia" w:ascii="宋体" w:hAnsi="宋体" w:cs="宋体"/>
                <w:color w:val="auto"/>
                <w:w w:val="99"/>
                <w:kern w:val="2"/>
                <w:sz w:val="21"/>
                <w:szCs w:val="21"/>
                <w:highlight w:val="none"/>
              </w:rPr>
              <w:t>饮食炊事机械</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0A82910">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商用燃</w:t>
            </w:r>
            <w:r>
              <w:rPr>
                <w:rFonts w:hint="eastAsia" w:ascii="宋体" w:hAnsi="宋体" w:cs="宋体"/>
                <w:color w:val="auto"/>
                <w:spacing w:val="2"/>
                <w:w w:val="99"/>
                <w:kern w:val="2"/>
                <w:sz w:val="21"/>
                <w:szCs w:val="21"/>
                <w:highlight w:val="none"/>
              </w:rPr>
              <w:t>气</w:t>
            </w:r>
            <w:r>
              <w:rPr>
                <w:rFonts w:hint="eastAsia" w:ascii="宋体" w:hAnsi="宋体" w:cs="宋体"/>
                <w:color w:val="auto"/>
                <w:w w:val="99"/>
                <w:kern w:val="2"/>
                <w:sz w:val="21"/>
                <w:szCs w:val="21"/>
                <w:highlight w:val="none"/>
              </w:rPr>
              <w:t>灶具</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D502F00">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1659D1D">
            <w:pPr>
              <w:pStyle w:val="135"/>
              <w:spacing w:before="76"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《商用燃气灶具能效限</w:t>
            </w:r>
            <w:r>
              <w:rPr>
                <w:rFonts w:hint="eastAsia" w:ascii="宋体" w:hAnsi="宋体" w:cs="宋体"/>
                <w:color w:val="auto"/>
                <w:spacing w:val="9"/>
                <w:w w:val="99"/>
                <w:kern w:val="2"/>
                <w:sz w:val="21"/>
                <w:szCs w:val="21"/>
                <w:highlight w:val="none"/>
                <w:lang w:eastAsia="zh-CN"/>
              </w:rPr>
              <w:t>定</w:t>
            </w:r>
            <w:r>
              <w:rPr>
                <w:rFonts w:hint="eastAsia" w:ascii="宋体" w:hAnsi="宋体" w:cs="宋体"/>
                <w:color w:val="auto"/>
                <w:spacing w:val="12"/>
                <w:w w:val="99"/>
                <w:kern w:val="2"/>
                <w:sz w:val="21"/>
                <w:szCs w:val="21"/>
                <w:highlight w:val="none"/>
                <w:lang w:eastAsia="zh-CN"/>
              </w:rPr>
              <w:t>值及</w:t>
            </w:r>
            <w:r>
              <w:rPr>
                <w:rFonts w:hint="eastAsia" w:ascii="宋体" w:hAnsi="宋体" w:cs="宋体"/>
                <w:color w:val="auto"/>
                <w:w w:val="99"/>
                <w:kern w:val="2"/>
                <w:sz w:val="21"/>
                <w:szCs w:val="21"/>
                <w:highlight w:val="none"/>
                <w:lang w:eastAsia="zh-CN"/>
              </w:rPr>
              <w:t>能效等级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53</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27C9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736C4E20">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21846A87">
            <w:pPr>
              <w:pStyle w:val="135"/>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A05020105</w:t>
            </w:r>
            <w:r>
              <w:rPr>
                <w:rFonts w:hint="eastAsia" w:ascii="宋体" w:hAnsi="宋体" w:cs="宋体"/>
                <w:color w:val="auto"/>
                <w:w w:val="99"/>
                <w:kern w:val="2"/>
                <w:sz w:val="21"/>
                <w:szCs w:val="21"/>
                <w:highlight w:val="none"/>
              </w:rPr>
              <w:t>便器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BC154FA">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坐便器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A90887C">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B9FEAF9">
            <w:pPr>
              <w:pStyle w:val="135"/>
              <w:spacing w:before="124"/>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《坐便</w:t>
            </w:r>
            <w:r>
              <w:rPr>
                <w:rFonts w:hint="eastAsia" w:ascii="宋体" w:hAnsi="宋体" w:cs="宋体"/>
                <w:color w:val="auto"/>
                <w:spacing w:val="2"/>
                <w:w w:val="99"/>
                <w:kern w:val="2"/>
                <w:sz w:val="21"/>
                <w:szCs w:val="21"/>
                <w:highlight w:val="none"/>
                <w:lang w:eastAsia="zh-CN"/>
              </w:rPr>
              <w:t>器</w:t>
            </w:r>
            <w:r>
              <w:rPr>
                <w:rFonts w:hint="eastAsia" w:ascii="宋体" w:hAnsi="宋体" w:cs="宋体"/>
                <w:color w:val="auto"/>
                <w:w w:val="99"/>
                <w:kern w:val="2"/>
                <w:sz w:val="21"/>
                <w:szCs w:val="21"/>
                <w:highlight w:val="none"/>
                <w:lang w:eastAsia="zh-CN"/>
              </w:rPr>
              <w:t>水效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w:t>
            </w:r>
            <w:r>
              <w:rPr>
                <w:rFonts w:hint="eastAsia" w:ascii="宋体" w:hAnsi="宋体" w:cs="宋体"/>
                <w:color w:val="auto"/>
                <w:spacing w:val="2"/>
                <w:w w:val="99"/>
                <w:kern w:val="2"/>
                <w:sz w:val="21"/>
                <w:szCs w:val="21"/>
                <w:highlight w:val="none"/>
                <w:lang w:eastAsia="zh-CN"/>
              </w:rPr>
              <w:t>及</w:t>
            </w:r>
            <w:r>
              <w:rPr>
                <w:rFonts w:hint="eastAsia" w:ascii="宋体" w:hAnsi="宋体" w:cs="宋体"/>
                <w:color w:val="auto"/>
                <w:w w:val="99"/>
                <w:kern w:val="2"/>
                <w:sz w:val="21"/>
                <w:szCs w:val="21"/>
                <w:highlight w:val="none"/>
                <w:lang w:eastAsia="zh-CN"/>
              </w:rPr>
              <w:t>水</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p>
          <w:p w14:paraId="47F6D11C">
            <w:pPr>
              <w:pStyle w:val="135"/>
              <w:spacing w:before="50"/>
              <w:ind w:left="7"/>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G</w:t>
            </w:r>
            <w:r>
              <w:rPr>
                <w:rFonts w:hint="eastAsia" w:ascii="宋体" w:hAnsi="宋体" w:cs="宋体"/>
                <w:color w:val="auto"/>
                <w:w w:val="99"/>
                <w:kern w:val="2"/>
                <w:sz w:val="21"/>
                <w:szCs w:val="21"/>
                <w:highlight w:val="none"/>
              </w:rPr>
              <w:t>B</w:t>
            </w:r>
            <w:r>
              <w:rPr>
                <w:rFonts w:hint="eastAsia" w:ascii="宋体" w:hAnsi="宋体" w:cs="宋体"/>
                <w:color w:val="auto"/>
                <w:spacing w:val="1"/>
                <w:w w:val="99"/>
                <w:kern w:val="2"/>
                <w:sz w:val="21"/>
                <w:szCs w:val="21"/>
                <w:highlight w:val="none"/>
              </w:rPr>
              <w:t>2</w:t>
            </w:r>
            <w:r>
              <w:rPr>
                <w:rFonts w:hint="eastAsia" w:ascii="宋体" w:hAnsi="宋体" w:cs="宋体"/>
                <w:color w:val="auto"/>
                <w:w w:val="99"/>
                <w:kern w:val="2"/>
                <w:sz w:val="21"/>
                <w:szCs w:val="21"/>
                <w:highlight w:val="none"/>
              </w:rPr>
              <w:t>55</w:t>
            </w:r>
            <w:r>
              <w:rPr>
                <w:rFonts w:hint="eastAsia" w:ascii="宋体" w:hAnsi="宋体" w:cs="宋体"/>
                <w:color w:val="auto"/>
                <w:spacing w:val="1"/>
                <w:w w:val="99"/>
                <w:kern w:val="2"/>
                <w:sz w:val="21"/>
                <w:szCs w:val="21"/>
                <w:highlight w:val="none"/>
              </w:rPr>
              <w:t>02</w:t>
            </w:r>
            <w:r>
              <w:rPr>
                <w:rFonts w:hint="eastAsia" w:ascii="宋体" w:hAnsi="宋体" w:cs="宋体"/>
                <w:color w:val="auto"/>
                <w:w w:val="99"/>
                <w:kern w:val="2"/>
                <w:sz w:val="21"/>
                <w:szCs w:val="21"/>
                <w:highlight w:val="none"/>
              </w:rPr>
              <w:t>）</w:t>
            </w:r>
          </w:p>
        </w:tc>
      </w:tr>
      <w:tr w14:paraId="5DF3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3D2EF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3D55F7">
            <w:pPr>
              <w:widowControl/>
              <w:jc w:val="left"/>
              <w:rPr>
                <w:rFonts w:ascii="宋体" w:hAnsi="宋体" w:cs="宋体"/>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76632DC1">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蹲便器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91516EE">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91E7EFD">
            <w:pPr>
              <w:pStyle w:val="135"/>
              <w:spacing w:before="12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《蹲便器用水效率限定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及用</w:t>
            </w:r>
            <w:r>
              <w:rPr>
                <w:rFonts w:hint="eastAsia" w:ascii="宋体" w:hAnsi="宋体" w:cs="宋体"/>
                <w:color w:val="auto"/>
                <w:w w:val="99"/>
                <w:kern w:val="2"/>
                <w:sz w:val="21"/>
                <w:szCs w:val="21"/>
                <w:highlight w:val="none"/>
                <w:lang w:eastAsia="zh-CN"/>
              </w:rPr>
              <w:t>水效率等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307</w:t>
            </w:r>
            <w:r>
              <w:rPr>
                <w:rFonts w:hint="eastAsia" w:ascii="宋体" w:hAnsi="宋体" w:cs="宋体"/>
                <w:color w:val="auto"/>
                <w:w w:val="99"/>
                <w:kern w:val="2"/>
                <w:sz w:val="21"/>
                <w:szCs w:val="21"/>
                <w:highlight w:val="none"/>
                <w:lang w:eastAsia="zh-CN"/>
              </w:rPr>
              <w:t>1</w:t>
            </w:r>
            <w:r>
              <w:rPr>
                <w:rFonts w:hint="eastAsia" w:ascii="宋体" w:hAnsi="宋体" w:cs="宋体"/>
                <w:color w:val="auto"/>
                <w:spacing w:val="-1"/>
                <w:w w:val="99"/>
                <w:kern w:val="2"/>
                <w:sz w:val="21"/>
                <w:szCs w:val="21"/>
                <w:highlight w:val="none"/>
                <w:lang w:eastAsia="zh-CN"/>
              </w:rPr>
              <w:t>7</w:t>
            </w:r>
            <w:r>
              <w:rPr>
                <w:rFonts w:hint="eastAsia" w:ascii="宋体" w:hAnsi="宋体" w:cs="宋体"/>
                <w:color w:val="auto"/>
                <w:w w:val="99"/>
                <w:kern w:val="2"/>
                <w:sz w:val="21"/>
                <w:szCs w:val="21"/>
                <w:highlight w:val="none"/>
                <w:lang w:eastAsia="zh-CN"/>
              </w:rPr>
              <w:t>）</w:t>
            </w:r>
          </w:p>
        </w:tc>
      </w:tr>
      <w:tr w14:paraId="2192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C1408D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0C40AA5">
            <w:pPr>
              <w:widowControl/>
              <w:jc w:val="left"/>
              <w:rPr>
                <w:rFonts w:ascii="宋体" w:hAnsi="宋体" w:cs="宋体"/>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6B23AFD">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小便器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56D0097">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C4C2781">
            <w:pPr>
              <w:pStyle w:val="135"/>
              <w:spacing w:before="12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《小便器用水效率限定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及用</w:t>
            </w:r>
            <w:r>
              <w:rPr>
                <w:rFonts w:hint="eastAsia" w:ascii="宋体" w:hAnsi="宋体" w:cs="宋体"/>
                <w:color w:val="auto"/>
                <w:w w:val="99"/>
                <w:kern w:val="2"/>
                <w:sz w:val="21"/>
                <w:szCs w:val="21"/>
                <w:highlight w:val="none"/>
                <w:lang w:eastAsia="zh-CN"/>
              </w:rPr>
              <w:t>水效率等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w:t>
            </w:r>
            <w:r>
              <w:rPr>
                <w:rFonts w:hint="eastAsia" w:ascii="宋体" w:hAnsi="宋体" w:cs="宋体"/>
                <w:color w:val="auto"/>
                <w:w w:val="99"/>
                <w:kern w:val="2"/>
                <w:sz w:val="21"/>
                <w:szCs w:val="21"/>
                <w:highlight w:val="none"/>
                <w:lang w:eastAsia="zh-CN"/>
              </w:rPr>
              <w:t>7</w:t>
            </w:r>
            <w:r>
              <w:rPr>
                <w:rFonts w:hint="eastAsia" w:ascii="宋体" w:hAnsi="宋体" w:cs="宋体"/>
                <w:color w:val="auto"/>
                <w:spacing w:val="-1"/>
                <w:w w:val="99"/>
                <w:kern w:val="2"/>
                <w:sz w:val="21"/>
                <w:szCs w:val="21"/>
                <w:highlight w:val="none"/>
                <w:lang w:eastAsia="zh-CN"/>
              </w:rPr>
              <w:t>7</w:t>
            </w:r>
            <w:r>
              <w:rPr>
                <w:rFonts w:hint="eastAsia" w:ascii="宋体" w:hAnsi="宋体" w:cs="宋体"/>
                <w:color w:val="auto"/>
                <w:w w:val="99"/>
                <w:kern w:val="2"/>
                <w:sz w:val="21"/>
                <w:szCs w:val="21"/>
                <w:highlight w:val="none"/>
                <w:lang w:eastAsia="zh-CN"/>
              </w:rPr>
              <w:t>）</w:t>
            </w:r>
          </w:p>
        </w:tc>
      </w:tr>
      <w:tr w14:paraId="42DC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80EB8D8">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108BACDB">
            <w:pPr>
              <w:pStyle w:val="135"/>
              <w:spacing w:before="153"/>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★A05020106水</w:t>
            </w:r>
            <w:r>
              <w:rPr>
                <w:rFonts w:hint="eastAsia" w:ascii="宋体" w:hAnsi="宋体" w:cs="宋体"/>
                <w:color w:val="auto"/>
                <w:w w:val="99"/>
                <w:kern w:val="2"/>
                <w:sz w:val="21"/>
                <w:szCs w:val="21"/>
                <w:highlight w:val="none"/>
              </w:rPr>
              <w:t>嘴</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66B4D5C">
            <w:pPr>
              <w:jc w:val="center"/>
              <w:rPr>
                <w:rFonts w:ascii="宋体" w:hAnsi="宋体" w:cs="宋体"/>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1FE3149">
            <w:pPr>
              <w:jc w:val="center"/>
              <w:rPr>
                <w:rFonts w:ascii="宋体" w:hAnsi="宋体" w:cs="宋体"/>
                <w:color w:val="auto"/>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88F8EC8">
            <w:pPr>
              <w:pStyle w:val="135"/>
              <w:spacing w:before="15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《水嘴用水效率限定值及用水效</w:t>
            </w:r>
            <w:r>
              <w:rPr>
                <w:rFonts w:hint="eastAsia" w:ascii="宋体" w:hAnsi="宋体" w:cs="宋体"/>
                <w:color w:val="auto"/>
                <w:kern w:val="2"/>
                <w:sz w:val="21"/>
                <w:szCs w:val="21"/>
                <w:highlight w:val="none"/>
                <w:lang w:eastAsia="zh-CN"/>
              </w:rPr>
              <w:t>率等级》（GB 25501）</w:t>
            </w:r>
          </w:p>
        </w:tc>
      </w:tr>
      <w:tr w14:paraId="3D54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0395FD34">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14EC4231">
            <w:pPr>
              <w:pStyle w:val="135"/>
              <w:spacing w:before="112"/>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A05020107便器冲洗阀</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70F534C5">
            <w:pPr>
              <w:jc w:val="center"/>
              <w:rPr>
                <w:rFonts w:ascii="宋体" w:hAnsi="宋体" w:cs="宋体"/>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03520A9">
            <w:pPr>
              <w:jc w:val="center"/>
              <w:rPr>
                <w:rFonts w:ascii="宋体" w:hAnsi="宋体" w:cs="宋体"/>
                <w:color w:val="auto"/>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244EFEF">
            <w:pPr>
              <w:pStyle w:val="135"/>
              <w:spacing w:before="11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《便器冲洗阀用水效率限定值及</w:t>
            </w:r>
            <w:r>
              <w:rPr>
                <w:rFonts w:hint="eastAsia" w:ascii="宋体" w:hAnsi="宋体" w:cs="宋体"/>
                <w:color w:val="auto"/>
                <w:kern w:val="2"/>
                <w:sz w:val="21"/>
                <w:szCs w:val="21"/>
                <w:highlight w:val="none"/>
                <w:lang w:eastAsia="zh-CN"/>
              </w:rPr>
              <w:t>用水效率等级》（GB28379）</w:t>
            </w:r>
          </w:p>
        </w:tc>
      </w:tr>
      <w:tr w14:paraId="4EFF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1603F0F1">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4B03FB8A">
            <w:pPr>
              <w:pStyle w:val="135"/>
              <w:spacing w:before="131"/>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A05020110淋浴</w:t>
            </w:r>
            <w:r>
              <w:rPr>
                <w:rFonts w:hint="eastAsia" w:ascii="宋体" w:hAnsi="宋体" w:cs="宋体"/>
                <w:color w:val="auto"/>
                <w:w w:val="99"/>
                <w:kern w:val="2"/>
                <w:sz w:val="21"/>
                <w:szCs w:val="21"/>
                <w:highlight w:val="none"/>
              </w:rPr>
              <w:t>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529AD06B">
            <w:pPr>
              <w:jc w:val="center"/>
              <w:rPr>
                <w:rFonts w:ascii="宋体" w:hAnsi="宋体" w:cs="宋体"/>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4CC6BCC">
            <w:pPr>
              <w:jc w:val="center"/>
              <w:rPr>
                <w:rFonts w:ascii="宋体" w:hAnsi="宋体" w:cs="宋体"/>
                <w:color w:val="auto"/>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8438BF4">
            <w:pPr>
              <w:pStyle w:val="135"/>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《淋浴器用水效率限定值及用水</w:t>
            </w:r>
            <w:r>
              <w:rPr>
                <w:rFonts w:hint="eastAsia" w:ascii="宋体" w:hAnsi="宋体" w:cs="宋体"/>
                <w:color w:val="auto"/>
                <w:kern w:val="2"/>
                <w:sz w:val="21"/>
                <w:szCs w:val="21"/>
                <w:highlight w:val="none"/>
                <w:lang w:eastAsia="zh-CN"/>
              </w:rPr>
              <w:t>效率等级》（GB28378）</w:t>
            </w:r>
          </w:p>
        </w:tc>
      </w:tr>
    </w:tbl>
    <w:p w14:paraId="3A1B42ED">
      <w:pPr>
        <w:pStyle w:val="18"/>
        <w:spacing w:line="360" w:lineRule="auto"/>
        <w:rPr>
          <w:rFonts w:ascii="宋体" w:hAnsi="宋体" w:cs="宋体"/>
          <w:color w:val="auto"/>
          <w:kern w:val="2"/>
          <w:sz w:val="21"/>
          <w:szCs w:val="21"/>
          <w:highlight w:val="none"/>
        </w:rPr>
      </w:pPr>
      <w:r>
        <w:rPr>
          <w:rFonts w:hint="eastAsia" w:ascii="宋体" w:hAnsi="宋体" w:cs="宋体"/>
          <w:color w:val="auto"/>
          <w:spacing w:val="-3"/>
          <w:sz w:val="21"/>
          <w:szCs w:val="21"/>
          <w:highlight w:val="none"/>
        </w:rPr>
        <w:t>注：1.节能产品认证应依据相关国家标准的最新版本，依据国家标准中二级能效（水效）</w:t>
      </w:r>
      <w:r>
        <w:rPr>
          <w:rFonts w:hint="eastAsia" w:ascii="宋体" w:hAnsi="宋体" w:cs="宋体"/>
          <w:color w:val="auto"/>
          <w:sz w:val="21"/>
          <w:szCs w:val="21"/>
          <w:highlight w:val="none"/>
        </w:rPr>
        <w:t>指标。</w:t>
      </w:r>
    </w:p>
    <w:p w14:paraId="5A13DC41">
      <w:pPr>
        <w:pStyle w:val="18"/>
        <w:spacing w:line="360" w:lineRule="auto"/>
        <w:ind w:firstLine="465"/>
        <w:rPr>
          <w:rFonts w:ascii="宋体" w:hAnsi="宋体" w:cs="宋体"/>
          <w:color w:val="auto"/>
          <w:sz w:val="21"/>
          <w:szCs w:val="21"/>
          <w:highlight w:val="none"/>
        </w:rPr>
      </w:pPr>
      <w:r>
        <w:rPr>
          <w:rFonts w:hint="eastAsia" w:ascii="宋体" w:hAnsi="宋体" w:cs="宋体"/>
          <w:color w:val="auto"/>
          <w:sz w:val="21"/>
          <w:szCs w:val="21"/>
          <w:highlight w:val="none"/>
        </w:rPr>
        <w:t>2.以“★”标注的为政府强制采购产品。</w:t>
      </w:r>
    </w:p>
    <w:p w14:paraId="688E4825">
      <w:pPr>
        <w:pStyle w:val="18"/>
        <w:spacing w:line="360" w:lineRule="auto"/>
        <w:ind w:firstLine="465"/>
        <w:rPr>
          <w:rFonts w:ascii="宋体" w:hAnsi="宋体" w:cs="宋体"/>
          <w:color w:val="auto"/>
          <w:sz w:val="21"/>
          <w:szCs w:val="21"/>
          <w:highlight w:val="none"/>
        </w:rPr>
      </w:pPr>
      <w:r>
        <w:rPr>
          <w:rFonts w:hint="eastAsia" w:ascii="宋体" w:hAnsi="宋体" w:cs="宋体"/>
          <w:color w:val="auto"/>
          <w:sz w:val="21"/>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72130117">
      <w:pPr>
        <w:widowControl/>
        <w:jc w:val="left"/>
        <w:rPr>
          <w:rFonts w:ascii="宋体" w:hAnsi="宋体" w:cs="宋体"/>
          <w:color w:val="auto"/>
          <w:sz w:val="20"/>
          <w:szCs w:val="20"/>
          <w:highlight w:val="none"/>
        </w:rPr>
      </w:pPr>
    </w:p>
    <w:p w14:paraId="1F4412E2">
      <w:pPr>
        <w:widowControl/>
        <w:jc w:val="left"/>
        <w:rPr>
          <w:rFonts w:ascii="宋体" w:hAnsi="宋体" w:cs="宋体"/>
          <w:color w:val="auto"/>
          <w:sz w:val="20"/>
          <w:szCs w:val="20"/>
          <w:highlight w:val="none"/>
        </w:rPr>
      </w:pPr>
    </w:p>
    <w:p w14:paraId="16204377">
      <w:pPr>
        <w:widowControl/>
        <w:jc w:val="left"/>
        <w:rPr>
          <w:rFonts w:ascii="宋体" w:hAnsi="宋体" w:cs="宋体"/>
          <w:color w:val="auto"/>
          <w:sz w:val="32"/>
          <w:szCs w:val="32"/>
          <w:highlight w:val="none"/>
        </w:rPr>
      </w:pPr>
      <w:r>
        <w:rPr>
          <w:rFonts w:hint="eastAsia" w:ascii="宋体" w:hAnsi="宋体" w:cs="宋体"/>
          <w:color w:val="auto"/>
          <w:sz w:val="20"/>
          <w:szCs w:val="20"/>
          <w:highlight w:val="none"/>
        </w:rPr>
        <w:br w:type="page"/>
      </w:r>
      <w:r>
        <w:rPr>
          <w:rFonts w:hint="eastAsia" w:ascii="宋体" w:hAnsi="宋体" w:cs="宋体"/>
          <w:color w:val="auto"/>
          <w:sz w:val="32"/>
          <w:szCs w:val="32"/>
          <w:highlight w:val="none"/>
        </w:rPr>
        <w:t>附件2：</w:t>
      </w:r>
    </w:p>
    <w:p w14:paraId="119398DA">
      <w:pPr>
        <w:pStyle w:val="18"/>
        <w:jc w:val="center"/>
        <w:rPr>
          <w:rFonts w:ascii="宋体" w:hAnsi="宋体" w:cs="宋体"/>
          <w:b/>
          <w:color w:val="auto"/>
          <w:sz w:val="28"/>
          <w:szCs w:val="28"/>
          <w:highlight w:val="none"/>
        </w:rPr>
      </w:pPr>
      <w:r>
        <w:rPr>
          <w:rFonts w:hint="eastAsia" w:ascii="宋体" w:hAnsi="宋体" w:cs="宋体"/>
          <w:b/>
          <w:color w:val="auto"/>
          <w:sz w:val="28"/>
          <w:szCs w:val="28"/>
          <w:highlight w:val="none"/>
        </w:rPr>
        <w:t>中小企业划型标准规定</w:t>
      </w:r>
    </w:p>
    <w:p w14:paraId="475A80AC">
      <w:pPr>
        <w:pStyle w:val="18"/>
        <w:jc w:val="center"/>
        <w:rPr>
          <w:rFonts w:ascii="宋体" w:hAnsi="宋体" w:cs="宋体"/>
          <w:color w:val="auto"/>
          <w:sz w:val="21"/>
          <w:szCs w:val="21"/>
          <w:highlight w:val="none"/>
        </w:rPr>
      </w:pPr>
      <w:r>
        <w:rPr>
          <w:rFonts w:hint="eastAsia" w:ascii="宋体" w:hAnsi="宋体" w:cs="宋体"/>
          <w:color w:val="auto"/>
          <w:sz w:val="21"/>
          <w:szCs w:val="21"/>
          <w:highlight w:val="none"/>
        </w:rPr>
        <w:t>工信部联企业[2011]300号</w:t>
      </w:r>
    </w:p>
    <w:p w14:paraId="1A5BE62B">
      <w:pPr>
        <w:pStyle w:val="18"/>
        <w:rPr>
          <w:rFonts w:ascii="宋体" w:hAnsi="宋体" w:cs="宋体"/>
          <w:color w:val="auto"/>
          <w:sz w:val="21"/>
          <w:szCs w:val="21"/>
          <w:highlight w:val="none"/>
        </w:rPr>
      </w:pPr>
    </w:p>
    <w:p w14:paraId="31F9A943">
      <w:pPr>
        <w:pStyle w:val="18"/>
        <w:rPr>
          <w:rFonts w:ascii="宋体" w:hAnsi="宋体" w:cs="宋体"/>
          <w:color w:val="auto"/>
          <w:sz w:val="21"/>
          <w:szCs w:val="21"/>
          <w:highlight w:val="none"/>
        </w:rPr>
      </w:pPr>
      <w:r>
        <w:rPr>
          <w:rFonts w:hint="eastAsia" w:ascii="宋体" w:hAnsi="宋体" w:cs="宋体"/>
          <w:color w:val="auto"/>
          <w:sz w:val="21"/>
          <w:szCs w:val="21"/>
          <w:highlight w:val="none"/>
        </w:rPr>
        <w:t>　　一、根据《中华人民共和国中小企业促进法》和《国务院关于进一步促进中小企业发展的若干意见》(国发[2009]36号)，制定本规定。</w:t>
      </w:r>
    </w:p>
    <w:p w14:paraId="724FF294">
      <w:pPr>
        <w:pStyle w:val="18"/>
        <w:rPr>
          <w:rFonts w:ascii="宋体" w:hAnsi="宋体" w:cs="宋体"/>
          <w:color w:val="auto"/>
          <w:sz w:val="21"/>
          <w:szCs w:val="21"/>
          <w:highlight w:val="none"/>
        </w:rPr>
      </w:pPr>
      <w:r>
        <w:rPr>
          <w:rFonts w:hint="eastAsia" w:ascii="宋体" w:hAnsi="宋体" w:cs="宋体"/>
          <w:color w:val="auto"/>
          <w:sz w:val="21"/>
          <w:szCs w:val="21"/>
          <w:highlight w:val="none"/>
        </w:rPr>
        <w:t>　　二、中小企业划分为中型、小型、微型三种类型，具体标准根据企业从业人员、营业收入、资产总额等指标，结合行业特点制定。</w:t>
      </w:r>
    </w:p>
    <w:p w14:paraId="5D9E0D1A">
      <w:pPr>
        <w:pStyle w:val="18"/>
        <w:rPr>
          <w:rFonts w:ascii="宋体" w:hAnsi="宋体" w:cs="宋体"/>
          <w:color w:val="auto"/>
          <w:sz w:val="21"/>
          <w:szCs w:val="21"/>
          <w:highlight w:val="none"/>
        </w:rPr>
      </w:pPr>
      <w:r>
        <w:rPr>
          <w:rFonts w:hint="eastAsia" w:ascii="宋体" w:hAnsi="宋体" w:cs="宋体"/>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FA3F2D">
      <w:pPr>
        <w:pStyle w:val="18"/>
        <w:rPr>
          <w:rFonts w:ascii="宋体" w:hAnsi="宋体" w:cs="宋体"/>
          <w:color w:val="auto"/>
          <w:sz w:val="21"/>
          <w:szCs w:val="21"/>
          <w:highlight w:val="none"/>
        </w:rPr>
      </w:pPr>
      <w:r>
        <w:rPr>
          <w:rFonts w:hint="eastAsia" w:ascii="宋体" w:hAnsi="宋体" w:cs="宋体"/>
          <w:color w:val="auto"/>
          <w:sz w:val="21"/>
          <w:szCs w:val="21"/>
          <w:highlight w:val="none"/>
        </w:rPr>
        <w:t>　　四、各行业划型标准为：</w:t>
      </w:r>
    </w:p>
    <w:p w14:paraId="4C118343">
      <w:pPr>
        <w:pStyle w:val="18"/>
        <w:rPr>
          <w:rFonts w:ascii="宋体" w:hAnsi="宋体" w:cs="宋体"/>
          <w:color w:val="auto"/>
          <w:sz w:val="21"/>
          <w:szCs w:val="21"/>
          <w:highlight w:val="none"/>
        </w:rPr>
      </w:pPr>
      <w:r>
        <w:rPr>
          <w:rFonts w:hint="eastAsia" w:ascii="宋体" w:hAnsi="宋体" w:cs="宋体"/>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837EFAE">
      <w:pPr>
        <w:pStyle w:val="18"/>
        <w:rPr>
          <w:rFonts w:ascii="宋体" w:hAnsi="宋体" w:cs="宋体"/>
          <w:color w:val="auto"/>
          <w:sz w:val="21"/>
          <w:szCs w:val="21"/>
          <w:highlight w:val="none"/>
        </w:rPr>
      </w:pPr>
      <w:r>
        <w:rPr>
          <w:rFonts w:hint="eastAsia" w:ascii="宋体" w:hAnsi="宋体" w:cs="宋体"/>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538FFF">
      <w:pPr>
        <w:pStyle w:val="18"/>
        <w:rPr>
          <w:rFonts w:ascii="宋体" w:hAnsi="宋体" w:cs="宋体"/>
          <w:color w:val="auto"/>
          <w:sz w:val="21"/>
          <w:szCs w:val="21"/>
          <w:highlight w:val="none"/>
        </w:rPr>
      </w:pPr>
      <w:r>
        <w:rPr>
          <w:rFonts w:hint="eastAsia" w:ascii="宋体" w:hAnsi="宋体" w:cs="宋体"/>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795C57D">
      <w:pPr>
        <w:pStyle w:val="18"/>
        <w:rPr>
          <w:rFonts w:ascii="宋体" w:hAnsi="宋体" w:cs="宋体"/>
          <w:color w:val="auto"/>
          <w:sz w:val="21"/>
          <w:szCs w:val="21"/>
          <w:highlight w:val="none"/>
        </w:rPr>
      </w:pPr>
      <w:r>
        <w:rPr>
          <w:rFonts w:hint="eastAsia" w:ascii="宋体" w:hAnsi="宋体" w:cs="宋体"/>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D85C47E">
      <w:pPr>
        <w:pStyle w:val="18"/>
        <w:rPr>
          <w:rFonts w:ascii="宋体" w:hAnsi="宋体" w:cs="宋体"/>
          <w:color w:val="auto"/>
          <w:sz w:val="21"/>
          <w:szCs w:val="21"/>
          <w:highlight w:val="none"/>
        </w:rPr>
      </w:pPr>
      <w:r>
        <w:rPr>
          <w:rFonts w:hint="eastAsia" w:ascii="宋体" w:hAnsi="宋体" w:cs="宋体"/>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B0E6B8F">
      <w:pPr>
        <w:pStyle w:val="18"/>
        <w:rPr>
          <w:rFonts w:ascii="宋体" w:hAnsi="宋体" w:cs="宋体"/>
          <w:color w:val="auto"/>
          <w:sz w:val="21"/>
          <w:szCs w:val="21"/>
          <w:highlight w:val="none"/>
        </w:rPr>
      </w:pPr>
      <w:r>
        <w:rPr>
          <w:rFonts w:hint="eastAsia" w:ascii="宋体" w:hAnsi="宋体" w:cs="宋体"/>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6E35AB0">
      <w:pPr>
        <w:pStyle w:val="18"/>
        <w:rPr>
          <w:rFonts w:ascii="宋体" w:hAnsi="宋体" w:cs="宋体"/>
          <w:color w:val="auto"/>
          <w:sz w:val="21"/>
          <w:szCs w:val="21"/>
          <w:highlight w:val="none"/>
        </w:rPr>
      </w:pPr>
      <w:r>
        <w:rPr>
          <w:rFonts w:hint="eastAsia" w:ascii="宋体" w:hAnsi="宋体" w:cs="宋体"/>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454ED15">
      <w:pPr>
        <w:pStyle w:val="18"/>
        <w:rPr>
          <w:rFonts w:ascii="宋体" w:hAnsi="宋体" w:cs="宋体"/>
          <w:color w:val="auto"/>
          <w:sz w:val="21"/>
          <w:szCs w:val="21"/>
          <w:highlight w:val="none"/>
        </w:rPr>
      </w:pPr>
      <w:r>
        <w:rPr>
          <w:rFonts w:hint="eastAsia" w:ascii="宋体" w:hAnsi="宋体" w:cs="宋体"/>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5A3F076">
      <w:pPr>
        <w:pStyle w:val="18"/>
        <w:rPr>
          <w:rFonts w:ascii="宋体" w:hAnsi="宋体" w:cs="宋体"/>
          <w:color w:val="auto"/>
          <w:sz w:val="21"/>
          <w:szCs w:val="21"/>
          <w:highlight w:val="none"/>
        </w:rPr>
      </w:pPr>
      <w:r>
        <w:rPr>
          <w:rFonts w:hint="eastAsia" w:ascii="宋体" w:hAnsi="宋体" w:cs="宋体"/>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9E174D">
      <w:pPr>
        <w:pStyle w:val="18"/>
        <w:rPr>
          <w:rFonts w:ascii="宋体" w:hAnsi="宋体" w:cs="宋体"/>
          <w:color w:val="auto"/>
          <w:sz w:val="21"/>
          <w:szCs w:val="21"/>
          <w:highlight w:val="none"/>
        </w:rPr>
      </w:pPr>
      <w:r>
        <w:rPr>
          <w:rFonts w:hint="eastAsia" w:ascii="宋体" w:hAnsi="宋体" w:cs="宋体"/>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7F913B">
      <w:pPr>
        <w:pStyle w:val="18"/>
        <w:rPr>
          <w:rFonts w:ascii="宋体" w:hAnsi="宋体" w:cs="宋体"/>
          <w:color w:val="auto"/>
          <w:sz w:val="21"/>
          <w:szCs w:val="21"/>
          <w:highlight w:val="none"/>
        </w:rPr>
      </w:pPr>
      <w:r>
        <w:rPr>
          <w:rFonts w:hint="eastAsia" w:ascii="宋体" w:hAnsi="宋体" w:cs="宋体"/>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0BB050A">
      <w:pPr>
        <w:pStyle w:val="18"/>
        <w:rPr>
          <w:rFonts w:ascii="宋体" w:hAnsi="宋体" w:cs="宋体"/>
          <w:color w:val="auto"/>
          <w:sz w:val="21"/>
          <w:szCs w:val="21"/>
          <w:highlight w:val="none"/>
        </w:rPr>
      </w:pPr>
      <w:r>
        <w:rPr>
          <w:rFonts w:hint="eastAsia" w:ascii="宋体" w:hAnsi="宋体" w:cs="宋体"/>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908EB28">
      <w:pPr>
        <w:pStyle w:val="18"/>
        <w:rPr>
          <w:rFonts w:ascii="宋体" w:hAnsi="宋体" w:cs="宋体"/>
          <w:color w:val="auto"/>
          <w:sz w:val="21"/>
          <w:szCs w:val="21"/>
          <w:highlight w:val="none"/>
        </w:rPr>
      </w:pPr>
      <w:r>
        <w:rPr>
          <w:rFonts w:hint="eastAsia" w:ascii="宋体" w:hAnsi="宋体" w:cs="宋体"/>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CFD085">
      <w:pPr>
        <w:pStyle w:val="18"/>
        <w:rPr>
          <w:rFonts w:ascii="宋体" w:hAnsi="宋体" w:cs="宋体"/>
          <w:color w:val="auto"/>
          <w:sz w:val="21"/>
          <w:szCs w:val="21"/>
          <w:highlight w:val="none"/>
        </w:rPr>
      </w:pPr>
      <w:r>
        <w:rPr>
          <w:rFonts w:hint="eastAsia" w:ascii="宋体" w:hAnsi="宋体" w:cs="宋体"/>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429513C">
      <w:pPr>
        <w:pStyle w:val="18"/>
        <w:rPr>
          <w:rFonts w:ascii="宋体" w:hAnsi="宋体" w:cs="宋体"/>
          <w:color w:val="auto"/>
          <w:sz w:val="21"/>
          <w:szCs w:val="21"/>
          <w:highlight w:val="none"/>
        </w:rPr>
      </w:pPr>
      <w:r>
        <w:rPr>
          <w:rFonts w:hint="eastAsia" w:ascii="宋体" w:hAnsi="宋体" w:cs="宋体"/>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BF62E22">
      <w:pPr>
        <w:pStyle w:val="18"/>
        <w:rPr>
          <w:rFonts w:ascii="宋体" w:hAnsi="宋体" w:cs="宋体"/>
          <w:color w:val="auto"/>
          <w:sz w:val="21"/>
          <w:szCs w:val="21"/>
          <w:highlight w:val="none"/>
        </w:rPr>
      </w:pPr>
      <w:r>
        <w:rPr>
          <w:rFonts w:hint="eastAsia" w:ascii="宋体" w:hAnsi="宋体" w:cs="宋体"/>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4A9AAFD0">
      <w:pPr>
        <w:pStyle w:val="18"/>
        <w:rPr>
          <w:rFonts w:ascii="宋体" w:hAnsi="宋体" w:cs="宋体"/>
          <w:color w:val="auto"/>
          <w:sz w:val="21"/>
          <w:szCs w:val="21"/>
          <w:highlight w:val="none"/>
        </w:rPr>
      </w:pPr>
      <w:r>
        <w:rPr>
          <w:rFonts w:hint="eastAsia" w:ascii="宋体" w:hAnsi="宋体" w:cs="宋体"/>
          <w:color w:val="auto"/>
          <w:sz w:val="21"/>
          <w:szCs w:val="21"/>
          <w:highlight w:val="none"/>
        </w:rPr>
        <w:t>　　五、企业类型的划分以统计部门的统计数据为依据。</w:t>
      </w:r>
    </w:p>
    <w:p w14:paraId="4F5BBF77">
      <w:pPr>
        <w:pStyle w:val="18"/>
        <w:rPr>
          <w:rFonts w:ascii="宋体" w:hAnsi="宋体" w:cs="宋体"/>
          <w:color w:val="auto"/>
          <w:sz w:val="21"/>
          <w:szCs w:val="21"/>
          <w:highlight w:val="none"/>
        </w:rPr>
      </w:pPr>
      <w:r>
        <w:rPr>
          <w:rFonts w:hint="eastAsia" w:ascii="宋体" w:hAnsi="宋体" w:cs="宋体"/>
          <w:color w:val="auto"/>
          <w:sz w:val="21"/>
          <w:szCs w:val="21"/>
          <w:highlight w:val="none"/>
        </w:rPr>
        <w:t>　　六、本规定适用于在中华人民共和国境内依法设立的各类所有制和各种组织形式的企业。个体工商户和本规定以外的行业，参照本规定进行划型。</w:t>
      </w:r>
    </w:p>
    <w:p w14:paraId="2A970E65">
      <w:pPr>
        <w:pStyle w:val="18"/>
        <w:rPr>
          <w:rFonts w:ascii="宋体" w:hAnsi="宋体" w:cs="宋体"/>
          <w:color w:val="auto"/>
          <w:sz w:val="21"/>
          <w:szCs w:val="21"/>
          <w:highlight w:val="none"/>
        </w:rPr>
      </w:pPr>
      <w:r>
        <w:rPr>
          <w:rFonts w:hint="eastAsia" w:ascii="宋体" w:hAnsi="宋体" w:cs="宋体"/>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43E94605">
      <w:pPr>
        <w:pStyle w:val="18"/>
        <w:rPr>
          <w:rFonts w:ascii="宋体" w:hAnsi="宋体" w:cs="宋体"/>
          <w:color w:val="auto"/>
          <w:sz w:val="21"/>
          <w:szCs w:val="21"/>
          <w:highlight w:val="none"/>
        </w:rPr>
      </w:pPr>
      <w:r>
        <w:rPr>
          <w:rFonts w:hint="eastAsia" w:ascii="宋体" w:hAnsi="宋体" w:cs="宋体"/>
          <w:color w:val="auto"/>
          <w:sz w:val="21"/>
          <w:szCs w:val="21"/>
          <w:highlight w:val="none"/>
        </w:rPr>
        <w:t>　　八、本规定由工业和信息化部、国家统计局会同有关部门根据《国民经济行业分类》修订情况和企业发展变化情况适时修订。</w:t>
      </w:r>
    </w:p>
    <w:p w14:paraId="728784F8">
      <w:pPr>
        <w:pStyle w:val="18"/>
        <w:rPr>
          <w:rFonts w:ascii="宋体" w:hAnsi="宋体" w:cs="宋体"/>
          <w:color w:val="auto"/>
          <w:sz w:val="21"/>
          <w:szCs w:val="21"/>
          <w:highlight w:val="none"/>
        </w:rPr>
      </w:pPr>
      <w:r>
        <w:rPr>
          <w:rFonts w:hint="eastAsia" w:ascii="宋体" w:hAnsi="宋体" w:cs="宋体"/>
          <w:color w:val="auto"/>
          <w:sz w:val="21"/>
          <w:szCs w:val="21"/>
          <w:highlight w:val="none"/>
        </w:rPr>
        <w:t>　　九、本规定由工业和信息化部、国家统计局会同有关部门负责解释。</w:t>
      </w:r>
    </w:p>
    <w:p w14:paraId="5032BD4B">
      <w:pPr>
        <w:pStyle w:val="18"/>
        <w:ind w:firstLine="420"/>
        <w:rPr>
          <w:rFonts w:ascii="宋体" w:hAnsi="宋体" w:cs="宋体"/>
          <w:color w:val="auto"/>
          <w:sz w:val="21"/>
          <w:szCs w:val="21"/>
          <w:highlight w:val="none"/>
        </w:rPr>
      </w:pPr>
      <w:r>
        <w:rPr>
          <w:rFonts w:hint="eastAsia" w:ascii="宋体" w:hAnsi="宋体" w:cs="宋体"/>
          <w:color w:val="auto"/>
          <w:sz w:val="21"/>
          <w:szCs w:val="21"/>
          <w:highlight w:val="none"/>
        </w:rPr>
        <w:t>十、本规定自发布之日起执行，原国家经贸委、原国家计委、财政部和国家统计局2003年颁布的《中小企业标准暂行规定》同时废止。</w:t>
      </w:r>
    </w:p>
    <w:p w14:paraId="1E6F736E">
      <w:pPr>
        <w:pStyle w:val="2"/>
        <w:spacing w:before="0" w:after="0" w:line="360" w:lineRule="auto"/>
        <w:jc w:val="center"/>
        <w:rPr>
          <w:rFonts w:ascii="宋体" w:hAnsi="宋体" w:cs="宋体"/>
          <w:color w:val="auto"/>
          <w:highlight w:val="none"/>
        </w:rPr>
      </w:pPr>
      <w:r>
        <w:rPr>
          <w:rFonts w:hint="eastAsia" w:ascii="宋体" w:hAnsi="宋体" w:cs="宋体"/>
          <w:color w:val="auto"/>
          <w:highlight w:val="none"/>
        </w:rPr>
        <w:br w:type="page"/>
      </w:r>
      <w:bookmarkStart w:id="46" w:name="_Toc143259163"/>
      <w:r>
        <w:rPr>
          <w:rFonts w:hint="eastAsia" w:ascii="宋体" w:hAnsi="宋体" w:cs="宋体"/>
          <w:color w:val="auto"/>
          <w:highlight w:val="none"/>
        </w:rPr>
        <w:t>第三章投标人须知</w:t>
      </w:r>
      <w:bookmarkEnd w:id="45"/>
      <w:bookmarkEnd w:id="46"/>
    </w:p>
    <w:p w14:paraId="1D2E1FAB">
      <w:pPr>
        <w:jc w:val="center"/>
        <w:rPr>
          <w:rFonts w:ascii="宋体" w:hAnsi="宋体" w:cs="宋体"/>
          <w:color w:val="auto"/>
          <w:sz w:val="36"/>
          <w:szCs w:val="36"/>
          <w:highlight w:val="none"/>
        </w:rPr>
      </w:pPr>
      <w:bookmarkStart w:id="47" w:name="_Toc254970667"/>
      <w:bookmarkStart w:id="48" w:name="_Toc254970526"/>
      <w:r>
        <w:rPr>
          <w:rFonts w:hint="eastAsia" w:ascii="宋体" w:hAnsi="宋体" w:cs="宋体"/>
          <w:color w:val="auto"/>
          <w:sz w:val="36"/>
          <w:szCs w:val="36"/>
          <w:highlight w:val="none"/>
        </w:rPr>
        <w:t>投标人须知前附表</w:t>
      </w:r>
      <w:bookmarkEnd w:id="47"/>
      <w:bookmarkEnd w:id="48"/>
    </w:p>
    <w:tbl>
      <w:tblPr>
        <w:tblStyle w:val="47"/>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14:paraId="27469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CEF03CF">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8670" w:type="dxa"/>
            <w:tcBorders>
              <w:top w:val="single" w:color="auto" w:sz="4" w:space="0"/>
              <w:left w:val="single" w:color="auto" w:sz="4" w:space="0"/>
              <w:bottom w:val="single" w:color="auto" w:sz="4" w:space="0"/>
              <w:right w:val="single" w:color="auto" w:sz="4" w:space="0"/>
            </w:tcBorders>
            <w:vAlign w:val="center"/>
          </w:tcPr>
          <w:p w14:paraId="6263084D">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52C1F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B2E09CB">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670" w:type="dxa"/>
            <w:tcBorders>
              <w:top w:val="single" w:color="auto" w:sz="4" w:space="0"/>
              <w:left w:val="single" w:color="auto" w:sz="4" w:space="0"/>
              <w:bottom w:val="single" w:color="auto" w:sz="4" w:space="0"/>
              <w:right w:val="single" w:color="auto" w:sz="4" w:space="0"/>
            </w:tcBorders>
            <w:vAlign w:val="center"/>
          </w:tcPr>
          <w:p w14:paraId="2CED9A61">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1.投标人的资格要求详见招标公告。</w:t>
            </w:r>
          </w:p>
          <w:p w14:paraId="774BF8CC">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2.投标人出现下列情形之一的，不得参加政府采购活动：</w:t>
            </w:r>
          </w:p>
          <w:p w14:paraId="3A7E55E7">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4B3B532">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2.2对在“信用中国”网站（</w:t>
            </w:r>
            <w:r>
              <w:rPr>
                <w:rFonts w:hint="eastAsia" w:ascii="宋体" w:hAnsi="宋体" w:cs="宋体"/>
                <w:color w:val="auto"/>
                <w:kern w:val="0"/>
                <w:szCs w:val="21"/>
                <w:highlight w:val="none"/>
              </w:rPr>
              <w:t>http://</w:t>
            </w:r>
            <w:r>
              <w:rPr>
                <w:rFonts w:hint="eastAsia" w:ascii="宋体" w:hAnsi="宋体" w:cs="宋体"/>
                <w:color w:val="auto"/>
                <w:szCs w:val="21"/>
                <w:highlight w:val="none"/>
              </w:rPr>
              <w:t>www.creditchina.gov.cn） 、中国政府采购网（</w:t>
            </w:r>
            <w:r>
              <w:rPr>
                <w:rFonts w:hint="eastAsia" w:ascii="宋体" w:hAnsi="宋体" w:cs="宋体"/>
                <w:color w:val="auto"/>
                <w:kern w:val="0"/>
                <w:szCs w:val="21"/>
                <w:highlight w:val="none"/>
              </w:rPr>
              <w:t>http://</w:t>
            </w:r>
            <w:r>
              <w:rPr>
                <w:rFonts w:hint="eastAsia" w:ascii="宋体" w:hAnsi="宋体" w:cs="宋体"/>
                <w:color w:val="auto"/>
                <w:szCs w:val="21"/>
                <w:highlight w:val="none"/>
              </w:rPr>
              <w:t>www.ccgp.gov.cn）被列入失信被执行人、重大税收违法失信主体、政府采购严重违法失信行为记录名单及其他不符合《中华人民共和国政府采购法》第二十二条规定条件的供应商，不得参与政府采购活动。</w:t>
            </w:r>
          </w:p>
        </w:tc>
      </w:tr>
      <w:tr w14:paraId="602E4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6EE3A24">
            <w:pPr>
              <w:adjustRightInd w:val="0"/>
              <w:spacing w:line="400" w:lineRule="exact"/>
              <w:jc w:val="center"/>
              <w:rPr>
                <w:rFonts w:ascii="宋体" w:hAnsi="宋体" w:cs="宋体"/>
                <w:color w:val="auto"/>
                <w:szCs w:val="21"/>
                <w:highlight w:val="none"/>
              </w:rPr>
            </w:pPr>
            <w:bookmarkStart w:id="49" w:name="_8.1"/>
            <w:bookmarkEnd w:id="49"/>
            <w:bookmarkStart w:id="50" w:name="_5"/>
            <w:bookmarkEnd w:id="50"/>
            <w:bookmarkStart w:id="51" w:name="_9.2"/>
            <w:bookmarkEnd w:id="51"/>
            <w:r>
              <w:rPr>
                <w:rFonts w:hint="eastAsia" w:ascii="宋体" w:hAnsi="宋体" w:cs="宋体"/>
                <w:color w:val="auto"/>
                <w:szCs w:val="21"/>
                <w:highlight w:val="none"/>
              </w:rPr>
              <w:t>6.1</w:t>
            </w:r>
          </w:p>
        </w:tc>
        <w:tc>
          <w:tcPr>
            <w:tcW w:w="8670" w:type="dxa"/>
            <w:tcBorders>
              <w:top w:val="single" w:color="auto" w:sz="4" w:space="0"/>
              <w:left w:val="single" w:color="auto" w:sz="4" w:space="0"/>
              <w:bottom w:val="single" w:color="auto" w:sz="4" w:space="0"/>
              <w:right w:val="single" w:color="auto" w:sz="4" w:space="0"/>
            </w:tcBorders>
            <w:vAlign w:val="center"/>
          </w:tcPr>
          <w:p w14:paraId="355A561F">
            <w:pPr>
              <w:pStyle w:val="16"/>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本项目是否接受联合体投标：</w:t>
            </w:r>
            <w:r>
              <w:rPr>
                <w:rFonts w:hint="eastAsia" w:ascii="宋体" w:hAnsi="宋体" w:cs="宋体"/>
                <w:b/>
                <w:color w:val="auto"/>
                <w:szCs w:val="21"/>
                <w:highlight w:val="none"/>
              </w:rPr>
              <w:t>本项目各分标均不接受联合体投标。</w:t>
            </w:r>
          </w:p>
        </w:tc>
      </w:tr>
      <w:tr w14:paraId="1839A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DCFE8EF">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8670" w:type="dxa"/>
            <w:tcBorders>
              <w:top w:val="single" w:color="auto" w:sz="4" w:space="0"/>
              <w:left w:val="single" w:color="auto" w:sz="4" w:space="0"/>
              <w:bottom w:val="single" w:color="auto" w:sz="4" w:space="0"/>
              <w:right w:val="single" w:color="auto" w:sz="4" w:space="0"/>
            </w:tcBorders>
            <w:vAlign w:val="center"/>
          </w:tcPr>
          <w:p w14:paraId="76DBDA30">
            <w:pPr>
              <w:pStyle w:val="16"/>
              <w:adjustRightInd w:val="0"/>
              <w:spacing w:line="400" w:lineRule="exact"/>
              <w:rPr>
                <w:rFonts w:ascii="宋体" w:hAnsi="宋体" w:cs="宋体"/>
                <w:color w:val="auto"/>
                <w:szCs w:val="21"/>
                <w:highlight w:val="none"/>
              </w:rPr>
            </w:pPr>
            <w:bookmarkStart w:id="52" w:name="_Hlk54105293"/>
            <w:r>
              <w:rPr>
                <w:rFonts w:hint="eastAsia" w:ascii="宋体" w:hAnsi="宋体" w:cs="宋体"/>
                <w:color w:val="auto"/>
                <w:szCs w:val="21"/>
                <w:highlight w:val="none"/>
              </w:rPr>
              <w:t>如接受联合体投标，</w:t>
            </w:r>
            <w:bookmarkEnd w:id="52"/>
            <w:r>
              <w:rPr>
                <w:rFonts w:hint="eastAsia" w:ascii="宋体" w:hAnsi="宋体" w:cs="宋体"/>
                <w:color w:val="auto"/>
                <w:szCs w:val="21"/>
                <w:highlight w:val="none"/>
              </w:rPr>
              <w:t>联合体投标要求如下：</w:t>
            </w:r>
          </w:p>
          <w:p w14:paraId="704C61A6">
            <w:pPr>
              <w:pStyle w:val="16"/>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1.两个以上投标人可以组成一个投标联合体，以一个投标人的身份共同参加投标。联合体投标的，须提供《联合体投标协议书》（格式后附）。</w:t>
            </w:r>
          </w:p>
          <w:p w14:paraId="3CA77B9C">
            <w:pPr>
              <w:pStyle w:val="16"/>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00F7A321">
            <w:pPr>
              <w:pStyle w:val="16"/>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3.联合体各方之间必须签订联合投标协议，协议书必须明确主体方（或者牵头方）并明确约定联合体各方承担的工作和相应的责任（各方承担责任与义务的分工必须符合采购需求，否则，</w:t>
            </w:r>
            <w:r>
              <w:rPr>
                <w:rFonts w:hint="eastAsia" w:ascii="宋体" w:hAnsi="宋体" w:cs="宋体"/>
                <w:b/>
                <w:color w:val="auto"/>
                <w:szCs w:val="21"/>
                <w:highlight w:val="none"/>
              </w:rPr>
              <w:t>联合体投标无效</w:t>
            </w:r>
            <w:r>
              <w:rPr>
                <w:rFonts w:hint="eastAsia" w:ascii="宋体" w:hAnsi="宋体" w:cs="宋体"/>
                <w:color w:val="auto"/>
                <w:szCs w:val="21"/>
                <w:highlight w:val="none"/>
              </w:rPr>
              <w:t>），并将联合投标协议放入投标文件。联合体各方必须共同与采购人签订采购合同，就采购合同约定的事项对采购人承担连带责任。</w:t>
            </w:r>
          </w:p>
          <w:p w14:paraId="6EC21A45">
            <w:pPr>
              <w:pStyle w:val="16"/>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4.以联合体形式参加政府采购活动的，联合体各方不得再单独参加或者与其他投标人另外组成联合体参加同一合同项下的政府采购活动。</w:t>
            </w:r>
          </w:p>
          <w:p w14:paraId="70BC07C3">
            <w:pPr>
              <w:pStyle w:val="16"/>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5.联合体中有同类资质的投标人按照联合体分工承担相同工作的，应当按照资质等级较低的投标人确定资质等级。</w:t>
            </w:r>
          </w:p>
          <w:p w14:paraId="17726708">
            <w:pPr>
              <w:pStyle w:val="16"/>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6.联合体投标业绩、履约能力按照联合体各方其中较高的一方认定并计算（招标文件另有规定的除外）。</w:t>
            </w:r>
          </w:p>
          <w:p w14:paraId="4376D4DF">
            <w:pPr>
              <w:pStyle w:val="16"/>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7.投标人为联合体的，可以由联合体中的一方或者多方共同交纳投标保证金，其交纳的保证金对联合体各方均具有约束力。</w:t>
            </w:r>
          </w:p>
          <w:p w14:paraId="468517C7">
            <w:pPr>
              <w:pStyle w:val="16"/>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8.联合体各方均应按照招标文件的规定提交资格证明文件。</w:t>
            </w:r>
          </w:p>
        </w:tc>
      </w:tr>
      <w:tr w14:paraId="6F9E9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D2CDE56">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8670" w:type="dxa"/>
            <w:tcBorders>
              <w:top w:val="single" w:color="auto" w:sz="4" w:space="0"/>
              <w:left w:val="single" w:color="auto" w:sz="4" w:space="0"/>
              <w:bottom w:val="single" w:color="auto" w:sz="4" w:space="0"/>
              <w:right w:val="single" w:color="auto" w:sz="4" w:space="0"/>
            </w:tcBorders>
            <w:vAlign w:val="center"/>
          </w:tcPr>
          <w:p w14:paraId="3274644B">
            <w:pPr>
              <w:pStyle w:val="16"/>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☑不允许分包</w:t>
            </w:r>
          </w:p>
          <w:p w14:paraId="20CCC8AD">
            <w:pPr>
              <w:pStyle w:val="16"/>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□允许分包</w:t>
            </w:r>
          </w:p>
          <w:p w14:paraId="08CB40EB">
            <w:pPr>
              <w:pStyle w:val="16"/>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                    。</w:t>
            </w:r>
          </w:p>
          <w:p w14:paraId="68B9585C">
            <w:pPr>
              <w:pStyle w:val="16"/>
              <w:adjustRightInd w:val="0"/>
              <w:spacing w:line="400" w:lineRule="exact"/>
              <w:jc w:val="both"/>
              <w:rPr>
                <w:rFonts w:ascii="宋体" w:hAnsi="宋体" w:cs="宋体"/>
                <w:color w:val="auto"/>
                <w:szCs w:val="21"/>
                <w:highlight w:val="none"/>
                <w:u w:val="singl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                       。</w:t>
            </w:r>
          </w:p>
        </w:tc>
      </w:tr>
      <w:tr w14:paraId="5D938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C8472B1">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8.1</w:t>
            </w:r>
          </w:p>
        </w:tc>
        <w:tc>
          <w:tcPr>
            <w:tcW w:w="8670" w:type="dxa"/>
            <w:tcBorders>
              <w:top w:val="single" w:color="auto" w:sz="4" w:space="0"/>
              <w:left w:val="single" w:color="auto" w:sz="4" w:space="0"/>
              <w:bottom w:val="single" w:color="auto" w:sz="4" w:space="0"/>
              <w:right w:val="single" w:color="auto" w:sz="4" w:space="0"/>
            </w:tcBorders>
            <w:vAlign w:val="center"/>
          </w:tcPr>
          <w:p w14:paraId="0A51B96F">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采用最低评标价法的采购项目，提供相同品牌产品（非单一产品采购项目的，指核心产品）的不同投标人评标报价相同时，按照下列方式确定一个投标人获得中标人推荐资格：</w:t>
            </w:r>
          </w:p>
          <w:p w14:paraId="3D094CAC">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□依次按投标报价低的优先、带“▲”的实质性要求正偏离项数多的优先、均无正偏离或者正偏离项数一致时负偏离项数少的优先、保修期长优先、交货期短优先、故障响应时间短优先的顺序推荐。</w:t>
            </w:r>
          </w:p>
          <w:p w14:paraId="5B61F784">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5E9739A3">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p w14:paraId="6EBA2034">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采用综合评分法的采购项目，提供相同品牌产品（非单一产品采购项目的，指核心产品）的不同投标人评审得分相同时，按照下列方式确定一个投标人获得中标人推荐资格：</w:t>
            </w:r>
          </w:p>
          <w:p w14:paraId="3FE22D15">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☑依次按投标报价低的优先、技术分高的优先、</w:t>
            </w:r>
            <w:r>
              <w:rPr>
                <w:rFonts w:hint="eastAsia" w:ascii="宋体" w:hAnsi="宋体" w:cs="宋体"/>
                <w:bCs/>
                <w:color w:val="auto"/>
                <w:szCs w:val="21"/>
                <w:highlight w:val="none"/>
              </w:rPr>
              <w:t>安装实施方案分高的优先、</w:t>
            </w:r>
            <w:r>
              <w:rPr>
                <w:rFonts w:hint="eastAsia" w:ascii="宋体" w:hAnsi="宋体" w:cs="宋体"/>
                <w:color w:val="auto"/>
                <w:szCs w:val="21"/>
                <w:highlight w:val="none"/>
              </w:rPr>
              <w:t>增值售后服务方案分高的优先、履约能力分高的优先、政策分高的优先顺序推荐；</w:t>
            </w:r>
          </w:p>
          <w:p w14:paraId="52CE8017">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0A115DCD">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tc>
      </w:tr>
      <w:tr w14:paraId="6A71C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95" w:type="dxa"/>
            <w:vMerge w:val="restart"/>
            <w:tcBorders>
              <w:top w:val="single" w:color="auto" w:sz="4" w:space="0"/>
              <w:left w:val="single" w:color="auto" w:sz="4" w:space="0"/>
              <w:right w:val="single" w:color="auto" w:sz="4" w:space="0"/>
            </w:tcBorders>
            <w:vAlign w:val="center"/>
          </w:tcPr>
          <w:p w14:paraId="28840F22">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8670" w:type="dxa"/>
            <w:tcBorders>
              <w:top w:val="single" w:color="auto" w:sz="4" w:space="0"/>
              <w:left w:val="single" w:color="auto" w:sz="4" w:space="0"/>
              <w:bottom w:val="single" w:color="auto" w:sz="4" w:space="0"/>
              <w:right w:val="single" w:color="auto" w:sz="4" w:space="0"/>
            </w:tcBorders>
            <w:vAlign w:val="center"/>
          </w:tcPr>
          <w:p w14:paraId="4ECE1F85">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本项目不组织现场考察</w:t>
            </w:r>
          </w:p>
        </w:tc>
      </w:tr>
      <w:tr w14:paraId="4F1D4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95" w:type="dxa"/>
            <w:vMerge w:val="continue"/>
            <w:tcBorders>
              <w:left w:val="single" w:color="auto" w:sz="4" w:space="0"/>
              <w:bottom w:val="single" w:color="auto" w:sz="4" w:space="0"/>
              <w:right w:val="single" w:color="auto" w:sz="4" w:space="0"/>
            </w:tcBorders>
            <w:vAlign w:val="center"/>
          </w:tcPr>
          <w:p w14:paraId="2CB4FCAC">
            <w:pPr>
              <w:adjustRightInd w:val="0"/>
              <w:spacing w:line="400" w:lineRule="exact"/>
              <w:jc w:val="center"/>
              <w:rPr>
                <w:rFonts w:ascii="宋体" w:hAnsi="宋体" w:cs="宋体"/>
                <w:color w:val="auto"/>
                <w:szCs w:val="21"/>
                <w:highlight w:val="none"/>
              </w:rPr>
            </w:pPr>
          </w:p>
        </w:tc>
        <w:tc>
          <w:tcPr>
            <w:tcW w:w="8670" w:type="dxa"/>
            <w:tcBorders>
              <w:top w:val="single" w:color="auto" w:sz="4" w:space="0"/>
              <w:left w:val="single" w:color="auto" w:sz="4" w:space="0"/>
              <w:bottom w:val="single" w:color="auto" w:sz="4" w:space="0"/>
              <w:right w:val="single" w:color="auto" w:sz="4" w:space="0"/>
            </w:tcBorders>
            <w:vAlign w:val="center"/>
          </w:tcPr>
          <w:p w14:paraId="448A0EDC">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1D3AFE99">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0D702224">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w:t>
            </w:r>
          </w:p>
        </w:tc>
      </w:tr>
      <w:tr w14:paraId="47C82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vAlign w:val="center"/>
          </w:tcPr>
          <w:p w14:paraId="44C1D567">
            <w:pPr>
              <w:adjustRightInd w:val="0"/>
              <w:spacing w:line="400" w:lineRule="exact"/>
              <w:jc w:val="center"/>
              <w:rPr>
                <w:rFonts w:ascii="宋体" w:hAnsi="宋体" w:cs="宋体"/>
                <w:color w:val="auto"/>
                <w:szCs w:val="21"/>
                <w:highlight w:val="none"/>
              </w:rPr>
            </w:pPr>
            <w:bookmarkStart w:id="53" w:name="_13.1"/>
            <w:bookmarkEnd w:id="53"/>
            <w:r>
              <w:rPr>
                <w:rFonts w:hint="eastAsia" w:ascii="宋体" w:hAnsi="宋体" w:cs="宋体"/>
                <w:color w:val="auto"/>
                <w:szCs w:val="21"/>
                <w:highlight w:val="none"/>
              </w:rPr>
              <w:t>13</w:t>
            </w:r>
          </w:p>
        </w:tc>
        <w:tc>
          <w:tcPr>
            <w:tcW w:w="8670" w:type="dxa"/>
            <w:tcBorders>
              <w:top w:val="single" w:color="auto" w:sz="4" w:space="0"/>
              <w:left w:val="single" w:color="auto" w:sz="4" w:space="0"/>
              <w:bottom w:val="single" w:color="auto" w:sz="4" w:space="0"/>
              <w:right w:val="single" w:color="auto" w:sz="4" w:space="0"/>
            </w:tcBorders>
            <w:vAlign w:val="center"/>
          </w:tcPr>
          <w:p w14:paraId="489315A7">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报价文件：</w:t>
            </w:r>
          </w:p>
          <w:p w14:paraId="525DC174">
            <w:pPr>
              <w:tabs>
                <w:tab w:val="left" w:pos="459"/>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（必须提供，否则按无效投标处理）</w:t>
            </w:r>
          </w:p>
          <w:p w14:paraId="3C51C6D9">
            <w:pPr>
              <w:tabs>
                <w:tab w:val="left" w:pos="459"/>
              </w:tabs>
              <w:adjustRightInd w:val="0"/>
              <w:spacing w:line="400" w:lineRule="exact"/>
              <w:jc w:val="left"/>
              <w:rPr>
                <w:rFonts w:ascii="宋体" w:hAnsi="宋体" w:cs="宋体"/>
                <w:color w:val="auto"/>
                <w:szCs w:val="21"/>
                <w:highlight w:val="none"/>
              </w:rPr>
            </w:pPr>
            <w:bookmarkStart w:id="54" w:name="_Hlk71299233"/>
            <w:r>
              <w:rPr>
                <w:rFonts w:hint="eastAsia" w:ascii="宋体" w:hAnsi="宋体" w:cs="宋体"/>
                <w:color w:val="auto"/>
                <w:szCs w:val="21"/>
                <w:highlight w:val="none"/>
              </w:rPr>
              <w:t>2.开标一览表</w:t>
            </w:r>
            <w:bookmarkEnd w:id="54"/>
            <w:r>
              <w:rPr>
                <w:rFonts w:hint="eastAsia" w:ascii="宋体" w:hAnsi="宋体" w:cs="宋体"/>
                <w:color w:val="auto"/>
                <w:szCs w:val="21"/>
                <w:highlight w:val="none"/>
              </w:rPr>
              <w:t>（格式后附）； （</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0810DC4E">
            <w:pPr>
              <w:tabs>
                <w:tab w:val="left" w:pos="459"/>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p>
          <w:p w14:paraId="3CEF00CD">
            <w:pPr>
              <w:adjustRightIn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注：</w:t>
            </w:r>
            <w:r>
              <w:rPr>
                <w:rFonts w:hint="eastAsia" w:ascii="宋体" w:hAnsi="宋体" w:cs="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tc>
      </w:tr>
      <w:tr w14:paraId="313C1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7A4DBC30">
            <w:pPr>
              <w:adjustRightInd w:val="0"/>
              <w:spacing w:line="400" w:lineRule="exact"/>
              <w:rPr>
                <w:rFonts w:ascii="宋体" w:hAnsi="宋体" w:cs="宋体"/>
                <w:color w:val="auto"/>
                <w:szCs w:val="21"/>
                <w:highlight w:val="none"/>
              </w:rPr>
            </w:pPr>
            <w:bookmarkStart w:id="55" w:name="_13.2"/>
            <w:bookmarkEnd w:id="55"/>
          </w:p>
        </w:tc>
        <w:tc>
          <w:tcPr>
            <w:tcW w:w="8670" w:type="dxa"/>
            <w:tcBorders>
              <w:top w:val="single" w:color="auto" w:sz="4" w:space="0"/>
              <w:left w:val="single" w:color="auto" w:sz="4" w:space="0"/>
              <w:bottom w:val="single" w:color="auto" w:sz="4" w:space="0"/>
              <w:right w:val="single" w:color="auto" w:sz="4" w:space="0"/>
            </w:tcBorders>
            <w:vAlign w:val="center"/>
          </w:tcPr>
          <w:p w14:paraId="12E60DB0">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4890682E">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87"/>
                <w:rFonts w:hint="eastAsia"/>
                <w:color w:val="auto"/>
                <w:sz w:val="21"/>
                <w:szCs w:val="21"/>
                <w:highlight w:val="none"/>
              </w:rPr>
              <w:t>执业许可证</w:t>
            </w:r>
            <w:r>
              <w:rPr>
                <w:rFonts w:hint="eastAsia" w:ascii="宋体" w:hAnsi="宋体" w:cs="宋体"/>
                <w:color w:val="auto"/>
                <w:szCs w:val="21"/>
                <w:highlight w:val="none"/>
              </w:rPr>
              <w:t>或者登记证书等），投标人为自然人的，提供身份证复印件；（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0F961A65">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月以来任意一个月的依法缴纳税收的</w:t>
            </w:r>
            <w:r>
              <w:rPr>
                <w:rFonts w:hint="eastAsia" w:ascii="宋体" w:hAnsi="宋体" w:cs="宋体"/>
                <w:color w:val="auto"/>
                <w:highlight w:val="none"/>
              </w:rPr>
              <w:t>证明材料</w:t>
            </w:r>
            <w:r>
              <w:rPr>
                <w:rFonts w:hint="eastAsia" w:ascii="宋体" w:hAnsi="宋体" w:cs="宋体"/>
                <w:color w:val="auto"/>
                <w:szCs w:val="21"/>
                <w:highlight w:val="none"/>
              </w:rPr>
              <w:t>复印件；依法免税的供应商，</w:t>
            </w:r>
            <w:r>
              <w:rPr>
                <w:rFonts w:hint="eastAsia" w:ascii="宋体" w:hAnsi="宋体" w:cs="宋体"/>
                <w:color w:val="auto"/>
                <w:highlight w:val="none"/>
              </w:rPr>
              <w:t>必须提供符合免税条件的证明材料</w:t>
            </w:r>
            <w:r>
              <w:rPr>
                <w:rFonts w:hint="eastAsia" w:ascii="宋体" w:hAnsi="宋体" w:cs="宋体"/>
                <w:color w:val="auto"/>
                <w:szCs w:val="21"/>
                <w:highlight w:val="none"/>
              </w:rPr>
              <w:t>。从成立之日起到投标文件提交截止时间止不足要求月数的</w:t>
            </w:r>
            <w:r>
              <w:rPr>
                <w:rFonts w:hint="eastAsia" w:ascii="宋体" w:hAnsi="宋体" w:cs="宋体"/>
                <w:color w:val="auto"/>
                <w:highlight w:val="none"/>
              </w:rPr>
              <w:t>,则无需提交</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EF2FDB5">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月以来任意一个月的依法缴纳社会保障资金的缴费</w:t>
            </w:r>
            <w:r>
              <w:rPr>
                <w:rFonts w:hint="eastAsia" w:ascii="宋体" w:hAnsi="宋体" w:cs="宋体"/>
                <w:color w:val="auto"/>
                <w:highlight w:val="none"/>
              </w:rPr>
              <w:t>证明材料</w:t>
            </w:r>
            <w:r>
              <w:rPr>
                <w:rFonts w:hint="eastAsia" w:ascii="宋体" w:hAnsi="宋体" w:cs="宋体"/>
                <w:color w:val="auto"/>
                <w:szCs w:val="21"/>
                <w:highlight w:val="none"/>
              </w:rPr>
              <w:t>（</w:t>
            </w:r>
            <w:r>
              <w:rPr>
                <w:rFonts w:hint="eastAsia" w:ascii="宋体" w:hAnsi="宋体" w:cs="宋体"/>
                <w:color w:val="auto"/>
                <w:highlight w:val="none"/>
              </w:rPr>
              <w:t>如：</w:t>
            </w:r>
            <w:r>
              <w:rPr>
                <w:rFonts w:hint="eastAsia" w:ascii="宋体" w:hAnsi="宋体" w:cs="宋体"/>
                <w:color w:val="auto"/>
                <w:szCs w:val="21"/>
                <w:highlight w:val="none"/>
              </w:rPr>
              <w:t>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DA1FE15">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4.投标人财务状况报告（</w:t>
            </w:r>
            <w:bookmarkStart w:id="56" w:name="OLE_LINK10"/>
            <w:r>
              <w:rPr>
                <w:rFonts w:hint="eastAsia" w:ascii="宋体" w:hAnsi="宋体" w:cs="宋体"/>
                <w:color w:val="auto"/>
                <w:szCs w:val="21"/>
                <w:highlight w:val="none"/>
                <w:u w:val="single"/>
              </w:rPr>
              <w:t>2023</w:t>
            </w:r>
            <w:r>
              <w:rPr>
                <w:rFonts w:hint="eastAsia" w:ascii="宋体" w:hAnsi="宋体" w:cs="宋体"/>
                <w:color w:val="auto"/>
                <w:szCs w:val="21"/>
                <w:highlight w:val="none"/>
              </w:rPr>
              <w:t>年以来任一年度的</w:t>
            </w:r>
            <w:bookmarkEnd w:id="56"/>
            <w:r>
              <w:rPr>
                <w:rFonts w:hint="eastAsia" w:ascii="宋体" w:hAnsi="宋体" w:cs="宋体"/>
                <w:color w:val="auto"/>
                <w:szCs w:val="21"/>
                <w:highlight w:val="none"/>
              </w:rPr>
              <w:t>财务报表复印件，或者2024年以来银行出具的资信证明，或者中国人民银行征信中心出具的信用报告（企业投标的提供企业信用报告，自然人投标的提供个人信用报告</w:t>
            </w:r>
            <w:r>
              <w:rPr>
                <w:rFonts w:hint="eastAsia" w:ascii="宋体" w:hAnsi="宋体" w:cs="宋体"/>
                <w:color w:val="auto"/>
                <w:highlight w:val="none"/>
              </w:rPr>
              <w:t>，投标人属于成立时间在规定年度之后的法人或其他组织，需提供成立之日起至投标截止时间前的月报表</w:t>
            </w:r>
            <w:r>
              <w:rPr>
                <w:rFonts w:hint="eastAsia" w:ascii="宋体" w:hAnsi="宋体" w:cs="宋体"/>
                <w:color w:val="auto"/>
                <w:szCs w:val="21"/>
                <w:highlight w:val="none"/>
              </w:rPr>
              <w:t>或银行出具的资信证明或者中国人民银行征信中心出具的企业信用报告；资信证明应在有效期内，未注明有效期的，银行出具时间至投标截止时间不超过一年）；（</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5CED260">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5.投标人直接控股股东信息表（格式后附）；</w:t>
            </w:r>
            <w:r>
              <w:rPr>
                <w:rFonts w:hint="eastAsia" w:ascii="宋体" w:hAnsi="宋体" w:cs="宋体"/>
                <w:b/>
                <w:color w:val="auto"/>
                <w:szCs w:val="21"/>
                <w:highlight w:val="none"/>
              </w:rPr>
              <w:t>（必须提供，否则按无效投标处理）</w:t>
            </w:r>
          </w:p>
          <w:p w14:paraId="1442D805">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6.投标人直接管理关系信息表（格式后附）；</w:t>
            </w:r>
            <w:r>
              <w:rPr>
                <w:rFonts w:hint="eastAsia" w:ascii="宋体" w:hAnsi="宋体" w:cs="宋体"/>
                <w:b/>
                <w:color w:val="auto"/>
                <w:szCs w:val="21"/>
                <w:highlight w:val="none"/>
              </w:rPr>
              <w:t>（必须提供，否则按无效投标处理）</w:t>
            </w:r>
          </w:p>
          <w:p w14:paraId="1FC534F2">
            <w:pPr>
              <w:tabs>
                <w:tab w:val="left" w:pos="1305"/>
              </w:tabs>
              <w:spacing w:line="360" w:lineRule="exact"/>
              <w:jc w:val="left"/>
              <w:rPr>
                <w:rFonts w:ascii="宋体" w:hAnsi="宋体" w:cs="宋体"/>
                <w:color w:val="auto"/>
                <w:szCs w:val="21"/>
                <w:highlight w:val="none"/>
              </w:rPr>
            </w:pPr>
            <w:r>
              <w:rPr>
                <w:rFonts w:hint="eastAsia" w:ascii="宋体" w:hAnsi="宋体" w:cs="宋体"/>
                <w:color w:val="auto"/>
                <w:szCs w:val="21"/>
                <w:highlight w:val="none"/>
              </w:rPr>
              <w:t>7.投标人</w:t>
            </w:r>
            <w:r>
              <w:rPr>
                <w:rFonts w:hint="eastAsia" w:ascii="宋体" w:hAnsi="宋体" w:cs="宋体"/>
                <w:color w:val="auto"/>
                <w:highlight w:val="none"/>
              </w:rPr>
              <w:t>根据所投产品</w:t>
            </w:r>
            <w:r>
              <w:rPr>
                <w:rFonts w:hint="eastAsia" w:ascii="宋体" w:hAnsi="宋体" w:cs="宋体"/>
                <w:color w:val="auto"/>
                <w:szCs w:val="21"/>
                <w:highlight w:val="none"/>
              </w:rPr>
              <w:t>提供医疗器械的有关证明材料复印件；（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945E45B">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①本项目有第二类医疗器械的，应提供有效的医疗器械经营备案凭证（经营范围包含采购的第二类医疗器械），符合《医疗器械监督管理条例》（国务院令第739号）第四十一条第二款规定的除外；如投标人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2256BD26">
            <w:pPr>
              <w:adjustRightInd w:val="0"/>
              <w:spacing w:line="400" w:lineRule="exact"/>
              <w:jc w:val="left"/>
              <w:rPr>
                <w:rFonts w:ascii="宋体" w:hAnsi="宋体" w:cs="宋体"/>
                <w:color w:val="auto"/>
                <w:highlight w:val="none"/>
              </w:rPr>
            </w:pPr>
            <w:r>
              <w:rPr>
                <w:rFonts w:hint="eastAsia" w:ascii="宋体" w:hAnsi="宋体" w:cs="宋体"/>
                <w:color w:val="auto"/>
                <w:szCs w:val="21"/>
                <w:highlight w:val="none"/>
              </w:rPr>
              <w:t>②本项目有第三类医疗器械的，应提供有效的医疗器械经营许可证（经营范围包含采购的第三类医疗器械）；如投标人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18FA3B8B">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8.投标声明（格式后附）；（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55DF1264">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9.联合体协议书（格式后附）；（</w:t>
            </w:r>
            <w:r>
              <w:rPr>
                <w:rFonts w:hint="eastAsia" w:ascii="宋体" w:hAnsi="宋体" w:cs="宋体"/>
                <w:b/>
                <w:color w:val="auto"/>
                <w:szCs w:val="21"/>
                <w:highlight w:val="none"/>
              </w:rPr>
              <w:t>联合体投标时必须提供，否则按无效投标处理</w:t>
            </w:r>
            <w:r>
              <w:rPr>
                <w:rFonts w:hint="eastAsia" w:ascii="宋体" w:hAnsi="宋体" w:cs="宋体"/>
                <w:color w:val="auto"/>
                <w:szCs w:val="21"/>
                <w:highlight w:val="none"/>
              </w:rPr>
              <w:t>）</w:t>
            </w:r>
          </w:p>
          <w:p w14:paraId="4FF73CB9">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10.除招标文件规定必须提供以外，投标人认为需要提供的其他证明材料。</w:t>
            </w:r>
          </w:p>
          <w:p w14:paraId="1BC72E19">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w:t>
            </w:r>
          </w:p>
          <w:p w14:paraId="0BABD5E1">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1.以上标明“必须提供”的材料必须加盖投标人电子签章，格式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p w14:paraId="7170CFED">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2.联合体投标时，第1-</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项资格证明文件联合体各方均必须分别提供，联合体各方分别盖章和签字（或者电子签名），否则按无效投标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p w14:paraId="3BA21A11">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3.分公司参加投标的，应当取得总公司授权。</w:t>
            </w:r>
          </w:p>
        </w:tc>
      </w:tr>
      <w:tr w14:paraId="0F948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489994DC">
            <w:pPr>
              <w:adjustRightInd w:val="0"/>
              <w:spacing w:line="400" w:lineRule="exact"/>
              <w:rPr>
                <w:rFonts w:ascii="宋体" w:hAnsi="宋体" w:cs="宋体"/>
                <w:color w:val="auto"/>
                <w:szCs w:val="21"/>
                <w:highlight w:val="none"/>
              </w:rPr>
            </w:pPr>
            <w:bookmarkStart w:id="57" w:name="_13.3"/>
            <w:bookmarkEnd w:id="57"/>
          </w:p>
        </w:tc>
        <w:tc>
          <w:tcPr>
            <w:tcW w:w="8670" w:type="dxa"/>
            <w:tcBorders>
              <w:top w:val="single" w:color="auto" w:sz="4" w:space="0"/>
              <w:left w:val="single" w:color="auto" w:sz="4" w:space="0"/>
              <w:bottom w:val="single" w:color="auto" w:sz="4" w:space="0"/>
              <w:right w:val="single" w:color="auto" w:sz="4" w:space="0"/>
            </w:tcBorders>
            <w:vAlign w:val="center"/>
          </w:tcPr>
          <w:p w14:paraId="2A019491">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商务文件：</w:t>
            </w:r>
          </w:p>
          <w:p w14:paraId="4AC330C2">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0709E75">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A5E56D3">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41F25A87">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4.商务要求承诺响应表（格式后附）；（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E31AFCD">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Cs/>
                <w:color w:val="auto"/>
                <w:szCs w:val="21"/>
                <w:highlight w:val="none"/>
              </w:rPr>
              <w:t>安装实施方案</w:t>
            </w:r>
            <w:r>
              <w:rPr>
                <w:rFonts w:hint="eastAsia" w:ascii="宋体" w:hAnsi="宋体" w:cs="宋体"/>
                <w:color w:val="auto"/>
                <w:szCs w:val="21"/>
                <w:highlight w:val="none"/>
              </w:rPr>
              <w:t>（格式后附）；内容包含但不限于：①安装方案；②设备调试方案；③设备试运行方案等。</w:t>
            </w:r>
          </w:p>
          <w:p w14:paraId="70C39BD4">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6.增值售后服务方案（格式后附）；内容包含但不限于：①</w:t>
            </w:r>
            <w:r>
              <w:rPr>
                <w:rFonts w:hint="eastAsia" w:ascii="宋体" w:hAnsi="宋体" w:cs="宋体"/>
                <w:color w:val="auto"/>
                <w:highlight w:val="none"/>
              </w:rPr>
              <w:t>服务人员的配备</w:t>
            </w:r>
            <w:r>
              <w:rPr>
                <w:rFonts w:hint="eastAsia" w:ascii="宋体" w:hAnsi="宋体" w:cs="宋体"/>
                <w:color w:val="auto"/>
                <w:szCs w:val="21"/>
                <w:highlight w:val="none"/>
              </w:rPr>
              <w:t>、故障出现解决方案，②定期维护 (注明时间)，③技术培训方案，④保修期外维修方案，⑤售后服务措施及其他优惠措施等。</w:t>
            </w:r>
          </w:p>
          <w:p w14:paraId="5A7A9D34">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7.投标人的业绩证明材料（格式后附）；</w:t>
            </w:r>
          </w:p>
          <w:p w14:paraId="258D68B7">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8.投标人情况介绍（格式自拟）；</w:t>
            </w:r>
          </w:p>
          <w:p w14:paraId="2BE6364B">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9.联合体协议书（格式后附，详见“其他文书、文件格式”）；（</w:t>
            </w:r>
            <w:r>
              <w:rPr>
                <w:rFonts w:hint="eastAsia" w:ascii="宋体" w:hAnsi="宋体" w:cs="宋体"/>
                <w:b/>
                <w:color w:val="auto"/>
                <w:szCs w:val="21"/>
                <w:highlight w:val="none"/>
              </w:rPr>
              <w:t>联合体投标时必须提供，否则按无效投标处理</w:t>
            </w:r>
            <w:r>
              <w:rPr>
                <w:rFonts w:hint="eastAsia" w:ascii="宋体" w:hAnsi="宋体" w:cs="宋体"/>
                <w:color w:val="auto"/>
                <w:szCs w:val="21"/>
                <w:highlight w:val="none"/>
              </w:rPr>
              <w:t>）</w:t>
            </w:r>
          </w:p>
          <w:p w14:paraId="5CE6DC05">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10.除招标文件规定必须提供以外，投标人认为需要提供的其他证明材料（格式自拟）。（投标人根据“第二章 采购需求”及“第四章 评标方法及评标标准”提供有关证明材料）。</w:t>
            </w:r>
          </w:p>
          <w:p w14:paraId="60BCFC9E">
            <w:pPr>
              <w:adjustRightInd w:val="0"/>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注：以上标明“必须提供”的材料必须加盖投标人电子签章，格式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tc>
      </w:tr>
      <w:tr w14:paraId="05FC8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bottom w:val="single" w:color="auto" w:sz="4" w:space="0"/>
              <w:right w:val="single" w:color="auto" w:sz="4" w:space="0"/>
            </w:tcBorders>
            <w:vAlign w:val="center"/>
          </w:tcPr>
          <w:p w14:paraId="4C8875F8">
            <w:pPr>
              <w:adjustRightInd w:val="0"/>
              <w:spacing w:line="400" w:lineRule="exact"/>
              <w:rPr>
                <w:rFonts w:ascii="宋体" w:hAnsi="宋体" w:cs="宋体"/>
                <w:color w:val="auto"/>
                <w:szCs w:val="21"/>
                <w:highlight w:val="none"/>
              </w:rPr>
            </w:pPr>
            <w:bookmarkStart w:id="58" w:name="_13.4"/>
            <w:bookmarkEnd w:id="58"/>
          </w:p>
        </w:tc>
        <w:tc>
          <w:tcPr>
            <w:tcW w:w="8670" w:type="dxa"/>
            <w:tcBorders>
              <w:top w:val="single" w:color="auto" w:sz="4" w:space="0"/>
              <w:left w:val="single" w:color="auto" w:sz="4" w:space="0"/>
              <w:bottom w:val="single" w:color="auto" w:sz="4" w:space="0"/>
              <w:right w:val="single" w:color="auto" w:sz="4" w:space="0"/>
            </w:tcBorders>
            <w:vAlign w:val="center"/>
          </w:tcPr>
          <w:p w14:paraId="540173C3">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技术文件：</w:t>
            </w:r>
          </w:p>
          <w:p w14:paraId="4F4F3952">
            <w:pPr>
              <w:tabs>
                <w:tab w:val="left" w:pos="312"/>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rPr>
              <w:t>投标人所投分标产品相应有效的《医疗器械产品注册证》复印件</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367D5CD3">
            <w:pPr>
              <w:tabs>
                <w:tab w:val="left" w:pos="312"/>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2.技术要求偏离表（格式后附）；（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E698686">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3.设备性能配置清单（格式后附）；（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555B8D94">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4.项目实施人员一览表（格式后附）；</w:t>
            </w:r>
          </w:p>
          <w:p w14:paraId="668208C3">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5.对本项目系统总体要求的理解。包括：功能说明、性能指标及设备选型说明（质量、性能、价格、外观、体积等方面进行比较和选择的理由及过程）（格式自拟）；</w:t>
            </w:r>
          </w:p>
          <w:p w14:paraId="09C52D8A">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6.产品出厂标准、质量检测报告（格式自拟）；</w:t>
            </w:r>
          </w:p>
          <w:p w14:paraId="05AD684E">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7.优惠条件：投标人承诺给予招标人的各种优惠条件，包括选配件、专用耗材、售后服务优惠（格式后附）；注：投标人不得给予赠品或者与采购无关的其他商品、服务；</w:t>
            </w:r>
          </w:p>
          <w:p w14:paraId="628F96F0">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8.投标人对本项目的合理化建议和改进措施（格式自拟）；</w:t>
            </w:r>
          </w:p>
          <w:p w14:paraId="671DE3A6">
            <w:pPr>
              <w:adjustRightInd w:val="0"/>
              <w:spacing w:line="400" w:lineRule="exact"/>
              <w:jc w:val="left"/>
              <w:rPr>
                <w:rFonts w:ascii="宋体" w:hAnsi="宋体" w:cs="宋体"/>
                <w:bCs/>
                <w:color w:val="auto"/>
                <w:szCs w:val="21"/>
                <w:highlight w:val="none"/>
              </w:rPr>
            </w:pPr>
            <w:r>
              <w:rPr>
                <w:rFonts w:hint="eastAsia" w:ascii="宋体" w:hAnsi="宋体" w:cs="宋体"/>
                <w:color w:val="auto"/>
                <w:szCs w:val="21"/>
                <w:highlight w:val="none"/>
              </w:rPr>
              <w:t>9.除招标文件规定必须提供以外，投标人需要说明的其他文件和说明（格式自拟）。</w:t>
            </w:r>
          </w:p>
          <w:p w14:paraId="65D1D264">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注：以上标明“必须提供”的材料必须加盖投标人电子签章，格式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tc>
      </w:tr>
      <w:tr w14:paraId="08521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10B75C5">
            <w:pPr>
              <w:adjustRightInd w:val="0"/>
              <w:spacing w:line="400" w:lineRule="exact"/>
              <w:jc w:val="center"/>
              <w:rPr>
                <w:rFonts w:ascii="宋体" w:hAnsi="宋体" w:cs="宋体"/>
                <w:color w:val="auto"/>
                <w:szCs w:val="21"/>
                <w:highlight w:val="none"/>
              </w:rPr>
            </w:pPr>
            <w:bookmarkStart w:id="59" w:name="_13.5"/>
            <w:bookmarkEnd w:id="59"/>
            <w:bookmarkStart w:id="60" w:name="_16.2"/>
            <w:bookmarkEnd w:id="60"/>
            <w:r>
              <w:rPr>
                <w:rFonts w:hint="eastAsia" w:ascii="宋体" w:hAnsi="宋体" w:cs="宋体"/>
                <w:color w:val="auto"/>
                <w:szCs w:val="21"/>
                <w:highlight w:val="none"/>
              </w:rPr>
              <w:t>16</w:t>
            </w:r>
            <w:bookmarkStart w:id="61" w:name="_Hlt19194067"/>
            <w:bookmarkStart w:id="62" w:name="_Hlt19693758"/>
            <w:bookmarkStart w:id="63" w:name="_Hlt19693759"/>
            <w:bookmarkStart w:id="64" w:name="_Hlt19194066"/>
            <w:r>
              <w:rPr>
                <w:rFonts w:hint="eastAsia" w:ascii="宋体" w:hAnsi="宋体" w:cs="宋体"/>
                <w:color w:val="auto"/>
                <w:szCs w:val="21"/>
                <w:highlight w:val="none"/>
              </w:rPr>
              <w:t>.</w:t>
            </w:r>
            <w:bookmarkEnd w:id="61"/>
            <w:bookmarkEnd w:id="62"/>
            <w:bookmarkEnd w:id="63"/>
            <w:bookmarkEnd w:id="64"/>
            <w:r>
              <w:rPr>
                <w:rFonts w:hint="eastAsia" w:ascii="宋体" w:hAnsi="宋体" w:cs="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vAlign w:val="center"/>
          </w:tcPr>
          <w:p w14:paraId="1D395318">
            <w:pPr>
              <w:adjustRightInd w:val="0"/>
              <w:spacing w:line="400" w:lineRule="exact"/>
              <w:rPr>
                <w:rFonts w:ascii="宋体" w:hAnsi="宋体" w:cs="宋体"/>
                <w:b/>
                <w:color w:val="auto"/>
                <w:szCs w:val="21"/>
                <w:highlight w:val="none"/>
              </w:rPr>
            </w:pPr>
            <w:r>
              <w:rPr>
                <w:rFonts w:hint="eastAsia" w:ascii="宋体" w:hAnsi="宋体" w:cs="宋体"/>
                <w:color w:val="auto"/>
                <w:szCs w:val="21"/>
                <w:highlight w:val="none"/>
              </w:rPr>
              <w:t>投标报价是履行合同的最终价格，包括但不限于：（1）货物的价格；（2）货物的标准附件、备品备件、专用工具的价格；（3）运输、装卸、调试、培训、技术支持、售后服务等费用；（4）必要的保险费用和各项税费；（5）安装费用；（6）设备零配件、项目安装、调试、检测、试验及验收（含验收时第三方检测机构校准并出具校准报告）、现场卫生清理、线缆、管材和招标文件中有关的全部内容并完成所有工程和服务，所有成本费用的总和，采购人不再支付其他任何费用。</w:t>
            </w:r>
          </w:p>
        </w:tc>
      </w:tr>
      <w:tr w14:paraId="31126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90C36BE">
            <w:pPr>
              <w:adjustRightInd w:val="0"/>
              <w:spacing w:line="400" w:lineRule="exact"/>
              <w:jc w:val="center"/>
              <w:rPr>
                <w:rFonts w:ascii="宋体" w:hAnsi="宋体" w:cs="宋体"/>
                <w:color w:val="auto"/>
                <w:szCs w:val="21"/>
                <w:highlight w:val="none"/>
              </w:rPr>
            </w:pPr>
            <w:bookmarkStart w:id="65" w:name="_17.1"/>
            <w:bookmarkEnd w:id="65"/>
            <w:r>
              <w:rPr>
                <w:rFonts w:hint="eastAsia" w:ascii="宋体" w:hAnsi="宋体" w:cs="宋体"/>
                <w:color w:val="auto"/>
                <w:szCs w:val="21"/>
                <w:highlight w:val="none"/>
              </w:rPr>
              <w:t>17.2</w:t>
            </w:r>
          </w:p>
        </w:tc>
        <w:tc>
          <w:tcPr>
            <w:tcW w:w="8670" w:type="dxa"/>
            <w:tcBorders>
              <w:top w:val="single" w:color="auto" w:sz="4" w:space="0"/>
              <w:left w:val="single" w:color="auto" w:sz="4" w:space="0"/>
              <w:bottom w:val="single" w:color="auto" w:sz="4" w:space="0"/>
              <w:right w:val="single" w:color="auto" w:sz="4" w:space="0"/>
            </w:tcBorders>
            <w:vAlign w:val="center"/>
          </w:tcPr>
          <w:p w14:paraId="08F8296B">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180</w:t>
            </w:r>
            <w:r>
              <w:rPr>
                <w:rFonts w:hint="eastAsia" w:ascii="宋体" w:hAnsi="宋体" w:cs="宋体"/>
                <w:color w:val="auto"/>
                <w:szCs w:val="21"/>
                <w:highlight w:val="none"/>
              </w:rPr>
              <w:t>日。</w:t>
            </w:r>
          </w:p>
        </w:tc>
      </w:tr>
      <w:tr w14:paraId="741FC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E56B725">
            <w:pPr>
              <w:adjustRightInd w:val="0"/>
              <w:spacing w:line="400" w:lineRule="exact"/>
              <w:jc w:val="center"/>
              <w:rPr>
                <w:rFonts w:ascii="宋体" w:hAnsi="宋体" w:cs="宋体"/>
                <w:color w:val="auto"/>
                <w:szCs w:val="21"/>
                <w:highlight w:val="none"/>
              </w:rPr>
            </w:pPr>
            <w:bookmarkStart w:id="66" w:name="_18"/>
            <w:bookmarkEnd w:id="66"/>
            <w:r>
              <w:rPr>
                <w:rFonts w:hint="eastAsia" w:ascii="宋体" w:hAnsi="宋体" w:cs="宋体"/>
                <w:color w:val="auto"/>
                <w:szCs w:val="21"/>
                <w:highlight w:val="none"/>
              </w:rPr>
              <w:t>18.1</w:t>
            </w:r>
          </w:p>
        </w:tc>
        <w:tc>
          <w:tcPr>
            <w:tcW w:w="8670" w:type="dxa"/>
            <w:tcBorders>
              <w:top w:val="single" w:color="auto" w:sz="4" w:space="0"/>
              <w:left w:val="single" w:color="auto" w:sz="4" w:space="0"/>
              <w:bottom w:val="single" w:color="auto" w:sz="4" w:space="0"/>
              <w:right w:val="single" w:color="auto" w:sz="4" w:space="0"/>
            </w:tcBorders>
            <w:vAlign w:val="center"/>
          </w:tcPr>
          <w:p w14:paraId="41FB2B6C">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08C4D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39A7BC7">
            <w:pPr>
              <w:adjustRightInd w:val="0"/>
              <w:spacing w:line="400" w:lineRule="exact"/>
              <w:jc w:val="center"/>
              <w:rPr>
                <w:rFonts w:ascii="宋体" w:hAnsi="宋体" w:cs="宋体"/>
                <w:color w:val="auto"/>
                <w:szCs w:val="21"/>
                <w:highlight w:val="none"/>
              </w:rPr>
            </w:pPr>
            <w:bookmarkStart w:id="67" w:name="_19.2"/>
            <w:bookmarkEnd w:id="67"/>
            <w:r>
              <w:rPr>
                <w:rFonts w:hint="eastAsia" w:ascii="宋体" w:hAnsi="宋体" w:cs="宋体"/>
                <w:color w:val="auto"/>
                <w:szCs w:val="21"/>
                <w:highlight w:val="none"/>
              </w:rPr>
              <w:t>20</w:t>
            </w:r>
          </w:p>
        </w:tc>
        <w:tc>
          <w:tcPr>
            <w:tcW w:w="8670" w:type="dxa"/>
            <w:tcBorders>
              <w:top w:val="single" w:color="auto" w:sz="4" w:space="0"/>
              <w:left w:val="single" w:color="auto" w:sz="4" w:space="0"/>
              <w:bottom w:val="single" w:color="auto" w:sz="4" w:space="0"/>
              <w:right w:val="single" w:color="auto" w:sz="4" w:space="0"/>
            </w:tcBorders>
            <w:vAlign w:val="center"/>
          </w:tcPr>
          <w:p w14:paraId="44F0154C">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□本项目不接受电子备份投标文件。</w:t>
            </w:r>
          </w:p>
          <w:p w14:paraId="438833A2">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☑本项目接受</w:t>
            </w:r>
            <w:r>
              <w:rPr>
                <w:rFonts w:hint="eastAsia" w:ascii="宋体" w:hAnsi="宋体" w:cs="宋体"/>
                <w:color w:val="auto"/>
                <w:highlight w:val="none"/>
              </w:rPr>
              <w:t>电子</w:t>
            </w:r>
            <w:r>
              <w:rPr>
                <w:rFonts w:hint="eastAsia" w:ascii="宋体" w:hAnsi="宋体" w:cs="宋体"/>
                <w:color w:val="auto"/>
                <w:szCs w:val="21"/>
                <w:highlight w:val="none"/>
              </w:rPr>
              <w:t>备份投标文件。</w:t>
            </w:r>
          </w:p>
          <w:p w14:paraId="47D2ECAE">
            <w:pPr>
              <w:autoSpaceDE w:val="0"/>
              <w:autoSpaceDN w:val="0"/>
              <w:adjustRightInd w:val="0"/>
              <w:spacing w:line="400" w:lineRule="exact"/>
              <w:ind w:firstLine="420" w:firstLineChars="200"/>
              <w:textAlignment w:val="bottom"/>
              <w:rPr>
                <w:rFonts w:ascii="宋体" w:hAnsi="宋体" w:cs="宋体"/>
                <w:color w:val="auto"/>
                <w:highlight w:val="none"/>
              </w:rPr>
            </w:pPr>
            <w:r>
              <w:rPr>
                <w:rFonts w:hint="eastAsia" w:ascii="宋体" w:hAnsi="宋体" w:cs="宋体"/>
                <w:color w:val="auto"/>
                <w:highlight w:val="none"/>
              </w:rPr>
              <w:t>电子</w:t>
            </w:r>
            <w:r>
              <w:rPr>
                <w:rFonts w:hint="eastAsia" w:ascii="宋体" w:hAnsi="宋体" w:cs="宋体"/>
                <w:color w:val="auto"/>
                <w:szCs w:val="21"/>
                <w:highlight w:val="none"/>
              </w:rPr>
              <w:t>备份投标文件</w:t>
            </w:r>
            <w:r>
              <w:rPr>
                <w:rFonts w:hint="eastAsia" w:ascii="宋体" w:hAnsi="宋体" w:cs="宋体"/>
                <w:color w:val="auto"/>
                <w:highlight w:val="none"/>
              </w:rPr>
              <w:t>提交方式：投标人可以在投标截止时间前采用以下</w:t>
            </w:r>
            <w:r>
              <w:rPr>
                <w:rFonts w:hint="eastAsia" w:ascii="宋体" w:hAnsi="宋体" w:cs="宋体"/>
                <w:color w:val="auto"/>
                <w:highlight w:val="none"/>
                <w:u w:val="single"/>
              </w:rPr>
              <w:t>第（1）或（2）</w:t>
            </w:r>
            <w:r>
              <w:rPr>
                <w:rFonts w:hint="eastAsia" w:ascii="宋体" w:hAnsi="宋体" w:cs="宋体"/>
                <w:color w:val="auto"/>
                <w:highlight w:val="none"/>
              </w:rPr>
              <w:t>种方式向采购代理机构提交电子备份投标文件：</w:t>
            </w:r>
          </w:p>
          <w:p w14:paraId="4C0378F9">
            <w:pPr>
              <w:autoSpaceDE w:val="0"/>
              <w:autoSpaceDN w:val="0"/>
              <w:adjustRightInd w:val="0"/>
              <w:spacing w:line="400" w:lineRule="exact"/>
              <w:textAlignment w:val="bottom"/>
              <w:rPr>
                <w:rFonts w:ascii="宋体" w:hAnsi="宋体" w:cs="宋体"/>
                <w:color w:val="auto"/>
                <w:highlight w:val="none"/>
              </w:rPr>
            </w:pPr>
            <w:r>
              <w:rPr>
                <w:rFonts w:hint="eastAsia" w:ascii="宋体" w:hAnsi="宋体" w:cs="宋体"/>
                <w:color w:val="auto"/>
                <w:highlight w:val="none"/>
              </w:rPr>
              <w:t>（1）现场提交方式，应采用U盘进行存储，提交地址：</w:t>
            </w:r>
            <w:r>
              <w:rPr>
                <w:rFonts w:hint="eastAsia" w:ascii="宋体" w:hAnsi="宋体" w:cs="宋体"/>
                <w:color w:val="auto"/>
                <w:szCs w:val="21"/>
                <w:highlight w:val="none"/>
              </w:rPr>
              <w:t>桂林市公共资源交易中心</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号</w:t>
            </w:r>
            <w:r>
              <w:rPr>
                <w:rFonts w:hint="eastAsia" w:ascii="宋体" w:hAnsi="宋体" w:cs="宋体"/>
                <w:color w:val="auto"/>
                <w:szCs w:val="21"/>
                <w:highlight w:val="none"/>
                <w:lang w:eastAsia="zh-CN"/>
              </w:rPr>
              <w:t>政采</w:t>
            </w:r>
            <w:r>
              <w:rPr>
                <w:rFonts w:hint="eastAsia" w:ascii="宋体" w:hAnsi="宋体" w:cs="宋体"/>
                <w:color w:val="auto"/>
                <w:szCs w:val="21"/>
                <w:highlight w:val="none"/>
              </w:rPr>
              <w:t>开标</w:t>
            </w:r>
            <w:r>
              <w:rPr>
                <w:rFonts w:hint="eastAsia" w:ascii="宋体" w:hAnsi="宋体" w:cs="宋体"/>
                <w:color w:val="auto"/>
                <w:szCs w:val="21"/>
                <w:highlight w:val="none"/>
                <w:lang w:eastAsia="zh-CN"/>
              </w:rPr>
              <w:t>仓</w:t>
            </w:r>
            <w:r>
              <w:rPr>
                <w:rFonts w:hint="eastAsia" w:ascii="宋体" w:hAnsi="宋体" w:cs="宋体"/>
                <w:color w:val="auto"/>
                <w:szCs w:val="21"/>
                <w:highlight w:val="none"/>
              </w:rPr>
              <w:t>（广西桂林市临桂区西城中路69号创业大厦西辅楼4楼北区）</w:t>
            </w:r>
            <w:r>
              <w:rPr>
                <w:rFonts w:hint="eastAsia" w:ascii="宋体" w:hAnsi="宋体" w:cs="宋体"/>
                <w:color w:val="auto"/>
                <w:highlight w:val="none"/>
              </w:rPr>
              <w:t>；外包装上注明投标人名称、项目名称及项目编号（外包装不作密封要求）。</w:t>
            </w:r>
          </w:p>
          <w:p w14:paraId="51BBE4A4">
            <w:pPr>
              <w:autoSpaceDE w:val="0"/>
              <w:autoSpaceDN w:val="0"/>
              <w:adjustRightInd w:val="0"/>
              <w:spacing w:line="400" w:lineRule="exact"/>
              <w:textAlignment w:val="bottom"/>
              <w:rPr>
                <w:rFonts w:ascii="宋体" w:hAnsi="宋体" w:cs="宋体"/>
                <w:color w:val="auto"/>
                <w:highlight w:val="none"/>
              </w:rPr>
            </w:pPr>
            <w:r>
              <w:rPr>
                <w:rFonts w:hint="eastAsia" w:ascii="宋体" w:hAnsi="宋体" w:cs="宋体"/>
                <w:color w:val="auto"/>
                <w:highlight w:val="none"/>
              </w:rPr>
              <w:t>（2）电子邮件方式，接收电子备份投标文件的电子邮箱为：guilinyl@vip.sina.com。</w:t>
            </w:r>
          </w:p>
          <w:p w14:paraId="345559CA">
            <w:pPr>
              <w:autoSpaceDE w:val="0"/>
              <w:autoSpaceDN w:val="0"/>
              <w:adjustRightInd w:val="0"/>
              <w:spacing w:line="400" w:lineRule="exact"/>
              <w:textAlignment w:val="bottom"/>
              <w:rPr>
                <w:rFonts w:ascii="宋体" w:hAnsi="宋体" w:cs="宋体"/>
                <w:color w:val="auto"/>
                <w:highlight w:val="none"/>
              </w:rPr>
            </w:pPr>
            <w:r>
              <w:rPr>
                <w:rFonts w:hint="eastAsia" w:ascii="宋体" w:hAnsi="宋体" w:cs="宋体"/>
                <w:color w:val="auto"/>
                <w:highlight w:val="none"/>
              </w:rPr>
              <w:t>（3）邮寄方式，应采用U盘进行存储，邮寄地址：</w:t>
            </w:r>
            <w:r>
              <w:rPr>
                <w:rFonts w:hint="eastAsia" w:ascii="宋体" w:hAnsi="宋体" w:cs="宋体"/>
                <w:color w:val="auto"/>
                <w:highlight w:val="none"/>
                <w:u w:val="single"/>
              </w:rPr>
              <w:t xml:space="preserve">   \   </w:t>
            </w:r>
            <w:r>
              <w:rPr>
                <w:rFonts w:hint="eastAsia" w:ascii="宋体" w:hAnsi="宋体" w:cs="宋体"/>
                <w:color w:val="auto"/>
                <w:highlight w:val="none"/>
              </w:rPr>
              <w:t>，收件人：</w:t>
            </w:r>
            <w:r>
              <w:rPr>
                <w:rFonts w:hint="eastAsia" w:ascii="宋体" w:hAnsi="宋体" w:cs="宋体"/>
                <w:color w:val="auto"/>
                <w:highlight w:val="none"/>
                <w:u w:val="single"/>
              </w:rPr>
              <w:t xml:space="preserve">  \    </w:t>
            </w:r>
            <w:r>
              <w:rPr>
                <w:rFonts w:hint="eastAsia" w:ascii="宋体" w:hAnsi="宋体" w:cs="宋体"/>
                <w:color w:val="auto"/>
                <w:highlight w:val="none"/>
              </w:rPr>
              <w:t>，联系方式：</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；外包装上注明投标人名称、项目名称及项目编号（外包装不作密封要求）。 </w:t>
            </w:r>
          </w:p>
          <w:p w14:paraId="4720B3E0">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highlight w:val="none"/>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政府采购云平台”操作规范上传至“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ascii="宋体" w:hAnsi="宋体" w:cs="宋体"/>
                <w:b/>
                <w:bCs/>
                <w:color w:val="auto"/>
                <w:highlight w:val="none"/>
              </w:rPr>
              <w:t>投标人的投标文件作无效处理。</w:t>
            </w:r>
          </w:p>
        </w:tc>
      </w:tr>
      <w:tr w14:paraId="73D16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vAlign w:val="center"/>
          </w:tcPr>
          <w:p w14:paraId="4323139D">
            <w:pPr>
              <w:adjustRightInd w:val="0"/>
              <w:spacing w:line="400" w:lineRule="exact"/>
              <w:jc w:val="center"/>
              <w:rPr>
                <w:rFonts w:ascii="宋体" w:hAnsi="宋体" w:cs="宋体"/>
                <w:color w:val="auto"/>
                <w:szCs w:val="21"/>
                <w:highlight w:val="none"/>
              </w:rPr>
            </w:pPr>
            <w:bookmarkStart w:id="68" w:name="_21.1"/>
            <w:bookmarkEnd w:id="68"/>
            <w:r>
              <w:rPr>
                <w:rFonts w:hint="eastAsia" w:ascii="宋体" w:hAnsi="宋体" w:cs="宋体"/>
                <w:color w:val="auto"/>
                <w:szCs w:val="21"/>
                <w:highlight w:val="none"/>
              </w:rPr>
              <w:t>21.1</w:t>
            </w:r>
          </w:p>
        </w:tc>
        <w:tc>
          <w:tcPr>
            <w:tcW w:w="8670" w:type="dxa"/>
            <w:tcBorders>
              <w:top w:val="single" w:color="auto" w:sz="4" w:space="0"/>
              <w:left w:val="single" w:color="auto" w:sz="4" w:space="0"/>
              <w:bottom w:val="single" w:color="auto" w:sz="4" w:space="0"/>
              <w:right w:val="single" w:color="auto" w:sz="4" w:space="0"/>
            </w:tcBorders>
            <w:vAlign w:val="center"/>
          </w:tcPr>
          <w:p w14:paraId="048E1D03">
            <w:pPr>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1.投标文件提交截止时间：详见招标公告</w:t>
            </w:r>
          </w:p>
          <w:p w14:paraId="054C1528">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2.投标地点：详见招标公告</w:t>
            </w:r>
          </w:p>
        </w:tc>
      </w:tr>
      <w:tr w14:paraId="160EB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9370E7C">
            <w:pPr>
              <w:adjustRightInd w:val="0"/>
              <w:spacing w:line="400" w:lineRule="exact"/>
              <w:jc w:val="center"/>
              <w:rPr>
                <w:rFonts w:ascii="宋体" w:hAnsi="宋体" w:cs="宋体"/>
                <w:color w:val="auto"/>
                <w:szCs w:val="21"/>
                <w:highlight w:val="none"/>
              </w:rPr>
            </w:pPr>
            <w:bookmarkStart w:id="69" w:name="_23"/>
            <w:bookmarkEnd w:id="69"/>
            <w:r>
              <w:rPr>
                <w:rFonts w:hint="eastAsia" w:ascii="宋体" w:hAnsi="宋体" w:cs="宋体"/>
                <w:color w:val="auto"/>
                <w:szCs w:val="21"/>
                <w:highlight w:val="none"/>
              </w:rPr>
              <w:t>23</w:t>
            </w:r>
          </w:p>
        </w:tc>
        <w:tc>
          <w:tcPr>
            <w:tcW w:w="8670" w:type="dxa"/>
            <w:tcBorders>
              <w:top w:val="single" w:color="auto" w:sz="4" w:space="0"/>
              <w:left w:val="single" w:color="auto" w:sz="4" w:space="0"/>
              <w:bottom w:val="single" w:color="auto" w:sz="4" w:space="0"/>
              <w:right w:val="single" w:color="auto" w:sz="4" w:space="0"/>
            </w:tcBorders>
            <w:vAlign w:val="center"/>
          </w:tcPr>
          <w:p w14:paraId="2B3DB595">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1.开标时间：详见招标公告</w:t>
            </w:r>
          </w:p>
          <w:p w14:paraId="5BB43DB4">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2.开标地点：详见招标公告</w:t>
            </w:r>
          </w:p>
        </w:tc>
      </w:tr>
      <w:tr w14:paraId="03802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EA0E531">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24.3（1）</w:t>
            </w:r>
          </w:p>
        </w:tc>
        <w:tc>
          <w:tcPr>
            <w:tcW w:w="8670" w:type="dxa"/>
            <w:tcBorders>
              <w:top w:val="single" w:color="auto" w:sz="4" w:space="0"/>
              <w:left w:val="single" w:color="auto" w:sz="4" w:space="0"/>
              <w:bottom w:val="single" w:color="auto" w:sz="4" w:space="0"/>
              <w:right w:val="single" w:color="auto" w:sz="4" w:space="0"/>
            </w:tcBorders>
            <w:vAlign w:val="center"/>
          </w:tcPr>
          <w:p w14:paraId="6D0B8625">
            <w:pPr>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电子投标文件解密时间：</w:t>
            </w:r>
            <w:r>
              <w:rPr>
                <w:rFonts w:hint="eastAsia" w:ascii="宋体" w:hAnsi="宋体" w:cs="宋体"/>
                <w:color w:val="auto"/>
                <w:szCs w:val="21"/>
                <w:highlight w:val="none"/>
                <w:u w:val="single"/>
              </w:rPr>
              <w:t>30</w:t>
            </w:r>
            <w:r>
              <w:rPr>
                <w:rFonts w:hint="eastAsia" w:ascii="宋体" w:hAnsi="宋体" w:cs="宋体"/>
                <w:color w:val="auto"/>
                <w:szCs w:val="21"/>
                <w:highlight w:val="none"/>
              </w:rPr>
              <w:t>分钟</w:t>
            </w:r>
          </w:p>
        </w:tc>
      </w:tr>
      <w:tr w14:paraId="60020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E2E6BA1">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24.3（2）</w:t>
            </w:r>
          </w:p>
        </w:tc>
        <w:tc>
          <w:tcPr>
            <w:tcW w:w="8670" w:type="dxa"/>
            <w:tcBorders>
              <w:top w:val="single" w:color="auto" w:sz="4" w:space="0"/>
              <w:left w:val="single" w:color="auto" w:sz="4" w:space="0"/>
              <w:bottom w:val="single" w:color="auto" w:sz="4" w:space="0"/>
              <w:right w:val="single" w:color="auto" w:sz="4" w:space="0"/>
            </w:tcBorders>
            <w:vAlign w:val="center"/>
          </w:tcPr>
          <w:p w14:paraId="05D067AE">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宣布的内容：投标人名称、投标价格、</w:t>
            </w:r>
            <w:r>
              <w:rPr>
                <w:rFonts w:hint="eastAsia" w:ascii="宋体" w:hAnsi="宋体" w:cs="宋体"/>
                <w:color w:val="auto"/>
                <w:szCs w:val="21"/>
                <w:highlight w:val="none"/>
                <w:u w:val="single"/>
              </w:rPr>
              <w:t>\</w:t>
            </w:r>
          </w:p>
        </w:tc>
      </w:tr>
      <w:tr w14:paraId="767F1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E9C5C69">
            <w:pPr>
              <w:adjustRightInd w:val="0"/>
              <w:spacing w:line="400" w:lineRule="exact"/>
              <w:jc w:val="center"/>
              <w:rPr>
                <w:rFonts w:ascii="宋体" w:hAnsi="宋体" w:cs="宋体"/>
                <w:color w:val="auto"/>
                <w:szCs w:val="21"/>
                <w:highlight w:val="none"/>
              </w:rPr>
            </w:pPr>
            <w:bookmarkStart w:id="70" w:name="_25.3"/>
            <w:bookmarkEnd w:id="70"/>
            <w:r>
              <w:rPr>
                <w:rFonts w:hint="eastAsia" w:ascii="宋体" w:hAnsi="宋体" w:cs="宋体"/>
                <w:color w:val="auto"/>
                <w:szCs w:val="21"/>
                <w:highlight w:val="none"/>
              </w:rPr>
              <w:t>25.3（2）</w:t>
            </w:r>
          </w:p>
        </w:tc>
        <w:tc>
          <w:tcPr>
            <w:tcW w:w="8670" w:type="dxa"/>
            <w:tcBorders>
              <w:top w:val="single" w:color="auto" w:sz="4" w:space="0"/>
              <w:left w:val="single" w:color="auto" w:sz="4" w:space="0"/>
              <w:bottom w:val="single" w:color="auto" w:sz="4" w:space="0"/>
              <w:right w:val="single" w:color="auto" w:sz="4" w:space="0"/>
            </w:tcBorders>
            <w:vAlign w:val="center"/>
          </w:tcPr>
          <w:p w14:paraId="7630A359">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2B7B2C68">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查询渠道：“信用中国”网站（</w:t>
            </w:r>
            <w:r>
              <w:rPr>
                <w:rFonts w:hint="eastAsia" w:ascii="宋体" w:hAnsi="宋体" w:cs="宋体"/>
                <w:color w:val="auto"/>
                <w:kern w:val="0"/>
                <w:szCs w:val="21"/>
                <w:highlight w:val="none"/>
              </w:rPr>
              <w:t>http://</w:t>
            </w:r>
            <w:r>
              <w:rPr>
                <w:rFonts w:hint="eastAsia" w:ascii="宋体" w:hAnsi="宋体" w:cs="宋体"/>
                <w:color w:val="auto"/>
                <w:szCs w:val="21"/>
                <w:highlight w:val="none"/>
              </w:rPr>
              <w:t>www.creditchina.gov.cn） 、中国政府采购网（</w:t>
            </w:r>
            <w:r>
              <w:rPr>
                <w:rFonts w:hint="eastAsia" w:ascii="宋体" w:hAnsi="宋体" w:cs="宋体"/>
                <w:color w:val="auto"/>
                <w:kern w:val="0"/>
                <w:szCs w:val="21"/>
                <w:highlight w:val="none"/>
              </w:rPr>
              <w:t>http://</w:t>
            </w:r>
            <w:r>
              <w:rPr>
                <w:rFonts w:hint="eastAsia" w:ascii="宋体" w:hAnsi="宋体" w:cs="宋体"/>
                <w:color w:val="auto"/>
                <w:szCs w:val="21"/>
                <w:highlight w:val="none"/>
              </w:rPr>
              <w:t>www.ccgp.gov.cn）。</w:t>
            </w:r>
          </w:p>
          <w:p w14:paraId="53C62B9C">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4390422C">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查询记录和证据留存方式：在查询网站中直接截图查询记录，截图作为在“广西政府采购云平台”作为附件上传保存。</w:t>
            </w:r>
          </w:p>
          <w:p w14:paraId="14D5E7DE">
            <w:pPr>
              <w:adjustRightInd w:val="0"/>
              <w:spacing w:line="400" w:lineRule="exact"/>
              <w:rPr>
                <w:rFonts w:ascii="宋体" w:hAnsi="宋体" w:cs="宋体"/>
                <w:b/>
                <w:color w:val="auto"/>
                <w:szCs w:val="21"/>
                <w:highlight w:val="none"/>
              </w:rPr>
            </w:pPr>
            <w:r>
              <w:rPr>
                <w:rFonts w:hint="eastAsia" w:ascii="宋体" w:hAnsi="宋体" w:cs="宋体"/>
                <w:color w:val="auto"/>
                <w:szCs w:val="21"/>
                <w:highlight w:val="none"/>
              </w:rPr>
              <w:t>信用信息使用规则：对在“信用中国”网站（</w:t>
            </w:r>
            <w:r>
              <w:rPr>
                <w:rFonts w:hint="eastAsia" w:ascii="宋体" w:hAnsi="宋体" w:cs="宋体"/>
                <w:color w:val="auto"/>
                <w:kern w:val="0"/>
                <w:szCs w:val="21"/>
                <w:highlight w:val="none"/>
              </w:rPr>
              <w:t>http://</w:t>
            </w:r>
            <w:r>
              <w:rPr>
                <w:rFonts w:hint="eastAsia" w:ascii="宋体" w:hAnsi="宋体" w:cs="宋体"/>
                <w:color w:val="auto"/>
                <w:szCs w:val="21"/>
                <w:highlight w:val="none"/>
              </w:rPr>
              <w:t>www.creditchina.gov.cn） 、中国政府采购网（</w:t>
            </w:r>
            <w:r>
              <w:rPr>
                <w:rFonts w:hint="eastAsia" w:ascii="宋体" w:hAnsi="宋体" w:cs="宋体"/>
                <w:color w:val="auto"/>
                <w:kern w:val="0"/>
                <w:szCs w:val="21"/>
                <w:highlight w:val="none"/>
              </w:rPr>
              <w:t>http://</w:t>
            </w:r>
            <w:r>
              <w:rPr>
                <w:rFonts w:hint="eastAsia" w:ascii="宋体" w:hAnsi="宋体" w:cs="宋体"/>
                <w:color w:val="auto"/>
                <w:szCs w:val="21"/>
                <w:highlight w:val="none"/>
              </w:rPr>
              <w:t>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3D85B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1B392BD">
            <w:pPr>
              <w:adjustRightInd w:val="0"/>
              <w:spacing w:line="400" w:lineRule="exact"/>
              <w:jc w:val="center"/>
              <w:rPr>
                <w:rFonts w:ascii="宋体" w:hAnsi="宋体" w:cs="宋体"/>
                <w:color w:val="auto"/>
                <w:szCs w:val="21"/>
                <w:highlight w:val="none"/>
              </w:rPr>
            </w:pPr>
            <w:bookmarkStart w:id="71" w:name="_26"/>
            <w:bookmarkEnd w:id="71"/>
            <w:r>
              <w:rPr>
                <w:rFonts w:hint="eastAsia" w:ascii="宋体" w:hAnsi="宋体" w:cs="宋体"/>
                <w:color w:val="auto"/>
                <w:szCs w:val="21"/>
                <w:highlight w:val="none"/>
              </w:rPr>
              <w:t>26.1</w:t>
            </w:r>
          </w:p>
        </w:tc>
        <w:tc>
          <w:tcPr>
            <w:tcW w:w="8670" w:type="dxa"/>
            <w:tcBorders>
              <w:top w:val="single" w:color="auto" w:sz="4" w:space="0"/>
              <w:left w:val="single" w:color="auto" w:sz="4" w:space="0"/>
              <w:bottom w:val="single" w:color="auto" w:sz="4" w:space="0"/>
              <w:right w:val="single" w:color="auto" w:sz="4" w:space="0"/>
            </w:tcBorders>
            <w:vAlign w:val="center"/>
          </w:tcPr>
          <w:p w14:paraId="69632910">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评标委员会的人数：</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人</w:t>
            </w:r>
          </w:p>
        </w:tc>
      </w:tr>
      <w:tr w14:paraId="521DA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5B6BE2C">
            <w:pPr>
              <w:adjustRightInd w:val="0"/>
              <w:spacing w:line="400" w:lineRule="exact"/>
              <w:jc w:val="center"/>
              <w:rPr>
                <w:rFonts w:ascii="宋体" w:hAnsi="宋体" w:cs="宋体"/>
                <w:color w:val="auto"/>
                <w:szCs w:val="21"/>
                <w:highlight w:val="none"/>
              </w:rPr>
            </w:pPr>
            <w:bookmarkStart w:id="72" w:name="_28.3"/>
            <w:bookmarkEnd w:id="72"/>
            <w:r>
              <w:rPr>
                <w:rFonts w:hint="eastAsia" w:ascii="宋体" w:hAnsi="宋体" w:cs="宋体"/>
                <w:color w:val="auto"/>
                <w:szCs w:val="21"/>
                <w:highlight w:val="none"/>
              </w:rPr>
              <w:t>29.1</w:t>
            </w:r>
          </w:p>
        </w:tc>
        <w:tc>
          <w:tcPr>
            <w:tcW w:w="8670" w:type="dxa"/>
            <w:tcBorders>
              <w:top w:val="single" w:color="auto" w:sz="4" w:space="0"/>
              <w:left w:val="single" w:color="auto" w:sz="4" w:space="0"/>
              <w:bottom w:val="single" w:color="auto" w:sz="4" w:space="0"/>
              <w:right w:val="single" w:color="auto" w:sz="4" w:space="0"/>
            </w:tcBorders>
            <w:vAlign w:val="center"/>
          </w:tcPr>
          <w:p w14:paraId="23617E6B">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评标方法：</w:t>
            </w:r>
          </w:p>
          <w:p w14:paraId="11423868">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12E2AFBB">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0BABE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895" w:type="dxa"/>
            <w:tcBorders>
              <w:top w:val="single" w:color="auto" w:sz="4" w:space="0"/>
              <w:left w:val="single" w:color="auto" w:sz="4" w:space="0"/>
              <w:bottom w:val="single" w:color="auto" w:sz="4" w:space="0"/>
              <w:right w:val="single" w:color="auto" w:sz="4" w:space="0"/>
            </w:tcBorders>
            <w:vAlign w:val="center"/>
          </w:tcPr>
          <w:p w14:paraId="11A04A55">
            <w:pPr>
              <w:adjustRightInd w:val="0"/>
              <w:spacing w:line="400" w:lineRule="exact"/>
              <w:jc w:val="center"/>
              <w:rPr>
                <w:rFonts w:ascii="宋体" w:hAnsi="宋体" w:cs="宋体"/>
                <w:color w:val="auto"/>
                <w:szCs w:val="21"/>
                <w:highlight w:val="none"/>
              </w:rPr>
            </w:pPr>
            <w:bookmarkStart w:id="73" w:name="_29.2.2（2）"/>
            <w:bookmarkEnd w:id="73"/>
            <w:r>
              <w:rPr>
                <w:rFonts w:hint="eastAsia" w:ascii="宋体" w:hAnsi="宋体" w:cs="宋体"/>
                <w:color w:val="auto"/>
                <w:szCs w:val="21"/>
                <w:highlight w:val="none"/>
              </w:rPr>
              <w:t>29.2</w:t>
            </w:r>
          </w:p>
        </w:tc>
        <w:tc>
          <w:tcPr>
            <w:tcW w:w="8670" w:type="dxa"/>
            <w:tcBorders>
              <w:top w:val="single" w:color="auto" w:sz="4" w:space="0"/>
              <w:left w:val="single" w:color="auto" w:sz="4" w:space="0"/>
              <w:right w:val="single" w:color="auto" w:sz="4" w:space="0"/>
            </w:tcBorders>
            <w:vAlign w:val="center"/>
          </w:tcPr>
          <w:p w14:paraId="4172757C">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7CBF50EE">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技术要求评审中允许负偏离的条款数：分标1为</w:t>
            </w:r>
            <w:r>
              <w:rPr>
                <w:rFonts w:hint="eastAsia" w:ascii="宋体" w:hAnsi="宋体" w:cs="宋体"/>
                <w:color w:val="auto"/>
                <w:szCs w:val="21"/>
                <w:highlight w:val="none"/>
                <w:u w:val="single"/>
              </w:rPr>
              <w:t>5</w:t>
            </w:r>
            <w:r>
              <w:rPr>
                <w:rFonts w:hint="eastAsia" w:ascii="宋体" w:hAnsi="宋体" w:cs="宋体"/>
                <w:color w:val="auto"/>
                <w:szCs w:val="21"/>
                <w:highlight w:val="none"/>
              </w:rPr>
              <w:t>项；分标2为</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项；分标3为</w:t>
            </w:r>
            <w:r>
              <w:rPr>
                <w:rFonts w:hint="eastAsia" w:ascii="宋体" w:hAnsi="宋体" w:cs="宋体"/>
                <w:color w:val="auto"/>
                <w:szCs w:val="21"/>
                <w:highlight w:val="none"/>
                <w:u w:val="single"/>
              </w:rPr>
              <w:t>5</w:t>
            </w:r>
            <w:r>
              <w:rPr>
                <w:rFonts w:hint="eastAsia" w:ascii="宋体" w:hAnsi="宋体" w:cs="宋体"/>
                <w:color w:val="auto"/>
                <w:szCs w:val="21"/>
                <w:highlight w:val="none"/>
              </w:rPr>
              <w:t>项。</w:t>
            </w:r>
          </w:p>
        </w:tc>
      </w:tr>
      <w:tr w14:paraId="55500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7DADFE72">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29.3</w:t>
            </w:r>
          </w:p>
        </w:tc>
        <w:tc>
          <w:tcPr>
            <w:tcW w:w="8670" w:type="dxa"/>
            <w:tcBorders>
              <w:top w:val="single" w:color="auto" w:sz="4" w:space="0"/>
              <w:left w:val="single" w:color="auto" w:sz="4" w:space="0"/>
              <w:right w:val="single" w:color="auto" w:sz="4" w:space="0"/>
            </w:tcBorders>
            <w:vAlign w:val="center"/>
          </w:tcPr>
          <w:p w14:paraId="4295878F">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中标候选人推荐数量：</w:t>
            </w:r>
          </w:p>
          <w:p w14:paraId="37AF2D0E">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w:t>
            </w:r>
            <w:r>
              <w:rPr>
                <w:rFonts w:hint="eastAsia" w:ascii="宋体" w:hAnsi="宋体" w:cs="宋体"/>
                <w:color w:val="auto"/>
                <w:szCs w:val="21"/>
                <w:highlight w:val="none"/>
              </w:rPr>
              <w:t>名</w:t>
            </w:r>
          </w:p>
          <w:p w14:paraId="2D308135">
            <w:pPr>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☑根据[总得分由高到低（综合评分法）]排列次序并全部推荐为中标候选人</w:t>
            </w:r>
          </w:p>
        </w:tc>
      </w:tr>
      <w:tr w14:paraId="5E2FC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1105F16">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30.1</w:t>
            </w:r>
          </w:p>
        </w:tc>
        <w:tc>
          <w:tcPr>
            <w:tcW w:w="8670" w:type="dxa"/>
            <w:tcBorders>
              <w:top w:val="single" w:color="auto" w:sz="4" w:space="0"/>
              <w:left w:val="single" w:color="auto" w:sz="4" w:space="0"/>
              <w:bottom w:val="single" w:color="auto" w:sz="4" w:space="0"/>
              <w:right w:val="single" w:color="auto" w:sz="4" w:space="0"/>
            </w:tcBorders>
            <w:vAlign w:val="center"/>
          </w:tcPr>
          <w:p w14:paraId="12CF605F">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w:t>
            </w:r>
          </w:p>
          <w:p w14:paraId="4FEC3978">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☑依次按投标报价低的优先、技术分高的优先、</w:t>
            </w:r>
            <w:r>
              <w:rPr>
                <w:rFonts w:hint="eastAsia" w:ascii="宋体" w:hAnsi="宋体" w:cs="宋体"/>
                <w:bCs/>
                <w:color w:val="auto"/>
                <w:szCs w:val="21"/>
                <w:highlight w:val="none"/>
              </w:rPr>
              <w:t>安装实施方案分高的优先、</w:t>
            </w:r>
            <w:r>
              <w:rPr>
                <w:rFonts w:hint="eastAsia" w:ascii="宋体" w:hAnsi="宋体" w:cs="宋体"/>
                <w:color w:val="auto"/>
                <w:szCs w:val="21"/>
                <w:highlight w:val="none"/>
              </w:rPr>
              <w:t>增值售后服务方案分高的优先、履约能力分高的优先、政策分高的优先顺序推荐；</w:t>
            </w:r>
          </w:p>
          <w:p w14:paraId="0F4ED9D5">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71029CC0">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p w14:paraId="02C7126A">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采用最低评标价法的采购项目，采购人确定中标人时，出现中标候选人并列的情形，采购人按以下的方式确定中标人：</w:t>
            </w:r>
          </w:p>
          <w:p w14:paraId="01E948C8">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节能及环保产品累计金额高的优先、带“▲”的实质性要求正偏离项数多的优先、均无正偏离或者正偏离项数一致时负偏离项数少的优先、保修期长优先、交货期短优先、故障响应时间短优先的顺序确定。</w:t>
            </w:r>
          </w:p>
          <w:p w14:paraId="37316A5C">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4E6DCDCD">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tc>
      </w:tr>
      <w:tr w14:paraId="29847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vAlign w:val="center"/>
          </w:tcPr>
          <w:p w14:paraId="56DE23D7">
            <w:pPr>
              <w:adjustRightInd w:val="0"/>
              <w:spacing w:line="400" w:lineRule="exact"/>
              <w:jc w:val="center"/>
              <w:rPr>
                <w:rFonts w:ascii="宋体" w:hAnsi="宋体" w:cs="宋体"/>
                <w:color w:val="auto"/>
                <w:szCs w:val="21"/>
                <w:highlight w:val="none"/>
              </w:rPr>
            </w:pPr>
            <w:bookmarkStart w:id="74" w:name="_39.1"/>
            <w:bookmarkEnd w:id="74"/>
            <w:r>
              <w:rPr>
                <w:rFonts w:hint="eastAsia" w:ascii="宋体" w:hAnsi="宋体" w:cs="宋体"/>
                <w:color w:val="auto"/>
                <w:szCs w:val="21"/>
                <w:highlight w:val="none"/>
              </w:rPr>
              <w:t>35.1</w:t>
            </w:r>
          </w:p>
        </w:tc>
        <w:tc>
          <w:tcPr>
            <w:tcW w:w="8670" w:type="dxa"/>
            <w:tcBorders>
              <w:top w:val="single" w:color="auto" w:sz="4" w:space="0"/>
              <w:left w:val="single" w:color="auto" w:sz="4" w:space="0"/>
              <w:bottom w:val="single" w:color="auto" w:sz="4" w:space="0"/>
              <w:right w:val="single" w:color="auto" w:sz="4" w:space="0"/>
            </w:tcBorders>
            <w:vAlign w:val="center"/>
          </w:tcPr>
          <w:p w14:paraId="47A04A9D">
            <w:pPr>
              <w:autoSpaceDE w:val="0"/>
              <w:autoSpaceDN w:val="0"/>
              <w:adjustRightIn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□本项目不收取履约保证金。</w:t>
            </w:r>
          </w:p>
          <w:p w14:paraId="6B01111A">
            <w:pPr>
              <w:autoSpaceDE w:val="0"/>
              <w:autoSpaceDN w:val="0"/>
              <w:adjustRightIn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☑本项目收取履约保证金，具体规定如下：</w:t>
            </w:r>
          </w:p>
          <w:p w14:paraId="7579F0CC">
            <w:pPr>
              <w:widowControl/>
              <w:autoSpaceDE w:val="0"/>
              <w:autoSpaceDN w:val="0"/>
              <w:snapToGrid w:val="0"/>
              <w:spacing w:line="360" w:lineRule="auto"/>
              <w:ind w:firstLine="420" w:firstLineChars="200"/>
              <w:jc w:val="left"/>
              <w:textAlignment w:val="bottom"/>
              <w:rPr>
                <w:rFonts w:ascii="宋体" w:hAnsi="宋体" w:cs="宋体"/>
                <w:color w:val="auto"/>
                <w:szCs w:val="21"/>
                <w:highlight w:val="none"/>
              </w:rPr>
            </w:pPr>
            <w:r>
              <w:rPr>
                <w:rFonts w:hint="eastAsia" w:ascii="宋体" w:hAnsi="宋体" w:cs="宋体"/>
                <w:color w:val="auto"/>
                <w:szCs w:val="21"/>
                <w:highlight w:val="none"/>
              </w:rPr>
              <w:t>履约保证金金额：履约保证金按中标金额的</w:t>
            </w:r>
            <w:r>
              <w:rPr>
                <w:rFonts w:hint="eastAsia" w:ascii="宋体" w:hAnsi="宋体" w:cs="宋体"/>
                <w:color w:val="auto"/>
                <w:szCs w:val="21"/>
                <w:highlight w:val="none"/>
                <w:u w:val="single"/>
              </w:rPr>
              <w:t>5</w:t>
            </w:r>
            <w:r>
              <w:rPr>
                <w:rFonts w:hint="eastAsia" w:ascii="宋体" w:hAnsi="宋体" w:cs="宋体"/>
                <w:color w:val="auto"/>
                <w:szCs w:val="21"/>
                <w:highlight w:val="none"/>
              </w:rPr>
              <w:t>%，如中标人为中小企业的，履约保证金按中标金额的</w:t>
            </w:r>
            <w:r>
              <w:rPr>
                <w:rFonts w:hint="eastAsia" w:ascii="宋体" w:hAnsi="宋体" w:cs="宋体"/>
                <w:color w:val="auto"/>
                <w:szCs w:val="21"/>
                <w:highlight w:val="none"/>
                <w:u w:val="single"/>
              </w:rPr>
              <w:t>2</w:t>
            </w:r>
            <w:r>
              <w:rPr>
                <w:rFonts w:hint="eastAsia" w:ascii="宋体" w:hAnsi="宋体" w:cs="宋体"/>
                <w:color w:val="auto"/>
                <w:szCs w:val="21"/>
                <w:highlight w:val="none"/>
              </w:rPr>
              <w:t>%。</w:t>
            </w:r>
          </w:p>
          <w:p w14:paraId="468B6597">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b/>
                <w:color w:val="auto"/>
                <w:szCs w:val="21"/>
                <w:highlight w:val="none"/>
              </w:rPr>
              <w:t>注：根据《广西壮族自治区财政厅关于持续优化政府采购营商环境推动高质量发展的通知》（桂财采〔2024〕55号）规定，对中小企业收取的</w:t>
            </w:r>
            <w:r>
              <w:rPr>
                <w:rFonts w:hint="eastAsia" w:ascii="宋体" w:hAnsi="宋体" w:cs="宋体"/>
                <w:b/>
                <w:color w:val="auto"/>
                <w:kern w:val="0"/>
                <w:szCs w:val="21"/>
                <w:highlight w:val="none"/>
              </w:rPr>
              <w:t>履约保证金数额不得超过政府采购合同金额的2%。</w:t>
            </w:r>
          </w:p>
          <w:p w14:paraId="504FA4BB">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履约保证金递交方式：银行转账、支票、汇票、本票或者金融、担保机构出具的保函</w:t>
            </w:r>
            <w:r>
              <w:rPr>
                <w:rFonts w:hint="eastAsia" w:ascii="宋体" w:hAnsi="宋体" w:cs="宋体"/>
                <w:color w:val="auto"/>
                <w:highlight w:val="none"/>
              </w:rPr>
              <w:t>（包含电子保函）</w:t>
            </w:r>
            <w:r>
              <w:rPr>
                <w:rFonts w:hint="eastAsia" w:ascii="宋体" w:hAnsi="宋体" w:cs="宋体"/>
                <w:color w:val="auto"/>
                <w:szCs w:val="21"/>
                <w:highlight w:val="none"/>
              </w:rPr>
              <w:t>等非现金方式</w:t>
            </w:r>
          </w:p>
          <w:p w14:paraId="23CD55D3">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履约保证金退付方式、时间及条件：</w:t>
            </w:r>
          </w:p>
          <w:p w14:paraId="1A767C25">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履约保证金在中标人按合同约定履行合同且保修期限满不存在质保争议后，由中标人凭《广西壮族自治区政府采购项目合同验收书》（详见附表1）向采购人申请办理履约保证金退还手续，采购人在收到合格材料后4个工作日内以银行转账方式如数退还（不计利息）。</w:t>
            </w:r>
          </w:p>
          <w:p w14:paraId="639F24A1">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（2）在履约保证金退还日期前，若中标人的开户名称、开户银行、账号有变动的，请以书面形式通知履约保证金收取单位，否则由此产生的后果由中标人自负。</w:t>
            </w:r>
          </w:p>
          <w:p w14:paraId="088070C4">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（3）中标人在签订合同后存在违约情形的，履约保证金不予退还。履约保证金不足以赔偿损失的，按实际损失赔偿。</w:t>
            </w:r>
          </w:p>
          <w:p w14:paraId="268C0804">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履约保证金指定账户：</w:t>
            </w:r>
          </w:p>
          <w:p w14:paraId="2CF3388D">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开户名称：广西壮族自治区南溪山医院（广西壮族自治区第二人民医院）</w:t>
            </w:r>
          </w:p>
          <w:p w14:paraId="11BDD090">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开户银行：中国建设银行股份有限公司桂林城南支行</w:t>
            </w:r>
          </w:p>
          <w:p w14:paraId="78FB8720">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账号：45001635305059666666</w:t>
            </w:r>
          </w:p>
          <w:p w14:paraId="24FA0C6C">
            <w:pPr>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备注：</w:t>
            </w:r>
          </w:p>
          <w:p w14:paraId="79E72F6C">
            <w:pPr>
              <w:adjustRightIn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003C7476">
            <w:pPr>
              <w:adjustRightInd w:val="0"/>
              <w:spacing w:line="360" w:lineRule="auto"/>
              <w:jc w:val="left"/>
              <w:rPr>
                <w:rFonts w:ascii="宋体" w:hAnsi="宋体" w:cs="宋体"/>
                <w:color w:val="auto"/>
                <w:kern w:val="0"/>
                <w:szCs w:val="21"/>
                <w:highlight w:val="none"/>
              </w:rPr>
            </w:pPr>
            <w:r>
              <w:rPr>
                <w:rFonts w:hint="eastAsia" w:ascii="宋体" w:hAnsi="宋体" w:cs="宋体"/>
                <w:b/>
                <w:color w:val="auto"/>
                <w:szCs w:val="21"/>
                <w:highlight w:val="none"/>
              </w:rPr>
              <w:t>2.采用金融、担保机构出具的保函的，必须为无条件保函，否则不予签订合同。</w:t>
            </w:r>
          </w:p>
        </w:tc>
      </w:tr>
      <w:tr w14:paraId="4019A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405AEB9">
            <w:pPr>
              <w:adjustRightInd w:val="0"/>
              <w:spacing w:line="400" w:lineRule="exact"/>
              <w:jc w:val="center"/>
              <w:rPr>
                <w:rFonts w:ascii="宋体" w:hAnsi="宋体" w:cs="宋体"/>
                <w:color w:val="auto"/>
                <w:szCs w:val="21"/>
                <w:highlight w:val="none"/>
              </w:rPr>
            </w:pPr>
            <w:bookmarkStart w:id="75" w:name="_40.1"/>
            <w:bookmarkEnd w:id="75"/>
            <w:r>
              <w:rPr>
                <w:rFonts w:hint="eastAsia" w:ascii="宋体" w:hAnsi="宋体" w:cs="宋体"/>
                <w:color w:val="auto"/>
                <w:szCs w:val="21"/>
                <w:highlight w:val="none"/>
              </w:rPr>
              <w:t>36.1</w:t>
            </w:r>
          </w:p>
        </w:tc>
        <w:tc>
          <w:tcPr>
            <w:tcW w:w="8670" w:type="dxa"/>
            <w:tcBorders>
              <w:top w:val="single" w:color="auto" w:sz="4" w:space="0"/>
              <w:left w:val="single" w:color="auto" w:sz="4" w:space="0"/>
              <w:bottom w:val="single" w:color="auto" w:sz="4" w:space="0"/>
              <w:right w:val="single" w:color="auto" w:sz="4" w:space="0"/>
            </w:tcBorders>
            <w:vAlign w:val="center"/>
          </w:tcPr>
          <w:p w14:paraId="26981079">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2DCF37E8">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64FA2150">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29D98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5C7B402">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38.2</w:t>
            </w:r>
          </w:p>
        </w:tc>
        <w:tc>
          <w:tcPr>
            <w:tcW w:w="8670" w:type="dxa"/>
            <w:tcBorders>
              <w:top w:val="single" w:color="auto" w:sz="4" w:space="0"/>
              <w:left w:val="single" w:color="auto" w:sz="4" w:space="0"/>
              <w:bottom w:val="single" w:color="auto" w:sz="4" w:space="0"/>
              <w:right w:val="single" w:color="auto" w:sz="4" w:space="0"/>
            </w:tcBorders>
            <w:vAlign w:val="center"/>
          </w:tcPr>
          <w:p w14:paraId="6C421A1E">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219A436C">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质疑联系部门及联系方式：云之龙咨询集团有限公司桂林分公司，联系人：吕雯，联系电话：0773-2887388  2887399 。通讯地址：广西桂林市临桂区西城北路2号耀辉•美好家园2幢12层1号房。</w:t>
            </w:r>
          </w:p>
          <w:p w14:paraId="1278D1D0">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业务时间：工作日每天上午9时00分到12时00分，下午1时00分到5时00分。</w:t>
            </w:r>
          </w:p>
        </w:tc>
      </w:tr>
      <w:tr w14:paraId="15F9B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959E4CE">
            <w:pPr>
              <w:adjustRightInd w:val="0"/>
              <w:spacing w:line="400" w:lineRule="exact"/>
              <w:jc w:val="center"/>
              <w:rPr>
                <w:rFonts w:ascii="宋体" w:hAnsi="宋体" w:cs="宋体"/>
                <w:color w:val="auto"/>
                <w:szCs w:val="21"/>
                <w:highlight w:val="none"/>
              </w:rPr>
            </w:pPr>
            <w:bookmarkStart w:id="76" w:name="_42"/>
            <w:bookmarkEnd w:id="76"/>
            <w:bookmarkStart w:id="77" w:name="_41"/>
            <w:bookmarkEnd w:id="77"/>
            <w:bookmarkStart w:id="78" w:name="_Hlt17709148"/>
            <w:r>
              <w:rPr>
                <w:rFonts w:hint="eastAsia" w:ascii="宋体" w:hAnsi="宋体" w:cs="宋体"/>
                <w:color w:val="auto"/>
                <w:szCs w:val="21"/>
                <w:highlight w:val="none"/>
              </w:rPr>
              <w:t>3</w:t>
            </w:r>
            <w:bookmarkEnd w:id="78"/>
            <w:r>
              <w:rPr>
                <w:rFonts w:hint="eastAsia" w:ascii="宋体" w:hAnsi="宋体" w:cs="宋体"/>
                <w:color w:val="auto"/>
                <w:szCs w:val="21"/>
                <w:highlight w:val="none"/>
              </w:rPr>
              <w:t>9.1</w:t>
            </w:r>
          </w:p>
        </w:tc>
        <w:tc>
          <w:tcPr>
            <w:tcW w:w="8670" w:type="dxa"/>
            <w:tcBorders>
              <w:top w:val="single" w:color="auto" w:sz="4" w:space="0"/>
              <w:left w:val="single" w:color="auto" w:sz="4" w:space="0"/>
              <w:bottom w:val="single" w:color="auto" w:sz="4" w:space="0"/>
              <w:right w:val="single" w:color="auto" w:sz="4" w:space="0"/>
            </w:tcBorders>
            <w:vAlign w:val="center"/>
          </w:tcPr>
          <w:p w14:paraId="57704F32">
            <w:pPr>
              <w:pStyle w:val="24"/>
              <w:adjustRightInd w:val="0"/>
              <w:spacing w:line="400" w:lineRule="exact"/>
              <w:rPr>
                <w:rFonts w:hAnsi="宋体" w:cs="宋体"/>
                <w:color w:val="auto"/>
                <w:sz w:val="21"/>
                <w:highlight w:val="none"/>
              </w:rPr>
            </w:pPr>
            <w:r>
              <w:rPr>
                <w:rFonts w:hint="eastAsia" w:hAnsi="宋体" w:cs="宋体"/>
                <w:color w:val="auto"/>
                <w:sz w:val="21"/>
                <w:highlight w:val="none"/>
              </w:rPr>
              <w:t>1.采购代理费支付方式：</w:t>
            </w:r>
          </w:p>
          <w:p w14:paraId="4B5FB859">
            <w:pPr>
              <w:pStyle w:val="24"/>
              <w:adjustRightInd w:val="0"/>
              <w:spacing w:line="400" w:lineRule="exact"/>
              <w:rPr>
                <w:rFonts w:hAnsi="宋体" w:cs="宋体"/>
                <w:color w:val="auto"/>
                <w:sz w:val="21"/>
                <w:highlight w:val="none"/>
              </w:rPr>
            </w:pPr>
            <w:r>
              <w:rPr>
                <w:rFonts w:hint="eastAsia" w:hAnsi="宋体" w:cs="宋体"/>
                <w:color w:val="auto"/>
                <w:highlight w:val="none"/>
              </w:rPr>
              <w:t>☑</w:t>
            </w: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在领取中标通知书前，一次性向采购代理机构支付。</w:t>
            </w:r>
          </w:p>
          <w:p w14:paraId="32E89FFD">
            <w:pPr>
              <w:pStyle w:val="24"/>
              <w:adjustRightInd w:val="0"/>
              <w:spacing w:line="400" w:lineRule="exact"/>
              <w:rPr>
                <w:rFonts w:hAnsi="宋体" w:cs="宋体"/>
                <w:color w:val="auto"/>
                <w:sz w:val="21"/>
                <w:highlight w:val="none"/>
              </w:rPr>
            </w:pPr>
            <w:r>
              <w:rPr>
                <w:rFonts w:hint="eastAsia" w:hAnsi="宋体" w:cs="宋体"/>
                <w:color w:val="auto"/>
                <w:sz w:val="21"/>
                <w:highlight w:val="none"/>
              </w:rPr>
              <w:t>□采购人支付。</w:t>
            </w:r>
          </w:p>
          <w:p w14:paraId="409F8139">
            <w:pPr>
              <w:pStyle w:val="24"/>
              <w:adjustRightInd w:val="0"/>
              <w:spacing w:line="400" w:lineRule="exact"/>
              <w:rPr>
                <w:rFonts w:hAnsi="宋体" w:cs="宋体"/>
                <w:color w:val="auto"/>
                <w:sz w:val="21"/>
                <w:highlight w:val="none"/>
              </w:rPr>
            </w:pPr>
            <w:r>
              <w:rPr>
                <w:rFonts w:hint="eastAsia" w:hAnsi="宋体" w:cs="宋体"/>
                <w:color w:val="auto"/>
                <w:sz w:val="21"/>
                <w:highlight w:val="none"/>
              </w:rPr>
              <w:t>2.采购代理费收取标准：</w:t>
            </w:r>
          </w:p>
          <w:p w14:paraId="0527E570">
            <w:pPr>
              <w:pStyle w:val="24"/>
              <w:adjustRightInd w:val="0"/>
              <w:spacing w:line="400" w:lineRule="exact"/>
              <w:rPr>
                <w:rFonts w:hAnsi="宋体" w:cs="宋体"/>
                <w:color w:val="auto"/>
                <w:sz w:val="21"/>
                <w:highlight w:val="none"/>
              </w:rPr>
            </w:pPr>
            <w:r>
              <w:rPr>
                <w:rFonts w:hint="eastAsia" w:hAnsi="宋体" w:cs="宋体"/>
                <w:color w:val="auto"/>
                <w:highlight w:val="none"/>
              </w:rPr>
              <w:t>☑</w:t>
            </w:r>
            <w:r>
              <w:rPr>
                <w:rFonts w:hint="eastAsia" w:hAnsi="宋体" w:cs="宋体"/>
                <w:color w:val="auto"/>
                <w:sz w:val="21"/>
                <w:highlight w:val="none"/>
              </w:rPr>
              <w:t>以分标,本项目各分标采购代理服务费按费率计。具体费率按照原国家计委关于《招标代理服务收费管理暂行办法》的通知（计价格〔2002〕1980号）、《国家发展改革委办公厅关于招标代理服务收费有关问题的通知》（发改办价格［2003］857号）以及《国家发展改革委关于降低部分建设项目收费标准规范收费行为等有关问题的通知》（发改价格〔2011〕534号）规定的计算标准（按差额定率累进法计算）基础上下浮25%的计算结果，再按67%的比例计。单位项目招标代理服务费低于人民币伍仟元（¥5000.00）按伍仟元（¥5000.00）计。</w:t>
            </w:r>
          </w:p>
          <w:p w14:paraId="36AC4D49">
            <w:pPr>
              <w:pStyle w:val="24"/>
              <w:snapToGrid w:val="0"/>
              <w:spacing w:line="340" w:lineRule="exact"/>
              <w:rPr>
                <w:rFonts w:hAnsi="宋体" w:cs="宋体"/>
                <w:color w:val="auto"/>
                <w:sz w:val="21"/>
                <w:highlight w:val="none"/>
                <w:u w:val="single"/>
              </w:rPr>
            </w:pPr>
            <w:r>
              <w:rPr>
                <w:rFonts w:hint="eastAsia" w:hAnsi="宋体" w:cs="宋体"/>
                <w:color w:val="auto"/>
                <w:sz w:val="21"/>
                <w:highlight w:val="none"/>
              </w:rPr>
              <w:t>□</w:t>
            </w:r>
            <w:r>
              <w:rPr>
                <w:rFonts w:hint="eastAsia" w:hAnsi="宋体" w:cs="宋体"/>
                <w:color w:val="auto"/>
                <w:highlight w:val="none"/>
              </w:rPr>
              <w:t>固定收费：</w:t>
            </w:r>
            <w:r>
              <w:rPr>
                <w:rFonts w:hint="eastAsia" w:hAnsi="宋体" w:cs="宋体"/>
                <w:color w:val="auto"/>
                <w:sz w:val="21"/>
                <w:highlight w:val="none"/>
              </w:rPr>
              <w:t>固定采购代理收费</w:t>
            </w:r>
            <w:r>
              <w:rPr>
                <w:rFonts w:hint="eastAsia" w:hAnsi="宋体" w:cs="宋体"/>
                <w:color w:val="auto"/>
                <w:sz w:val="21"/>
                <w:highlight w:val="none"/>
                <w:u w:val="single"/>
              </w:rPr>
              <w:t xml:space="preserve">  \   元。</w:t>
            </w:r>
          </w:p>
          <w:p w14:paraId="63D6F3A4">
            <w:pPr>
              <w:pStyle w:val="24"/>
              <w:adjustRightInd w:val="0"/>
              <w:spacing w:line="400" w:lineRule="exact"/>
              <w:rPr>
                <w:rFonts w:hAnsi="宋体" w:cs="宋体"/>
                <w:color w:val="auto"/>
                <w:sz w:val="21"/>
                <w:highlight w:val="none"/>
              </w:rPr>
            </w:pPr>
            <w:r>
              <w:rPr>
                <w:rFonts w:hint="eastAsia" w:hAnsi="宋体" w:cs="宋体"/>
                <w:color w:val="auto"/>
                <w:sz w:val="21"/>
                <w:highlight w:val="none"/>
              </w:rPr>
              <w:t>3.开户名称：云之龙咨询集团有限公司桂林分公司</w:t>
            </w:r>
          </w:p>
          <w:p w14:paraId="6BB67738">
            <w:pPr>
              <w:pStyle w:val="24"/>
              <w:adjustRightInd w:val="0"/>
              <w:spacing w:line="400" w:lineRule="exact"/>
              <w:rPr>
                <w:rFonts w:hAnsi="宋体" w:cs="宋体"/>
                <w:color w:val="auto"/>
                <w:sz w:val="21"/>
                <w:highlight w:val="none"/>
              </w:rPr>
            </w:pPr>
            <w:r>
              <w:rPr>
                <w:rFonts w:hint="eastAsia" w:hAnsi="宋体" w:cs="宋体"/>
                <w:color w:val="auto"/>
                <w:sz w:val="21"/>
                <w:highlight w:val="none"/>
              </w:rPr>
              <w:t>银行账号：8113001014300158041</w:t>
            </w:r>
          </w:p>
          <w:p w14:paraId="182EB1C2">
            <w:pPr>
              <w:pStyle w:val="24"/>
              <w:adjustRightInd w:val="0"/>
              <w:spacing w:line="400" w:lineRule="exact"/>
              <w:rPr>
                <w:rFonts w:hAnsi="宋体" w:cs="宋体"/>
                <w:color w:val="auto"/>
                <w:sz w:val="21"/>
                <w:highlight w:val="none"/>
              </w:rPr>
            </w:pPr>
            <w:r>
              <w:rPr>
                <w:rFonts w:hint="eastAsia" w:hAnsi="宋体" w:cs="宋体"/>
                <w:color w:val="auto"/>
                <w:sz w:val="21"/>
                <w:highlight w:val="none"/>
              </w:rPr>
              <w:t>开户银行：中信银行股份有限公司南宁东葛支行</w:t>
            </w:r>
          </w:p>
        </w:tc>
      </w:tr>
      <w:tr w14:paraId="259A0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1C6E4E8">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40.1</w:t>
            </w:r>
          </w:p>
        </w:tc>
        <w:tc>
          <w:tcPr>
            <w:tcW w:w="8670" w:type="dxa"/>
            <w:tcBorders>
              <w:top w:val="single" w:color="auto" w:sz="4" w:space="0"/>
              <w:left w:val="single" w:color="auto" w:sz="4" w:space="0"/>
              <w:bottom w:val="single" w:color="auto" w:sz="4" w:space="0"/>
              <w:right w:val="single" w:color="auto" w:sz="4" w:space="0"/>
            </w:tcBorders>
            <w:vAlign w:val="center"/>
          </w:tcPr>
          <w:p w14:paraId="0D78CC31">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036AB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8352023">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40.2</w:t>
            </w:r>
          </w:p>
        </w:tc>
        <w:tc>
          <w:tcPr>
            <w:tcW w:w="8670" w:type="dxa"/>
            <w:tcBorders>
              <w:top w:val="single" w:color="auto" w:sz="4" w:space="0"/>
              <w:left w:val="single" w:color="auto" w:sz="4" w:space="0"/>
              <w:bottom w:val="single" w:color="auto" w:sz="4" w:space="0"/>
              <w:right w:val="single" w:color="auto" w:sz="4" w:space="0"/>
            </w:tcBorders>
            <w:vAlign w:val="center"/>
          </w:tcPr>
          <w:p w14:paraId="29DB4F0B">
            <w:pPr>
              <w:pStyle w:val="24"/>
              <w:numPr>
                <w:ilvl w:val="0"/>
                <w:numId w:val="3"/>
              </w:numPr>
              <w:adjustRightInd w:val="0"/>
              <w:spacing w:line="360" w:lineRule="exact"/>
              <w:rPr>
                <w:rFonts w:hAnsi="宋体" w:cs="宋体"/>
                <w:color w:val="auto"/>
                <w:sz w:val="21"/>
                <w:highlight w:val="none"/>
              </w:rPr>
            </w:pPr>
            <w:r>
              <w:rPr>
                <w:rFonts w:hint="eastAsia" w:hAnsi="宋体" w:cs="宋体"/>
                <w:color w:val="auto"/>
                <w:sz w:val="21"/>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72B6386">
            <w:pPr>
              <w:pStyle w:val="24"/>
              <w:adjustRightInd w:val="0"/>
              <w:spacing w:line="360" w:lineRule="exact"/>
              <w:rPr>
                <w:rFonts w:hAnsi="宋体" w:cs="宋体"/>
                <w:color w:val="auto"/>
                <w:sz w:val="21"/>
                <w:highlight w:val="none"/>
              </w:rPr>
            </w:pPr>
            <w:r>
              <w:rPr>
                <w:rFonts w:hint="eastAsia" w:hAnsi="宋体" w:cs="宋体"/>
                <w:color w:val="auto"/>
                <w:sz w:val="21"/>
                <w:highlight w:val="none"/>
              </w:rPr>
              <w:t>2.本招标文件所称的“电子签章”、“电子签名”，是指经</w:t>
            </w:r>
            <w:r>
              <w:rPr>
                <w:rFonts w:hint="eastAsia" w:hAnsi="宋体" w:cs="宋体"/>
                <w:color w:val="auto"/>
                <w:highlight w:val="none"/>
              </w:rPr>
              <w:t>“广西政府采购云平台”</w:t>
            </w:r>
            <w:r>
              <w:rPr>
                <w:rFonts w:hint="eastAsia" w:hAnsi="宋体" w:cs="宋体"/>
                <w:color w:val="auto"/>
                <w:sz w:val="21"/>
                <w:highlight w:val="none"/>
              </w:rPr>
              <w:t>认可的CA认证的电子签名数据为表现形式的印章，可用于签署电子投标文件，电子印章与实物印章具有同等法律效力，不因其采用电子化表现形式而否定其法律效力。</w:t>
            </w:r>
          </w:p>
          <w:p w14:paraId="568751B5">
            <w:pPr>
              <w:pStyle w:val="24"/>
              <w:adjustRightInd w:val="0"/>
              <w:spacing w:line="360" w:lineRule="exact"/>
              <w:rPr>
                <w:rFonts w:hAnsi="宋体" w:cs="宋体"/>
                <w:color w:val="auto"/>
                <w:sz w:val="21"/>
                <w:highlight w:val="none"/>
              </w:rPr>
            </w:pPr>
            <w:r>
              <w:rPr>
                <w:rFonts w:hint="eastAsia" w:hAnsi="宋体" w:cs="宋体"/>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23A63EF">
            <w:pPr>
              <w:pStyle w:val="24"/>
              <w:adjustRightInd w:val="0"/>
              <w:spacing w:line="360" w:lineRule="exact"/>
              <w:rPr>
                <w:rFonts w:hAnsi="宋体" w:cs="宋体"/>
                <w:color w:val="auto"/>
                <w:sz w:val="21"/>
                <w:highlight w:val="none"/>
              </w:rPr>
            </w:pPr>
            <w:r>
              <w:rPr>
                <w:rFonts w:hint="eastAsia" w:hAnsi="宋体" w:cs="宋体"/>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3A861018">
            <w:pPr>
              <w:pStyle w:val="24"/>
              <w:adjustRightInd w:val="0"/>
              <w:spacing w:line="360" w:lineRule="exact"/>
              <w:rPr>
                <w:rFonts w:hAnsi="宋体" w:cs="宋体"/>
                <w:color w:val="auto"/>
                <w:sz w:val="21"/>
                <w:highlight w:val="none"/>
              </w:rPr>
            </w:pPr>
            <w:r>
              <w:rPr>
                <w:rFonts w:hint="eastAsia" w:hAnsi="宋体" w:cs="宋体"/>
                <w:color w:val="auto"/>
                <w:sz w:val="21"/>
                <w:highlight w:val="none"/>
              </w:rPr>
              <w:t>5.本招标文件所称的“以上”“以下”“以内”“届满”，包括本数；所称的“不满”“超过”“以外”，不包括本数。</w:t>
            </w:r>
          </w:p>
          <w:p w14:paraId="564533B9">
            <w:pPr>
              <w:pStyle w:val="24"/>
              <w:adjustRightInd w:val="0"/>
              <w:spacing w:line="360" w:lineRule="exact"/>
              <w:rPr>
                <w:rFonts w:hAnsi="宋体" w:cs="宋体"/>
                <w:color w:val="auto"/>
                <w:sz w:val="21"/>
                <w:highlight w:val="none"/>
              </w:rPr>
            </w:pPr>
            <w:r>
              <w:rPr>
                <w:rFonts w:hint="eastAsia" w:hAnsi="宋体" w:cs="宋体"/>
                <w:color w:val="auto"/>
                <w:sz w:val="21"/>
                <w:highlight w:val="none"/>
              </w:rPr>
              <w:t>6.如本项目未划分分标的，招标文件中的“分标”是指本项目。</w:t>
            </w:r>
          </w:p>
        </w:tc>
      </w:tr>
    </w:tbl>
    <w:p w14:paraId="4B525784">
      <w:pPr>
        <w:pStyle w:val="4"/>
        <w:keepNext w:val="0"/>
        <w:keepLines w:val="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投标人须知正文</w:t>
      </w:r>
    </w:p>
    <w:p w14:paraId="3971F55A">
      <w:pPr>
        <w:pStyle w:val="4"/>
        <w:keepNext w:val="0"/>
        <w:keepLines w:val="0"/>
        <w:jc w:val="center"/>
        <w:rPr>
          <w:rFonts w:ascii="宋体" w:hAnsi="宋体" w:cs="宋体"/>
          <w:color w:val="auto"/>
          <w:highlight w:val="none"/>
        </w:rPr>
      </w:pPr>
      <w:r>
        <w:rPr>
          <w:rFonts w:hint="eastAsia" w:ascii="宋体" w:hAnsi="宋体" w:cs="宋体"/>
          <w:color w:val="auto"/>
          <w:highlight w:val="none"/>
        </w:rPr>
        <w:t>一、总则</w:t>
      </w:r>
    </w:p>
    <w:p w14:paraId="73213610">
      <w:pPr>
        <w:pStyle w:val="5"/>
        <w:keepNext w:val="0"/>
        <w:keepLines w:val="0"/>
        <w:spacing w:before="0" w:after="0" w:line="360" w:lineRule="auto"/>
        <w:ind w:left="420" w:leftChars="200"/>
        <w:rPr>
          <w:rFonts w:ascii="宋体" w:hAnsi="宋体" w:cs="宋体"/>
          <w:color w:val="auto"/>
          <w:sz w:val="24"/>
          <w:highlight w:val="none"/>
        </w:rPr>
      </w:pPr>
      <w:bookmarkStart w:id="79" w:name="_Toc254970668"/>
      <w:bookmarkStart w:id="80" w:name="_Toc254970527"/>
      <w:r>
        <w:rPr>
          <w:rFonts w:hint="eastAsia" w:ascii="宋体" w:hAnsi="宋体" w:cs="宋体"/>
          <w:color w:val="auto"/>
          <w:sz w:val="24"/>
          <w:highlight w:val="none"/>
        </w:rPr>
        <w:t>1.适用范围</w:t>
      </w:r>
      <w:bookmarkEnd w:id="79"/>
      <w:bookmarkEnd w:id="80"/>
    </w:p>
    <w:p w14:paraId="21D3A156">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1D58971">
      <w:pPr>
        <w:snapToGrid w:val="0"/>
        <w:spacing w:line="440" w:lineRule="exact"/>
        <w:ind w:firstLine="420" w:firstLineChars="200"/>
        <w:jc w:val="left"/>
        <w:rPr>
          <w:rFonts w:ascii="宋体" w:hAnsi="宋体" w:cs="宋体"/>
          <w:color w:val="auto"/>
          <w:spacing w:val="-6"/>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2911E5C3">
      <w:pPr>
        <w:pStyle w:val="5"/>
        <w:keepNext w:val="0"/>
        <w:keepLines w:val="0"/>
        <w:spacing w:before="0" w:after="0" w:line="440" w:lineRule="exact"/>
        <w:ind w:left="420" w:leftChars="200"/>
        <w:rPr>
          <w:rFonts w:ascii="宋体" w:hAnsi="宋体" w:cs="宋体"/>
          <w:color w:val="auto"/>
          <w:sz w:val="24"/>
          <w:highlight w:val="none"/>
        </w:rPr>
      </w:pPr>
      <w:bookmarkStart w:id="81" w:name="_Toc254970669"/>
      <w:bookmarkStart w:id="82" w:name="_Toc254970528"/>
      <w:r>
        <w:rPr>
          <w:rFonts w:hint="eastAsia" w:ascii="宋体" w:hAnsi="宋体" w:cs="宋体"/>
          <w:color w:val="auto"/>
          <w:sz w:val="24"/>
          <w:highlight w:val="none"/>
        </w:rPr>
        <w:t>2.定义</w:t>
      </w:r>
      <w:bookmarkEnd w:id="81"/>
      <w:bookmarkEnd w:id="82"/>
    </w:p>
    <w:p w14:paraId="418B4F5D">
      <w:pPr>
        <w:pStyle w:val="5"/>
        <w:keepNext w:val="0"/>
        <w:keepLines w:val="0"/>
        <w:spacing w:before="0" w:after="0" w:line="4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1BA08756">
      <w:pPr>
        <w:pStyle w:val="5"/>
        <w:keepNext w:val="0"/>
        <w:keepLines w:val="0"/>
        <w:spacing w:before="0" w:after="0" w:line="4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2.2“采购代理机构”是指政府采购集中采购机构和集中采购机构以外的采购代理机构。</w:t>
      </w:r>
    </w:p>
    <w:p w14:paraId="770AC24C">
      <w:pPr>
        <w:pStyle w:val="5"/>
        <w:keepNext w:val="0"/>
        <w:keepLines w:val="0"/>
        <w:spacing w:before="0" w:after="0" w:line="4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2.3“供应商”是指向采购人提供货物、工程或者服务的法人、其他组织或者自然人。</w:t>
      </w:r>
    </w:p>
    <w:p w14:paraId="3078BBD8">
      <w:pPr>
        <w:pStyle w:val="6"/>
        <w:spacing w:line="440" w:lineRule="exact"/>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2.4“投标人”是指响应招标、参加投标竞争的法人、其他组织或者自然人。</w:t>
      </w:r>
    </w:p>
    <w:p w14:paraId="1ADF382E">
      <w:pPr>
        <w:pStyle w:val="5"/>
        <w:keepNext w:val="0"/>
        <w:keepLines w:val="0"/>
        <w:spacing w:before="0" w:after="0" w:line="44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2.5“货物”是指各种形态和种类的物品，包括原材料、燃料、设备、产品等。</w:t>
      </w:r>
    </w:p>
    <w:p w14:paraId="26903BF4">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2.6“售后服务” 是指商品出售以后所提供的各种服务，包含但不限于投标人须承担的备品备件、包装、运输、装卸、保险、货到就位以及安装、调试、培训、质保以及其他各种服务。</w:t>
      </w:r>
    </w:p>
    <w:p w14:paraId="1508E716">
      <w:pPr>
        <w:pStyle w:val="5"/>
        <w:keepNext w:val="0"/>
        <w:keepLines w:val="0"/>
        <w:spacing w:before="0" w:after="0" w:line="44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4096CE4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2.8“实质性要求”是指招标文件中已经指明不满足则投标无效的条款，或者不能负偏离的条款，或者采购需求中带“▲”的条款。投标人不满足实质性要求的，</w:t>
      </w:r>
      <w:r>
        <w:rPr>
          <w:rFonts w:hint="eastAsia" w:ascii="宋体" w:hAnsi="宋体" w:cs="宋体"/>
          <w:b/>
          <w:bCs/>
          <w:color w:val="auto"/>
          <w:szCs w:val="21"/>
          <w:highlight w:val="none"/>
        </w:rPr>
        <w:t>按投标无效处理。</w:t>
      </w:r>
    </w:p>
    <w:p w14:paraId="17B53E1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分标1、分标3:“采购需求”中“技术要求”未标注“▲”号项的技术参数负偏离≥6项时，</w:t>
      </w:r>
      <w:r>
        <w:rPr>
          <w:rFonts w:hint="eastAsia" w:ascii="宋体" w:hAnsi="宋体" w:cs="宋体"/>
          <w:b/>
          <w:bCs/>
          <w:color w:val="auto"/>
          <w:szCs w:val="21"/>
          <w:highlight w:val="none"/>
        </w:rPr>
        <w:t>按投标无效处理。</w:t>
      </w:r>
    </w:p>
    <w:p w14:paraId="1C7F8BC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分标2:“采购需求”中“技术要求”未标注“▲”号项的技术参数负偏离≥</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项时，</w:t>
      </w:r>
      <w:r>
        <w:rPr>
          <w:rFonts w:hint="eastAsia" w:ascii="宋体" w:hAnsi="宋体" w:cs="宋体"/>
          <w:b/>
          <w:bCs/>
          <w:color w:val="auto"/>
          <w:szCs w:val="21"/>
          <w:highlight w:val="none"/>
        </w:rPr>
        <w:t>按投标无效处理。</w:t>
      </w:r>
    </w:p>
    <w:p w14:paraId="13E6A97E">
      <w:pPr>
        <w:spacing w:line="360" w:lineRule="exact"/>
        <w:ind w:firstLine="43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2.9</w:t>
      </w:r>
      <w:r>
        <w:rPr>
          <w:rFonts w:hint="eastAsia" w:ascii="宋体" w:hAnsi="宋体" w:eastAsia="宋体" w:cs="宋体"/>
          <w:bCs/>
          <w:color w:val="auto"/>
          <w:szCs w:val="21"/>
          <w:highlight w:val="none"/>
        </w:rPr>
        <w:t>“正偏离”是指投标文件对招标文件“采购需求”中有关条款作出的响应优于该条款基本要求的情形，包括：①当某技术指标要求为≥或≤某指标时，则该指标为基本要求，投标响应值＞或＜该基本要求的，为正偏离；②除上述第①种情形外，经评委独立评审后认定该技术指标优于招标文件基本要求的其它情形。</w:t>
      </w:r>
    </w:p>
    <w:p w14:paraId="6AAED454">
      <w:pPr>
        <w:spacing w:line="360" w:lineRule="exact"/>
        <w:ind w:firstLine="435"/>
        <w:rPr>
          <w:rFonts w:hint="eastAsia" w:ascii="宋体" w:hAnsi="宋体"/>
          <w:bCs/>
          <w:color w:val="auto"/>
          <w:szCs w:val="21"/>
          <w:highlight w:val="none"/>
        </w:rPr>
      </w:pPr>
      <w:r>
        <w:rPr>
          <w:rFonts w:hint="eastAsia" w:ascii="宋体" w:hAnsi="宋体"/>
          <w:bCs/>
          <w:color w:val="auto"/>
          <w:szCs w:val="21"/>
          <w:highlight w:val="none"/>
          <w:lang w:val="en-US" w:eastAsia="zh-CN"/>
        </w:rPr>
        <w:t>2.10</w:t>
      </w:r>
      <w:r>
        <w:rPr>
          <w:rFonts w:hint="eastAsia" w:ascii="宋体" w:hAnsi="宋体" w:cs="宋体"/>
          <w:bCs/>
          <w:color w:val="auto"/>
          <w:szCs w:val="21"/>
          <w:highlight w:val="none"/>
        </w:rPr>
        <w:t>“负偏离”是指投标文件对招标文件“采购需求”中有关条款作出的响应不满足条款要求，导致采购人要求不能得到满足的情形。</w:t>
      </w:r>
    </w:p>
    <w:p w14:paraId="6752EF01">
      <w:pPr>
        <w:pStyle w:val="5"/>
        <w:keepNext w:val="0"/>
        <w:keepLines w:val="0"/>
        <w:spacing w:before="0" w:after="0" w:line="44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lang w:val="en-US" w:eastAsia="zh-CN"/>
        </w:rPr>
        <w:t xml:space="preserve">    </w:t>
      </w:r>
      <w:r>
        <w:rPr>
          <w:rFonts w:hint="eastAsia" w:ascii="宋体" w:hAnsi="宋体" w:cs="宋体"/>
          <w:b w:val="0"/>
          <w:color w:val="auto"/>
          <w:sz w:val="21"/>
          <w:szCs w:val="21"/>
          <w:highlight w:val="none"/>
        </w:rPr>
        <w:t>2.11“允许负偏离的条款”是指采购需求中的不属于“实质性要求”的条款。</w:t>
      </w:r>
      <w:bookmarkStart w:id="83" w:name="_Toc254970529"/>
      <w:bookmarkStart w:id="84" w:name="_Toc254970670"/>
    </w:p>
    <w:p w14:paraId="432EE4F0">
      <w:pPr>
        <w:pStyle w:val="5"/>
        <w:keepNext w:val="0"/>
        <w:keepLines w:val="0"/>
        <w:spacing w:before="0" w:after="0" w:line="440" w:lineRule="exact"/>
        <w:rPr>
          <w:rFonts w:ascii="宋体" w:hAnsi="宋体" w:cs="宋体"/>
          <w:color w:val="auto"/>
          <w:szCs w:val="21"/>
          <w:highlight w:val="none"/>
        </w:rPr>
      </w:pPr>
      <w:r>
        <w:rPr>
          <w:rFonts w:hint="eastAsia" w:ascii="宋体" w:hAnsi="宋体" w:cs="宋体"/>
          <w:b w:val="0"/>
          <w:color w:val="auto"/>
          <w:sz w:val="21"/>
          <w:szCs w:val="21"/>
          <w:highlight w:val="none"/>
          <w:lang w:val="en-US" w:eastAsia="zh-CN"/>
        </w:rPr>
        <w:t xml:space="preserve">    </w:t>
      </w:r>
      <w:r>
        <w:rPr>
          <w:rFonts w:hint="eastAsia" w:ascii="宋体" w:hAnsi="宋体" w:cs="宋体"/>
          <w:b w:val="0"/>
          <w:color w:val="auto"/>
          <w:sz w:val="21"/>
          <w:szCs w:val="21"/>
          <w:highlight w:val="none"/>
        </w:rPr>
        <w:t>2.12本项目实行全流程电子化采购，投标人通过“广西政府采购云平台”参与电子投标。“投标文件”是指投标人按本招标文件规定提交的电子投标文件。</w:t>
      </w:r>
    </w:p>
    <w:p w14:paraId="4ECCD514">
      <w:pPr>
        <w:pStyle w:val="5"/>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w:t>
      </w:r>
      <w:bookmarkEnd w:id="83"/>
      <w:bookmarkEnd w:id="84"/>
      <w:r>
        <w:rPr>
          <w:rFonts w:hint="eastAsia" w:ascii="宋体" w:hAnsi="宋体" w:cs="宋体"/>
          <w:color w:val="auto"/>
          <w:sz w:val="24"/>
          <w:highlight w:val="none"/>
        </w:rPr>
        <w:t>投标人的资格要求</w:t>
      </w:r>
    </w:p>
    <w:p w14:paraId="26916AE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2B2D20A8">
      <w:pPr>
        <w:pStyle w:val="5"/>
        <w:keepNext w:val="0"/>
        <w:keepLines w:val="0"/>
        <w:spacing w:before="0" w:after="0" w:line="360" w:lineRule="auto"/>
        <w:ind w:left="420" w:leftChars="200"/>
        <w:rPr>
          <w:rFonts w:ascii="宋体" w:hAnsi="宋体" w:cs="宋体"/>
          <w:color w:val="auto"/>
          <w:sz w:val="24"/>
          <w:highlight w:val="none"/>
        </w:rPr>
      </w:pPr>
      <w:bookmarkStart w:id="85" w:name="_Toc254970530"/>
      <w:bookmarkStart w:id="86" w:name="_Toc254970671"/>
      <w:r>
        <w:rPr>
          <w:rFonts w:hint="eastAsia" w:ascii="宋体" w:hAnsi="宋体" w:cs="宋体"/>
          <w:color w:val="auto"/>
          <w:sz w:val="24"/>
          <w:highlight w:val="none"/>
        </w:rPr>
        <w:t>4.投标委托</w:t>
      </w:r>
      <w:bookmarkEnd w:id="85"/>
      <w:bookmarkEnd w:id="86"/>
    </w:p>
    <w:p w14:paraId="0F3AE6A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投标人代表参加投标活动过程中必须携带个人有效身份证件。如投标人代表不是法定代表人，须持有授权委托书（按第六章要求格式填写）。</w:t>
      </w:r>
    </w:p>
    <w:p w14:paraId="267656C5">
      <w:pPr>
        <w:pStyle w:val="5"/>
        <w:keepNext w:val="0"/>
        <w:keepLines w:val="0"/>
        <w:spacing w:before="0" w:after="0" w:line="360" w:lineRule="auto"/>
        <w:ind w:left="420" w:leftChars="200"/>
        <w:rPr>
          <w:rFonts w:ascii="宋体" w:hAnsi="宋体" w:cs="宋体"/>
          <w:color w:val="auto"/>
          <w:sz w:val="24"/>
          <w:highlight w:val="none"/>
        </w:rPr>
      </w:pPr>
      <w:bookmarkStart w:id="87" w:name="_5.投标费用"/>
      <w:bookmarkEnd w:id="87"/>
      <w:bookmarkStart w:id="88" w:name="_Toc254970531"/>
      <w:bookmarkStart w:id="89" w:name="_Toc254970672"/>
      <w:r>
        <w:rPr>
          <w:rFonts w:hint="eastAsia" w:ascii="宋体" w:hAnsi="宋体" w:cs="宋体"/>
          <w:color w:val="auto"/>
          <w:sz w:val="24"/>
          <w:highlight w:val="none"/>
        </w:rPr>
        <w:t>5.投标费用</w:t>
      </w:r>
      <w:bookmarkEnd w:id="88"/>
      <w:bookmarkEnd w:id="89"/>
    </w:p>
    <w:p w14:paraId="7DA149D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398643EC">
      <w:pPr>
        <w:pStyle w:val="5"/>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6.联合体投标</w:t>
      </w:r>
    </w:p>
    <w:p w14:paraId="17EDA14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213ABEAD">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06767F8C">
      <w:pPr>
        <w:pStyle w:val="5"/>
        <w:keepNext w:val="0"/>
        <w:keepLines w:val="0"/>
        <w:spacing w:before="0" w:after="0" w:line="360" w:lineRule="auto"/>
        <w:ind w:firstLine="424" w:firstLineChars="202"/>
        <w:rPr>
          <w:rFonts w:ascii="宋体" w:hAnsi="宋体" w:cs="宋体"/>
          <w:color w:val="auto"/>
          <w:sz w:val="24"/>
          <w:highlight w:val="none"/>
        </w:rPr>
      </w:pPr>
      <w:r>
        <w:rPr>
          <w:rFonts w:hint="eastAsia" w:ascii="宋体" w:hAnsi="宋体" w:cs="宋体"/>
          <w:b w:val="0"/>
          <w:bCs/>
          <w:color w:val="auto"/>
          <w:sz w:val="21"/>
          <w:szCs w:val="21"/>
          <w:highlight w:val="none"/>
        </w:rPr>
        <w:t>6.3</w:t>
      </w:r>
      <w:bookmarkStart w:id="90" w:name="_Hlk65857072"/>
      <w:r>
        <w:rPr>
          <w:rFonts w:hint="eastAsia" w:ascii="宋体" w:hAnsi="宋体" w:cs="宋体"/>
          <w:b w:val="0"/>
          <w:bCs/>
          <w:color w:val="auto"/>
          <w:sz w:val="21"/>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90"/>
    </w:p>
    <w:p w14:paraId="125501F4">
      <w:pPr>
        <w:pStyle w:val="5"/>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063E6F8A">
      <w:pPr>
        <w:pStyle w:val="5"/>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7.1本项目不允许转包。</w:t>
      </w:r>
    </w:p>
    <w:p w14:paraId="6BAC57D3">
      <w:pPr>
        <w:pStyle w:val="5"/>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652B7F4B">
      <w:pPr>
        <w:pStyle w:val="5"/>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54074AAD">
      <w:pPr>
        <w:pStyle w:val="5"/>
        <w:keepNext w:val="0"/>
        <w:keepLines w:val="0"/>
        <w:spacing w:before="0" w:after="0" w:line="360" w:lineRule="auto"/>
        <w:ind w:left="420" w:leftChars="200"/>
        <w:rPr>
          <w:rFonts w:ascii="宋体" w:hAnsi="宋体" w:cs="宋体"/>
          <w:color w:val="auto"/>
          <w:sz w:val="24"/>
          <w:highlight w:val="none"/>
        </w:rPr>
      </w:pPr>
      <w:bookmarkStart w:id="91" w:name="_Toc254970673"/>
      <w:bookmarkStart w:id="92" w:name="_Toc254970532"/>
      <w:r>
        <w:rPr>
          <w:rFonts w:hint="eastAsia" w:ascii="宋体" w:hAnsi="宋体" w:cs="宋体"/>
          <w:color w:val="auto"/>
          <w:sz w:val="24"/>
          <w:highlight w:val="none"/>
        </w:rPr>
        <w:t>8.特别说明</w:t>
      </w:r>
      <w:bookmarkEnd w:id="91"/>
      <w:bookmarkEnd w:id="92"/>
    </w:p>
    <w:p w14:paraId="1BACA8E9">
      <w:pPr>
        <w:pStyle w:val="5"/>
        <w:keepNext w:val="0"/>
        <w:keepLines w:val="0"/>
        <w:spacing w:before="0" w:after="0" w:line="360" w:lineRule="auto"/>
        <w:ind w:firstLine="420" w:firstLineChars="200"/>
        <w:rPr>
          <w:rFonts w:ascii="宋体" w:hAnsi="宋体" w:cs="宋体"/>
          <w:b w:val="0"/>
          <w:color w:val="auto"/>
          <w:sz w:val="21"/>
          <w:szCs w:val="21"/>
          <w:highlight w:val="none"/>
        </w:rPr>
      </w:pPr>
      <w:bookmarkStart w:id="93" w:name="_8.1提供相同品牌产品且通过资格审查、符合性审查的不同投标人参加同一合"/>
      <w:bookmarkEnd w:id="93"/>
      <w:r>
        <w:rPr>
          <w:rFonts w:hint="eastAsia" w:ascii="宋体" w:hAnsi="宋体" w:cs="宋体"/>
          <w:b w:val="0"/>
          <w:color w:val="auto"/>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s="宋体"/>
          <w:color w:val="auto"/>
          <w:sz w:val="22"/>
          <w:szCs w:val="22"/>
          <w:highlight w:val="none"/>
        </w:rPr>
        <w:t>其他投标无效。</w:t>
      </w:r>
    </w:p>
    <w:p w14:paraId="0EAA6F1C">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11FEC450">
      <w:pPr>
        <w:pStyle w:val="24"/>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非单一产品采购项目，多家投标人提供的核心产品品牌相同的，</w:t>
      </w:r>
      <w:r>
        <w:rPr>
          <w:rFonts w:hint="eastAsia" w:hAnsi="宋体" w:cs="宋体"/>
          <w:color w:val="auto"/>
          <w:sz w:val="22"/>
          <w:szCs w:val="22"/>
          <w:highlight w:val="none"/>
        </w:rPr>
        <w:t>按前两款规定处理</w:t>
      </w:r>
      <w:r>
        <w:rPr>
          <w:rFonts w:hint="eastAsia" w:hAnsi="宋体" w:cs="宋体"/>
          <w:color w:val="auto"/>
          <w:kern w:val="2"/>
          <w:sz w:val="21"/>
          <w:highlight w:val="none"/>
        </w:rPr>
        <w:t>。</w:t>
      </w:r>
    </w:p>
    <w:p w14:paraId="16A29CF1">
      <w:pPr>
        <w:pStyle w:val="5"/>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455D6D84">
      <w:pPr>
        <w:pStyle w:val="5"/>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358CD6FD">
      <w:pPr>
        <w:pStyle w:val="5"/>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2FA74BE3">
      <w:pPr>
        <w:pStyle w:val="5"/>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9.回避与串通投标</w:t>
      </w:r>
    </w:p>
    <w:p w14:paraId="3A1A4891">
      <w:pPr>
        <w:pStyle w:val="5"/>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9.1在政府采购活动中，采购人员及相关人员与供应商有下列利害关系之一的，应当回避：</w:t>
      </w:r>
    </w:p>
    <w:p w14:paraId="00FF312C">
      <w:pPr>
        <w:pStyle w:val="24"/>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（1）参加采购活动前3年内与供应商存在劳动关系；</w:t>
      </w:r>
    </w:p>
    <w:p w14:paraId="1749378D">
      <w:pPr>
        <w:pStyle w:val="24"/>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（2）参加采购活动前3年内担任供应商的董事、监事；</w:t>
      </w:r>
    </w:p>
    <w:p w14:paraId="4E84EB8F">
      <w:pPr>
        <w:pStyle w:val="24"/>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（3）参加采购活动前3年内是供应商的控股股东或者实际控制人；</w:t>
      </w:r>
    </w:p>
    <w:p w14:paraId="36443970">
      <w:pPr>
        <w:pStyle w:val="24"/>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（4）与供应商的法定代表人或者负责人有夫妻、直系血亲、三代以内旁系血亲或者近姻亲关系；</w:t>
      </w:r>
    </w:p>
    <w:p w14:paraId="3F168ED9">
      <w:pPr>
        <w:pStyle w:val="24"/>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（5）与供应商有其他可能影响政府采购活动公平、公正进行的关系。</w:t>
      </w:r>
    </w:p>
    <w:p w14:paraId="4BA5F805">
      <w:pPr>
        <w:pStyle w:val="24"/>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C883E02">
      <w:pPr>
        <w:pStyle w:val="5"/>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9.2有下列情形之一的视为投标人相互串通投标，投标文件将被视为无效：</w:t>
      </w:r>
    </w:p>
    <w:p w14:paraId="3A06CD3F">
      <w:pPr>
        <w:pStyle w:val="24"/>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 xml:space="preserve">（1）不同投标人的投标文件由同一单位或者个人编制； </w:t>
      </w:r>
    </w:p>
    <w:p w14:paraId="08EB2D64">
      <w:pPr>
        <w:pStyle w:val="24"/>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（2）不同投标人委托同一单位或者个人办理投标事宜；</w:t>
      </w:r>
    </w:p>
    <w:p w14:paraId="0FE47EBA">
      <w:pPr>
        <w:pStyle w:val="24"/>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（3）不同的投标人的投标文件载明的项目管理员为同一个人；</w:t>
      </w:r>
    </w:p>
    <w:p w14:paraId="71B9C9DF">
      <w:pPr>
        <w:pStyle w:val="24"/>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（4）不同投标人的投标文件异常一致或者投标报价呈规律性差异；</w:t>
      </w:r>
    </w:p>
    <w:p w14:paraId="2023F1E4">
      <w:pPr>
        <w:pStyle w:val="24"/>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（5）不同投标人的投标文件相互混装；</w:t>
      </w:r>
    </w:p>
    <w:p w14:paraId="5629A828">
      <w:pPr>
        <w:pStyle w:val="24"/>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（6）不同投标人的投标保证金从同一单位或者个人账户转出。</w:t>
      </w:r>
    </w:p>
    <w:p w14:paraId="783C1162">
      <w:pPr>
        <w:pStyle w:val="5"/>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9.3供应商有下列情形之一的，属于恶意串通行为，将报同级监督管理部门：</w:t>
      </w:r>
    </w:p>
    <w:p w14:paraId="7844DB7C">
      <w:pPr>
        <w:pStyle w:val="24"/>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（1）供应商直接或者间接从采购人或者采购代理机构处获得其他供应商的相关信息并修改其投标文件或者响应文件；</w:t>
      </w:r>
    </w:p>
    <w:p w14:paraId="64F2F235">
      <w:pPr>
        <w:pStyle w:val="24"/>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（2）供应商按照采购人或者采购代理机构的授意撤换、修改投标文件或者响应文件；</w:t>
      </w:r>
    </w:p>
    <w:p w14:paraId="1BFC6E50">
      <w:pPr>
        <w:pStyle w:val="24"/>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（3）供应商之间协商报价、技术方案等投标文件或者响应文件的实质性内容；</w:t>
      </w:r>
    </w:p>
    <w:p w14:paraId="5C28335D">
      <w:pPr>
        <w:pStyle w:val="24"/>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（4）属于同一集团、协会、商会等组织成员的供应商按照该组织要求协同参加政府采购活动；</w:t>
      </w:r>
    </w:p>
    <w:p w14:paraId="53DF2C06">
      <w:pPr>
        <w:pStyle w:val="24"/>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585A82B9">
      <w:pPr>
        <w:pStyle w:val="24"/>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（6）供应商之间商定部分供应商放弃参加政府采购活动或者放弃中标；</w:t>
      </w:r>
    </w:p>
    <w:p w14:paraId="7857AB83">
      <w:pPr>
        <w:pStyle w:val="24"/>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（7）供应商与采购人或者采购代理机构之间、供应商相互之间，为谋求特定供应商中标或者排斥其他供应商的其他串通行为。</w:t>
      </w:r>
    </w:p>
    <w:p w14:paraId="704F3BB7">
      <w:pPr>
        <w:pStyle w:val="24"/>
        <w:snapToGrid w:val="0"/>
        <w:spacing w:line="360" w:lineRule="auto"/>
        <w:ind w:left="2" w:leftChars="1" w:firstLine="422" w:firstLineChars="200"/>
        <w:rPr>
          <w:rFonts w:hAnsi="宋体" w:cs="宋体"/>
          <w:b/>
          <w:color w:val="auto"/>
          <w:kern w:val="2"/>
          <w:sz w:val="21"/>
          <w:highlight w:val="none"/>
        </w:rPr>
      </w:pPr>
    </w:p>
    <w:p w14:paraId="31BE0EFE">
      <w:pPr>
        <w:pStyle w:val="4"/>
        <w:keepNext w:val="0"/>
        <w:keepLines w:val="0"/>
        <w:jc w:val="center"/>
        <w:rPr>
          <w:rFonts w:ascii="宋体" w:hAnsi="宋体" w:cs="宋体"/>
          <w:color w:val="auto"/>
          <w:highlight w:val="none"/>
        </w:rPr>
      </w:pPr>
      <w:bookmarkStart w:id="94" w:name="_Toc254970534"/>
      <w:bookmarkStart w:id="95" w:name="_Toc254970675"/>
      <w:r>
        <w:rPr>
          <w:rFonts w:hint="eastAsia" w:ascii="宋体" w:hAnsi="宋体" w:cs="宋体"/>
          <w:color w:val="auto"/>
          <w:highlight w:val="none"/>
        </w:rPr>
        <w:t>二、招标文件</w:t>
      </w:r>
      <w:bookmarkEnd w:id="94"/>
      <w:bookmarkEnd w:id="95"/>
    </w:p>
    <w:p w14:paraId="1319A90F">
      <w:pPr>
        <w:pStyle w:val="5"/>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10.招标文件的组成</w:t>
      </w:r>
    </w:p>
    <w:p w14:paraId="05179A92">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14:paraId="4D377BB9">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（2）采购需求； </w:t>
      </w:r>
    </w:p>
    <w:p w14:paraId="617C39BE">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（3）投标人须知；</w:t>
      </w:r>
    </w:p>
    <w:p w14:paraId="2F4213F6">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1580D55F">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14:paraId="1BB3643D">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03B23428">
      <w:pPr>
        <w:pStyle w:val="5"/>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527AC5AD">
      <w:pPr>
        <w:pStyle w:val="5"/>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50C31CD">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3E38B84">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11.2</w:t>
      </w:r>
      <w:bookmarkStart w:id="96" w:name="_Hlk53134511"/>
      <w:r>
        <w:rPr>
          <w:rFonts w:hint="eastAsia" w:hAnsi="宋体" w:cs="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96"/>
    <w:p w14:paraId="3FBE57B8">
      <w:pPr>
        <w:pStyle w:val="4"/>
        <w:keepNext w:val="0"/>
        <w:keepLines w:val="0"/>
        <w:jc w:val="center"/>
        <w:rPr>
          <w:rFonts w:ascii="宋体" w:hAnsi="宋体" w:cs="宋体"/>
          <w:color w:val="auto"/>
          <w:highlight w:val="none"/>
        </w:rPr>
      </w:pPr>
      <w:bookmarkStart w:id="97" w:name="_Toc254970535"/>
      <w:bookmarkStart w:id="98" w:name="_Toc254970676"/>
      <w:r>
        <w:rPr>
          <w:rFonts w:hint="eastAsia" w:ascii="宋体" w:hAnsi="宋体" w:cs="宋体"/>
          <w:color w:val="auto"/>
          <w:highlight w:val="none"/>
        </w:rPr>
        <w:t>三、投标文件的编制</w:t>
      </w:r>
      <w:bookmarkEnd w:id="97"/>
      <w:bookmarkEnd w:id="98"/>
    </w:p>
    <w:p w14:paraId="3EFF613B">
      <w:pPr>
        <w:pStyle w:val="5"/>
        <w:keepNext w:val="0"/>
        <w:keepLines w:val="0"/>
        <w:spacing w:before="0" w:after="0" w:line="360" w:lineRule="auto"/>
        <w:ind w:left="420" w:leftChars="200"/>
        <w:rPr>
          <w:rFonts w:ascii="宋体" w:hAnsi="宋体" w:cs="宋体"/>
          <w:color w:val="auto"/>
          <w:sz w:val="24"/>
          <w:highlight w:val="none"/>
        </w:rPr>
      </w:pPr>
      <w:bookmarkStart w:id="99" w:name="_Toc254970677"/>
      <w:bookmarkStart w:id="100" w:name="_Toc254970536"/>
      <w:r>
        <w:rPr>
          <w:rFonts w:hint="eastAsia" w:ascii="宋体" w:hAnsi="宋体" w:cs="宋体"/>
          <w:color w:val="auto"/>
          <w:sz w:val="24"/>
          <w:highlight w:val="none"/>
        </w:rPr>
        <w:t>12.投标文件的编制原则</w:t>
      </w:r>
    </w:p>
    <w:p w14:paraId="584037DF">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6659652E">
      <w:pPr>
        <w:pStyle w:val="5"/>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99"/>
      <w:bookmarkEnd w:id="100"/>
    </w:p>
    <w:p w14:paraId="3C8EC47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投标文件由报价文件、资格证明文件、商务文件、技术文件四部分组成。</w:t>
      </w:r>
    </w:p>
    <w:p w14:paraId="2BCED180">
      <w:pPr>
        <w:pStyle w:val="5"/>
        <w:keepNext w:val="0"/>
        <w:keepLines w:val="0"/>
        <w:spacing w:before="0" w:after="0" w:line="360" w:lineRule="auto"/>
        <w:ind w:left="420" w:leftChars="200"/>
        <w:rPr>
          <w:rFonts w:ascii="宋体" w:hAnsi="宋体" w:cs="宋体"/>
          <w:b w:val="0"/>
          <w:color w:val="auto"/>
          <w:sz w:val="21"/>
          <w:szCs w:val="21"/>
          <w:highlight w:val="none"/>
        </w:rPr>
      </w:pPr>
      <w:bookmarkStart w:id="101" w:name="_13.1报价文件:_具体材料见“投标人须知前附表”。"/>
      <w:bookmarkEnd w:id="101"/>
      <w:r>
        <w:rPr>
          <w:rFonts w:hint="eastAsia" w:ascii="宋体" w:hAnsi="宋体" w:cs="宋体"/>
          <w:b w:val="0"/>
          <w:color w:val="auto"/>
          <w:sz w:val="21"/>
          <w:szCs w:val="21"/>
          <w:highlight w:val="none"/>
        </w:rPr>
        <w:t>（1）报价文件：具体材料见“投标人须知前附表”。</w:t>
      </w:r>
    </w:p>
    <w:p w14:paraId="374C7CA5">
      <w:pPr>
        <w:pStyle w:val="5"/>
        <w:keepNext w:val="0"/>
        <w:keepLines w:val="0"/>
        <w:spacing w:before="0" w:after="0" w:line="360" w:lineRule="auto"/>
        <w:ind w:left="420" w:leftChars="200"/>
        <w:rPr>
          <w:rFonts w:ascii="宋体" w:hAnsi="宋体" w:cs="宋体"/>
          <w:b w:val="0"/>
          <w:color w:val="auto"/>
          <w:sz w:val="21"/>
          <w:szCs w:val="21"/>
          <w:highlight w:val="none"/>
        </w:rPr>
      </w:pPr>
      <w:bookmarkStart w:id="102" w:name="_13.2资格证明文件：具体材料见“投标人须知前附表”。"/>
      <w:bookmarkEnd w:id="102"/>
      <w:r>
        <w:rPr>
          <w:rFonts w:hint="eastAsia" w:ascii="宋体" w:hAnsi="宋体" w:cs="宋体"/>
          <w:b w:val="0"/>
          <w:color w:val="auto"/>
          <w:sz w:val="21"/>
          <w:szCs w:val="21"/>
          <w:highlight w:val="none"/>
        </w:rPr>
        <w:t>（2）资格证明文件：具体材料见“投标人须知前附表”。</w:t>
      </w:r>
    </w:p>
    <w:p w14:paraId="020F91D4">
      <w:pPr>
        <w:pStyle w:val="5"/>
        <w:keepNext w:val="0"/>
        <w:keepLines w:val="0"/>
        <w:spacing w:before="0" w:after="0" w:line="360" w:lineRule="auto"/>
        <w:ind w:left="420" w:leftChars="200"/>
        <w:rPr>
          <w:rFonts w:ascii="宋体" w:hAnsi="宋体" w:cs="宋体"/>
          <w:b w:val="0"/>
          <w:color w:val="auto"/>
          <w:sz w:val="21"/>
          <w:szCs w:val="21"/>
          <w:highlight w:val="none"/>
        </w:rPr>
      </w:pPr>
      <w:bookmarkStart w:id="103" w:name="_13.3商务文件:_具体材料见“投标人须知前附表”。"/>
      <w:bookmarkEnd w:id="103"/>
      <w:r>
        <w:rPr>
          <w:rFonts w:hint="eastAsia" w:ascii="宋体" w:hAnsi="宋体" w:cs="宋体"/>
          <w:b w:val="0"/>
          <w:color w:val="auto"/>
          <w:sz w:val="21"/>
          <w:szCs w:val="21"/>
          <w:highlight w:val="none"/>
        </w:rPr>
        <w:t>（3）商务文件：具体材料见“投标人须知前附表”。</w:t>
      </w:r>
    </w:p>
    <w:p w14:paraId="3EFA15F0">
      <w:pPr>
        <w:pStyle w:val="5"/>
        <w:keepNext w:val="0"/>
        <w:keepLines w:val="0"/>
        <w:spacing w:before="0" w:after="0" w:line="360" w:lineRule="auto"/>
        <w:ind w:left="420" w:leftChars="200"/>
        <w:rPr>
          <w:rFonts w:ascii="宋体" w:hAnsi="宋体" w:cs="宋体"/>
          <w:b w:val="0"/>
          <w:color w:val="auto"/>
          <w:sz w:val="21"/>
          <w:szCs w:val="21"/>
          <w:highlight w:val="none"/>
        </w:rPr>
      </w:pPr>
      <w:bookmarkStart w:id="104" w:name="_13.4技术文件：具体材料见“投标人须知前附表”。"/>
      <w:bookmarkEnd w:id="104"/>
      <w:r>
        <w:rPr>
          <w:rFonts w:hint="eastAsia" w:ascii="宋体" w:hAnsi="宋体" w:cs="宋体"/>
          <w:b w:val="0"/>
          <w:color w:val="auto"/>
          <w:sz w:val="21"/>
          <w:szCs w:val="21"/>
          <w:highlight w:val="none"/>
        </w:rPr>
        <w:t>（4）技术文件：具体材料见“投标人须知前附表”。</w:t>
      </w:r>
    </w:p>
    <w:p w14:paraId="7B97950F">
      <w:pPr>
        <w:pStyle w:val="5"/>
        <w:keepNext w:val="0"/>
        <w:keepLines w:val="0"/>
        <w:spacing w:before="0" w:after="0" w:line="360" w:lineRule="auto"/>
        <w:ind w:left="420" w:leftChars="200"/>
        <w:rPr>
          <w:rFonts w:ascii="宋体" w:hAnsi="宋体" w:cs="宋体"/>
          <w:color w:val="auto"/>
          <w:sz w:val="24"/>
          <w:highlight w:val="none"/>
        </w:rPr>
      </w:pPr>
      <w:bookmarkStart w:id="105" w:name="_13.5投标文件电子版：具体材料见“投标人须知前附表”。"/>
      <w:bookmarkEnd w:id="105"/>
      <w:bookmarkStart w:id="106" w:name="_Toc254970537"/>
      <w:bookmarkStart w:id="107" w:name="_Toc254970678"/>
      <w:r>
        <w:rPr>
          <w:rFonts w:hint="eastAsia" w:ascii="宋体" w:hAnsi="宋体" w:cs="宋体"/>
          <w:color w:val="auto"/>
          <w:sz w:val="24"/>
          <w:highlight w:val="none"/>
        </w:rPr>
        <w:t>14.投标文件的语言及计量</w:t>
      </w:r>
      <w:bookmarkEnd w:id="106"/>
      <w:bookmarkEnd w:id="107"/>
    </w:p>
    <w:p w14:paraId="77339572">
      <w:pPr>
        <w:pStyle w:val="5"/>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1ABEDF93">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6D09CF7">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080F8DF7">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s="宋体"/>
          <w:color w:val="auto"/>
          <w:sz w:val="21"/>
          <w:szCs w:val="21"/>
          <w:highlight w:val="none"/>
        </w:rPr>
        <w:t>否则视同未响应。</w:t>
      </w:r>
    </w:p>
    <w:p w14:paraId="2C63600B">
      <w:pPr>
        <w:pStyle w:val="5"/>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15.投标的风险</w:t>
      </w:r>
    </w:p>
    <w:p w14:paraId="182F2F79">
      <w:pPr>
        <w:pStyle w:val="24"/>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投标人没有按照招标文件要求提供全部资料，或者投标人没有对招标文件作出实质性响应是投标人的风险，并可能导致其投标被拒绝。</w:t>
      </w:r>
    </w:p>
    <w:p w14:paraId="6C0EB3FB">
      <w:pPr>
        <w:pStyle w:val="5"/>
        <w:keepNext w:val="0"/>
        <w:keepLines w:val="0"/>
        <w:spacing w:before="0" w:after="0" w:line="360" w:lineRule="auto"/>
        <w:ind w:left="420" w:leftChars="200"/>
        <w:rPr>
          <w:rFonts w:ascii="宋体" w:hAnsi="宋体" w:cs="宋体"/>
          <w:color w:val="auto"/>
          <w:sz w:val="24"/>
          <w:highlight w:val="none"/>
        </w:rPr>
      </w:pPr>
      <w:bookmarkStart w:id="108" w:name="_Toc254970679"/>
      <w:bookmarkStart w:id="109" w:name="_Toc254970538"/>
      <w:r>
        <w:rPr>
          <w:rFonts w:hint="eastAsia" w:ascii="宋体" w:hAnsi="宋体" w:cs="宋体"/>
          <w:color w:val="auto"/>
          <w:sz w:val="24"/>
          <w:highlight w:val="none"/>
        </w:rPr>
        <w:t>16.投标报价</w:t>
      </w:r>
      <w:bookmarkEnd w:id="108"/>
      <w:bookmarkEnd w:id="109"/>
    </w:p>
    <w:p w14:paraId="56AB4AB3">
      <w:pPr>
        <w:pStyle w:val="5"/>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　投标文件格式”中“开标一览表”格式填写。</w:t>
      </w:r>
    </w:p>
    <w:p w14:paraId="24D88465">
      <w:pPr>
        <w:pStyle w:val="5"/>
        <w:keepNext w:val="0"/>
        <w:keepLines w:val="0"/>
        <w:spacing w:before="0" w:after="0" w:line="360" w:lineRule="auto"/>
        <w:ind w:left="420" w:leftChars="200"/>
        <w:rPr>
          <w:rFonts w:ascii="宋体" w:hAnsi="宋体" w:cs="宋体"/>
          <w:b w:val="0"/>
          <w:color w:val="auto"/>
          <w:sz w:val="21"/>
          <w:szCs w:val="21"/>
          <w:highlight w:val="none"/>
        </w:rPr>
      </w:pPr>
      <w:bookmarkStart w:id="110" w:name="_16.2投标报价具体定义见投标人须知前附表。"/>
      <w:bookmarkEnd w:id="110"/>
      <w:r>
        <w:rPr>
          <w:rFonts w:hint="eastAsia" w:ascii="宋体" w:hAnsi="宋体" w:cs="宋体"/>
          <w:b w:val="0"/>
          <w:color w:val="auto"/>
          <w:sz w:val="21"/>
          <w:szCs w:val="21"/>
          <w:highlight w:val="none"/>
        </w:rPr>
        <w:t>16.2投标报价具体包括内容详见“投标人须知前附表”。</w:t>
      </w:r>
    </w:p>
    <w:p w14:paraId="4431FF54">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5C7FF9F4">
      <w:pPr>
        <w:pStyle w:val="5"/>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17.投标有效期</w:t>
      </w:r>
    </w:p>
    <w:p w14:paraId="7E28AE44">
      <w:pPr>
        <w:pStyle w:val="5"/>
        <w:keepNext w:val="0"/>
        <w:keepLines w:val="0"/>
        <w:spacing w:before="0" w:after="0" w:line="360" w:lineRule="auto"/>
        <w:ind w:firstLine="420" w:firstLineChars="200"/>
        <w:rPr>
          <w:rFonts w:ascii="宋体" w:hAnsi="宋体" w:cs="宋体"/>
          <w:b w:val="0"/>
          <w:color w:val="auto"/>
          <w:sz w:val="21"/>
          <w:szCs w:val="21"/>
          <w:highlight w:val="none"/>
        </w:rPr>
      </w:pPr>
      <w:bookmarkStart w:id="111" w:name="_17.1投标有效期应按“投标人须知中的前附表”规定的期限。"/>
      <w:bookmarkEnd w:id="111"/>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3C36BA33">
      <w:pPr>
        <w:pStyle w:val="5"/>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12" w:name="_Toc254970681"/>
      <w:bookmarkStart w:id="113" w:name="_Toc254970540"/>
      <w:r>
        <w:rPr>
          <w:rFonts w:hint="eastAsia" w:ascii="宋体" w:hAnsi="宋体" w:cs="宋体"/>
          <w:b w:val="0"/>
          <w:color w:val="auto"/>
          <w:sz w:val="21"/>
          <w:szCs w:val="21"/>
          <w:highlight w:val="none"/>
        </w:rPr>
        <w:t xml:space="preserve"> 投标有效期应按招标文件规定的期限作出承诺，具体详见“投标人须知前附表”。</w:t>
      </w:r>
      <w:r>
        <w:rPr>
          <w:rFonts w:hint="eastAsia" w:ascii="宋体" w:hAnsi="宋体" w:cs="宋体"/>
          <w:color w:val="auto"/>
          <w:sz w:val="21"/>
          <w:szCs w:val="21"/>
          <w:highlight w:val="none"/>
        </w:rPr>
        <w:t>承诺的投标有效期低于招标文件规定期限的，按无效投标处理</w:t>
      </w:r>
      <w:r>
        <w:rPr>
          <w:rFonts w:hint="eastAsia" w:ascii="宋体" w:hAnsi="宋体" w:cs="宋体"/>
          <w:b w:val="0"/>
          <w:color w:val="auto"/>
          <w:sz w:val="21"/>
          <w:szCs w:val="21"/>
          <w:highlight w:val="none"/>
        </w:rPr>
        <w:t>。</w:t>
      </w:r>
    </w:p>
    <w:p w14:paraId="7B6326B6">
      <w:pPr>
        <w:pStyle w:val="5"/>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12"/>
      <w:bookmarkEnd w:id="113"/>
    </w:p>
    <w:p w14:paraId="2EBC1098">
      <w:pPr>
        <w:pStyle w:val="5"/>
        <w:keepNext w:val="0"/>
        <w:keepLines w:val="0"/>
        <w:spacing w:before="0" w:after="0" w:line="360" w:lineRule="auto"/>
        <w:ind w:left="420" w:leftChars="200"/>
        <w:rPr>
          <w:rFonts w:ascii="宋体" w:hAnsi="宋体" w:cs="宋体"/>
          <w:color w:val="auto"/>
          <w:sz w:val="24"/>
          <w:highlight w:val="none"/>
        </w:rPr>
      </w:pPr>
      <w:bookmarkStart w:id="114" w:name="_18.投标保证金"/>
      <w:bookmarkEnd w:id="114"/>
      <w:bookmarkStart w:id="115" w:name="_Toc254970682"/>
      <w:bookmarkStart w:id="116" w:name="_Toc254970541"/>
      <w:r>
        <w:rPr>
          <w:rFonts w:hint="eastAsia" w:ascii="宋体" w:hAnsi="宋体" w:cs="宋体"/>
          <w:color w:val="auto"/>
          <w:sz w:val="24"/>
          <w:highlight w:val="none"/>
        </w:rPr>
        <w:t>18.投标保证金</w:t>
      </w:r>
      <w:bookmarkEnd w:id="115"/>
      <w:bookmarkEnd w:id="116"/>
    </w:p>
    <w:p w14:paraId="06A62A0A">
      <w:pPr>
        <w:pStyle w:val="5"/>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18.1投标人须按“投标人须知前附表” 的规定提交投标保证金。</w:t>
      </w:r>
    </w:p>
    <w:p w14:paraId="2EA2E914">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054B2905">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未中标人的投标保证金自中标通知书发出之日起4个工作日内退还；中标人的投标保证金自政府采购合同签订之日起4个工作日内退还。 </w:t>
      </w:r>
    </w:p>
    <w:p w14:paraId="244FAEEB">
      <w:pPr>
        <w:pStyle w:val="5"/>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1F9DB45E">
      <w:pPr>
        <w:pStyle w:val="5"/>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685061A9">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0C945B37">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2581575F">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24A36627">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296FD24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44F7FC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23ECD9FE">
      <w:pPr>
        <w:pStyle w:val="5"/>
        <w:keepNext w:val="0"/>
        <w:keepLines w:val="0"/>
        <w:spacing w:before="0" w:after="0" w:line="360" w:lineRule="auto"/>
        <w:ind w:left="420" w:leftChars="200"/>
        <w:rPr>
          <w:rFonts w:ascii="宋体" w:hAnsi="宋体" w:cs="宋体"/>
          <w:color w:val="auto"/>
          <w:sz w:val="24"/>
          <w:highlight w:val="none"/>
        </w:rPr>
      </w:pPr>
      <w:bookmarkStart w:id="117" w:name="_Toc254970542"/>
      <w:bookmarkStart w:id="118" w:name="_Toc254970683"/>
      <w:r>
        <w:rPr>
          <w:rFonts w:hint="eastAsia" w:ascii="宋体" w:hAnsi="宋体" w:cs="宋体"/>
          <w:color w:val="auto"/>
          <w:sz w:val="24"/>
          <w:highlight w:val="none"/>
        </w:rPr>
        <w:t>19.投标文件的</w:t>
      </w:r>
      <w:bookmarkEnd w:id="117"/>
      <w:bookmarkEnd w:id="118"/>
      <w:r>
        <w:rPr>
          <w:rFonts w:hint="eastAsia" w:ascii="宋体" w:hAnsi="宋体" w:cs="宋体"/>
          <w:color w:val="auto"/>
          <w:sz w:val="24"/>
          <w:highlight w:val="none"/>
        </w:rPr>
        <w:t>编制</w:t>
      </w:r>
    </w:p>
    <w:p w14:paraId="054781C5">
      <w:pPr>
        <w:pStyle w:val="5"/>
        <w:keepNext w:val="0"/>
        <w:keepLines w:val="0"/>
        <w:numPr>
          <w:ilvl w:val="4"/>
          <w:numId w:val="4"/>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14:paraId="03773C6A">
      <w:pPr>
        <w:pStyle w:val="5"/>
        <w:keepNext w:val="0"/>
        <w:keepLines w:val="0"/>
        <w:numPr>
          <w:ilvl w:val="4"/>
          <w:numId w:val="4"/>
        </w:numPr>
        <w:spacing w:before="0" w:after="0" w:line="360" w:lineRule="auto"/>
        <w:ind w:firstLine="315" w:firstLineChars="150"/>
        <w:rPr>
          <w:rFonts w:ascii="宋体" w:hAnsi="宋体" w:cs="宋体"/>
          <w:b w:val="0"/>
          <w:color w:val="auto"/>
          <w:sz w:val="21"/>
          <w:szCs w:val="21"/>
          <w:highlight w:val="none"/>
        </w:rPr>
      </w:pPr>
      <w:bookmarkStart w:id="119" w:name="_19.2投标文件应按报价文件、资格证明文件、商务文件、技术文件分别编制"/>
      <w:bookmarkEnd w:id="119"/>
      <w:r>
        <w:rPr>
          <w:rFonts w:hint="eastAsia" w:ascii="宋体" w:hAnsi="宋体" w:cs="宋体"/>
          <w:b w:val="0"/>
          <w:color w:val="auto"/>
          <w:sz w:val="21"/>
          <w:szCs w:val="21"/>
          <w:highlight w:val="none"/>
        </w:rPr>
        <w:t xml:space="preserve"> 19.2为确保网上操作合法、有效和安全，投标人应当在投标截止时间前完成在广西政府采购云平台的身份认证，确保在电子投标过程中能够对相关数据电文进行加密和使用电子签章。</w:t>
      </w:r>
    </w:p>
    <w:p w14:paraId="76611DDE">
      <w:pPr>
        <w:pStyle w:val="5"/>
        <w:keepNext w:val="0"/>
        <w:keepLines w:val="0"/>
        <w:numPr>
          <w:ilvl w:val="4"/>
          <w:numId w:val="4"/>
        </w:numPr>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cs="宋体"/>
          <w:bCs/>
          <w:color w:val="auto"/>
          <w:sz w:val="21"/>
          <w:szCs w:val="21"/>
          <w:highlight w:val="none"/>
        </w:rPr>
        <w:t>否则按无效投标处理</w:t>
      </w:r>
      <w:r>
        <w:rPr>
          <w:rFonts w:hint="eastAsia" w:ascii="宋体" w:hAnsi="宋体" w:cs="宋体"/>
          <w:b w:val="0"/>
          <w:color w:val="auto"/>
          <w:sz w:val="21"/>
          <w:szCs w:val="21"/>
          <w:highlight w:val="none"/>
        </w:rPr>
        <w:t>。</w:t>
      </w:r>
    </w:p>
    <w:p w14:paraId="716663BD">
      <w:pPr>
        <w:pStyle w:val="5"/>
        <w:keepNext w:val="0"/>
        <w:keepLines w:val="0"/>
        <w:numPr>
          <w:ilvl w:val="4"/>
          <w:numId w:val="4"/>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s="宋体"/>
          <w:color w:val="auto"/>
          <w:sz w:val="21"/>
          <w:szCs w:val="21"/>
          <w:highlight w:val="none"/>
        </w:rPr>
        <w:t>否则按无效投标处理</w:t>
      </w:r>
      <w:r>
        <w:rPr>
          <w:rFonts w:hint="eastAsia" w:ascii="宋体" w:hAnsi="宋体" w:cs="宋体"/>
          <w:b w:val="0"/>
          <w:color w:val="auto"/>
          <w:sz w:val="21"/>
          <w:szCs w:val="21"/>
          <w:highlight w:val="none"/>
        </w:rPr>
        <w:t>。</w:t>
      </w:r>
    </w:p>
    <w:p w14:paraId="38FDFB50">
      <w:pPr>
        <w:pStyle w:val="5"/>
        <w:keepNext w:val="0"/>
        <w:keepLines w:val="0"/>
        <w:numPr>
          <w:ilvl w:val="4"/>
          <w:numId w:val="4"/>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21B337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20.电子备份投标文件</w:t>
      </w:r>
    </w:p>
    <w:p w14:paraId="0634B804">
      <w:pPr>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电子备份投标文件是指通过在线编制生成且后缀名为“bfbs”的文件，是否接受电子备份投标文件</w:t>
      </w:r>
      <w:r>
        <w:rPr>
          <w:rFonts w:hint="eastAsia" w:ascii="宋体" w:hAnsi="宋体" w:cs="宋体"/>
          <w:bCs/>
          <w:color w:val="auto"/>
          <w:szCs w:val="21"/>
          <w:highlight w:val="none"/>
        </w:rPr>
        <w:t>详见在“投标人须知前附表”。</w:t>
      </w:r>
    </w:p>
    <w:p w14:paraId="377E9161">
      <w:pPr>
        <w:pStyle w:val="5"/>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21.投标文件的提交</w:t>
      </w:r>
    </w:p>
    <w:p w14:paraId="64EA83AD">
      <w:pPr>
        <w:spacing w:line="360" w:lineRule="auto"/>
        <w:ind w:firstLine="420" w:firstLineChars="200"/>
        <w:rPr>
          <w:rFonts w:ascii="宋体" w:hAnsi="宋体" w:cs="宋体"/>
          <w:b/>
          <w:color w:val="auto"/>
          <w:highlight w:val="none"/>
        </w:rPr>
      </w:pPr>
      <w:r>
        <w:rPr>
          <w:rFonts w:hint="eastAsia" w:ascii="宋体" w:hAnsi="宋体" w:cs="宋体"/>
          <w:bCs/>
          <w:color w:val="auto"/>
          <w:szCs w:val="21"/>
          <w:highlight w:val="none"/>
        </w:rPr>
        <w:t>21.1投标人必须在“投标人须知前附表”规定的</w:t>
      </w:r>
      <w:r>
        <w:rPr>
          <w:rFonts w:hint="eastAsia" w:ascii="宋体" w:hAnsi="宋体" w:cs="宋体"/>
          <w:color w:val="auto"/>
          <w:szCs w:val="21"/>
          <w:highlight w:val="none"/>
        </w:rPr>
        <w:t>投标文件提交截止时间前将</w:t>
      </w:r>
      <w:r>
        <w:rPr>
          <w:rFonts w:hint="eastAsia" w:ascii="宋体" w:hAnsi="宋体" w:cs="宋体"/>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w:t>
      </w:r>
    </w:p>
    <w:p w14:paraId="799A7A49">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21.2未在规定时间内提交或者未按照招标文件要求加密的电子投标文件，“广西政府采购云平台”将拒收。</w:t>
      </w:r>
    </w:p>
    <w:p w14:paraId="130CCDB1">
      <w:pPr>
        <w:pStyle w:val="5"/>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p>
    <w:p w14:paraId="41515576">
      <w:pPr>
        <w:snapToGrid w:val="0"/>
        <w:spacing w:line="360" w:lineRule="auto"/>
        <w:ind w:firstLine="420"/>
        <w:jc w:val="left"/>
        <w:rPr>
          <w:rFonts w:ascii="宋体" w:hAnsi="宋体" w:cs="宋体"/>
          <w:color w:val="auto"/>
          <w:szCs w:val="21"/>
          <w:highlight w:val="none"/>
        </w:rPr>
      </w:pPr>
      <w:bookmarkStart w:id="120" w:name="_Toc254970684"/>
      <w:bookmarkStart w:id="121" w:name="_Toc254970543"/>
      <w:r>
        <w:rPr>
          <w:rFonts w:hint="eastAsia" w:ascii="宋体" w:hAnsi="宋体" w:cs="宋体"/>
          <w:color w:val="auto"/>
          <w:szCs w:val="21"/>
          <w:highlight w:val="none"/>
        </w:rPr>
        <w:t>22.1</w:t>
      </w:r>
      <w:r>
        <w:rPr>
          <w:rFonts w:hint="eastAsia" w:ascii="宋体" w:hAnsi="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将予以拒收。</w:t>
      </w:r>
      <w:r>
        <w:rPr>
          <w:rFonts w:hint="eastAsia" w:ascii="宋体" w:hAnsi="宋体" w:cs="宋体"/>
          <w:color w:val="auto"/>
          <w:szCs w:val="21"/>
          <w:highlight w:val="none"/>
        </w:rPr>
        <w:t>（补充、修改或者撤回方式可登录“广西政府采购云平台”</w:t>
      </w:r>
      <w:r>
        <w:rPr>
          <w:rFonts w:hint="eastAsia" w:ascii="宋体" w:hAnsi="宋体" w:cs="宋体"/>
          <w:color w:val="auto"/>
          <w:kern w:val="0"/>
          <w:szCs w:val="21"/>
          <w:highlight w:val="none"/>
        </w:rPr>
        <w:t>，</w:t>
      </w:r>
      <w:r>
        <w:rPr>
          <w:rFonts w:hint="eastAsia" w:ascii="宋体" w:hAnsi="宋体" w:cs="宋体"/>
          <w:color w:val="auto"/>
          <w:szCs w:val="21"/>
          <w:highlight w:val="none"/>
        </w:rPr>
        <w:t>进入“服务中心”中查看 “电子投标文件制作与投送教程”）</w:t>
      </w:r>
    </w:p>
    <w:p w14:paraId="6B3EE11F">
      <w:pPr>
        <w:pStyle w:val="112"/>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0FDF151E">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22.3在投标截止时间后，采购人和采购代理机构对已提交的投标文件概不退回。</w:t>
      </w:r>
    </w:p>
    <w:bookmarkEnd w:id="120"/>
    <w:bookmarkEnd w:id="121"/>
    <w:p w14:paraId="38F7AB28">
      <w:pPr>
        <w:spacing w:line="360" w:lineRule="auto"/>
        <w:ind w:firstLine="420" w:firstLineChars="200"/>
        <w:rPr>
          <w:rFonts w:ascii="宋体" w:hAnsi="宋体" w:cs="宋体"/>
          <w:color w:val="auto"/>
          <w:szCs w:val="21"/>
          <w:highlight w:val="none"/>
        </w:rPr>
      </w:pPr>
    </w:p>
    <w:p w14:paraId="1CFD4012">
      <w:pPr>
        <w:pStyle w:val="4"/>
        <w:keepNext w:val="0"/>
        <w:keepLines w:val="0"/>
        <w:jc w:val="center"/>
        <w:rPr>
          <w:rFonts w:ascii="宋体" w:hAnsi="宋体" w:cs="宋体"/>
          <w:color w:val="auto"/>
          <w:highlight w:val="none"/>
        </w:rPr>
      </w:pPr>
      <w:bookmarkStart w:id="122" w:name="_Toc254970544"/>
      <w:bookmarkStart w:id="123" w:name="_Toc254970685"/>
      <w:r>
        <w:rPr>
          <w:rFonts w:hint="eastAsia" w:ascii="宋体" w:hAnsi="宋体" w:cs="宋体"/>
          <w:color w:val="auto"/>
          <w:highlight w:val="none"/>
        </w:rPr>
        <w:t>四、开标</w:t>
      </w:r>
      <w:bookmarkEnd w:id="122"/>
      <w:bookmarkEnd w:id="123"/>
    </w:p>
    <w:p w14:paraId="0FC9A439">
      <w:pPr>
        <w:pStyle w:val="5"/>
        <w:keepNext w:val="0"/>
        <w:keepLines w:val="0"/>
        <w:spacing w:before="0" w:after="0" w:line="360" w:lineRule="auto"/>
        <w:ind w:left="420" w:leftChars="200"/>
        <w:rPr>
          <w:rFonts w:ascii="宋体" w:hAnsi="宋体" w:cs="宋体"/>
          <w:color w:val="auto"/>
          <w:sz w:val="24"/>
          <w:highlight w:val="none"/>
        </w:rPr>
      </w:pPr>
      <w:bookmarkStart w:id="124" w:name="_23.开标时间和地点"/>
      <w:bookmarkEnd w:id="124"/>
      <w:r>
        <w:rPr>
          <w:rFonts w:hint="eastAsia" w:ascii="宋体" w:hAnsi="宋体" w:cs="宋体"/>
          <w:color w:val="auto"/>
          <w:sz w:val="24"/>
          <w:highlight w:val="none"/>
        </w:rPr>
        <w:t>23.开标时间和地点</w:t>
      </w:r>
    </w:p>
    <w:p w14:paraId="1D59B909">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开标时间及地点详见“投标人须知前附表”</w:t>
      </w:r>
    </w:p>
    <w:p w14:paraId="7776115B">
      <w:pPr>
        <w:pStyle w:val="5"/>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24.开标程序</w:t>
      </w:r>
    </w:p>
    <w:p w14:paraId="3F47BAD6">
      <w:pPr>
        <w:pStyle w:val="6"/>
        <w:spacing w:line="360" w:lineRule="auto"/>
        <w:rPr>
          <w:rFonts w:ascii="宋体" w:hAnsi="宋体" w:cs="宋体"/>
          <w:color w:val="auto"/>
          <w:highlight w:val="none"/>
        </w:rPr>
      </w:pPr>
      <w:r>
        <w:rPr>
          <w:rFonts w:hint="eastAsia" w:ascii="宋体" w:hAnsi="宋体" w:cs="宋体"/>
          <w:color w:val="auto"/>
          <w:highlight w:val="none"/>
        </w:rPr>
        <w:t>24.1提交投标文件截止时间止，投标人不足3家的，不得开标。</w:t>
      </w:r>
    </w:p>
    <w:p w14:paraId="452F7BA0">
      <w:pPr>
        <w:pStyle w:val="6"/>
        <w:spacing w:line="360" w:lineRule="auto"/>
        <w:rPr>
          <w:rFonts w:ascii="宋体" w:hAnsi="宋体" w:cs="宋体"/>
          <w:color w:val="auto"/>
          <w:highlight w:val="none"/>
        </w:rPr>
      </w:pPr>
      <w:r>
        <w:rPr>
          <w:rFonts w:hint="eastAsia" w:ascii="宋体" w:hAnsi="宋体" w:cs="宋体"/>
          <w:color w:val="auto"/>
          <w:highlight w:val="none"/>
        </w:rPr>
        <w:t>24.2采购代理机构将按照招标文件规定的时间通过</w:t>
      </w:r>
      <w:r>
        <w:rPr>
          <w:rFonts w:hint="eastAsia" w:ascii="宋体" w:hAnsi="宋体" w:cs="宋体"/>
          <w:color w:val="auto"/>
          <w:szCs w:val="21"/>
          <w:highlight w:val="none"/>
        </w:rPr>
        <w:t>“广西政府采购云平台”</w:t>
      </w:r>
      <w:r>
        <w:rPr>
          <w:rFonts w:hint="eastAsia" w:ascii="宋体" w:hAnsi="宋体" w:cs="宋体"/>
          <w:color w:val="auto"/>
          <w:highlight w:val="none"/>
        </w:rPr>
        <w:t>组织线上开标活动，所有供应商均应当准时在线参加，投标人因未在线参加开标而导致投标文件无法按时解密等一切后果由投标人自己承担。</w:t>
      </w:r>
    </w:p>
    <w:p w14:paraId="44D94271">
      <w:pPr>
        <w:pStyle w:val="6"/>
        <w:spacing w:line="360" w:lineRule="auto"/>
        <w:rPr>
          <w:rFonts w:ascii="宋体" w:hAnsi="宋体" w:cs="宋体"/>
          <w:color w:val="auto"/>
          <w:highlight w:val="none"/>
        </w:rPr>
      </w:pPr>
      <w:r>
        <w:rPr>
          <w:rFonts w:hint="eastAsia" w:ascii="宋体" w:hAnsi="宋体" w:cs="宋体"/>
          <w:color w:val="auto"/>
          <w:highlight w:val="none"/>
        </w:rPr>
        <w:t>24.3开标程序</w:t>
      </w:r>
    </w:p>
    <w:p w14:paraId="1B997104">
      <w:pPr>
        <w:pStyle w:val="6"/>
        <w:spacing w:line="360" w:lineRule="auto"/>
        <w:rPr>
          <w:rFonts w:ascii="宋体" w:hAnsi="宋体" w:cs="宋体"/>
          <w:color w:val="auto"/>
          <w:highlight w:val="none"/>
        </w:rPr>
      </w:pPr>
      <w:r>
        <w:rPr>
          <w:rFonts w:hint="eastAsia" w:ascii="宋体" w:hAnsi="宋体" w:cs="宋体"/>
          <w:color w:val="auto"/>
          <w:highlight w:val="none"/>
        </w:rPr>
        <w:t>（1）解密电子投标文件。</w:t>
      </w:r>
      <w:r>
        <w:rPr>
          <w:rFonts w:hint="eastAsia" w:ascii="宋体" w:hAnsi="宋体" w:cs="宋体"/>
          <w:color w:val="auto"/>
          <w:szCs w:val="21"/>
          <w:highlight w:val="none"/>
        </w:rPr>
        <w:t>“广西政府采购云平台”</w:t>
      </w:r>
      <w:r>
        <w:rPr>
          <w:rFonts w:hint="eastAsia" w:ascii="宋体" w:hAnsi="宋体" w:cs="宋体"/>
          <w:color w:val="auto"/>
          <w:highlight w:val="none"/>
        </w:rPr>
        <w:t>按开标时间自动提取所有投标文件。采购代理机构依托</w:t>
      </w:r>
      <w:r>
        <w:rPr>
          <w:rFonts w:hint="eastAsia" w:ascii="宋体" w:hAnsi="宋体" w:cs="宋体"/>
          <w:color w:val="auto"/>
          <w:szCs w:val="21"/>
          <w:highlight w:val="none"/>
        </w:rPr>
        <w:t>“广西政府采购云平台”</w:t>
      </w:r>
      <w:r>
        <w:rPr>
          <w:rFonts w:hint="eastAsia" w:ascii="宋体" w:hAnsi="宋体" w:cs="宋体"/>
          <w:color w:val="auto"/>
          <w:highlight w:val="none"/>
        </w:rPr>
        <w:t>向各投标人发出电子加密投标文件【开始解密】通知，由投标人按</w:t>
      </w:r>
      <w:r>
        <w:rPr>
          <w:rFonts w:hint="eastAsia" w:ascii="宋体" w:hAnsi="宋体" w:cs="宋体"/>
          <w:bCs/>
          <w:color w:val="auto"/>
          <w:szCs w:val="21"/>
          <w:highlight w:val="none"/>
        </w:rPr>
        <w:t>“投标人须知前附表”</w:t>
      </w:r>
      <w:r>
        <w:rPr>
          <w:rFonts w:hint="eastAsia" w:ascii="宋体" w:hAnsi="宋体" w:cs="宋体"/>
          <w:color w:val="auto"/>
          <w:highlight w:val="none"/>
        </w:rPr>
        <w:t>规定的时间内自行进行投标文件解密。投标人的法定代表人或其委托代理人须凭加密时所用的CA锁准时登录到</w:t>
      </w:r>
      <w:r>
        <w:rPr>
          <w:rFonts w:hint="eastAsia" w:ascii="宋体" w:hAnsi="宋体" w:cs="宋体"/>
          <w:color w:val="auto"/>
          <w:szCs w:val="21"/>
          <w:highlight w:val="none"/>
        </w:rPr>
        <w:t>“广西政府采购云平台”</w:t>
      </w:r>
      <w:r>
        <w:rPr>
          <w:rFonts w:hint="eastAsia" w:ascii="宋体" w:hAnsi="宋体" w:cs="宋体"/>
          <w:color w:val="auto"/>
          <w:highlight w:val="none"/>
        </w:rPr>
        <w:t>电子开标大厅签到并对电子投标文件解密。</w:t>
      </w:r>
      <w:r>
        <w:rPr>
          <w:rFonts w:hint="eastAsia" w:ascii="宋体" w:hAnsi="宋体" w:cs="宋体"/>
          <w:b/>
          <w:color w:val="auto"/>
          <w:highlight w:val="none"/>
        </w:rPr>
        <w:t>投标人未在规定的时间内解密投标文件或者解密失败的，</w:t>
      </w:r>
      <w:r>
        <w:rPr>
          <w:rFonts w:hint="eastAsia" w:ascii="宋体" w:hAnsi="宋体" w:cs="宋体"/>
          <w:b/>
          <w:color w:val="auto"/>
          <w:szCs w:val="21"/>
          <w:highlight w:val="none"/>
        </w:rPr>
        <w:t>投标人的投标文件作无效处理。</w:t>
      </w:r>
    </w:p>
    <w:p w14:paraId="57883257">
      <w:pPr>
        <w:pStyle w:val="6"/>
        <w:spacing w:line="360" w:lineRule="auto"/>
        <w:rPr>
          <w:rFonts w:ascii="宋体" w:hAnsi="宋体" w:cs="宋体"/>
          <w:color w:val="auto"/>
          <w:highlight w:val="none"/>
        </w:rPr>
      </w:pPr>
      <w:r>
        <w:rPr>
          <w:rFonts w:hint="eastAsia" w:ascii="宋体" w:hAnsi="宋体" w:cs="宋体"/>
          <w:color w:val="auto"/>
          <w:highlight w:val="none"/>
        </w:rPr>
        <w:t>（2）电子唱标。投标文件解密结束，宣布的内容均在</w:t>
      </w:r>
      <w:r>
        <w:rPr>
          <w:rFonts w:hint="eastAsia" w:ascii="宋体" w:hAnsi="宋体" w:cs="宋体"/>
          <w:color w:val="auto"/>
          <w:szCs w:val="21"/>
          <w:highlight w:val="none"/>
        </w:rPr>
        <w:t>“广西政府采购云平台”</w:t>
      </w:r>
      <w:r>
        <w:rPr>
          <w:rFonts w:hint="eastAsia" w:ascii="宋体" w:hAnsi="宋体" w:cs="宋体"/>
          <w:color w:val="auto"/>
          <w:highlight w:val="none"/>
        </w:rPr>
        <w:t>远程开标大厅展示，具体详见</w:t>
      </w:r>
      <w:r>
        <w:rPr>
          <w:rFonts w:hint="eastAsia" w:ascii="宋体" w:hAnsi="宋体" w:cs="宋体"/>
          <w:bCs/>
          <w:color w:val="auto"/>
          <w:highlight w:val="none"/>
        </w:rPr>
        <w:t>“投标人须知前附表”</w:t>
      </w:r>
      <w:r>
        <w:rPr>
          <w:rFonts w:hint="eastAsia" w:ascii="宋体" w:hAnsi="宋体" w:cs="宋体"/>
          <w:color w:val="auto"/>
          <w:highlight w:val="none"/>
        </w:rPr>
        <w:t>；</w:t>
      </w:r>
    </w:p>
    <w:p w14:paraId="082A3363">
      <w:pPr>
        <w:pStyle w:val="6"/>
        <w:spacing w:line="360" w:lineRule="auto"/>
        <w:rPr>
          <w:rFonts w:ascii="宋体" w:hAnsi="宋体" w:cs="宋体"/>
          <w:color w:val="auto"/>
          <w:szCs w:val="21"/>
          <w:highlight w:val="none"/>
        </w:rPr>
      </w:pPr>
      <w:r>
        <w:rPr>
          <w:rFonts w:hint="eastAsia" w:ascii="宋体" w:hAnsi="宋体" w:cs="宋体"/>
          <w:color w:val="auto"/>
          <w:highlight w:val="none"/>
        </w:rPr>
        <w:t>（3）开标过程由采购代理机构如实记录，并电子留痕，由参加电子开标的各投标人代表对电子开标记录在开标记录公布后15分钟内进行当</w:t>
      </w:r>
      <w:r>
        <w:rPr>
          <w:rFonts w:hint="eastAsia" w:ascii="宋体" w:hAnsi="宋体" w:cs="宋体"/>
          <w:color w:val="auto"/>
          <w:szCs w:val="21"/>
          <w:highlight w:val="none"/>
        </w:rPr>
        <w:t>场校核及勘误，并线上确认是否有异议，未确认的视同认可开标结果。</w:t>
      </w:r>
    </w:p>
    <w:p w14:paraId="204B9847">
      <w:pPr>
        <w:pStyle w:val="6"/>
        <w:spacing w:line="360" w:lineRule="auto"/>
        <w:rPr>
          <w:rFonts w:ascii="宋体" w:hAnsi="宋体" w:cs="宋体"/>
          <w:color w:val="auto"/>
          <w:szCs w:val="21"/>
          <w:highlight w:val="none"/>
        </w:rPr>
      </w:pPr>
      <w:r>
        <w:rPr>
          <w:rFonts w:hint="eastAsia" w:ascii="宋体" w:hAnsi="宋体" w:cs="宋体"/>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2BAD778">
      <w:pPr>
        <w:pStyle w:val="6"/>
        <w:spacing w:line="360" w:lineRule="auto"/>
        <w:rPr>
          <w:rFonts w:ascii="宋体" w:hAnsi="宋体" w:cs="宋体"/>
          <w:color w:val="auto"/>
          <w:szCs w:val="21"/>
          <w:highlight w:val="none"/>
        </w:rPr>
      </w:pPr>
      <w:r>
        <w:rPr>
          <w:rFonts w:hint="eastAsia" w:ascii="宋体" w:hAnsi="宋体" w:cs="宋体"/>
          <w:color w:val="auto"/>
          <w:szCs w:val="21"/>
          <w:highlight w:val="none"/>
        </w:rPr>
        <w:t>（5）开标结束。</w:t>
      </w:r>
    </w:p>
    <w:p w14:paraId="6AAC8F90">
      <w:pPr>
        <w:pStyle w:val="5"/>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1"/>
          <w:highlight w:val="none"/>
        </w:rPr>
        <w:t>特别说明：如遇“广西政府采购云平台”电子化开标或评审程序调整的，按调整后执行。</w:t>
      </w:r>
    </w:p>
    <w:p w14:paraId="67BB1F7B">
      <w:pPr>
        <w:pStyle w:val="6"/>
        <w:spacing w:line="360" w:lineRule="auto"/>
        <w:rPr>
          <w:rFonts w:ascii="宋体" w:hAnsi="宋体" w:cs="宋体"/>
          <w:color w:val="auto"/>
          <w:highlight w:val="none"/>
        </w:rPr>
      </w:pPr>
    </w:p>
    <w:p w14:paraId="67447FBB">
      <w:pPr>
        <w:pStyle w:val="24"/>
        <w:snapToGrid w:val="0"/>
        <w:spacing w:line="360" w:lineRule="auto"/>
        <w:ind w:left="689" w:leftChars="228" w:hanging="210" w:hangingChars="100"/>
        <w:rPr>
          <w:rFonts w:hAnsi="宋体" w:cs="宋体"/>
          <w:color w:val="auto"/>
          <w:sz w:val="21"/>
          <w:highlight w:val="none"/>
        </w:rPr>
      </w:pPr>
    </w:p>
    <w:p w14:paraId="1482C6B4">
      <w:pPr>
        <w:pStyle w:val="4"/>
        <w:keepNext w:val="0"/>
        <w:keepLines w:val="0"/>
        <w:jc w:val="center"/>
        <w:rPr>
          <w:rFonts w:ascii="宋体" w:hAnsi="宋体" w:cs="宋体"/>
          <w:color w:val="auto"/>
          <w:highlight w:val="none"/>
        </w:rPr>
      </w:pPr>
      <w:r>
        <w:rPr>
          <w:rFonts w:hint="eastAsia" w:ascii="宋体" w:hAnsi="宋体" w:cs="宋体"/>
          <w:color w:val="auto"/>
          <w:highlight w:val="none"/>
        </w:rPr>
        <w:t>五、资格审查</w:t>
      </w:r>
    </w:p>
    <w:p w14:paraId="4EA31FC6">
      <w:pPr>
        <w:pStyle w:val="5"/>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25.资格审查</w:t>
      </w:r>
    </w:p>
    <w:p w14:paraId="7D4DDCFB">
      <w:pPr>
        <w:pStyle w:val="5"/>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25.1开标结束后，采购人或者采购代理机构通过电子开评标系统依据招标文件对电子投标文件进行线上资格审查。</w:t>
      </w:r>
    </w:p>
    <w:p w14:paraId="3E938A8D">
      <w:pPr>
        <w:pStyle w:val="5"/>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5174F5C9">
      <w:pPr>
        <w:pStyle w:val="5"/>
        <w:keepNext w:val="0"/>
        <w:keepLines w:val="0"/>
        <w:numPr>
          <w:ilvl w:val="0"/>
          <w:numId w:val="0"/>
        </w:numPr>
        <w:spacing w:before="0" w:after="0" w:line="360" w:lineRule="auto"/>
        <w:ind w:firstLine="422" w:firstLineChars="200"/>
        <w:rPr>
          <w:rFonts w:ascii="宋体" w:hAnsi="宋体" w:cs="宋体"/>
          <w:color w:val="auto"/>
          <w:sz w:val="21"/>
          <w:szCs w:val="21"/>
          <w:highlight w:val="none"/>
        </w:rPr>
      </w:pPr>
      <w:bookmarkStart w:id="125" w:name="_25.3_投标人有下列情形之一的，资格审查不通过而导致其投标无效："/>
      <w:bookmarkEnd w:id="125"/>
      <w:r>
        <w:rPr>
          <w:rFonts w:hint="eastAsia" w:ascii="宋体" w:hAnsi="宋体" w:cs="宋体"/>
          <w:color w:val="auto"/>
          <w:sz w:val="21"/>
          <w:szCs w:val="21"/>
          <w:highlight w:val="none"/>
        </w:rPr>
        <w:t>25.3 投标人有下列情形之一的，资格审查不通过，作无效投标处理：</w:t>
      </w:r>
    </w:p>
    <w:p w14:paraId="351105F0">
      <w:pPr>
        <w:pStyle w:val="24"/>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（1）不具备招标文件中规定的资格要求的；</w:t>
      </w:r>
    </w:p>
    <w:p w14:paraId="6E26EF4D">
      <w:pPr>
        <w:pStyle w:val="24"/>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65ECE0CD">
      <w:pPr>
        <w:pStyle w:val="24"/>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137CBE61">
      <w:pPr>
        <w:pStyle w:val="24"/>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（4）投标文件中的资格证明文件缺少任一项“投标人须知前附表”资格证明文件规定“必须提供”的文件资料的；</w:t>
      </w:r>
    </w:p>
    <w:p w14:paraId="05E6B76C">
      <w:pPr>
        <w:pStyle w:val="24"/>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（5）投标文件中的资格证明文件出现任一项不符合“投标人须知前附表”资格证明文件规定“必须提供”的文件资料要求或者无效的。</w:t>
      </w:r>
    </w:p>
    <w:p w14:paraId="114FA23B">
      <w:pPr>
        <w:pStyle w:val="5"/>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color w:val="auto"/>
          <w:sz w:val="21"/>
          <w:szCs w:val="21"/>
          <w:highlight w:val="none"/>
        </w:rPr>
        <w:t>25.4合格投标人不足3家的，不得评标。</w:t>
      </w:r>
    </w:p>
    <w:p w14:paraId="1F266688">
      <w:pPr>
        <w:pStyle w:val="24"/>
        <w:snapToGrid w:val="0"/>
        <w:spacing w:line="360" w:lineRule="auto"/>
        <w:ind w:left="689" w:leftChars="228" w:hanging="210" w:hangingChars="100"/>
        <w:rPr>
          <w:rFonts w:hAnsi="宋体" w:cs="宋体"/>
          <w:color w:val="auto"/>
          <w:sz w:val="21"/>
          <w:highlight w:val="none"/>
        </w:rPr>
      </w:pPr>
    </w:p>
    <w:p w14:paraId="36BA4CA3">
      <w:pPr>
        <w:pStyle w:val="4"/>
        <w:keepNext w:val="0"/>
        <w:keepLines w:val="0"/>
        <w:jc w:val="center"/>
        <w:rPr>
          <w:rFonts w:ascii="宋体" w:hAnsi="宋体" w:cs="宋体"/>
          <w:color w:val="auto"/>
          <w:highlight w:val="none"/>
        </w:rPr>
      </w:pPr>
      <w:r>
        <w:rPr>
          <w:rFonts w:hint="eastAsia" w:ascii="宋体" w:hAnsi="宋体" w:cs="宋体"/>
          <w:color w:val="auto"/>
          <w:highlight w:val="none"/>
        </w:rPr>
        <w:t>六、评标</w:t>
      </w:r>
    </w:p>
    <w:p w14:paraId="136866D6">
      <w:pPr>
        <w:pStyle w:val="5"/>
        <w:keepNext w:val="0"/>
        <w:keepLines w:val="0"/>
        <w:spacing w:before="0" w:after="0" w:line="360" w:lineRule="auto"/>
        <w:ind w:left="420" w:leftChars="200"/>
        <w:rPr>
          <w:rFonts w:ascii="宋体" w:hAnsi="宋体" w:cs="宋体"/>
          <w:color w:val="auto"/>
          <w:sz w:val="24"/>
          <w:highlight w:val="none"/>
        </w:rPr>
      </w:pPr>
      <w:bookmarkStart w:id="126" w:name="_26.组建评标委员会"/>
      <w:bookmarkEnd w:id="126"/>
      <w:r>
        <w:rPr>
          <w:rFonts w:hint="eastAsia" w:ascii="宋体" w:hAnsi="宋体" w:cs="宋体"/>
          <w:color w:val="auto"/>
          <w:sz w:val="24"/>
          <w:highlight w:val="none"/>
        </w:rPr>
        <w:t>26.组建评标委员会</w:t>
      </w:r>
    </w:p>
    <w:p w14:paraId="5C6FE6B9">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26.1评标委员会由采购人代表和评审专家组成，具体人数详见“投标人须知前附表”，其中评审专家不得少于成员总数的三分之二。</w:t>
      </w:r>
    </w:p>
    <w:p w14:paraId="1D1F08E6">
      <w:pPr>
        <w:pStyle w:val="24"/>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26.2参加过采购项目前期咨询论证的专家，不得参加该采购项目的评审活动。</w:t>
      </w:r>
    </w:p>
    <w:p w14:paraId="2CAF1C87">
      <w:pPr>
        <w:pStyle w:val="24"/>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26.3采购代理机构应当基于</w:t>
      </w:r>
      <w:r>
        <w:rPr>
          <w:rFonts w:hint="eastAsia" w:hAnsi="宋体" w:cs="宋体"/>
          <w:color w:val="auto"/>
          <w:highlight w:val="none"/>
        </w:rPr>
        <w:t>“广西政府采购云平台”</w:t>
      </w:r>
      <w:r>
        <w:rPr>
          <w:rFonts w:hint="eastAsia" w:hAnsi="宋体" w:cs="宋体"/>
          <w:color w:val="auto"/>
          <w:sz w:val="21"/>
          <w:highlight w:val="none"/>
        </w:rPr>
        <w:t>抽（选）取评审专家。</w:t>
      </w:r>
    </w:p>
    <w:p w14:paraId="6D867C8B">
      <w:pPr>
        <w:pStyle w:val="24"/>
        <w:snapToGrid w:val="0"/>
        <w:spacing w:line="360" w:lineRule="auto"/>
        <w:ind w:left="2" w:leftChars="1" w:firstLine="420" w:firstLineChars="200"/>
        <w:rPr>
          <w:rFonts w:hAnsi="宋体" w:cs="宋体"/>
          <w:color w:val="auto"/>
          <w:sz w:val="21"/>
          <w:highlight w:val="none"/>
        </w:rPr>
      </w:pPr>
    </w:p>
    <w:p w14:paraId="602FCD83">
      <w:pPr>
        <w:pStyle w:val="5"/>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27.评标的依据</w:t>
      </w:r>
    </w:p>
    <w:p w14:paraId="48502DF4">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评标委员会以“第四章 评标方法和评标标准”为依据对投标文件进行评审，没有规定的方法、评审因素和标准，不作为评标依据。</w:t>
      </w:r>
    </w:p>
    <w:p w14:paraId="1A270DE7">
      <w:pPr>
        <w:pStyle w:val="5"/>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28.评标原则</w:t>
      </w:r>
    </w:p>
    <w:p w14:paraId="5EE09B68">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5D3E2F6">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28.2</w:t>
      </w:r>
      <w:bookmarkStart w:id="127" w:name="_28.3评标方法。本项目将按须知前附表规定的评标办法进行评标，具体评标"/>
      <w:bookmarkEnd w:id="127"/>
      <w:r>
        <w:rPr>
          <w:rFonts w:hint="eastAsia" w:hAnsi="宋体" w:cs="宋体"/>
          <w:color w:val="auto"/>
          <w:sz w:val="21"/>
          <w:highlight w:val="none"/>
        </w:rPr>
        <w:t>评委表决。评标委员会成员对需要共同认定的事项存在争议的，应当按照少数服从多数的原则作出结论。</w:t>
      </w:r>
    </w:p>
    <w:p w14:paraId="275DC930">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83BBFDE">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28.4评标过程的监控。本项目电子评标过程实行网上留痕、全程录音、录像监控，</w:t>
      </w:r>
      <w:r>
        <w:rPr>
          <w:rFonts w:hint="eastAsia" w:hAnsi="宋体" w:cs="宋体"/>
          <w:b/>
          <w:color w:val="auto"/>
          <w:sz w:val="21"/>
          <w:highlight w:val="none"/>
        </w:rPr>
        <w:t>投标人在评标过程中所进行的试图影响评标结果的不公正活动，可能导致其投标按无效处理。</w:t>
      </w:r>
    </w:p>
    <w:p w14:paraId="25EBA00E">
      <w:pPr>
        <w:pStyle w:val="5"/>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29.评标方法及中标候选人推荐</w:t>
      </w:r>
    </w:p>
    <w:p w14:paraId="718A85F1">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29.1本项目的评标方法详见“投标人须知前附表”。</w:t>
      </w:r>
    </w:p>
    <w:p w14:paraId="027ED9BA">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29.2 商务/技术要求允许负偏离的条款数详见“投标人须知前附表”。</w:t>
      </w:r>
    </w:p>
    <w:p w14:paraId="34446C3F">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29.3中标候选人推荐数量详见“投标人须知前附表”。</w:t>
      </w:r>
    </w:p>
    <w:p w14:paraId="5A09E1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 电子交易活动的中止。采购过程中出现以下情形，导致电子交易平台无法正常运行，或者无法保证电子交易的公平、公正和安全时，采购代理机构可以中止电子交易活动：</w:t>
      </w:r>
    </w:p>
    <w:p w14:paraId="6E8F9A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3905D3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757010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70E8C2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38778F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14:paraId="746715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64CFA4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29.5出现下列情形之一的，应予废标：</w:t>
      </w:r>
    </w:p>
    <w:p w14:paraId="79AB29A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14:paraId="23DE419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37A39AE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4121F5D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0CE2AE0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1D2D0615">
      <w:pPr>
        <w:pStyle w:val="4"/>
        <w:keepNext w:val="0"/>
        <w:keepLines w:val="0"/>
        <w:jc w:val="center"/>
        <w:rPr>
          <w:rFonts w:ascii="宋体" w:hAnsi="宋体" w:cs="宋体"/>
          <w:color w:val="auto"/>
          <w:highlight w:val="none"/>
        </w:rPr>
      </w:pPr>
      <w:bookmarkStart w:id="128" w:name="_Toc254970687"/>
      <w:bookmarkStart w:id="129" w:name="_Toc254970546"/>
      <w:r>
        <w:rPr>
          <w:rFonts w:hint="eastAsia" w:ascii="宋体" w:hAnsi="宋体" w:cs="宋体"/>
          <w:color w:val="auto"/>
          <w:highlight w:val="none"/>
        </w:rPr>
        <w:t>七、</w:t>
      </w:r>
      <w:bookmarkEnd w:id="128"/>
      <w:bookmarkEnd w:id="129"/>
      <w:r>
        <w:rPr>
          <w:rFonts w:hint="eastAsia" w:ascii="宋体" w:hAnsi="宋体" w:cs="宋体"/>
          <w:color w:val="auto"/>
          <w:highlight w:val="none"/>
        </w:rPr>
        <w:t>中标和合同</w:t>
      </w:r>
    </w:p>
    <w:p w14:paraId="22F7D232">
      <w:pPr>
        <w:pStyle w:val="5"/>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30.确定中标人</w:t>
      </w:r>
    </w:p>
    <w:p w14:paraId="33D0AE58">
      <w:pPr>
        <w:pStyle w:val="5"/>
        <w:keepNext w:val="0"/>
        <w:keepLines w:val="0"/>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4C7690E7">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6D9A44EE">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30.3出现下列情形之一的，应予废标：</w:t>
      </w:r>
    </w:p>
    <w:p w14:paraId="47F4B4FF">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14:paraId="4183DD42">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1425D3CD">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64130F04">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532C7D3E">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269E6D75">
      <w:pPr>
        <w:pStyle w:val="5"/>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31.结果公告</w:t>
      </w:r>
    </w:p>
    <w:p w14:paraId="12F486AC">
      <w:pPr>
        <w:pStyle w:val="5"/>
        <w:keepNext w:val="0"/>
        <w:keepLines w:val="0"/>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7647C91B">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5E763DE9">
      <w:pPr>
        <w:pStyle w:val="5"/>
        <w:keepNext w:val="0"/>
        <w:keepLines w:val="0"/>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31.2中标人享受《政府采购促进中小企业发展管理办法》（财库〔2020〕46号）规定的中小企业扶持政策的，采购人、采购代理机构应当随中标结果公开中标人的《中小企业声明函》。</w:t>
      </w:r>
    </w:p>
    <w:p w14:paraId="4614479B">
      <w:pPr>
        <w:pStyle w:val="5"/>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32.发出中标通知书</w:t>
      </w:r>
    </w:p>
    <w:p w14:paraId="4312C4D2">
      <w:pPr>
        <w:pStyle w:val="5"/>
        <w:keepNext w:val="0"/>
        <w:keepLines w:val="0"/>
        <w:spacing w:before="0" w:after="0" w:line="38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1F4DB8FD">
      <w:pPr>
        <w:pStyle w:val="5"/>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4371A59A">
      <w:pPr>
        <w:pStyle w:val="5"/>
        <w:keepNext w:val="0"/>
        <w:keepLines w:val="0"/>
        <w:spacing w:before="0" w:after="0" w:line="38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w:t>
      </w:r>
    </w:p>
    <w:p w14:paraId="791BD9AC">
      <w:pPr>
        <w:pStyle w:val="5"/>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34.合同授予标准</w:t>
      </w:r>
    </w:p>
    <w:p w14:paraId="0C20D442">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w:t>
      </w:r>
    </w:p>
    <w:p w14:paraId="43B2DCDE">
      <w:pPr>
        <w:pStyle w:val="5"/>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35.履约保证金</w:t>
      </w:r>
    </w:p>
    <w:p w14:paraId="60FA1073">
      <w:pPr>
        <w:pStyle w:val="5"/>
        <w:keepNext w:val="0"/>
        <w:keepLines w:val="0"/>
        <w:spacing w:before="0" w:after="0" w:line="380" w:lineRule="exact"/>
        <w:ind w:firstLine="315" w:firstLineChars="150"/>
        <w:rPr>
          <w:rFonts w:ascii="宋体" w:hAnsi="宋体" w:cs="宋体"/>
          <w:b w:val="0"/>
          <w:color w:val="auto"/>
          <w:sz w:val="21"/>
          <w:szCs w:val="21"/>
          <w:highlight w:val="none"/>
        </w:rPr>
      </w:pPr>
      <w:bookmarkStart w:id="130" w:name="_39.1中标人须于签订合同前按本须知前附表规定的金额转账或电汇到指定账"/>
      <w:bookmarkEnd w:id="130"/>
      <w:r>
        <w:rPr>
          <w:rFonts w:hint="eastAsia" w:ascii="宋体" w:hAnsi="宋体" w:cs="宋体"/>
          <w:b w:val="0"/>
          <w:color w:val="auto"/>
          <w:sz w:val="21"/>
          <w:szCs w:val="21"/>
          <w:highlight w:val="none"/>
        </w:rPr>
        <w:t>35.1 履约保证金的金额、提交方式、退付的时间和条件详见 “投标人须知前附表”。中标人未按规定提交履约保证金的，视为拒绝与采购人签订合同。</w:t>
      </w:r>
    </w:p>
    <w:p w14:paraId="1B157550">
      <w:pPr>
        <w:pStyle w:val="5"/>
        <w:keepNext w:val="0"/>
        <w:keepLines w:val="0"/>
        <w:spacing w:before="0" w:after="0" w:line="380" w:lineRule="exact"/>
        <w:ind w:firstLine="315" w:firstLineChars="150"/>
        <w:rPr>
          <w:rFonts w:ascii="宋体" w:hAnsi="宋体" w:cs="宋体"/>
          <w:color w:val="auto"/>
          <w:sz w:val="21"/>
          <w:szCs w:val="21"/>
          <w:highlight w:val="none"/>
        </w:rPr>
      </w:pPr>
      <w:r>
        <w:rPr>
          <w:rFonts w:hint="eastAsia" w:ascii="宋体" w:hAnsi="宋体" w:cs="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242CB1CB">
      <w:pPr>
        <w:pStyle w:val="5"/>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36.签订合同</w:t>
      </w:r>
    </w:p>
    <w:p w14:paraId="07EF56E7">
      <w:pPr>
        <w:pStyle w:val="5"/>
        <w:keepNext w:val="0"/>
        <w:keepLines w:val="0"/>
        <w:spacing w:before="0" w:after="0" w:line="380" w:lineRule="exact"/>
        <w:ind w:firstLine="316" w:firstLineChars="150"/>
        <w:rPr>
          <w:rFonts w:ascii="宋体" w:hAnsi="宋体" w:cs="宋体"/>
          <w:b w:val="0"/>
          <w:color w:val="auto"/>
          <w:sz w:val="21"/>
          <w:szCs w:val="21"/>
          <w:highlight w:val="none"/>
        </w:rPr>
      </w:pPr>
      <w:bookmarkStart w:id="131" w:name="_40.1投标人接到中标通知书后，按须知前附表规定向采购人出示相关资格证"/>
      <w:bookmarkEnd w:id="131"/>
      <w:r>
        <w:rPr>
          <w:rFonts w:hint="eastAsia" w:ascii="宋体" w:hAnsi="宋体" w:cs="宋体"/>
          <w:color w:val="auto"/>
          <w:sz w:val="21"/>
          <w:szCs w:val="21"/>
          <w:highlight w:val="none"/>
        </w:rPr>
        <w:t>36.1签订电子采购合同：中标人领取电子中标通知书后，</w:t>
      </w:r>
      <w:r>
        <w:rPr>
          <w:rFonts w:hint="eastAsia" w:ascii="宋体" w:hAnsi="宋体" w:cs="宋体"/>
          <w:color w:val="auto"/>
          <w:kern w:val="0"/>
          <w:sz w:val="21"/>
          <w:szCs w:val="21"/>
          <w:highlight w:val="none"/>
        </w:rPr>
        <w:t>在</w:t>
      </w:r>
      <w:r>
        <w:rPr>
          <w:rFonts w:hint="eastAsia" w:ascii="宋体" w:hAnsi="宋体" w:cs="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31879A79">
      <w:pPr>
        <w:pStyle w:val="5"/>
        <w:keepNext w:val="0"/>
        <w:keepLines w:val="0"/>
        <w:spacing w:before="0" w:after="0" w:line="38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59E227AC">
      <w:pPr>
        <w:pStyle w:val="5"/>
        <w:keepNext w:val="0"/>
        <w:keepLines w:val="0"/>
        <w:numPr>
          <w:ilvl w:val="0"/>
          <w:numId w:val="0"/>
        </w:numPr>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36.2签订合同时间：按中标通知书规定的时间与采购人签订合同。</w:t>
      </w:r>
    </w:p>
    <w:p w14:paraId="2F710274">
      <w:pPr>
        <w:pStyle w:val="5"/>
        <w:keepNext w:val="0"/>
        <w:keepLines w:val="0"/>
        <w:spacing w:before="0" w:after="0" w:line="38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7F738403">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B60AC01">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36.5采购人或中标人不得单方面向合同另一方提出任何招标文件没有约定的条件或不合理的要求，作为签订合同的条件；也不得协商另行订立背离招标文件和合同实质性内容的协议。</w:t>
      </w:r>
    </w:p>
    <w:p w14:paraId="050999FC">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36.6如签订合同并生效后，供应商无故拒绝或延期，除按照合同条款处理外，将承担相应的法律责任。</w:t>
      </w:r>
    </w:p>
    <w:p w14:paraId="186985B5">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36.7政府采购合同履行中，采购人需追加与合同标的相同的货物、工程或者服务的，在不改变合同其他条款的前提下，可以与供应商协商签订补充合同。</w:t>
      </w:r>
    </w:p>
    <w:p w14:paraId="63C4F78A">
      <w:pPr>
        <w:pStyle w:val="5"/>
        <w:keepNext w:val="0"/>
        <w:keepLines w:val="0"/>
        <w:spacing w:before="0" w:after="0" w:line="380" w:lineRule="exact"/>
        <w:ind w:left="420" w:leftChars="200"/>
        <w:rPr>
          <w:rFonts w:ascii="宋体" w:hAnsi="宋体" w:cs="宋体"/>
          <w:color w:val="auto"/>
          <w:sz w:val="24"/>
          <w:highlight w:val="none"/>
        </w:rPr>
      </w:pPr>
      <w:bookmarkStart w:id="132" w:name="_41.政府采购合同公告"/>
      <w:bookmarkEnd w:id="132"/>
      <w:r>
        <w:rPr>
          <w:rFonts w:hint="eastAsia" w:ascii="宋体" w:hAnsi="宋体" w:cs="宋体"/>
          <w:color w:val="auto"/>
          <w:sz w:val="24"/>
          <w:highlight w:val="none"/>
        </w:rPr>
        <w:t>37.政府采购合同公告</w:t>
      </w:r>
    </w:p>
    <w:p w14:paraId="56410A6D">
      <w:pPr>
        <w:pStyle w:val="24"/>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5BEC8460">
      <w:pPr>
        <w:pStyle w:val="5"/>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5C24F2A1">
      <w:pPr>
        <w:pStyle w:val="6"/>
        <w:spacing w:line="340" w:lineRule="exact"/>
        <w:rPr>
          <w:rFonts w:ascii="宋体" w:hAnsi="宋体" w:cs="宋体"/>
          <w:color w:val="auto"/>
          <w:szCs w:val="21"/>
          <w:highlight w:val="none"/>
        </w:rPr>
      </w:pPr>
      <w:r>
        <w:rPr>
          <w:rFonts w:hint="eastAsia" w:ascii="宋体" w:hAnsi="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74B76459">
      <w:pPr>
        <w:pStyle w:val="5"/>
        <w:keepNext w:val="0"/>
        <w:keepLines w:val="0"/>
        <w:spacing w:before="0" w:after="0" w:line="34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1621001D">
      <w:pPr>
        <w:pStyle w:val="24"/>
        <w:snapToGrid w:val="0"/>
        <w:spacing w:line="340" w:lineRule="exact"/>
        <w:ind w:firstLine="420" w:firstLineChars="200"/>
        <w:rPr>
          <w:rFonts w:hAnsi="宋体" w:cs="宋体"/>
          <w:color w:val="auto"/>
          <w:sz w:val="21"/>
          <w:highlight w:val="none"/>
        </w:rPr>
      </w:pPr>
      <w:r>
        <w:rPr>
          <w:rFonts w:hint="eastAsia" w:hAnsi="宋体" w:cs="宋体"/>
          <w:color w:val="auto"/>
          <w:sz w:val="21"/>
          <w:highlight w:val="none"/>
        </w:rPr>
        <w:t>（1）对可以质疑的招标文件提出质疑的，为收到招标文件之日或者招标文件公告期限届满之日；</w:t>
      </w:r>
    </w:p>
    <w:p w14:paraId="452FF66A">
      <w:pPr>
        <w:pStyle w:val="24"/>
        <w:snapToGrid w:val="0"/>
        <w:spacing w:line="340" w:lineRule="exact"/>
        <w:ind w:firstLine="420" w:firstLineChars="200"/>
        <w:rPr>
          <w:rFonts w:hAnsi="宋体" w:cs="宋体"/>
          <w:color w:val="auto"/>
          <w:sz w:val="21"/>
          <w:highlight w:val="none"/>
        </w:rPr>
      </w:pPr>
      <w:r>
        <w:rPr>
          <w:rFonts w:hint="eastAsia" w:hAnsi="宋体" w:cs="宋体"/>
          <w:color w:val="auto"/>
          <w:sz w:val="21"/>
          <w:highlight w:val="none"/>
        </w:rPr>
        <w:t>（2）对采购过程提出质疑的，为各采购程序环节结束之日；</w:t>
      </w:r>
    </w:p>
    <w:p w14:paraId="7CCF1987">
      <w:pPr>
        <w:pStyle w:val="24"/>
        <w:snapToGrid w:val="0"/>
        <w:spacing w:line="340" w:lineRule="exact"/>
        <w:ind w:firstLine="420" w:firstLineChars="200"/>
        <w:rPr>
          <w:rFonts w:hAnsi="宋体" w:cs="宋体"/>
          <w:bCs/>
          <w:color w:val="auto"/>
          <w:sz w:val="21"/>
          <w:highlight w:val="none"/>
        </w:rPr>
      </w:pPr>
      <w:r>
        <w:rPr>
          <w:rFonts w:hint="eastAsia" w:hAnsi="宋体" w:cs="宋体"/>
          <w:color w:val="auto"/>
          <w:sz w:val="21"/>
          <w:highlight w:val="none"/>
        </w:rPr>
        <w:t>（3）对中标结果提出质疑的，为中标结果公告期限届满之日。</w:t>
      </w:r>
    </w:p>
    <w:p w14:paraId="05697994">
      <w:pPr>
        <w:pStyle w:val="5"/>
        <w:keepNext w:val="0"/>
        <w:keepLines w:val="0"/>
        <w:spacing w:before="0" w:after="0" w:line="34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38.3</w:t>
      </w:r>
      <w:r>
        <w:rPr>
          <w:rFonts w:hint="eastAsia" w:ascii="宋体" w:hAnsi="宋体" w:cs="宋体"/>
          <w:b w:val="0"/>
          <w:bCs/>
          <w:color w:val="auto"/>
          <w:sz w:val="21"/>
          <w:highlight w:val="none"/>
        </w:rPr>
        <w:t>供应商提出质疑应当提交质疑函和必要的证明材料，针对同一采购程序环节的质疑必须在法定质疑期内一次性提出。质疑函应当包括下列内容（质疑函格式后附）：</w:t>
      </w:r>
    </w:p>
    <w:p w14:paraId="6CCDEF70">
      <w:pPr>
        <w:pStyle w:val="24"/>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（1）供应商的姓名或者名称、地址、邮编、联系人及联系电话；</w:t>
      </w:r>
    </w:p>
    <w:p w14:paraId="33FD12DE">
      <w:pPr>
        <w:pStyle w:val="24"/>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（2）质疑项目的名称、编号；</w:t>
      </w:r>
    </w:p>
    <w:p w14:paraId="236D09B9">
      <w:pPr>
        <w:pStyle w:val="24"/>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（3）具体、明确的质疑事项和与质疑事项相关的请求；</w:t>
      </w:r>
    </w:p>
    <w:p w14:paraId="5D441B0D">
      <w:pPr>
        <w:pStyle w:val="24"/>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（4）事实依据；</w:t>
      </w:r>
    </w:p>
    <w:p w14:paraId="12EC8345">
      <w:pPr>
        <w:pStyle w:val="24"/>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（5）必要的法律依据；</w:t>
      </w:r>
    </w:p>
    <w:p w14:paraId="4758A5DB">
      <w:pPr>
        <w:pStyle w:val="24"/>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（6）提出质疑的日期。</w:t>
      </w:r>
    </w:p>
    <w:p w14:paraId="55667CA0">
      <w:pPr>
        <w:pStyle w:val="24"/>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供应商为自然人的，应当由本人签字；供应商为法人或者其他组织的，应当由法定代表人、主要负责人，或者其委托代理人签字或者盖章，并加盖公章。</w:t>
      </w:r>
    </w:p>
    <w:p w14:paraId="636241D6">
      <w:pPr>
        <w:pStyle w:val="5"/>
        <w:keepNext w:val="0"/>
        <w:keepLines w:val="0"/>
        <w:snapToGrid w:val="0"/>
        <w:spacing w:before="0" w:after="0" w:line="340" w:lineRule="exact"/>
        <w:ind w:firstLine="420" w:firstLineChars="200"/>
        <w:rPr>
          <w:rFonts w:ascii="宋体" w:hAnsi="宋体" w:cs="宋体"/>
          <w:b w:val="0"/>
          <w:bCs/>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0C7AD636">
      <w:pPr>
        <w:pStyle w:val="24"/>
        <w:snapToGrid w:val="0"/>
        <w:spacing w:line="340" w:lineRule="exact"/>
        <w:rPr>
          <w:rFonts w:hAnsi="宋体" w:cs="宋体"/>
          <w:bCs/>
          <w:color w:val="auto"/>
          <w:sz w:val="21"/>
          <w:highlight w:val="none"/>
        </w:rPr>
      </w:pPr>
      <w:r>
        <w:rPr>
          <w:rFonts w:hint="eastAsia" w:hAnsi="宋体" w:cs="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52572399">
      <w:pPr>
        <w:pStyle w:val="24"/>
        <w:snapToGrid w:val="0"/>
        <w:spacing w:line="340" w:lineRule="exact"/>
        <w:rPr>
          <w:rFonts w:hAnsi="宋体" w:cs="宋体"/>
          <w:bCs/>
          <w:color w:val="auto"/>
          <w:sz w:val="21"/>
          <w:highlight w:val="none"/>
        </w:rPr>
      </w:pPr>
      <w:r>
        <w:rPr>
          <w:rFonts w:hint="eastAsia" w:hAnsi="宋体" w:cs="宋体"/>
          <w:bCs/>
          <w:color w:val="auto"/>
          <w:sz w:val="21"/>
          <w:highlight w:val="none"/>
        </w:rPr>
        <w:t>　　（二）对采购过程、中标结果提出的质疑，合格供应商符合法定数量时，可以从合格的中标候选人中另行确定中标人的，应当依法另行确定中标人；否则应当重新开展采购活动。</w:t>
      </w:r>
    </w:p>
    <w:p w14:paraId="1F3C71DD">
      <w:pPr>
        <w:pStyle w:val="24"/>
        <w:snapToGrid w:val="0"/>
        <w:spacing w:line="340" w:lineRule="exact"/>
        <w:ind w:firstLine="420"/>
        <w:rPr>
          <w:rFonts w:hAnsi="宋体" w:cs="宋体"/>
          <w:bCs/>
          <w:color w:val="auto"/>
          <w:sz w:val="21"/>
          <w:highlight w:val="none"/>
        </w:rPr>
      </w:pPr>
      <w:r>
        <w:rPr>
          <w:rFonts w:hint="eastAsia" w:hAnsi="宋体" w:cs="宋体"/>
          <w:bCs/>
          <w:color w:val="auto"/>
          <w:sz w:val="21"/>
          <w:highlight w:val="none"/>
        </w:rPr>
        <w:t>质疑答复导致中标结果改变的，采购人或者采购代理机构应当将有关情况书面报告本级财政部门。</w:t>
      </w:r>
    </w:p>
    <w:p w14:paraId="0DF292B7">
      <w:pPr>
        <w:pStyle w:val="24"/>
        <w:snapToGrid w:val="0"/>
        <w:spacing w:line="340" w:lineRule="exact"/>
        <w:ind w:firstLine="420" w:firstLineChars="200"/>
        <w:rPr>
          <w:rFonts w:hAnsi="宋体" w:cs="宋体"/>
          <w:color w:val="auto"/>
          <w:sz w:val="21"/>
          <w:highlight w:val="none"/>
        </w:rPr>
      </w:pPr>
      <w:r>
        <w:rPr>
          <w:rFonts w:hint="eastAsia" w:hAnsi="宋体" w:cs="宋体"/>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0DC95FA">
      <w:pPr>
        <w:pStyle w:val="4"/>
        <w:keepNext w:val="0"/>
        <w:keepLines w:val="0"/>
        <w:spacing w:line="340" w:lineRule="exact"/>
        <w:jc w:val="center"/>
        <w:rPr>
          <w:rFonts w:ascii="宋体" w:hAnsi="宋体" w:cs="宋体"/>
          <w:color w:val="auto"/>
          <w:highlight w:val="none"/>
        </w:rPr>
      </w:pPr>
      <w:r>
        <w:rPr>
          <w:rFonts w:hint="eastAsia" w:ascii="宋体" w:hAnsi="宋体" w:cs="宋体"/>
          <w:color w:val="auto"/>
          <w:highlight w:val="none"/>
        </w:rPr>
        <w:t>八、其他事项</w:t>
      </w:r>
    </w:p>
    <w:p w14:paraId="2E251939">
      <w:pPr>
        <w:pStyle w:val="5"/>
        <w:keepNext w:val="0"/>
        <w:keepLines w:val="0"/>
        <w:spacing w:before="0" w:after="0" w:line="340" w:lineRule="exact"/>
        <w:ind w:left="420" w:leftChars="200"/>
        <w:rPr>
          <w:rFonts w:ascii="宋体" w:hAnsi="宋体" w:cs="宋体"/>
          <w:color w:val="auto"/>
          <w:sz w:val="24"/>
          <w:highlight w:val="none"/>
        </w:rPr>
      </w:pPr>
      <w:bookmarkStart w:id="133" w:name="_42.代理服务费"/>
      <w:bookmarkEnd w:id="133"/>
      <w:r>
        <w:rPr>
          <w:rFonts w:hint="eastAsia" w:ascii="宋体" w:hAnsi="宋体" w:cs="宋体"/>
          <w:color w:val="auto"/>
          <w:sz w:val="24"/>
          <w:highlight w:val="none"/>
        </w:rPr>
        <w:t>39.代理服务费</w:t>
      </w:r>
    </w:p>
    <w:p w14:paraId="4E5E7D97">
      <w:pPr>
        <w:pStyle w:val="5"/>
        <w:keepNext w:val="0"/>
        <w:keepLines w:val="0"/>
        <w:spacing w:before="0" w:after="0" w:line="3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代理服务收取标准及缴费账户详见“投标人须知前附表”，投标人为联合体的，可以由联合体中的一方或者多方共同交纳代理服务费。</w:t>
      </w:r>
    </w:p>
    <w:p w14:paraId="392C0513">
      <w:pPr>
        <w:pStyle w:val="5"/>
        <w:keepNext w:val="0"/>
        <w:keepLines w:val="0"/>
        <w:spacing w:before="0" w:after="0" w:line="340" w:lineRule="exact"/>
        <w:ind w:left="420" w:leftChars="200"/>
        <w:rPr>
          <w:rFonts w:ascii="宋体" w:hAnsi="宋体" w:cs="宋体"/>
          <w:color w:val="auto"/>
          <w:sz w:val="24"/>
          <w:highlight w:val="none"/>
        </w:rPr>
      </w:pPr>
      <w:r>
        <w:rPr>
          <w:rFonts w:hint="eastAsia" w:ascii="宋体" w:hAnsi="宋体" w:cs="宋体"/>
          <w:color w:val="auto"/>
          <w:sz w:val="24"/>
          <w:highlight w:val="none"/>
        </w:rPr>
        <w:t>40. 需要补充的其他内容</w:t>
      </w:r>
    </w:p>
    <w:p w14:paraId="3BF5523C">
      <w:pPr>
        <w:pStyle w:val="24"/>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28A3728C">
      <w:pPr>
        <w:pStyle w:val="24"/>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40.2 其他事项详见“投标人须知前附表”。</w:t>
      </w:r>
    </w:p>
    <w:p w14:paraId="1A2EBB77">
      <w:pPr>
        <w:pStyle w:val="24"/>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40.3</w:t>
      </w:r>
      <w:bookmarkStart w:id="134"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D717AC1">
      <w:pPr>
        <w:pStyle w:val="24"/>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18C43A60">
      <w:pPr>
        <w:pStyle w:val="24"/>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72A66F9B">
      <w:pPr>
        <w:pStyle w:val="24"/>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F91DCF6">
      <w:pPr>
        <w:pStyle w:val="24"/>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BB2E95C">
      <w:pPr>
        <w:pStyle w:val="24"/>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34"/>
    </w:p>
    <w:p w14:paraId="5F5C4265">
      <w:pPr>
        <w:pStyle w:val="5"/>
        <w:keepNext w:val="0"/>
        <w:keepLines w:val="0"/>
        <w:spacing w:before="0" w:after="0" w:line="400" w:lineRule="exact"/>
        <w:ind w:left="420" w:leftChars="200"/>
        <w:rPr>
          <w:rFonts w:ascii="宋体" w:hAnsi="宋体" w:cs="宋体"/>
          <w:color w:val="auto"/>
          <w:sz w:val="24"/>
          <w:highlight w:val="none"/>
        </w:rPr>
      </w:pPr>
      <w:r>
        <w:rPr>
          <w:rFonts w:hint="eastAsia" w:ascii="宋体" w:hAnsi="宋体" w:cs="宋体"/>
          <w:color w:val="auto"/>
          <w:sz w:val="24"/>
          <w:highlight w:val="none"/>
        </w:rPr>
        <w:t>41.广西线上“政采贷”政策详见附表2。</w:t>
      </w:r>
    </w:p>
    <w:p w14:paraId="5A2EC8BB">
      <w:pPr>
        <w:widowControl/>
        <w:jc w:val="left"/>
        <w:rPr>
          <w:rFonts w:ascii="宋体" w:hAnsi="宋体" w:cs="宋体"/>
          <w:b/>
          <w:bCs/>
          <w:color w:val="auto"/>
          <w:sz w:val="24"/>
          <w:highlight w:val="none"/>
        </w:rPr>
      </w:pPr>
      <w:r>
        <w:rPr>
          <w:rFonts w:hint="eastAsia" w:ascii="宋体" w:hAnsi="宋体" w:cs="宋体"/>
          <w:b/>
          <w:bCs/>
          <w:color w:val="auto"/>
          <w:sz w:val="24"/>
          <w:highlight w:val="none"/>
        </w:rPr>
        <w:br w:type="page"/>
      </w:r>
    </w:p>
    <w:p w14:paraId="2D0832C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附表1：</w:t>
      </w:r>
    </w:p>
    <w:p w14:paraId="7019F692">
      <w:pPr>
        <w:spacing w:line="360" w:lineRule="auto"/>
        <w:ind w:left="25" w:leftChars="12" w:firstLine="472" w:firstLineChars="147"/>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487E92D4">
      <w:pPr>
        <w:spacing w:after="120"/>
        <w:rPr>
          <w:rFonts w:ascii="宋体" w:hAnsi="宋体" w:cs="宋体"/>
          <w:color w:val="auto"/>
          <w:highlight w:val="none"/>
        </w:rPr>
      </w:pPr>
    </w:p>
    <w:p w14:paraId="392DACEF">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47"/>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3C662C65">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66016A2B">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282AC312">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1B4803CF">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5CE83AF1">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11795CF0">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144170C9">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1FCF19FD">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580C8B29">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5C4C415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42FE2E9">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49F0CC87">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2155ACE">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10CA0DC">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51B598E">
            <w:pPr>
              <w:widowControl/>
              <w:spacing w:before="100" w:beforeAutospacing="1" w:after="100" w:afterAutospacing="1" w:line="240" w:lineRule="atLeast"/>
              <w:jc w:val="center"/>
              <w:rPr>
                <w:rFonts w:ascii="宋体" w:hAnsi="宋体" w:cs="宋体"/>
                <w:color w:val="auto"/>
                <w:kern w:val="0"/>
                <w:szCs w:val="21"/>
                <w:highlight w:val="none"/>
              </w:rPr>
            </w:pPr>
          </w:p>
        </w:tc>
      </w:tr>
      <w:tr w14:paraId="42840C46">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974FDFF">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48E95E3">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14E736B0">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3A50B88C">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E152A3E">
            <w:pPr>
              <w:widowControl/>
              <w:spacing w:before="100" w:beforeAutospacing="1" w:after="100" w:afterAutospacing="1" w:line="240" w:lineRule="atLeast"/>
              <w:jc w:val="center"/>
              <w:rPr>
                <w:rFonts w:ascii="宋体" w:hAnsi="宋体" w:cs="宋体"/>
                <w:color w:val="auto"/>
                <w:kern w:val="0"/>
                <w:szCs w:val="21"/>
                <w:highlight w:val="none"/>
              </w:rPr>
            </w:pPr>
          </w:p>
        </w:tc>
      </w:tr>
      <w:tr w14:paraId="531F3FC6">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590C83CB">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863" w:type="dxa"/>
            <w:gridSpan w:val="2"/>
            <w:tcBorders>
              <w:top w:val="nil"/>
              <w:left w:val="nil"/>
              <w:bottom w:val="single" w:color="auto" w:sz="8" w:space="0"/>
              <w:right w:val="single" w:color="auto" w:sz="8" w:space="0"/>
            </w:tcBorders>
            <w:vAlign w:val="center"/>
          </w:tcPr>
          <w:p w14:paraId="3464BC16">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D558972">
            <w:pPr>
              <w:widowControl/>
              <w:spacing w:before="100" w:beforeAutospacing="1" w:after="100" w:afterAutospacing="1" w:line="240" w:lineRule="atLeast"/>
              <w:jc w:val="center"/>
              <w:rPr>
                <w:rFonts w:ascii="宋体" w:hAnsi="宋体" w:cs="宋体"/>
                <w:color w:val="auto"/>
                <w:kern w:val="0"/>
                <w:szCs w:val="21"/>
                <w:highlight w:val="none"/>
              </w:rPr>
            </w:pPr>
          </w:p>
        </w:tc>
      </w:tr>
      <w:tr w14:paraId="01C0CA49">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1A233EAD">
            <w:pPr>
              <w:widowControl/>
              <w:snapToGrid w:val="0"/>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合计大写金额：仟佰拾万仟佰拾元</w:t>
            </w:r>
          </w:p>
        </w:tc>
      </w:tr>
      <w:tr w14:paraId="5F957846">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F8B8003">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175CA240">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3959C262">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2516403B">
            <w:pPr>
              <w:widowControl/>
              <w:spacing w:before="100" w:beforeAutospacing="1" w:after="100" w:afterAutospacing="1" w:line="240" w:lineRule="atLeast"/>
              <w:jc w:val="center"/>
              <w:rPr>
                <w:rFonts w:ascii="宋体" w:hAnsi="宋体" w:cs="宋体"/>
                <w:color w:val="auto"/>
                <w:kern w:val="0"/>
                <w:szCs w:val="21"/>
                <w:highlight w:val="none"/>
              </w:rPr>
            </w:pPr>
          </w:p>
        </w:tc>
      </w:tr>
      <w:tr w14:paraId="5E620EBB">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4E30860C">
            <w:pPr>
              <w:widowControl/>
              <w:spacing w:before="100" w:beforeAutospacing="1" w:after="100" w:afterAutospacing="1" w:line="240" w:lineRule="atLeast"/>
              <w:jc w:val="center"/>
              <w:rPr>
                <w:rFonts w:ascii="宋体" w:hAnsi="宋体"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64244B8D">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4ACA4C9">
            <w:pPr>
              <w:widowControl/>
              <w:spacing w:before="100" w:beforeAutospacing="1" w:after="100" w:afterAutospacing="1" w:line="240" w:lineRule="atLeast"/>
              <w:jc w:val="center"/>
              <w:rPr>
                <w:rFonts w:ascii="宋体" w:hAnsi="宋体"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43F362E3">
            <w:pPr>
              <w:widowControl/>
              <w:spacing w:before="100" w:beforeAutospacing="1" w:after="100" w:afterAutospacing="1" w:line="240" w:lineRule="atLeast"/>
              <w:jc w:val="center"/>
              <w:rPr>
                <w:rFonts w:ascii="宋体" w:hAnsi="宋体" w:cs="宋体"/>
                <w:color w:val="auto"/>
                <w:kern w:val="0"/>
                <w:szCs w:val="21"/>
                <w:highlight w:val="none"/>
              </w:rPr>
            </w:pPr>
          </w:p>
        </w:tc>
      </w:tr>
      <w:tr w14:paraId="2099FFB1">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236991">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86FF4A0">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招标文件、投标文件及验收方案等进行验收；并核对中标人在安装调试等方面是否违反合同约定或者服务规范要求、提供的质量保证证明材料是否齐全、应有的配件及附件是否达到合同约定等。可附件)</w:t>
            </w:r>
          </w:p>
        </w:tc>
      </w:tr>
      <w:tr w14:paraId="06EAF204">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29C383">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37B6927A">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64815752">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64B390B7">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273D3A52">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2C53C77F">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10235BE8">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8D27D0">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713F35A0">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4081DB">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2481392F">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3E369119">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6459BB14">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中标人负责人签字或者盖章：</w:t>
            </w:r>
          </w:p>
          <w:p w14:paraId="63EE9BE2">
            <w:pPr>
              <w:widowControl/>
              <w:spacing w:before="100" w:beforeAutospacing="1" w:after="100" w:afterAutospacing="1" w:line="320" w:lineRule="atLeast"/>
              <w:jc w:val="left"/>
              <w:rPr>
                <w:rFonts w:ascii="宋体" w:hAnsi="宋体" w:cs="宋体"/>
                <w:color w:val="auto"/>
                <w:kern w:val="0"/>
                <w:szCs w:val="21"/>
                <w:highlight w:val="none"/>
              </w:rPr>
            </w:pPr>
          </w:p>
          <w:p w14:paraId="6CD6962D">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34561880">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5CFE7284">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p>
          <w:p w14:paraId="6EA36CF6">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25D0634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br w:type="page"/>
      </w:r>
    </w:p>
    <w:p w14:paraId="2A80724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附表2：</w:t>
      </w:r>
    </w:p>
    <w:p w14:paraId="4299DCA0">
      <w:pPr>
        <w:rPr>
          <w:rFonts w:ascii="宋体" w:hAnsi="宋体" w:cs="宋体"/>
          <w:b/>
          <w:color w:val="auto"/>
          <w:sz w:val="24"/>
          <w:highlight w:val="none"/>
        </w:rPr>
      </w:pPr>
      <w:r>
        <w:rPr>
          <w:rFonts w:hint="eastAsia" w:ascii="宋体" w:hAnsi="宋体" w:cs="宋体"/>
          <w:b/>
          <w:color w:val="auto"/>
          <w:kern w:val="0"/>
          <w:sz w:val="24"/>
          <w:szCs w:val="21"/>
          <w:highlight w:val="none"/>
        </w:rPr>
        <w:drawing>
          <wp:inline distT="0" distB="0" distL="0" distR="0">
            <wp:extent cx="5287010" cy="5821045"/>
            <wp:effectExtent l="19050" t="0" r="8890" b="0"/>
            <wp:docPr id="2" name="图片 2" descr="C:\Users\Administrator\AppData\Roaming\Tencent\Users\84332323\QQ\WinTemp\RichOle\IBTSMDNQID2EUB%25252525252525252525257b1%25252525252525252525255d6~P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84332323\QQ\WinTemp\RichOle\IBTSMDNQID2EUB%25252525252525252525257b1%25252525252525252525255d6~PD(5.png"/>
                    <pic:cNvPicPr>
                      <a:picLocks noChangeAspect="1" noChangeArrowheads="1"/>
                    </pic:cNvPicPr>
                  </pic:nvPicPr>
                  <pic:blipFill>
                    <a:blip r:embed="rId16" r:link="rId17" cstate="print"/>
                    <a:srcRect/>
                    <a:stretch>
                      <a:fillRect/>
                    </a:stretch>
                  </pic:blipFill>
                  <pic:spPr>
                    <a:xfrm>
                      <a:off x="0" y="0"/>
                      <a:ext cx="5287010" cy="5821045"/>
                    </a:xfrm>
                    <a:prstGeom prst="rect">
                      <a:avLst/>
                    </a:prstGeom>
                    <a:noFill/>
                    <a:ln w="9525">
                      <a:noFill/>
                      <a:miter lim="800000"/>
                      <a:headEnd/>
                      <a:tailEnd/>
                    </a:ln>
                  </pic:spPr>
                </pic:pic>
              </a:graphicData>
            </a:graphic>
          </wp:inline>
        </w:drawing>
      </w:r>
    </w:p>
    <w:p w14:paraId="51525C7A">
      <w:pPr>
        <w:rPr>
          <w:rFonts w:ascii="宋体" w:hAnsi="宋体" w:cs="宋体"/>
          <w:b/>
          <w:color w:val="auto"/>
          <w:sz w:val="24"/>
          <w:highlight w:val="none"/>
        </w:rPr>
      </w:pPr>
    </w:p>
    <w:p w14:paraId="050B2A0F">
      <w:pPr>
        <w:pStyle w:val="24"/>
        <w:spacing w:before="120" w:after="120" w:line="400" w:lineRule="exact"/>
        <w:ind w:firstLine="420" w:firstLineChars="200"/>
        <w:contextualSpacing/>
        <w:rPr>
          <w:rFonts w:hAnsi="宋体" w:cs="宋体"/>
          <w:color w:val="auto"/>
          <w:sz w:val="21"/>
          <w:highlight w:val="none"/>
        </w:rPr>
      </w:pPr>
    </w:p>
    <w:p w14:paraId="2BAC15EB">
      <w:pPr>
        <w:widowControl/>
        <w:jc w:val="left"/>
        <w:rPr>
          <w:rFonts w:ascii="宋体" w:hAnsi="宋体" w:cs="宋体"/>
          <w:color w:val="auto"/>
          <w:kern w:val="0"/>
          <w:szCs w:val="21"/>
          <w:highlight w:val="none"/>
        </w:rPr>
      </w:pPr>
      <w:r>
        <w:rPr>
          <w:rFonts w:hint="eastAsia" w:ascii="宋体" w:hAnsi="宋体" w:cs="宋体"/>
          <w:color w:val="auto"/>
          <w:highlight w:val="none"/>
        </w:rPr>
        <w:br w:type="page"/>
      </w:r>
    </w:p>
    <w:p w14:paraId="5CFCB345">
      <w:pPr>
        <w:pStyle w:val="24"/>
        <w:spacing w:before="120" w:after="120" w:line="400" w:lineRule="exact"/>
        <w:ind w:firstLine="420" w:firstLineChars="200"/>
        <w:contextualSpacing/>
        <w:rPr>
          <w:rFonts w:hAnsi="宋体" w:cs="宋体"/>
          <w:color w:val="auto"/>
          <w:sz w:val="21"/>
          <w:highlight w:val="none"/>
        </w:rPr>
      </w:pPr>
    </w:p>
    <w:p w14:paraId="13DEC545">
      <w:pPr>
        <w:pStyle w:val="18"/>
        <w:ind w:left="479" w:leftChars="114" w:hanging="240" w:hangingChars="100"/>
        <w:rPr>
          <w:rFonts w:ascii="宋体" w:hAnsi="宋体" w:cs="宋体"/>
          <w:color w:val="auto"/>
          <w:highlight w:val="none"/>
        </w:rPr>
      </w:pPr>
    </w:p>
    <w:p w14:paraId="3268423D">
      <w:pPr>
        <w:pStyle w:val="24"/>
        <w:snapToGrid w:val="0"/>
        <w:spacing w:before="120" w:after="120"/>
        <w:rPr>
          <w:rFonts w:hAnsi="宋体" w:cs="宋体"/>
          <w:color w:val="auto"/>
          <w:highlight w:val="none"/>
        </w:rPr>
      </w:pPr>
    </w:p>
    <w:p w14:paraId="13E9EE98">
      <w:pPr>
        <w:pStyle w:val="24"/>
        <w:snapToGrid w:val="0"/>
        <w:spacing w:before="120" w:after="120"/>
        <w:rPr>
          <w:rFonts w:hAnsi="宋体" w:cs="宋体"/>
          <w:color w:val="auto"/>
          <w:highlight w:val="none"/>
        </w:rPr>
      </w:pPr>
    </w:p>
    <w:p w14:paraId="4E218BCF">
      <w:pPr>
        <w:pStyle w:val="24"/>
        <w:snapToGrid w:val="0"/>
        <w:spacing w:before="120" w:after="120"/>
        <w:rPr>
          <w:rFonts w:hAnsi="宋体" w:cs="宋体"/>
          <w:color w:val="auto"/>
          <w:highlight w:val="none"/>
        </w:rPr>
      </w:pPr>
    </w:p>
    <w:p w14:paraId="50BC14D8">
      <w:pPr>
        <w:pStyle w:val="24"/>
        <w:snapToGrid w:val="0"/>
        <w:spacing w:before="120" w:after="120"/>
        <w:rPr>
          <w:rFonts w:hAnsi="宋体" w:cs="宋体"/>
          <w:color w:val="auto"/>
          <w:highlight w:val="none"/>
        </w:rPr>
      </w:pPr>
    </w:p>
    <w:p w14:paraId="437DA13C">
      <w:pPr>
        <w:pStyle w:val="24"/>
        <w:snapToGrid w:val="0"/>
        <w:spacing w:before="120" w:after="120"/>
        <w:rPr>
          <w:rFonts w:hAnsi="宋体" w:cs="宋体"/>
          <w:color w:val="auto"/>
          <w:highlight w:val="none"/>
        </w:rPr>
      </w:pPr>
    </w:p>
    <w:p w14:paraId="0089CE9D">
      <w:pPr>
        <w:pStyle w:val="24"/>
        <w:snapToGrid w:val="0"/>
        <w:spacing w:before="120" w:after="120"/>
        <w:rPr>
          <w:rFonts w:hAnsi="宋体" w:cs="宋体"/>
          <w:color w:val="auto"/>
          <w:highlight w:val="none"/>
        </w:rPr>
      </w:pPr>
    </w:p>
    <w:p w14:paraId="4125436B">
      <w:pPr>
        <w:pStyle w:val="24"/>
        <w:snapToGrid w:val="0"/>
        <w:spacing w:before="120" w:after="120"/>
        <w:rPr>
          <w:rFonts w:hAnsi="宋体" w:cs="宋体"/>
          <w:color w:val="auto"/>
          <w:highlight w:val="none"/>
        </w:rPr>
      </w:pPr>
    </w:p>
    <w:p w14:paraId="335878D8">
      <w:pPr>
        <w:pStyle w:val="2"/>
        <w:jc w:val="center"/>
        <w:rPr>
          <w:rFonts w:ascii="宋体" w:hAnsi="宋体" w:cs="宋体"/>
          <w:color w:val="auto"/>
          <w:highlight w:val="none"/>
        </w:rPr>
      </w:pPr>
      <w:bookmarkStart w:id="135" w:name="_Toc74320803"/>
      <w:bookmarkStart w:id="136" w:name="_Toc254970548"/>
      <w:bookmarkStart w:id="137" w:name="_Toc254970689"/>
      <w:bookmarkStart w:id="138" w:name="_Toc330456896"/>
    </w:p>
    <w:p w14:paraId="09371BE8">
      <w:pPr>
        <w:rPr>
          <w:rFonts w:ascii="宋体" w:hAnsi="宋体" w:cs="宋体"/>
          <w:color w:val="auto"/>
          <w:highlight w:val="none"/>
        </w:rPr>
      </w:pPr>
    </w:p>
    <w:p w14:paraId="3562774A">
      <w:pPr>
        <w:pStyle w:val="2"/>
        <w:jc w:val="center"/>
        <w:rPr>
          <w:rFonts w:ascii="宋体" w:hAnsi="宋体" w:cs="宋体"/>
          <w:color w:val="auto"/>
          <w:highlight w:val="none"/>
        </w:rPr>
      </w:pPr>
      <w:bookmarkStart w:id="139" w:name="_Toc143259164"/>
      <w:r>
        <w:rPr>
          <w:rFonts w:hint="eastAsia" w:ascii="宋体" w:hAnsi="宋体" w:cs="宋体"/>
          <w:color w:val="auto"/>
          <w:highlight w:val="none"/>
        </w:rPr>
        <w:t>第四章 评标方法及评标标准</w:t>
      </w:r>
      <w:bookmarkEnd w:id="135"/>
      <w:bookmarkEnd w:id="136"/>
      <w:bookmarkEnd w:id="137"/>
      <w:bookmarkEnd w:id="138"/>
      <w:bookmarkEnd w:id="139"/>
    </w:p>
    <w:p w14:paraId="0208469D">
      <w:pPr>
        <w:pStyle w:val="24"/>
        <w:spacing w:before="120" w:after="120"/>
        <w:outlineLvl w:val="0"/>
        <w:rPr>
          <w:rFonts w:hAnsi="宋体" w:cs="宋体"/>
          <w:b/>
          <w:color w:val="auto"/>
          <w:highlight w:val="none"/>
        </w:rPr>
      </w:pPr>
      <w:bookmarkStart w:id="140" w:name="_Toc254970690"/>
      <w:bookmarkStart w:id="141" w:name="_Toc254970549"/>
    </w:p>
    <w:bookmarkEnd w:id="140"/>
    <w:bookmarkEnd w:id="141"/>
    <w:p w14:paraId="0DB53378">
      <w:pPr>
        <w:pStyle w:val="24"/>
        <w:spacing w:before="120" w:after="120"/>
        <w:outlineLvl w:val="0"/>
        <w:rPr>
          <w:rFonts w:hAnsi="宋体" w:cs="宋体"/>
          <w:bCs/>
          <w:color w:val="auto"/>
          <w:sz w:val="32"/>
          <w:szCs w:val="32"/>
          <w:highlight w:val="none"/>
        </w:rPr>
      </w:pPr>
    </w:p>
    <w:p w14:paraId="4879A052">
      <w:pPr>
        <w:pStyle w:val="24"/>
        <w:spacing w:before="120" w:after="120"/>
        <w:outlineLvl w:val="0"/>
        <w:rPr>
          <w:rFonts w:hAnsi="宋体" w:cs="宋体"/>
          <w:bCs/>
          <w:color w:val="auto"/>
          <w:sz w:val="32"/>
          <w:szCs w:val="32"/>
          <w:highlight w:val="none"/>
        </w:rPr>
      </w:pPr>
    </w:p>
    <w:p w14:paraId="69777E63">
      <w:pPr>
        <w:pStyle w:val="24"/>
        <w:spacing w:before="120" w:after="120"/>
        <w:outlineLvl w:val="0"/>
        <w:rPr>
          <w:rFonts w:hAnsi="宋体" w:cs="宋体"/>
          <w:bCs/>
          <w:color w:val="auto"/>
          <w:sz w:val="32"/>
          <w:szCs w:val="32"/>
          <w:highlight w:val="none"/>
        </w:rPr>
      </w:pPr>
    </w:p>
    <w:p w14:paraId="13A03714">
      <w:pPr>
        <w:pStyle w:val="24"/>
        <w:spacing w:before="120" w:after="120"/>
        <w:outlineLvl w:val="0"/>
        <w:rPr>
          <w:rFonts w:hAnsi="宋体" w:cs="宋体"/>
          <w:bCs/>
          <w:color w:val="auto"/>
          <w:sz w:val="32"/>
          <w:szCs w:val="32"/>
          <w:highlight w:val="none"/>
        </w:rPr>
      </w:pPr>
    </w:p>
    <w:p w14:paraId="6312718F">
      <w:pPr>
        <w:pStyle w:val="24"/>
        <w:spacing w:before="120" w:after="120"/>
        <w:outlineLvl w:val="0"/>
        <w:rPr>
          <w:rFonts w:hAnsi="宋体" w:cs="宋体"/>
          <w:bCs/>
          <w:color w:val="auto"/>
          <w:sz w:val="32"/>
          <w:szCs w:val="32"/>
          <w:highlight w:val="none"/>
        </w:rPr>
      </w:pPr>
    </w:p>
    <w:p w14:paraId="6D1D82AE">
      <w:pPr>
        <w:widowControl/>
        <w:jc w:val="left"/>
        <w:rPr>
          <w:rFonts w:ascii="宋体" w:hAnsi="宋体" w:cs="宋体"/>
          <w:b/>
          <w:bCs/>
          <w:color w:val="auto"/>
          <w:kern w:val="0"/>
          <w:sz w:val="30"/>
          <w:szCs w:val="30"/>
          <w:highlight w:val="none"/>
        </w:rPr>
      </w:pPr>
      <w:r>
        <w:rPr>
          <w:rFonts w:hint="eastAsia" w:ascii="宋体" w:hAnsi="宋体" w:cs="宋体"/>
          <w:color w:val="auto"/>
          <w:sz w:val="30"/>
          <w:szCs w:val="30"/>
          <w:highlight w:val="none"/>
        </w:rPr>
        <w:br w:type="page"/>
      </w:r>
    </w:p>
    <w:p w14:paraId="5C4ABE29">
      <w:pPr>
        <w:pStyle w:val="4"/>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一、评标方法</w:t>
      </w:r>
    </w:p>
    <w:p w14:paraId="7A0A0745">
      <w:pPr>
        <w:pStyle w:val="24"/>
        <w:spacing w:line="360" w:lineRule="auto"/>
        <w:ind w:firstLine="420"/>
        <w:rPr>
          <w:rFonts w:hAnsi="宋体" w:cs="宋体"/>
          <w:color w:val="auto"/>
          <w:sz w:val="21"/>
          <w:highlight w:val="none"/>
        </w:rPr>
      </w:pPr>
      <w:r>
        <w:rPr>
          <w:rFonts w:hint="eastAsia" w:hAnsi="宋体" w:cs="宋体"/>
          <w:color w:val="auto"/>
          <w:sz w:val="21"/>
          <w:highlight w:val="none"/>
        </w:rPr>
        <w:t>综合评分法，是指投标文件满足招标文件全部实质性要求，且按照评审因素的量化指标评审得分最高的投标人为中标候选人的评标方法。</w:t>
      </w:r>
    </w:p>
    <w:p w14:paraId="7B3F6538">
      <w:pPr>
        <w:pStyle w:val="24"/>
        <w:spacing w:line="360" w:lineRule="auto"/>
        <w:ind w:firstLine="420"/>
        <w:rPr>
          <w:rFonts w:hAnsi="宋体" w:cs="宋体"/>
          <w:color w:val="auto"/>
          <w:sz w:val="21"/>
          <w:highlight w:val="none"/>
        </w:rPr>
      </w:pPr>
      <w:r>
        <w:rPr>
          <w:rFonts w:hint="eastAsia" w:hAnsi="宋体" w:cs="宋体"/>
          <w:color w:val="auto"/>
          <w:sz w:val="21"/>
          <w:highlight w:val="none"/>
        </w:rPr>
        <w:t>最低评标价法，是指投标文件满足招标文件全部实质性要求，且投标报价最低的投标人为中标候选人的评标方法。</w:t>
      </w:r>
    </w:p>
    <w:p w14:paraId="18D18C7F">
      <w:pPr>
        <w:pStyle w:val="4"/>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二、评标程序</w:t>
      </w:r>
    </w:p>
    <w:p w14:paraId="68013FBC">
      <w:pPr>
        <w:pStyle w:val="5"/>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1.符合性审查</w:t>
      </w:r>
    </w:p>
    <w:p w14:paraId="537B803E">
      <w:pPr>
        <w:pStyle w:val="24"/>
        <w:snapToGrid w:val="0"/>
        <w:spacing w:line="380" w:lineRule="exact"/>
        <w:ind w:left="1" w:firstLine="420"/>
        <w:rPr>
          <w:rFonts w:hAnsi="宋体" w:cs="宋体"/>
          <w:b/>
          <w:color w:val="auto"/>
          <w:kern w:val="2"/>
          <w:sz w:val="21"/>
          <w:highlight w:val="none"/>
        </w:rPr>
      </w:pPr>
      <w:r>
        <w:rPr>
          <w:rFonts w:hint="eastAsia" w:hAnsi="宋体" w:cs="宋体"/>
          <w:b/>
          <w:color w:val="auto"/>
          <w:kern w:val="2"/>
          <w:sz w:val="21"/>
          <w:highlight w:val="none"/>
        </w:rPr>
        <w:t>评标委员会应当对符合资格的投标人的投标文件进行投标报价、商务、技术等实质性内容符合性审查，以确定其是否满足招标文件的实质性要求。</w:t>
      </w:r>
    </w:p>
    <w:p w14:paraId="122D994A">
      <w:pPr>
        <w:pStyle w:val="5"/>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2.符合性审查不通过而导致投标无效的情形</w:t>
      </w:r>
    </w:p>
    <w:p w14:paraId="0C517FF5">
      <w:p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投标人的投标文件中存在对招标文件的任何实质性要求和条件的负偏离，将被视为投标无效。</w:t>
      </w:r>
    </w:p>
    <w:p w14:paraId="4C20BE1A">
      <w:pPr>
        <w:pStyle w:val="5"/>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2.1在报价评审时，如发现下列情形之一的，将被视为投标无效：</w:t>
      </w:r>
    </w:p>
    <w:p w14:paraId="034E87A9">
      <w:pPr>
        <w:pStyle w:val="6"/>
        <w:numPr>
          <w:ilvl w:val="0"/>
          <w:numId w:val="5"/>
        </w:numPr>
        <w:spacing w:line="380" w:lineRule="exact"/>
        <w:ind w:firstLine="422"/>
        <w:rPr>
          <w:rFonts w:ascii="宋体" w:hAnsi="宋体" w:cs="宋体"/>
          <w:b/>
          <w:color w:val="auto"/>
          <w:szCs w:val="21"/>
          <w:highlight w:val="none"/>
        </w:rPr>
      </w:pPr>
      <w:r>
        <w:rPr>
          <w:rFonts w:hint="eastAsia" w:ascii="宋体" w:hAnsi="宋体" w:cs="宋体"/>
          <w:b/>
          <w:color w:val="auto"/>
          <w:spacing w:val="-6"/>
          <w:szCs w:val="21"/>
          <w:highlight w:val="none"/>
        </w:rPr>
        <w:t>报价文件</w:t>
      </w:r>
      <w:r>
        <w:rPr>
          <w:rFonts w:hint="eastAsia" w:ascii="宋体" w:hAnsi="宋体" w:cs="宋体"/>
          <w:b/>
          <w:color w:val="auto"/>
          <w:szCs w:val="21"/>
          <w:highlight w:val="none"/>
        </w:rPr>
        <w:t>未提供“投标人须知前附表”第13条“报价文件”规定中“必须提供”的文件资料的；</w:t>
      </w:r>
    </w:p>
    <w:p w14:paraId="60828918">
      <w:pPr>
        <w:pStyle w:val="6"/>
        <w:numPr>
          <w:ilvl w:val="0"/>
          <w:numId w:val="5"/>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未采用人民币报价或者未按照招标文件标明的币种报价的；</w:t>
      </w:r>
    </w:p>
    <w:p w14:paraId="025B189C">
      <w:pPr>
        <w:pStyle w:val="6"/>
        <w:numPr>
          <w:ilvl w:val="0"/>
          <w:numId w:val="5"/>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所投分标报价超出招标文件规定的相应最高限价，或者超出各分标相应采购预算金额的；</w:t>
      </w:r>
    </w:p>
    <w:p w14:paraId="2997E771">
      <w:pPr>
        <w:pStyle w:val="6"/>
        <w:numPr>
          <w:ilvl w:val="0"/>
          <w:numId w:val="5"/>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投标人未就本项目所有内容进行报价或者存在漏项报价；投标人未就所投分标单项内容作唯一报价；投标人未就所投分标全部内容作完整唯一总价报价；存在有选择、有条件报价的（招标文件允许有备选方案或者其他约定的除外）；</w:t>
      </w:r>
    </w:p>
    <w:p w14:paraId="2FC66A73">
      <w:pPr>
        <w:pStyle w:val="6"/>
        <w:numPr>
          <w:ilvl w:val="0"/>
          <w:numId w:val="5"/>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修正后的报价，投标人不确认的；</w:t>
      </w:r>
    </w:p>
    <w:p w14:paraId="7C6E5993">
      <w:pPr>
        <w:pStyle w:val="6"/>
        <w:numPr>
          <w:ilvl w:val="0"/>
          <w:numId w:val="5"/>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投标人属于本章第5.1条（2）项或者第5.2条（2）项情形的；</w:t>
      </w:r>
    </w:p>
    <w:p w14:paraId="57C74856">
      <w:pPr>
        <w:pStyle w:val="6"/>
        <w:numPr>
          <w:ilvl w:val="0"/>
          <w:numId w:val="5"/>
        </w:numPr>
        <w:spacing w:line="380" w:lineRule="exact"/>
        <w:ind w:firstLine="422"/>
        <w:rPr>
          <w:rFonts w:ascii="宋体" w:hAnsi="宋体" w:cs="宋体"/>
          <w:b/>
          <w:color w:val="auto"/>
          <w:szCs w:val="21"/>
          <w:highlight w:val="none"/>
        </w:rPr>
      </w:pPr>
      <w:r>
        <w:rPr>
          <w:rFonts w:hint="eastAsia" w:ascii="宋体" w:hAnsi="宋体" w:cs="宋体"/>
          <w:b/>
          <w:color w:val="auto"/>
          <w:spacing w:val="-6"/>
          <w:szCs w:val="21"/>
          <w:highlight w:val="none"/>
        </w:rPr>
        <w:t>报价文件</w:t>
      </w:r>
      <w:r>
        <w:rPr>
          <w:rFonts w:hint="eastAsia" w:ascii="宋体" w:hAnsi="宋体" w:cs="宋体"/>
          <w:b/>
          <w:color w:val="auto"/>
          <w:szCs w:val="21"/>
          <w:highlight w:val="none"/>
        </w:rPr>
        <w:t>响应的标的数量及单位与招标文件要求实质性不一致的。</w:t>
      </w:r>
    </w:p>
    <w:p w14:paraId="4EA0A140">
      <w:pPr>
        <w:pStyle w:val="5"/>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2.2在商务评审时，如发现下列情形之一的，将被视为投标无效：</w:t>
      </w:r>
    </w:p>
    <w:p w14:paraId="3CC5DC05">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投标文件未按招标文件要求签署、盖章的；</w:t>
      </w:r>
    </w:p>
    <w:p w14:paraId="35F8497A">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委托代理人未能出具有效身份证或者出具的身份证与授权委托书中的信息不符的；</w:t>
      </w:r>
    </w:p>
    <w:p w14:paraId="03EBAD8E">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为无效投标保证金的或者未按照招标文件的规定提交投标保证金的；</w:t>
      </w:r>
    </w:p>
    <w:p w14:paraId="463A50F5">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投标文件未提供“投标人须知前附表”第13条“商务文件”规定中“必须提供”或者“委托时必须提供”的文件资料的；</w:t>
      </w:r>
    </w:p>
    <w:p w14:paraId="0F6CA84F">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商务要求评审允许负偏离的条款数超过“投标人须知前附表”规定项数的；</w:t>
      </w:r>
    </w:p>
    <w:p w14:paraId="40E7633E">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投标文件的实质性内容未使用中文表述、使用计量单位不符合招标文件要求的；</w:t>
      </w:r>
    </w:p>
    <w:p w14:paraId="5443C855">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投标文件中的文件资料因填写不齐全或者内容虚假或者出现其他情形而导致被评标委员会认定无效的；</w:t>
      </w:r>
    </w:p>
    <w:p w14:paraId="2436FFB8">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w:t>
      </w:r>
    </w:p>
    <w:p w14:paraId="6A26E6C7">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属于投标人须知正文第9.2条情形的；</w:t>
      </w:r>
    </w:p>
    <w:p w14:paraId="6896A8A1">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招标文件明确不允许分包，投标文件拟分包的；</w:t>
      </w:r>
    </w:p>
    <w:p w14:paraId="1C3021B8">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未响应招标文件实质性要求的；</w:t>
      </w:r>
    </w:p>
    <w:p w14:paraId="7E4DAADA">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投标文件中承诺的投标有效期低于招标文件要求的期限的；</w:t>
      </w:r>
    </w:p>
    <w:p w14:paraId="70239AF6">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法律、法规和招标文件规定的其他无效情形。</w:t>
      </w:r>
    </w:p>
    <w:p w14:paraId="1E66657D">
      <w:pPr>
        <w:pStyle w:val="5"/>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2.3在技术评审时，如发现下列情形之一的，将被视为投标无效：</w:t>
      </w:r>
    </w:p>
    <w:p w14:paraId="613FFF87">
      <w:pPr>
        <w:pStyle w:val="19"/>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（1）技术要求评审允许负偏离的条款数超过“投标人须知前附表”规定项数的；</w:t>
      </w:r>
    </w:p>
    <w:p w14:paraId="48213EAE">
      <w:pPr>
        <w:pStyle w:val="19"/>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（2）投标文件未提供“投标人须知前附表”第13条“技术文件”规定中“必须提供”的文件资料的；</w:t>
      </w:r>
    </w:p>
    <w:p w14:paraId="6D5BA170">
      <w:pPr>
        <w:pStyle w:val="19"/>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（3）虚假投标，或者出现其他情形而导致被评标委员会认定无效的；</w:t>
      </w:r>
    </w:p>
    <w:p w14:paraId="050529F4">
      <w:pPr>
        <w:pStyle w:val="19"/>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w:t>
      </w:r>
      <w:bookmarkStart w:id="142" w:name="_Hlk71706244"/>
      <w:r>
        <w:rPr>
          <w:rFonts w:hint="eastAsia" w:ascii="宋体" w:hAnsi="宋体" w:eastAsia="宋体" w:cs="宋体"/>
          <w:b/>
          <w:color w:val="auto"/>
          <w:kern w:val="2"/>
          <w:sz w:val="21"/>
          <w:szCs w:val="21"/>
          <w:highlight w:val="none"/>
        </w:rPr>
        <w:t>招标文件未载明允许提供备选（替代）投标方案或明确不允许提供备选（替代）投标方案时，投标人提供了备选（替代）投标方案的；</w:t>
      </w:r>
      <w:bookmarkEnd w:id="142"/>
    </w:p>
    <w:p w14:paraId="17F578AA">
      <w:pPr>
        <w:pStyle w:val="19"/>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（5）未响应招标文件实质性要求的。</w:t>
      </w:r>
    </w:p>
    <w:p w14:paraId="7CA66119">
      <w:pPr>
        <w:pStyle w:val="5"/>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3.澄清补正</w:t>
      </w:r>
    </w:p>
    <w:p w14:paraId="6471D88F">
      <w:pPr>
        <w:spacing w:line="38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6D434E55">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86AC8F0">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未按评标委员会的要求作出明确澄清、说明或者更正的投标人的投标文件将按照有利于采购人的原则由评标委员会进行判定。</w:t>
      </w:r>
    </w:p>
    <w:p w14:paraId="0FF84C06">
      <w:pPr>
        <w:pStyle w:val="5"/>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4.投标文件修正</w:t>
      </w:r>
    </w:p>
    <w:p w14:paraId="08F46CE7">
      <w:pPr>
        <w:pStyle w:val="5"/>
        <w:keepNext w:val="0"/>
        <w:keepLines w:val="0"/>
        <w:spacing w:before="0" w:after="0" w:line="38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4.1投标文件报价出现前后不一致的，按照下列规定修正： </w:t>
      </w:r>
    </w:p>
    <w:p w14:paraId="7727E386">
      <w:pPr>
        <w:pStyle w:val="24"/>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（1）投标文件中开标一览表（报价表）内容与投标文件中相应内容不一致的，以开标一览表（报价表）为准；</w:t>
      </w:r>
    </w:p>
    <w:p w14:paraId="1C584122">
      <w:pPr>
        <w:pStyle w:val="24"/>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（2）大写金额和小写金额不一致的，以大写金额为准；</w:t>
      </w:r>
    </w:p>
    <w:p w14:paraId="180891A7">
      <w:pPr>
        <w:pStyle w:val="24"/>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（3）单价金额小数点或者百分比有明显错位的，以开标一览表的总价为准，并修改单价；</w:t>
      </w:r>
    </w:p>
    <w:p w14:paraId="0BD15040">
      <w:pPr>
        <w:pStyle w:val="24"/>
        <w:snapToGrid w:val="0"/>
        <w:spacing w:line="360" w:lineRule="exact"/>
        <w:ind w:firstLine="420" w:firstLineChars="200"/>
        <w:rPr>
          <w:rFonts w:hAnsi="宋体" w:cs="宋体"/>
          <w:color w:val="auto"/>
          <w:sz w:val="21"/>
          <w:highlight w:val="none"/>
        </w:rPr>
      </w:pPr>
      <w:r>
        <w:rPr>
          <w:rFonts w:hint="eastAsia" w:hAnsi="宋体" w:cs="宋体"/>
          <w:color w:val="auto"/>
          <w:sz w:val="21"/>
          <w:highlight w:val="none"/>
        </w:rPr>
        <w:t>（4）总价金额与按单价汇总金额不一致的，以单价金额计算结果为准。</w:t>
      </w:r>
    </w:p>
    <w:p w14:paraId="15520827">
      <w:pPr>
        <w:pStyle w:val="24"/>
        <w:snapToGrid w:val="0"/>
        <w:spacing w:line="360" w:lineRule="exact"/>
        <w:ind w:firstLine="420" w:firstLineChars="200"/>
        <w:rPr>
          <w:rFonts w:hAnsi="宋体" w:cs="宋体"/>
          <w:color w:val="auto"/>
          <w:sz w:val="21"/>
          <w:highlight w:val="none"/>
        </w:rPr>
      </w:pPr>
      <w:r>
        <w:rPr>
          <w:rFonts w:hint="eastAsia" w:hAnsi="宋体" w:cs="宋体"/>
          <w:color w:val="auto"/>
          <w:sz w:val="21"/>
          <w:highlight w:val="none"/>
        </w:rPr>
        <w:t>同时出现两种以上不一致的，按照以上（1）-（4）规定的顺序修正。修正后的报价经投标人确认后产生约束力，投标人不确认的，</w:t>
      </w:r>
      <w:r>
        <w:rPr>
          <w:rFonts w:hint="eastAsia" w:hAnsi="宋体" w:cs="宋体"/>
          <w:b/>
          <w:color w:val="auto"/>
          <w:kern w:val="2"/>
          <w:sz w:val="21"/>
          <w:highlight w:val="none"/>
        </w:rPr>
        <w:t>其投标无效</w:t>
      </w:r>
      <w:r>
        <w:rPr>
          <w:rFonts w:hint="eastAsia" w:hAnsi="宋体" w:cs="宋体"/>
          <w:color w:val="auto"/>
          <w:sz w:val="21"/>
          <w:highlight w:val="none"/>
        </w:rPr>
        <w:t>。</w:t>
      </w:r>
    </w:p>
    <w:p w14:paraId="58F11866">
      <w:pPr>
        <w:pStyle w:val="5"/>
        <w:keepNext w:val="0"/>
        <w:keepLines w:val="0"/>
        <w:spacing w:before="0" w:after="0" w:line="36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4.2经投标人确认修正后的报价若超过采购预算金额或者最高限价，</w:t>
      </w:r>
      <w:r>
        <w:rPr>
          <w:rFonts w:hint="eastAsia" w:ascii="宋体" w:hAnsi="宋体" w:cs="宋体"/>
          <w:color w:val="auto"/>
          <w:sz w:val="21"/>
          <w:szCs w:val="21"/>
          <w:highlight w:val="none"/>
        </w:rPr>
        <w:t>投标人的投标文件作无效投标处理</w:t>
      </w:r>
      <w:r>
        <w:rPr>
          <w:rFonts w:hint="eastAsia" w:ascii="宋体" w:hAnsi="宋体" w:cs="宋体"/>
          <w:b w:val="0"/>
          <w:color w:val="auto"/>
          <w:sz w:val="21"/>
          <w:szCs w:val="21"/>
          <w:highlight w:val="none"/>
        </w:rPr>
        <w:t>。</w:t>
      </w:r>
    </w:p>
    <w:p w14:paraId="7AA16309">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3C705884">
      <w:pPr>
        <w:pStyle w:val="5"/>
        <w:keepNext w:val="0"/>
        <w:keepLines w:val="0"/>
        <w:spacing w:before="0" w:after="0" w:line="36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5.比较与评价</w:t>
      </w:r>
    </w:p>
    <w:p w14:paraId="0A5CA57B">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5.1采用综合评分法的</w:t>
      </w:r>
    </w:p>
    <w:p w14:paraId="728088D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（1）评标委员会按照招标文件中规定的评标方法及评标标准，对符合性审查合格的投标文件进行商务和技术评估，综合比较与评价。</w:t>
      </w:r>
    </w:p>
    <w:p w14:paraId="3597350B">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（2）评标委员会独立对每个投标人的投标文件进行评价，并汇总每个投标人的得分。</w:t>
      </w:r>
    </w:p>
    <w:p w14:paraId="3408C89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Cs w:val="21"/>
          <w:highlight w:val="none"/>
        </w:rPr>
        <w:t>投标人不能证明其报价合理性的，评标委员会将其作为无效投标处理</w:t>
      </w:r>
      <w:r>
        <w:rPr>
          <w:rFonts w:hint="eastAsia" w:ascii="宋体" w:hAnsi="宋体" w:cs="宋体"/>
          <w:color w:val="auto"/>
          <w:szCs w:val="21"/>
          <w:highlight w:val="none"/>
        </w:rPr>
        <w:t>。</w:t>
      </w:r>
    </w:p>
    <w:p w14:paraId="546BE17F">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（3）评标委员会按照招标文件中规定的评标方法和标准计算各投标人的报价得分。在计算过程中，不得去掉最高报价或者最低报价。</w:t>
      </w:r>
    </w:p>
    <w:p w14:paraId="68A6425A">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（4）各投标人的得分为所有评委的有效评分的算术平均数。</w:t>
      </w:r>
    </w:p>
    <w:p w14:paraId="5AE9389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（5）评标委员会按照招标文件中的规定推荐中标候选人。</w:t>
      </w:r>
    </w:p>
    <w:p w14:paraId="5F022765">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73B105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5.2采用</w:t>
      </w:r>
      <w:r>
        <w:rPr>
          <w:rFonts w:hint="eastAsia" w:ascii="宋体" w:hAnsi="宋体" w:cs="宋体"/>
          <w:color w:val="auto"/>
          <w:highlight w:val="none"/>
        </w:rPr>
        <w:t>最低评标价法</w:t>
      </w:r>
      <w:r>
        <w:rPr>
          <w:rFonts w:hint="eastAsia" w:ascii="宋体" w:hAnsi="宋体" w:cs="宋体"/>
          <w:color w:val="auto"/>
          <w:szCs w:val="21"/>
          <w:highlight w:val="none"/>
        </w:rPr>
        <w:t>的</w:t>
      </w:r>
    </w:p>
    <w:p w14:paraId="637711D9">
      <w:pPr>
        <w:snapToGrid w:val="0"/>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（1）评标委员会按照招标文件中规定的评标方法及评标标准，对符合性审查合格的投标文件报价进行比较。</w:t>
      </w:r>
    </w:p>
    <w:p w14:paraId="271BB0E8">
      <w:pPr>
        <w:snapToGrid w:val="0"/>
        <w:spacing w:line="360" w:lineRule="exact"/>
        <w:ind w:firstLine="399" w:firstLineChars="202"/>
        <w:jc w:val="left"/>
        <w:rPr>
          <w:rFonts w:ascii="宋体" w:hAnsi="宋体" w:cs="宋体"/>
          <w:color w:val="auto"/>
          <w:spacing w:val="-6"/>
          <w:szCs w:val="21"/>
          <w:highlight w:val="none"/>
        </w:rPr>
      </w:pPr>
      <w:r>
        <w:rPr>
          <w:rFonts w:hint="eastAsia" w:ascii="宋体" w:hAnsi="宋体" w:cs="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pacing w:val="-6"/>
          <w:szCs w:val="21"/>
          <w:highlight w:val="none"/>
        </w:rPr>
        <w:t>投标人不能证明其报价合理性的，评标委员会将其作为无效投标处理</w:t>
      </w:r>
      <w:r>
        <w:rPr>
          <w:rFonts w:hint="eastAsia" w:ascii="宋体" w:hAnsi="宋体" w:cs="宋体"/>
          <w:color w:val="auto"/>
          <w:spacing w:val="-6"/>
          <w:szCs w:val="21"/>
          <w:highlight w:val="none"/>
        </w:rPr>
        <w:t>。</w:t>
      </w:r>
    </w:p>
    <w:p w14:paraId="41D52A01">
      <w:pPr>
        <w:snapToGrid w:val="0"/>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（3）评标委员会按照招标文件中的规定推荐中标候选人。</w:t>
      </w:r>
    </w:p>
    <w:p w14:paraId="336F7E05">
      <w:pPr>
        <w:snapToGrid w:val="0"/>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5FAB7F3">
      <w:pPr>
        <w:snapToGrid w:val="0"/>
        <w:spacing w:line="400" w:lineRule="exact"/>
        <w:ind w:firstLine="424" w:firstLineChars="202"/>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sz w:val="32"/>
          <w:szCs w:val="32"/>
          <w:highlight w:val="none"/>
        </w:rPr>
        <w:t>三、评标标准</w:t>
      </w:r>
    </w:p>
    <w:p w14:paraId="67951969">
      <w:pPr>
        <w:pStyle w:val="4"/>
        <w:keepNext w:val="0"/>
        <w:keepLines w:val="0"/>
        <w:spacing w:line="400" w:lineRule="exact"/>
        <w:jc w:val="center"/>
        <w:rPr>
          <w:rFonts w:ascii="宋体" w:hAnsi="宋体" w:cs="宋体"/>
          <w:color w:val="auto"/>
          <w:highlight w:val="none"/>
        </w:rPr>
      </w:pPr>
      <w:r>
        <w:rPr>
          <w:rFonts w:hint="eastAsia" w:ascii="宋体" w:hAnsi="宋体" w:cs="宋体"/>
          <w:color w:val="auto"/>
          <w:highlight w:val="none"/>
        </w:rPr>
        <w:t>综合评分法</w:t>
      </w:r>
    </w:p>
    <w:p w14:paraId="212218E2">
      <w:pPr>
        <w:spacing w:line="360" w:lineRule="exact"/>
        <w:ind w:firstLine="435"/>
        <w:rPr>
          <w:rFonts w:hint="eastAsia" w:hAnsi="宋体"/>
          <w:b/>
          <w:bCs w:val="0"/>
          <w:color w:val="auto"/>
          <w:highlight w:val="none"/>
        </w:rPr>
      </w:pP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一</w:t>
      </w:r>
      <w:r>
        <w:rPr>
          <w:rFonts w:hint="eastAsia" w:ascii="宋体" w:hAnsi="宋体"/>
          <w:b/>
          <w:bCs w:val="0"/>
          <w:color w:val="auto"/>
          <w:szCs w:val="21"/>
          <w:highlight w:val="none"/>
          <w:lang w:eastAsia="zh-CN"/>
        </w:rPr>
        <w:t>）</w:t>
      </w:r>
      <w:r>
        <w:rPr>
          <w:rFonts w:hint="eastAsia" w:ascii="宋体" w:hAnsi="宋体" w:eastAsia="宋体" w:cs="宋体"/>
          <w:b/>
          <w:bCs w:val="0"/>
          <w:color w:val="auto"/>
          <w:szCs w:val="21"/>
          <w:highlight w:val="none"/>
        </w:rPr>
        <w:t>“正偏离”是指投标文件对招标文件“采购需求”中有关条款作出的响应优于该条款基本要求的情形，包括：①当某技术指标要求为≥或≤某指标时，则该指标为基本要求，投标响应值＞或＜该基本要求的，为正偏离；②除上述第①种情形外，经评委独立评审后认定该技术指标优于招标文件基本要求的其它情形。</w:t>
      </w:r>
    </w:p>
    <w:p w14:paraId="3170A81D">
      <w:pPr>
        <w:spacing w:line="360" w:lineRule="exact"/>
        <w:ind w:firstLine="435"/>
        <w:rPr>
          <w:rFonts w:hint="eastAsia" w:ascii="宋体" w:hAnsi="宋体"/>
          <w:b/>
          <w:bCs w:val="0"/>
          <w:color w:val="auto"/>
          <w:szCs w:val="21"/>
          <w:highlight w:val="none"/>
        </w:rPr>
      </w:pP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二</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rPr>
        <w:t>“负偏离”是指</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rPr>
        <w:t>投标文件对招标文件“采购需求”中有关条款作出的响应不满足条款要求，导致采购人要求不能得到满足的情形。</w:t>
      </w:r>
    </w:p>
    <w:p w14:paraId="0DBF5F87">
      <w:pPr>
        <w:pStyle w:val="24"/>
        <w:spacing w:line="400" w:lineRule="exact"/>
        <w:ind w:firstLine="630" w:firstLineChars="300"/>
        <w:rPr>
          <w:rFonts w:hint="eastAsia" w:ascii="宋体" w:hAnsi="宋体"/>
          <w:bCs/>
          <w:color w:val="auto"/>
          <w:szCs w:val="21"/>
          <w:highlight w:val="none"/>
        </w:rPr>
      </w:pPr>
      <w:r>
        <w:rPr>
          <w:rFonts w:hint="eastAsia" w:hAnsi="宋体" w:cs="宋体"/>
          <w:bCs/>
          <w:color w:val="auto"/>
          <w:sz w:val="21"/>
          <w:highlight w:val="none"/>
        </w:rPr>
        <w:t>注：计分方法按四舍五入取至百分位</w:t>
      </w:r>
    </w:p>
    <w:p w14:paraId="02A68363">
      <w:pPr>
        <w:pStyle w:val="12"/>
        <w:rPr>
          <w:color w:val="auto"/>
          <w:highlight w:val="none"/>
        </w:rPr>
      </w:pPr>
    </w:p>
    <w:p w14:paraId="34703D45">
      <w:pPr>
        <w:pStyle w:val="24"/>
        <w:spacing w:line="360" w:lineRule="auto"/>
        <w:rPr>
          <w:rFonts w:hAnsi="宋体" w:cs="宋体"/>
          <w:b/>
          <w:color w:val="auto"/>
          <w:sz w:val="21"/>
          <w:highlight w:val="none"/>
        </w:rPr>
      </w:pPr>
      <w:r>
        <w:rPr>
          <w:rFonts w:hint="eastAsia" w:hAnsi="宋体" w:cs="宋体"/>
          <w:b/>
          <w:color w:val="auto"/>
          <w:sz w:val="21"/>
          <w:highlight w:val="none"/>
        </w:rPr>
        <w:t>适用于分标1、分标3</w:t>
      </w:r>
    </w:p>
    <w:tbl>
      <w:tblPr>
        <w:tblStyle w:val="4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24"/>
        <w:gridCol w:w="1701"/>
        <w:gridCol w:w="6000"/>
      </w:tblGrid>
      <w:tr w14:paraId="6CDF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gridSpan w:val="2"/>
            <w:tcBorders>
              <w:top w:val="single" w:color="auto" w:sz="4" w:space="0"/>
              <w:left w:val="single" w:color="auto" w:sz="4" w:space="0"/>
              <w:bottom w:val="single" w:color="auto" w:sz="4" w:space="0"/>
              <w:right w:val="single" w:color="auto" w:sz="4" w:space="0"/>
            </w:tcBorders>
            <w:vAlign w:val="center"/>
          </w:tcPr>
          <w:p w14:paraId="6F91F3B4">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059966E6">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6000" w:type="dxa"/>
            <w:tcBorders>
              <w:top w:val="single" w:color="auto" w:sz="4" w:space="0"/>
              <w:left w:val="single" w:color="auto" w:sz="4" w:space="0"/>
              <w:bottom w:val="single" w:color="auto" w:sz="4" w:space="0"/>
              <w:right w:val="single" w:color="auto" w:sz="4" w:space="0"/>
            </w:tcBorders>
            <w:vAlign w:val="center"/>
          </w:tcPr>
          <w:p w14:paraId="0F8CE77F">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15A5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vAlign w:val="center"/>
          </w:tcPr>
          <w:p w14:paraId="7C1EE0E2">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24" w:type="dxa"/>
            <w:tcBorders>
              <w:top w:val="single" w:color="auto" w:sz="4" w:space="0"/>
              <w:left w:val="single" w:color="auto" w:sz="4" w:space="0"/>
              <w:bottom w:val="single" w:color="auto" w:sz="4" w:space="0"/>
              <w:right w:val="single" w:color="auto" w:sz="4" w:space="0"/>
            </w:tcBorders>
            <w:vAlign w:val="center"/>
          </w:tcPr>
          <w:p w14:paraId="44B349AC">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价格分</w:t>
            </w:r>
          </w:p>
          <w:p w14:paraId="767C8B89">
            <w:pPr>
              <w:adjustRightInd w:val="0"/>
              <w:spacing w:line="360" w:lineRule="auto"/>
              <w:jc w:val="center"/>
              <w:textAlignment w:val="baseline"/>
              <w:rPr>
                <w:rFonts w:ascii="宋体" w:hAnsi="宋体" w:cs="宋体"/>
                <w:color w:val="auto"/>
                <w:szCs w:val="21"/>
                <w:highlight w:val="none"/>
              </w:rPr>
            </w:pPr>
            <w:r>
              <w:rPr>
                <w:rFonts w:hint="eastAsia" w:ascii="宋体" w:hAnsi="宋体" w:cs="宋体"/>
                <w:b/>
                <w:color w:val="auto"/>
                <w:szCs w:val="21"/>
                <w:highlight w:val="none"/>
              </w:rPr>
              <w:t>（30分）</w:t>
            </w:r>
          </w:p>
        </w:tc>
        <w:tc>
          <w:tcPr>
            <w:tcW w:w="1701" w:type="dxa"/>
            <w:tcBorders>
              <w:top w:val="single" w:color="auto" w:sz="4" w:space="0"/>
              <w:left w:val="single" w:color="auto" w:sz="4" w:space="0"/>
              <w:bottom w:val="single" w:color="auto" w:sz="4" w:space="0"/>
              <w:right w:val="single" w:color="auto" w:sz="4" w:space="0"/>
            </w:tcBorders>
            <w:vAlign w:val="center"/>
          </w:tcPr>
          <w:p w14:paraId="4915DDB3">
            <w:pPr>
              <w:adjustRightInd w:val="0"/>
              <w:spacing w:line="40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投标报价（30分）</w:t>
            </w:r>
          </w:p>
        </w:tc>
        <w:tc>
          <w:tcPr>
            <w:tcW w:w="6000" w:type="dxa"/>
            <w:tcBorders>
              <w:top w:val="single" w:color="auto" w:sz="4" w:space="0"/>
              <w:left w:val="single" w:color="auto" w:sz="4" w:space="0"/>
              <w:bottom w:val="single" w:color="auto" w:sz="4" w:space="0"/>
              <w:right w:val="single" w:color="auto" w:sz="4" w:space="0"/>
            </w:tcBorders>
            <w:vAlign w:val="center"/>
          </w:tcPr>
          <w:p w14:paraId="007F73E2">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（1）评标报价为投标人的投标报价进行政策性扣除后的价格，评标报价只是作为评标时使用。最终中标人的中标金额等于投标报价。</w:t>
            </w:r>
          </w:p>
          <w:p w14:paraId="4720AE76">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（2）政策性扣除计算方法。</w:t>
            </w:r>
          </w:p>
          <w:p w14:paraId="3F827069">
            <w:pPr>
              <w:snapToGrid w:val="0"/>
              <w:spacing w:line="400" w:lineRule="exact"/>
              <w:rPr>
                <w:rFonts w:ascii="宋体" w:hAnsi="宋体" w:cs="宋体"/>
                <w:color w:val="auto"/>
                <w:szCs w:val="21"/>
                <w:highlight w:val="none"/>
              </w:rPr>
            </w:pPr>
            <w:bookmarkStart w:id="143" w:name="_Hlk65858438"/>
            <w:r>
              <w:rPr>
                <w:rFonts w:hint="eastAsia" w:ascii="宋体" w:hAnsi="宋体" w:cs="宋体"/>
                <w:bCs/>
                <w:color w:val="auto"/>
                <w:szCs w:val="21"/>
                <w:highlight w:val="none"/>
              </w:rPr>
              <w:t>根据《政府采购促进中小企业发展管理办法》（财库〔2020〕46号）及</w:t>
            </w:r>
            <w:r>
              <w:rPr>
                <w:rFonts w:hint="eastAsia"/>
                <w:color w:val="auto"/>
                <w:highlight w:val="none"/>
              </w:rPr>
              <w:t>《广西壮族自治区财政厅关于持续优化政府采购营商环境推动高质量发展的通知》（桂财采〔2024〕55号）</w:t>
            </w:r>
            <w:r>
              <w:rPr>
                <w:rFonts w:hint="eastAsia" w:ascii="宋体" w:hAnsi="宋体" w:cs="宋体"/>
                <w:bCs/>
                <w:color w:val="auto"/>
                <w:szCs w:val="21"/>
                <w:highlight w:val="none"/>
              </w:rPr>
              <w:t>的规定，投标人在其投标文件中提供《中小企业声明函》，且其投标全部货物由小微企业制造的，对其投标报价给予20%的扣除，扣除后的价格为评标报价，即评标报价=投标报价×（1-20%）。除上述情况外，评标报价=投标报价。</w:t>
            </w:r>
            <w:bookmarkEnd w:id="143"/>
          </w:p>
          <w:p w14:paraId="4E99A14D">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监狱企业参加政府采购活动时，应当提供由省级以上监狱管理局、戒毒管理局(含新疆生产建设兵团)出具的属于监狱企业的证明文件。监狱企业</w:t>
            </w:r>
            <w:r>
              <w:rPr>
                <w:rFonts w:hint="eastAsia" w:ascii="宋体" w:hAnsi="宋体" w:cs="宋体"/>
                <w:bCs/>
                <w:color w:val="auto"/>
                <w:szCs w:val="21"/>
                <w:highlight w:val="none"/>
              </w:rPr>
              <w:t>属于小型、微型企业的，不重复享受政策。</w:t>
            </w:r>
          </w:p>
          <w:p w14:paraId="10CAE0AD">
            <w:pPr>
              <w:snapToGrid w:val="0"/>
              <w:spacing w:line="400" w:lineRule="exact"/>
              <w:rPr>
                <w:rFonts w:ascii="宋体" w:hAnsi="宋体" w:cs="宋体"/>
                <w:bCs/>
                <w:color w:val="auto"/>
                <w:szCs w:val="21"/>
                <w:highlight w:val="none"/>
              </w:rPr>
            </w:pPr>
            <w:r>
              <w:rPr>
                <w:rFonts w:hint="eastAsia" w:ascii="宋体" w:hAnsi="宋体" w:cs="宋体"/>
                <w:color w:val="auto"/>
                <w:szCs w:val="21"/>
                <w:highlight w:val="none"/>
              </w:rPr>
              <w:t>（4）按照</w:t>
            </w:r>
            <w:r>
              <w:rPr>
                <w:rFonts w:hint="eastAsia" w:ascii="宋体" w:hAnsi="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cs="宋体"/>
                <w:bCs/>
                <w:color w:val="auto"/>
                <w:szCs w:val="21"/>
                <w:highlight w:val="none"/>
              </w:rPr>
              <w:t>残疾人福利性单位属于小型、微型企业的，不重复享受政策。</w:t>
            </w:r>
          </w:p>
          <w:p w14:paraId="29C45913">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（5）满足招标文件要求且评标报价最低的评标报价为评标基准价，其价格分为满分。</w:t>
            </w:r>
          </w:p>
          <w:p w14:paraId="47557C2B">
            <w:pPr>
              <w:spacing w:line="400" w:lineRule="exact"/>
              <w:rPr>
                <w:rFonts w:ascii="宋体" w:hAnsi="宋体" w:cs="宋体"/>
                <w:bCs/>
                <w:color w:val="auto"/>
                <w:szCs w:val="21"/>
                <w:highlight w:val="none"/>
              </w:rPr>
            </w:pPr>
            <w:r>
              <w:rPr>
                <w:rFonts w:hint="eastAsia" w:ascii="宋体" w:hAnsi="宋体" w:cs="宋体"/>
                <w:bCs/>
                <w:color w:val="auto"/>
                <w:szCs w:val="21"/>
                <w:highlight w:val="none"/>
              </w:rPr>
              <w:t xml:space="preserve">（6）价格分计算公式：        </w:t>
            </w:r>
          </w:p>
          <w:p w14:paraId="4EF5F54E">
            <w:pPr>
              <w:pStyle w:val="24"/>
              <w:spacing w:line="400" w:lineRule="exact"/>
              <w:rPr>
                <w:rFonts w:hAnsi="宋体" w:cs="宋体"/>
                <w:color w:val="auto"/>
                <w:kern w:val="2"/>
                <w:sz w:val="21"/>
                <w:highlight w:val="none"/>
              </w:rPr>
            </w:pPr>
            <w:r>
              <w:rPr>
                <w:rFonts w:hint="eastAsia" w:hAnsi="宋体" w:cs="宋体"/>
                <w:color w:val="auto"/>
                <w:sz w:val="21"/>
                <w:highlight w:val="none"/>
              </w:rPr>
              <w:t>价格分</w:t>
            </w:r>
            <w:r>
              <w:rPr>
                <w:rFonts w:hint="eastAsia" w:hAnsi="宋体" w:cs="宋体"/>
                <w:color w:val="auto"/>
                <w:kern w:val="2"/>
                <w:sz w:val="21"/>
                <w:highlight w:val="none"/>
              </w:rPr>
              <w:t>=(评标基准价／评标报价)×</w:t>
            </w:r>
            <w:r>
              <w:rPr>
                <w:rFonts w:hint="eastAsia" w:hAnsi="宋体" w:cs="宋体"/>
                <w:color w:val="auto"/>
                <w:sz w:val="21"/>
                <w:highlight w:val="none"/>
              </w:rPr>
              <w:t>30</w:t>
            </w:r>
            <w:r>
              <w:rPr>
                <w:rFonts w:hint="eastAsia" w:hAnsi="宋体" w:cs="宋体"/>
                <w:color w:val="auto"/>
                <w:kern w:val="2"/>
                <w:sz w:val="21"/>
                <w:highlight w:val="none"/>
              </w:rPr>
              <w:t>分</w:t>
            </w:r>
          </w:p>
        </w:tc>
      </w:tr>
      <w:tr w14:paraId="7358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525" w:type="dxa"/>
            <w:tcBorders>
              <w:top w:val="single" w:color="auto" w:sz="4" w:space="0"/>
              <w:left w:val="single" w:color="auto" w:sz="4" w:space="0"/>
              <w:right w:val="single" w:color="auto" w:sz="4" w:space="0"/>
            </w:tcBorders>
            <w:vAlign w:val="center"/>
          </w:tcPr>
          <w:p w14:paraId="01AE43F6">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224" w:type="dxa"/>
            <w:tcBorders>
              <w:top w:val="single" w:color="auto" w:sz="4" w:space="0"/>
              <w:left w:val="single" w:color="auto" w:sz="4" w:space="0"/>
              <w:right w:val="single" w:color="auto" w:sz="4" w:space="0"/>
            </w:tcBorders>
            <w:vAlign w:val="center"/>
          </w:tcPr>
          <w:p w14:paraId="3B3DD060">
            <w:pPr>
              <w:adjustRightInd w:val="0"/>
              <w:spacing w:line="360" w:lineRule="auto"/>
              <w:ind w:left="-105" w:leftChars="-50" w:right="-105" w:rightChars="-50"/>
              <w:jc w:val="center"/>
              <w:textAlignment w:val="baseline"/>
              <w:rPr>
                <w:rFonts w:ascii="宋体" w:hAnsi="宋体" w:cs="宋体"/>
                <w:b/>
                <w:color w:val="auto"/>
                <w:highlight w:val="none"/>
              </w:rPr>
            </w:pPr>
            <w:r>
              <w:rPr>
                <w:rFonts w:hint="eastAsia" w:ascii="宋体" w:hAnsi="宋体" w:cs="宋体"/>
                <w:b/>
                <w:color w:val="auto"/>
                <w:highlight w:val="none"/>
              </w:rPr>
              <w:t>技术分</w:t>
            </w:r>
          </w:p>
          <w:p w14:paraId="64B1AC2F">
            <w:pPr>
              <w:adjustRightInd w:val="0"/>
              <w:spacing w:line="360" w:lineRule="auto"/>
              <w:ind w:left="-105" w:leftChars="-50" w:right="-105" w:rightChars="-50"/>
              <w:jc w:val="center"/>
              <w:textAlignment w:val="baseline"/>
              <w:rPr>
                <w:rFonts w:ascii="宋体" w:hAnsi="宋体" w:cs="宋体"/>
                <w:b/>
                <w:color w:val="auto"/>
                <w:highlight w:val="none"/>
              </w:rPr>
            </w:pPr>
            <w:r>
              <w:rPr>
                <w:rFonts w:hint="eastAsia" w:ascii="宋体" w:hAnsi="宋体" w:cs="宋体"/>
                <w:b/>
                <w:color w:val="auto"/>
                <w:highlight w:val="none"/>
              </w:rPr>
              <w:t>（38分）</w:t>
            </w:r>
          </w:p>
        </w:tc>
        <w:tc>
          <w:tcPr>
            <w:tcW w:w="1701" w:type="dxa"/>
            <w:tcBorders>
              <w:top w:val="single" w:color="auto" w:sz="4" w:space="0"/>
              <w:left w:val="single" w:color="auto" w:sz="4" w:space="0"/>
              <w:right w:val="single" w:color="auto" w:sz="4" w:space="0"/>
            </w:tcBorders>
            <w:vAlign w:val="center"/>
          </w:tcPr>
          <w:p w14:paraId="6718DBA2">
            <w:pPr>
              <w:adjustRightInd w:val="0"/>
              <w:spacing w:line="400" w:lineRule="exact"/>
              <w:ind w:left="-105" w:leftChars="-50" w:right="-105" w:rightChars="-50"/>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技术响应分</w:t>
            </w:r>
          </w:p>
          <w:p w14:paraId="7D9D3153">
            <w:pPr>
              <w:adjustRightInd w:val="0"/>
              <w:spacing w:line="400" w:lineRule="exact"/>
              <w:ind w:left="-105" w:leftChars="-50" w:right="-105" w:rightChars="-50"/>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（38分）</w:t>
            </w:r>
          </w:p>
        </w:tc>
        <w:tc>
          <w:tcPr>
            <w:tcW w:w="6000" w:type="dxa"/>
            <w:tcBorders>
              <w:top w:val="single" w:color="auto" w:sz="4" w:space="0"/>
              <w:left w:val="single" w:color="auto" w:sz="4" w:space="0"/>
              <w:right w:val="single" w:color="auto" w:sz="4" w:space="0"/>
            </w:tcBorders>
            <w:vAlign w:val="center"/>
          </w:tcPr>
          <w:p w14:paraId="04A69799">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评委根据招标文件“第二章 采购需求”中“技术要求”的规定，对投标人投标文件所承诺技术响应情况按以下规则计分：</w:t>
            </w:r>
          </w:p>
          <w:p w14:paraId="2E2F8765">
            <w:pPr>
              <w:snapToGrid w:val="0"/>
              <w:spacing w:line="400" w:lineRule="exact"/>
              <w:rPr>
                <w:rFonts w:ascii="宋体" w:hAnsi="宋体" w:cs="宋体"/>
                <w:color w:val="auto"/>
                <w:highlight w:val="none"/>
              </w:rPr>
            </w:pPr>
            <w:r>
              <w:rPr>
                <w:rFonts w:hint="eastAsia" w:ascii="宋体" w:hAnsi="宋体" w:cs="宋体"/>
                <w:bCs/>
                <w:color w:val="auto"/>
                <w:szCs w:val="21"/>
                <w:highlight w:val="none"/>
              </w:rPr>
              <w:t>经评委独立评审，投标人投标文件满足招标文件全部实质性要求的，得基本分38分；投标人对本项目“采购需求”的“技术要求”中未标注“▲”符号项的技术参数响应存在负偏离的，每有一项扣基本分3分，最多扣15分。</w:t>
            </w:r>
          </w:p>
        </w:tc>
      </w:tr>
      <w:tr w14:paraId="2AEE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525" w:type="dxa"/>
            <w:tcBorders>
              <w:top w:val="single" w:color="auto" w:sz="4" w:space="0"/>
              <w:left w:val="single" w:color="auto" w:sz="4" w:space="0"/>
              <w:right w:val="single" w:color="auto" w:sz="4" w:space="0"/>
            </w:tcBorders>
            <w:vAlign w:val="center"/>
          </w:tcPr>
          <w:p w14:paraId="0A6A6DA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1224" w:type="dxa"/>
            <w:tcBorders>
              <w:top w:val="single" w:color="auto" w:sz="4" w:space="0"/>
              <w:left w:val="single" w:color="auto" w:sz="4" w:space="0"/>
              <w:right w:val="single" w:color="auto" w:sz="4" w:space="0"/>
            </w:tcBorders>
            <w:vAlign w:val="center"/>
          </w:tcPr>
          <w:p w14:paraId="4C1B5C34">
            <w:pPr>
              <w:adjustRightInd w:val="0"/>
              <w:spacing w:line="470" w:lineRule="exact"/>
              <w:jc w:val="center"/>
              <w:textAlignment w:val="baseline"/>
              <w:rPr>
                <w:rFonts w:ascii="宋体" w:hAnsi="宋体" w:cs="宋体"/>
                <w:b/>
                <w:color w:val="auto"/>
                <w:highlight w:val="none"/>
              </w:rPr>
            </w:pPr>
            <w:r>
              <w:rPr>
                <w:rFonts w:hint="eastAsia" w:ascii="宋体" w:hAnsi="宋体" w:cs="宋体"/>
                <w:b/>
                <w:bCs/>
                <w:color w:val="auto"/>
                <w:highlight w:val="none"/>
              </w:rPr>
              <w:t>安装实施方案分（15分）</w:t>
            </w:r>
          </w:p>
        </w:tc>
        <w:tc>
          <w:tcPr>
            <w:tcW w:w="7701" w:type="dxa"/>
            <w:gridSpan w:val="2"/>
            <w:tcBorders>
              <w:top w:val="single" w:color="auto" w:sz="4" w:space="0"/>
              <w:left w:val="single" w:color="auto" w:sz="4" w:space="0"/>
              <w:right w:val="single" w:color="auto" w:sz="4" w:space="0"/>
            </w:tcBorders>
            <w:vAlign w:val="center"/>
          </w:tcPr>
          <w:p w14:paraId="277CAF7E">
            <w:pPr>
              <w:pStyle w:val="24"/>
              <w:spacing w:line="400" w:lineRule="exact"/>
              <w:rPr>
                <w:rFonts w:hint="eastAsia" w:hAnsi="宋体" w:cs="宋体"/>
                <w:color w:val="auto"/>
                <w:sz w:val="21"/>
                <w:highlight w:val="none"/>
              </w:rPr>
            </w:pPr>
            <w:r>
              <w:rPr>
                <w:rFonts w:hint="eastAsia" w:hAnsi="宋体" w:cs="宋体"/>
                <w:color w:val="auto"/>
                <w:sz w:val="21"/>
                <w:highlight w:val="none"/>
              </w:rPr>
              <w:t>评委对投标人提供的安装实施方案（包括但不仅限于：①安装方案；②设备调试方案；③设备试运行方案等）内容进行独立评审并按以下规则独立打分：</w:t>
            </w:r>
          </w:p>
          <w:p w14:paraId="6252081F">
            <w:pPr>
              <w:pStyle w:val="24"/>
              <w:spacing w:line="400" w:lineRule="exact"/>
              <w:rPr>
                <w:rFonts w:hint="eastAsia" w:hAnsi="宋体" w:cs="宋体"/>
                <w:color w:val="auto"/>
                <w:sz w:val="21"/>
                <w:highlight w:val="none"/>
              </w:rPr>
            </w:pPr>
            <w:r>
              <w:rPr>
                <w:rFonts w:hint="eastAsia" w:hAnsi="宋体" w:cs="宋体"/>
                <w:color w:val="auto"/>
                <w:sz w:val="21"/>
                <w:highlight w:val="none"/>
              </w:rPr>
              <w:t>一档（5分）：三项评审内容有一项经评审具有针对性、可操作性、且内容科学合理的；</w:t>
            </w:r>
          </w:p>
          <w:p w14:paraId="510B2A7F">
            <w:pPr>
              <w:pStyle w:val="24"/>
              <w:spacing w:line="400" w:lineRule="exact"/>
              <w:rPr>
                <w:rFonts w:hint="eastAsia" w:hAnsi="宋体" w:cs="宋体"/>
                <w:color w:val="auto"/>
                <w:sz w:val="21"/>
                <w:highlight w:val="none"/>
              </w:rPr>
            </w:pPr>
            <w:r>
              <w:rPr>
                <w:rFonts w:hint="eastAsia" w:hAnsi="宋体" w:cs="宋体"/>
                <w:color w:val="auto"/>
                <w:sz w:val="21"/>
                <w:highlight w:val="none"/>
              </w:rPr>
              <w:t>二档（10分）：三项评审内容有二项经评审具有针对性、可操作性、且内容科学合理的；</w:t>
            </w:r>
          </w:p>
          <w:p w14:paraId="7B1069C8">
            <w:pPr>
              <w:pStyle w:val="24"/>
              <w:spacing w:line="400" w:lineRule="exact"/>
              <w:rPr>
                <w:rFonts w:hint="eastAsia" w:hAnsi="宋体" w:cs="宋体"/>
                <w:color w:val="auto"/>
                <w:sz w:val="21"/>
                <w:highlight w:val="none"/>
              </w:rPr>
            </w:pPr>
            <w:r>
              <w:rPr>
                <w:rFonts w:hint="eastAsia" w:hAnsi="宋体" w:cs="宋体"/>
                <w:color w:val="auto"/>
                <w:sz w:val="21"/>
                <w:highlight w:val="none"/>
              </w:rPr>
              <w:t>三档（15分）：三项评审内容经评审均具有针对性、可操作性、且内容科学合理的。</w:t>
            </w:r>
          </w:p>
        </w:tc>
      </w:tr>
      <w:tr w14:paraId="7E1E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525" w:type="dxa"/>
            <w:tcBorders>
              <w:top w:val="single" w:color="auto" w:sz="4" w:space="0"/>
              <w:left w:val="single" w:color="auto" w:sz="4" w:space="0"/>
              <w:right w:val="single" w:color="auto" w:sz="4" w:space="0"/>
            </w:tcBorders>
            <w:vAlign w:val="center"/>
          </w:tcPr>
          <w:p w14:paraId="1A45C51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4</w:t>
            </w:r>
          </w:p>
        </w:tc>
        <w:tc>
          <w:tcPr>
            <w:tcW w:w="1224" w:type="dxa"/>
            <w:tcBorders>
              <w:top w:val="single" w:color="auto" w:sz="4" w:space="0"/>
              <w:left w:val="single" w:color="auto" w:sz="4" w:space="0"/>
              <w:right w:val="single" w:color="auto" w:sz="4" w:space="0"/>
            </w:tcBorders>
            <w:shd w:val="clear" w:color="auto" w:fill="auto"/>
            <w:vAlign w:val="center"/>
          </w:tcPr>
          <w:p w14:paraId="1E22FEAF">
            <w:pPr>
              <w:adjustRightInd w:val="0"/>
              <w:spacing w:line="470" w:lineRule="exact"/>
              <w:jc w:val="center"/>
              <w:textAlignment w:val="baseline"/>
              <w:rPr>
                <w:rFonts w:ascii="宋体" w:hAnsi="宋体" w:cs="宋体"/>
                <w:b/>
                <w:color w:val="auto"/>
                <w:highlight w:val="none"/>
              </w:rPr>
            </w:pPr>
            <w:r>
              <w:rPr>
                <w:rFonts w:hint="eastAsia" w:ascii="宋体" w:hAnsi="宋体" w:cs="宋体"/>
                <w:b/>
                <w:color w:val="auto"/>
                <w:highlight w:val="none"/>
              </w:rPr>
              <w:t>增值售后服务方案分（</w:t>
            </w:r>
            <w:r>
              <w:rPr>
                <w:rFonts w:hint="eastAsia" w:ascii="宋体" w:hAnsi="宋体" w:cs="宋体"/>
                <w:b/>
                <w:color w:val="auto"/>
                <w:szCs w:val="21"/>
                <w:highlight w:val="none"/>
              </w:rPr>
              <w:t>10</w:t>
            </w:r>
            <w:r>
              <w:rPr>
                <w:rFonts w:hint="eastAsia" w:ascii="宋体" w:hAnsi="宋体" w:cs="宋体"/>
                <w:b/>
                <w:color w:val="auto"/>
                <w:highlight w:val="none"/>
              </w:rPr>
              <w:t>分）</w:t>
            </w:r>
          </w:p>
        </w:tc>
        <w:tc>
          <w:tcPr>
            <w:tcW w:w="7701" w:type="dxa"/>
            <w:gridSpan w:val="2"/>
            <w:tcBorders>
              <w:top w:val="single" w:color="auto" w:sz="4" w:space="0"/>
              <w:left w:val="single" w:color="auto" w:sz="4" w:space="0"/>
              <w:right w:val="single" w:color="auto" w:sz="4" w:space="0"/>
            </w:tcBorders>
            <w:shd w:val="clear" w:color="auto" w:fill="auto"/>
            <w:vAlign w:val="center"/>
          </w:tcPr>
          <w:p w14:paraId="52BA4C75">
            <w:pPr>
              <w:pStyle w:val="24"/>
              <w:spacing w:line="400" w:lineRule="exact"/>
              <w:rPr>
                <w:rFonts w:hint="eastAsia" w:hAnsi="宋体" w:cs="宋体"/>
                <w:color w:val="auto"/>
                <w:sz w:val="21"/>
                <w:highlight w:val="none"/>
              </w:rPr>
            </w:pPr>
            <w:r>
              <w:rPr>
                <w:rFonts w:hint="eastAsia" w:hAnsi="宋体" w:cs="宋体"/>
                <w:color w:val="auto"/>
                <w:sz w:val="21"/>
                <w:highlight w:val="none"/>
              </w:rPr>
              <w:t>评委根据投标人所提供的增值售后服务方案内容【包括但不限于：①服务人员的配备、故障出现解决方案，②定期维护 (注明时间)，③技术培训方案，④保修期外维修方案，⑤售后服务措施及其他优惠措施等】，按以下方式进行独立评审打分：</w:t>
            </w:r>
          </w:p>
          <w:p w14:paraId="2555CFBB">
            <w:pPr>
              <w:pStyle w:val="24"/>
              <w:spacing w:line="400" w:lineRule="exact"/>
              <w:rPr>
                <w:rFonts w:hint="eastAsia" w:hAnsi="宋体" w:cs="宋体"/>
                <w:color w:val="auto"/>
                <w:sz w:val="21"/>
                <w:highlight w:val="none"/>
              </w:rPr>
            </w:pPr>
            <w:r>
              <w:rPr>
                <w:rFonts w:hint="eastAsia" w:hAnsi="宋体" w:cs="宋体"/>
                <w:color w:val="auto"/>
                <w:sz w:val="21"/>
                <w:highlight w:val="none"/>
              </w:rPr>
              <w:t>一档（2分）：五项评审因素有一项内容经评审合理、可行且具有针对性的；</w:t>
            </w:r>
          </w:p>
          <w:p w14:paraId="4CB1822E">
            <w:pPr>
              <w:pStyle w:val="24"/>
              <w:spacing w:line="400" w:lineRule="exact"/>
              <w:rPr>
                <w:rFonts w:hint="eastAsia" w:hAnsi="宋体" w:cs="宋体"/>
                <w:color w:val="auto"/>
                <w:sz w:val="21"/>
                <w:highlight w:val="none"/>
              </w:rPr>
            </w:pPr>
            <w:r>
              <w:rPr>
                <w:rFonts w:hint="eastAsia" w:hAnsi="宋体" w:cs="宋体"/>
                <w:color w:val="auto"/>
                <w:sz w:val="21"/>
                <w:highlight w:val="none"/>
              </w:rPr>
              <w:t>二档（4分）：五项评审因素有二项内容经评审合理、可行且具有针对性的；</w:t>
            </w:r>
          </w:p>
          <w:p w14:paraId="2F2AC68C">
            <w:pPr>
              <w:pStyle w:val="24"/>
              <w:spacing w:line="400" w:lineRule="exact"/>
              <w:rPr>
                <w:rFonts w:hint="eastAsia" w:hAnsi="宋体" w:cs="宋体"/>
                <w:color w:val="auto"/>
                <w:sz w:val="21"/>
                <w:highlight w:val="none"/>
              </w:rPr>
            </w:pPr>
            <w:r>
              <w:rPr>
                <w:rFonts w:hint="eastAsia" w:hAnsi="宋体" w:cs="宋体"/>
                <w:color w:val="auto"/>
                <w:sz w:val="21"/>
                <w:highlight w:val="none"/>
              </w:rPr>
              <w:t>三档（6分）：五项评审因素有三项内容经评审合理、可行且具有针对性的；</w:t>
            </w:r>
          </w:p>
          <w:p w14:paraId="1B1069D3">
            <w:pPr>
              <w:pStyle w:val="24"/>
              <w:spacing w:line="400" w:lineRule="exact"/>
              <w:rPr>
                <w:rFonts w:hint="eastAsia" w:hAnsi="宋体" w:cs="宋体"/>
                <w:color w:val="auto"/>
                <w:sz w:val="21"/>
                <w:highlight w:val="none"/>
              </w:rPr>
            </w:pPr>
            <w:r>
              <w:rPr>
                <w:rFonts w:hint="eastAsia" w:hAnsi="宋体" w:cs="宋体"/>
                <w:color w:val="auto"/>
                <w:sz w:val="21"/>
                <w:highlight w:val="none"/>
              </w:rPr>
              <w:t>四档（8分）：五项评审因素有四项内容经评审合理、可行且具有针对性的；</w:t>
            </w:r>
          </w:p>
          <w:p w14:paraId="7100E29C">
            <w:pPr>
              <w:pStyle w:val="24"/>
              <w:spacing w:line="400" w:lineRule="exact"/>
              <w:rPr>
                <w:rFonts w:hint="eastAsia" w:hAnsi="宋体" w:cs="宋体"/>
                <w:color w:val="auto"/>
                <w:sz w:val="21"/>
                <w:highlight w:val="none"/>
              </w:rPr>
            </w:pPr>
            <w:r>
              <w:rPr>
                <w:rFonts w:hint="eastAsia" w:hAnsi="宋体" w:cs="宋体"/>
                <w:color w:val="auto"/>
                <w:sz w:val="21"/>
                <w:highlight w:val="none"/>
              </w:rPr>
              <w:t>五档（10分）：五项评审因素均合理、可行且具有针对性的。</w:t>
            </w:r>
          </w:p>
        </w:tc>
      </w:tr>
      <w:tr w14:paraId="28FA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525" w:type="dxa"/>
            <w:tcBorders>
              <w:top w:val="single" w:color="auto" w:sz="4" w:space="0"/>
              <w:left w:val="single" w:color="auto" w:sz="4" w:space="0"/>
              <w:right w:val="single" w:color="auto" w:sz="4" w:space="0"/>
            </w:tcBorders>
            <w:vAlign w:val="center"/>
          </w:tcPr>
          <w:p w14:paraId="6EFF30A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5</w:t>
            </w:r>
          </w:p>
        </w:tc>
        <w:tc>
          <w:tcPr>
            <w:tcW w:w="1224" w:type="dxa"/>
            <w:tcBorders>
              <w:top w:val="single" w:color="auto" w:sz="4" w:space="0"/>
              <w:left w:val="single" w:color="auto" w:sz="4" w:space="0"/>
              <w:right w:val="single" w:color="auto" w:sz="4" w:space="0"/>
            </w:tcBorders>
            <w:vAlign w:val="center"/>
          </w:tcPr>
          <w:p w14:paraId="41F56F4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履约能力分（5分）</w:t>
            </w:r>
          </w:p>
        </w:tc>
        <w:tc>
          <w:tcPr>
            <w:tcW w:w="7701" w:type="dxa"/>
            <w:gridSpan w:val="2"/>
            <w:tcBorders>
              <w:top w:val="single" w:color="auto" w:sz="4" w:space="0"/>
              <w:left w:val="single" w:color="auto" w:sz="4" w:space="0"/>
              <w:right w:val="single" w:color="auto" w:sz="4" w:space="0"/>
            </w:tcBorders>
            <w:vAlign w:val="center"/>
          </w:tcPr>
          <w:p w14:paraId="7E675663">
            <w:pPr>
              <w:pStyle w:val="24"/>
              <w:spacing w:line="400" w:lineRule="exact"/>
              <w:rPr>
                <w:rFonts w:hAnsi="宋体" w:cs="宋体"/>
                <w:color w:val="auto"/>
                <w:kern w:val="2"/>
                <w:sz w:val="21"/>
                <w:highlight w:val="none"/>
              </w:rPr>
            </w:pPr>
            <w:r>
              <w:rPr>
                <w:rFonts w:hint="eastAsia" w:hAnsi="宋体" w:cs="宋体"/>
                <w:color w:val="auto"/>
                <w:kern w:val="2"/>
                <w:sz w:val="21"/>
                <w:highlight w:val="none"/>
              </w:rPr>
              <w:t>（1）投标人或所投产品生产厂家通过ISO13485医疗器械质量管理体系认证、ISO9001质量管理体系认证且有效的（投标人于投标文件提供相应有效的认证证书复印件，并加盖投标人电子签章，否则不予认可），每提供1项得1分，最多得2分。</w:t>
            </w:r>
          </w:p>
          <w:p w14:paraId="69DED7B1">
            <w:pPr>
              <w:pStyle w:val="24"/>
              <w:spacing w:line="400" w:lineRule="exact"/>
              <w:rPr>
                <w:rFonts w:hAnsi="宋体" w:cs="宋体"/>
                <w:color w:val="auto"/>
                <w:sz w:val="21"/>
                <w:highlight w:val="none"/>
              </w:rPr>
            </w:pPr>
            <w:r>
              <w:rPr>
                <w:rFonts w:hint="eastAsia" w:hAnsi="宋体" w:cs="宋体"/>
                <w:color w:val="auto"/>
                <w:kern w:val="2"/>
                <w:sz w:val="21"/>
                <w:highlight w:val="none"/>
              </w:rPr>
              <w:t>（2）投标人或所投产品生产厂家自2021年1月1日以来的具有同类产品销售业绩的（业绩以中标、成交通知书或合同为准，并能清晰反映所销售的产品名称、数量，同一个编号的项目有两个或两个以上的分标中标的只算1个业绩，并加盖投标人电子签章，否则不予认可），每提供1个业绩得1分，最多得3分。</w:t>
            </w:r>
          </w:p>
        </w:tc>
      </w:tr>
      <w:tr w14:paraId="40EC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4CB9674F">
            <w:pPr>
              <w:widowControl/>
              <w:jc w:val="center"/>
              <w:rPr>
                <w:rFonts w:ascii="宋体" w:hAnsi="宋体" w:cs="宋体"/>
                <w:b/>
                <w:color w:val="auto"/>
                <w:szCs w:val="21"/>
                <w:highlight w:val="none"/>
              </w:rPr>
            </w:pPr>
            <w:r>
              <w:rPr>
                <w:rFonts w:hint="eastAsia" w:ascii="宋体" w:hAnsi="宋体" w:cs="宋体"/>
                <w:b/>
                <w:color w:val="auto"/>
                <w:szCs w:val="21"/>
                <w:highlight w:val="none"/>
              </w:rPr>
              <w:t>6</w:t>
            </w:r>
          </w:p>
        </w:tc>
        <w:tc>
          <w:tcPr>
            <w:tcW w:w="1224" w:type="dxa"/>
            <w:tcBorders>
              <w:top w:val="single" w:color="auto" w:sz="4" w:space="0"/>
              <w:left w:val="single" w:color="auto" w:sz="4" w:space="0"/>
              <w:bottom w:val="single" w:color="auto" w:sz="4" w:space="0"/>
              <w:right w:val="single" w:color="auto" w:sz="4" w:space="0"/>
            </w:tcBorders>
            <w:vAlign w:val="center"/>
          </w:tcPr>
          <w:p w14:paraId="3ECC8371">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政策分（2分）</w:t>
            </w:r>
          </w:p>
        </w:tc>
        <w:tc>
          <w:tcPr>
            <w:tcW w:w="7701" w:type="dxa"/>
            <w:gridSpan w:val="2"/>
            <w:tcBorders>
              <w:top w:val="single" w:color="auto" w:sz="4" w:space="0"/>
              <w:left w:val="single" w:color="auto" w:sz="4" w:space="0"/>
              <w:right w:val="single" w:color="auto" w:sz="4" w:space="0"/>
            </w:tcBorders>
            <w:tcMar>
              <w:top w:w="0" w:type="dxa"/>
              <w:left w:w="57" w:type="dxa"/>
              <w:bottom w:w="0" w:type="dxa"/>
              <w:right w:w="57" w:type="dxa"/>
            </w:tcMar>
            <w:vAlign w:val="center"/>
          </w:tcPr>
          <w:p w14:paraId="6969C6C0">
            <w:pPr>
              <w:pStyle w:val="24"/>
              <w:spacing w:line="400" w:lineRule="exact"/>
              <w:rPr>
                <w:rFonts w:hAnsi="宋体" w:cs="宋体"/>
                <w:color w:val="auto"/>
                <w:kern w:val="2"/>
                <w:sz w:val="21"/>
                <w:highlight w:val="none"/>
              </w:rPr>
            </w:pPr>
            <w:r>
              <w:rPr>
                <w:rFonts w:hint="eastAsia" w:hAnsi="宋体" w:cs="宋体"/>
                <w:color w:val="auto"/>
                <w:kern w:val="2"/>
                <w:sz w:val="21"/>
                <w:highlight w:val="none"/>
              </w:rPr>
              <w:t>（1）属于财政部《节能产品政府采购品目清单》内优先采购（清单内未标注“★”的品目）的产品[投标文件中提供有效的认证证书复印件及品目清单（标注出投标产品在品目清单中所属的品目），并加盖投标人电子签章]，根据其所占分标预算金额比例得0至1分，满分1分。</w:t>
            </w:r>
          </w:p>
          <w:p w14:paraId="33C85104">
            <w:pPr>
              <w:pStyle w:val="24"/>
              <w:spacing w:line="400" w:lineRule="exact"/>
              <w:rPr>
                <w:rFonts w:hAnsi="宋体" w:cs="宋体"/>
                <w:color w:val="auto"/>
                <w:kern w:val="2"/>
                <w:sz w:val="21"/>
                <w:highlight w:val="none"/>
              </w:rPr>
            </w:pPr>
            <w:r>
              <w:rPr>
                <w:rFonts w:hint="eastAsia" w:hAnsi="宋体" w:cs="宋体"/>
                <w:color w:val="auto"/>
                <w:kern w:val="2"/>
                <w:sz w:val="21"/>
                <w:highlight w:val="none"/>
              </w:rPr>
              <w:t>（2）属于财政部《环境标志产品政府采购品目清单》内的产品[投标文件中提供有效的认证证书复印件及品目清单（标注出投标产品在品目清单中所属的品目），并加盖投标人电子签章]，根据其所占分标预算金额比例得0至1分，满分1分。</w:t>
            </w:r>
          </w:p>
        </w:tc>
      </w:tr>
      <w:tr w14:paraId="17EA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14:paraId="49C48735">
            <w:pPr>
              <w:rPr>
                <w:rFonts w:ascii="宋体" w:hAnsi="宋体" w:cs="宋体"/>
                <w:b/>
                <w:color w:val="auto"/>
                <w:szCs w:val="21"/>
                <w:highlight w:val="none"/>
              </w:rPr>
            </w:pPr>
            <w:r>
              <w:rPr>
                <w:rFonts w:hint="eastAsia" w:ascii="宋体" w:hAnsi="宋体" w:cs="宋体"/>
                <w:b/>
                <w:bCs/>
                <w:color w:val="auto"/>
                <w:highlight w:val="none"/>
              </w:rPr>
              <w:t>7.总得分为以上各项评审因素得分合计。</w:t>
            </w:r>
          </w:p>
        </w:tc>
      </w:tr>
    </w:tbl>
    <w:p w14:paraId="1825B6C1">
      <w:pPr>
        <w:rPr>
          <w:rFonts w:ascii="宋体" w:hAnsi="宋体" w:cs="宋体"/>
          <w:b/>
          <w:color w:val="auto"/>
          <w:highlight w:val="none"/>
        </w:rPr>
      </w:pPr>
    </w:p>
    <w:p w14:paraId="5190A3BE">
      <w:pPr>
        <w:pStyle w:val="24"/>
        <w:spacing w:line="360" w:lineRule="auto"/>
        <w:rPr>
          <w:rFonts w:hAnsi="宋体" w:cs="宋体"/>
          <w:b/>
          <w:color w:val="auto"/>
          <w:sz w:val="21"/>
          <w:highlight w:val="none"/>
        </w:rPr>
      </w:pPr>
    </w:p>
    <w:p w14:paraId="6F3F9869">
      <w:pPr>
        <w:pStyle w:val="24"/>
        <w:spacing w:line="360" w:lineRule="auto"/>
        <w:rPr>
          <w:rFonts w:hAnsi="宋体" w:cs="宋体"/>
          <w:b/>
          <w:color w:val="auto"/>
          <w:sz w:val="21"/>
          <w:highlight w:val="none"/>
        </w:rPr>
      </w:pPr>
      <w:r>
        <w:rPr>
          <w:rFonts w:hint="eastAsia" w:hAnsi="宋体" w:cs="宋体"/>
          <w:b/>
          <w:color w:val="auto"/>
          <w:sz w:val="21"/>
          <w:highlight w:val="none"/>
        </w:rPr>
        <w:t>适用于分标2</w:t>
      </w:r>
    </w:p>
    <w:tbl>
      <w:tblPr>
        <w:tblStyle w:val="4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24"/>
        <w:gridCol w:w="1701"/>
        <w:gridCol w:w="6000"/>
      </w:tblGrid>
      <w:tr w14:paraId="42D1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gridSpan w:val="2"/>
            <w:tcBorders>
              <w:top w:val="single" w:color="auto" w:sz="4" w:space="0"/>
              <w:left w:val="single" w:color="auto" w:sz="4" w:space="0"/>
              <w:bottom w:val="single" w:color="auto" w:sz="4" w:space="0"/>
              <w:right w:val="single" w:color="auto" w:sz="4" w:space="0"/>
            </w:tcBorders>
            <w:vAlign w:val="center"/>
          </w:tcPr>
          <w:p w14:paraId="0D2D32F9">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091241AC">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6000" w:type="dxa"/>
            <w:tcBorders>
              <w:top w:val="single" w:color="auto" w:sz="4" w:space="0"/>
              <w:left w:val="single" w:color="auto" w:sz="4" w:space="0"/>
              <w:bottom w:val="single" w:color="auto" w:sz="4" w:space="0"/>
              <w:right w:val="single" w:color="auto" w:sz="4" w:space="0"/>
            </w:tcBorders>
            <w:vAlign w:val="center"/>
          </w:tcPr>
          <w:p w14:paraId="40806B83">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5DB5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vAlign w:val="center"/>
          </w:tcPr>
          <w:p w14:paraId="796EA4D7">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24" w:type="dxa"/>
            <w:tcBorders>
              <w:top w:val="single" w:color="auto" w:sz="4" w:space="0"/>
              <w:left w:val="single" w:color="auto" w:sz="4" w:space="0"/>
              <w:bottom w:val="single" w:color="auto" w:sz="4" w:space="0"/>
              <w:right w:val="single" w:color="auto" w:sz="4" w:space="0"/>
            </w:tcBorders>
            <w:vAlign w:val="center"/>
          </w:tcPr>
          <w:p w14:paraId="2EEC9156">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价格分</w:t>
            </w:r>
          </w:p>
          <w:p w14:paraId="163050D8">
            <w:pPr>
              <w:adjustRightInd w:val="0"/>
              <w:spacing w:line="360" w:lineRule="auto"/>
              <w:jc w:val="center"/>
              <w:textAlignment w:val="baseline"/>
              <w:rPr>
                <w:rFonts w:ascii="宋体" w:hAnsi="宋体" w:cs="宋体"/>
                <w:color w:val="auto"/>
                <w:szCs w:val="21"/>
                <w:highlight w:val="none"/>
              </w:rPr>
            </w:pPr>
            <w:r>
              <w:rPr>
                <w:rFonts w:hint="eastAsia" w:ascii="宋体" w:hAnsi="宋体" w:cs="宋体"/>
                <w:b/>
                <w:color w:val="auto"/>
                <w:szCs w:val="21"/>
                <w:highlight w:val="none"/>
              </w:rPr>
              <w:t>（30分）</w:t>
            </w:r>
          </w:p>
        </w:tc>
        <w:tc>
          <w:tcPr>
            <w:tcW w:w="1701" w:type="dxa"/>
            <w:tcBorders>
              <w:top w:val="single" w:color="auto" w:sz="4" w:space="0"/>
              <w:left w:val="single" w:color="auto" w:sz="4" w:space="0"/>
              <w:bottom w:val="single" w:color="auto" w:sz="4" w:space="0"/>
              <w:right w:val="single" w:color="auto" w:sz="4" w:space="0"/>
            </w:tcBorders>
            <w:vAlign w:val="center"/>
          </w:tcPr>
          <w:p w14:paraId="657B06C0">
            <w:pPr>
              <w:adjustRightInd w:val="0"/>
              <w:spacing w:line="40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投标报价（30分）</w:t>
            </w:r>
          </w:p>
        </w:tc>
        <w:tc>
          <w:tcPr>
            <w:tcW w:w="6000" w:type="dxa"/>
            <w:tcBorders>
              <w:top w:val="single" w:color="auto" w:sz="4" w:space="0"/>
              <w:left w:val="single" w:color="auto" w:sz="4" w:space="0"/>
              <w:bottom w:val="single" w:color="auto" w:sz="4" w:space="0"/>
              <w:right w:val="single" w:color="auto" w:sz="4" w:space="0"/>
            </w:tcBorders>
            <w:vAlign w:val="center"/>
          </w:tcPr>
          <w:p w14:paraId="27C67447">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（1）评标报价为投标人的投标报价进行政策性扣除后的价格，评标报价只是作为评标时使用。最终中标人的中标金额等于投标报价。</w:t>
            </w:r>
          </w:p>
          <w:p w14:paraId="06ED72CA">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（2）政策性扣除计算方法。</w:t>
            </w:r>
          </w:p>
          <w:p w14:paraId="653CC070">
            <w:pPr>
              <w:snapToGrid w:val="0"/>
              <w:spacing w:line="400" w:lineRule="exact"/>
              <w:rPr>
                <w:rFonts w:ascii="宋体" w:hAnsi="宋体" w:cs="宋体"/>
                <w:color w:val="auto"/>
                <w:szCs w:val="21"/>
                <w:highlight w:val="none"/>
              </w:rPr>
            </w:pPr>
            <w:r>
              <w:rPr>
                <w:rFonts w:hint="eastAsia" w:ascii="宋体" w:hAnsi="宋体" w:cs="宋体"/>
                <w:bCs/>
                <w:color w:val="auto"/>
                <w:szCs w:val="21"/>
                <w:highlight w:val="none"/>
              </w:rPr>
              <w:t>根据《政府采购促进中小企业发展管理办法》（财库〔2020〕46号）及</w:t>
            </w:r>
            <w:r>
              <w:rPr>
                <w:rFonts w:hint="eastAsia"/>
                <w:color w:val="auto"/>
                <w:highlight w:val="none"/>
              </w:rPr>
              <w:t>《广西壮族自治区财政厅关于持续优化政府采购营商环境推动高质量发展的通知》（桂财采〔2024〕55号）</w:t>
            </w:r>
            <w:r>
              <w:rPr>
                <w:rFonts w:hint="eastAsia" w:ascii="宋体" w:hAnsi="宋体" w:cs="宋体"/>
                <w:bCs/>
                <w:color w:val="auto"/>
                <w:szCs w:val="21"/>
                <w:highlight w:val="none"/>
              </w:rPr>
              <w:t>的规定，投标人在其投标文件中提供《中小企业声明函》，且其投标全部货物由小微企业制造的，对其投标报价给予20%的扣除，扣除后的价格为评标报价，即评标报价=投标报价×（1-20%）。除上述情况外，评标报价=投标报价。</w:t>
            </w:r>
          </w:p>
          <w:p w14:paraId="1F518FC7">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监狱企业参加政府采购活动时，应当提供由省级以上监狱管理局、戒毒管理局(含新疆生产建设兵团)出具的属于监狱企业的证明文件。监狱企业</w:t>
            </w:r>
            <w:r>
              <w:rPr>
                <w:rFonts w:hint="eastAsia" w:ascii="宋体" w:hAnsi="宋体" w:cs="宋体"/>
                <w:bCs/>
                <w:color w:val="auto"/>
                <w:szCs w:val="21"/>
                <w:highlight w:val="none"/>
              </w:rPr>
              <w:t>属于小型、微型企业的，不重复享受政策。</w:t>
            </w:r>
          </w:p>
          <w:p w14:paraId="6FB2BA61">
            <w:pPr>
              <w:snapToGrid w:val="0"/>
              <w:spacing w:line="400" w:lineRule="exact"/>
              <w:rPr>
                <w:rFonts w:ascii="宋体" w:hAnsi="宋体" w:cs="宋体"/>
                <w:bCs/>
                <w:color w:val="auto"/>
                <w:szCs w:val="21"/>
                <w:highlight w:val="none"/>
              </w:rPr>
            </w:pPr>
            <w:r>
              <w:rPr>
                <w:rFonts w:hint="eastAsia" w:ascii="宋体" w:hAnsi="宋体" w:cs="宋体"/>
                <w:color w:val="auto"/>
                <w:szCs w:val="21"/>
                <w:highlight w:val="none"/>
              </w:rPr>
              <w:t>（4）按照</w:t>
            </w:r>
            <w:r>
              <w:rPr>
                <w:rFonts w:hint="eastAsia" w:ascii="宋体" w:hAnsi="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cs="宋体"/>
                <w:bCs/>
                <w:color w:val="auto"/>
                <w:szCs w:val="21"/>
                <w:highlight w:val="none"/>
              </w:rPr>
              <w:t>残疾人福利性单位属于小型、微型企业的，不重复享受政策。</w:t>
            </w:r>
          </w:p>
          <w:p w14:paraId="51D9E5FE">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（5）满足招标文件要求且评标报价最低的评标报价为评标基准价，其价格分为满分。</w:t>
            </w:r>
          </w:p>
          <w:p w14:paraId="2397F0ED">
            <w:pPr>
              <w:spacing w:line="400" w:lineRule="exact"/>
              <w:rPr>
                <w:rFonts w:ascii="宋体" w:hAnsi="宋体" w:cs="宋体"/>
                <w:bCs/>
                <w:color w:val="auto"/>
                <w:szCs w:val="21"/>
                <w:highlight w:val="none"/>
              </w:rPr>
            </w:pPr>
            <w:r>
              <w:rPr>
                <w:rFonts w:hint="eastAsia" w:ascii="宋体" w:hAnsi="宋体" w:cs="宋体"/>
                <w:bCs/>
                <w:color w:val="auto"/>
                <w:szCs w:val="21"/>
                <w:highlight w:val="none"/>
              </w:rPr>
              <w:t xml:space="preserve">（6）价格分计算公式：        </w:t>
            </w:r>
          </w:p>
          <w:p w14:paraId="2015DAEA">
            <w:pPr>
              <w:pStyle w:val="24"/>
              <w:spacing w:line="400" w:lineRule="exact"/>
              <w:rPr>
                <w:rFonts w:hAnsi="宋体" w:cs="宋体"/>
                <w:color w:val="auto"/>
                <w:kern w:val="2"/>
                <w:sz w:val="21"/>
                <w:highlight w:val="none"/>
              </w:rPr>
            </w:pPr>
            <w:r>
              <w:rPr>
                <w:rFonts w:hint="eastAsia" w:hAnsi="宋体" w:cs="宋体"/>
                <w:color w:val="auto"/>
                <w:sz w:val="21"/>
                <w:highlight w:val="none"/>
              </w:rPr>
              <w:t>价格分</w:t>
            </w:r>
            <w:r>
              <w:rPr>
                <w:rFonts w:hint="eastAsia" w:hAnsi="宋体" w:cs="宋体"/>
                <w:color w:val="auto"/>
                <w:kern w:val="2"/>
                <w:sz w:val="21"/>
                <w:highlight w:val="none"/>
              </w:rPr>
              <w:t>=(评标基准价／评标报价)×</w:t>
            </w:r>
            <w:r>
              <w:rPr>
                <w:rFonts w:hint="eastAsia" w:hAnsi="宋体" w:cs="宋体"/>
                <w:color w:val="auto"/>
                <w:sz w:val="21"/>
                <w:highlight w:val="none"/>
              </w:rPr>
              <w:t>30</w:t>
            </w:r>
            <w:r>
              <w:rPr>
                <w:rFonts w:hint="eastAsia" w:hAnsi="宋体" w:cs="宋体"/>
                <w:color w:val="auto"/>
                <w:kern w:val="2"/>
                <w:sz w:val="21"/>
                <w:highlight w:val="none"/>
              </w:rPr>
              <w:t>分</w:t>
            </w:r>
          </w:p>
        </w:tc>
      </w:tr>
      <w:tr w14:paraId="3C3A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25" w:type="dxa"/>
            <w:tcBorders>
              <w:top w:val="single" w:color="auto" w:sz="4" w:space="0"/>
              <w:left w:val="single" w:color="auto" w:sz="4" w:space="0"/>
              <w:right w:val="single" w:color="auto" w:sz="4" w:space="0"/>
            </w:tcBorders>
            <w:vAlign w:val="center"/>
          </w:tcPr>
          <w:p w14:paraId="2A1D65D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224" w:type="dxa"/>
            <w:tcBorders>
              <w:top w:val="single" w:color="auto" w:sz="4" w:space="0"/>
              <w:left w:val="single" w:color="auto" w:sz="4" w:space="0"/>
              <w:right w:val="single" w:color="auto" w:sz="4" w:space="0"/>
            </w:tcBorders>
            <w:vAlign w:val="center"/>
          </w:tcPr>
          <w:p w14:paraId="25167F8F">
            <w:pPr>
              <w:adjustRightInd w:val="0"/>
              <w:spacing w:line="360" w:lineRule="auto"/>
              <w:ind w:left="-105" w:leftChars="-50" w:right="-105" w:rightChars="-50"/>
              <w:jc w:val="center"/>
              <w:textAlignment w:val="baseline"/>
              <w:rPr>
                <w:rFonts w:ascii="宋体" w:hAnsi="宋体" w:cs="宋体"/>
                <w:b/>
                <w:color w:val="auto"/>
                <w:highlight w:val="none"/>
              </w:rPr>
            </w:pPr>
            <w:r>
              <w:rPr>
                <w:rFonts w:hint="eastAsia" w:ascii="宋体" w:hAnsi="宋体" w:cs="宋体"/>
                <w:b/>
                <w:color w:val="auto"/>
                <w:highlight w:val="none"/>
              </w:rPr>
              <w:t>技术分</w:t>
            </w:r>
          </w:p>
          <w:p w14:paraId="4F9BB224">
            <w:pPr>
              <w:adjustRightInd w:val="0"/>
              <w:spacing w:line="360" w:lineRule="auto"/>
              <w:ind w:left="-105" w:leftChars="-50" w:right="-105" w:rightChars="-50"/>
              <w:jc w:val="center"/>
              <w:textAlignment w:val="baseline"/>
              <w:rPr>
                <w:rFonts w:ascii="宋体" w:hAnsi="宋体" w:cs="宋体"/>
                <w:b/>
                <w:color w:val="auto"/>
                <w:highlight w:val="none"/>
              </w:rPr>
            </w:pPr>
            <w:r>
              <w:rPr>
                <w:rFonts w:hint="eastAsia" w:ascii="宋体" w:hAnsi="宋体" w:cs="宋体"/>
                <w:b/>
                <w:color w:val="auto"/>
                <w:highlight w:val="none"/>
              </w:rPr>
              <w:t>（3</w:t>
            </w:r>
            <w:r>
              <w:rPr>
                <w:rFonts w:hint="eastAsia" w:ascii="宋体" w:hAnsi="宋体" w:cs="宋体"/>
                <w:b/>
                <w:color w:val="auto"/>
                <w:highlight w:val="none"/>
                <w:lang w:val="en-US" w:eastAsia="zh-CN"/>
              </w:rPr>
              <w:t>4</w:t>
            </w:r>
            <w:r>
              <w:rPr>
                <w:rFonts w:hint="eastAsia" w:ascii="宋体" w:hAnsi="宋体" w:cs="宋体"/>
                <w:b/>
                <w:color w:val="auto"/>
                <w:highlight w:val="none"/>
              </w:rPr>
              <w:t>分）</w:t>
            </w:r>
          </w:p>
        </w:tc>
        <w:tc>
          <w:tcPr>
            <w:tcW w:w="1701" w:type="dxa"/>
            <w:tcBorders>
              <w:top w:val="single" w:color="auto" w:sz="4" w:space="0"/>
              <w:left w:val="single" w:color="auto" w:sz="4" w:space="0"/>
              <w:right w:val="single" w:color="auto" w:sz="4" w:space="0"/>
            </w:tcBorders>
            <w:vAlign w:val="center"/>
          </w:tcPr>
          <w:p w14:paraId="520D89D4">
            <w:pPr>
              <w:adjustRightInd w:val="0"/>
              <w:spacing w:line="400" w:lineRule="exact"/>
              <w:ind w:left="-105" w:leftChars="-50" w:right="-105" w:rightChars="-50"/>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技术响应分</w:t>
            </w:r>
          </w:p>
          <w:p w14:paraId="44115F93">
            <w:pPr>
              <w:adjustRightInd w:val="0"/>
              <w:spacing w:line="400" w:lineRule="exact"/>
              <w:ind w:left="-105" w:leftChars="-50" w:right="-105" w:rightChars="-50"/>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分）</w:t>
            </w:r>
          </w:p>
        </w:tc>
        <w:tc>
          <w:tcPr>
            <w:tcW w:w="6000" w:type="dxa"/>
            <w:tcBorders>
              <w:top w:val="single" w:color="auto" w:sz="4" w:space="0"/>
              <w:left w:val="single" w:color="auto" w:sz="4" w:space="0"/>
              <w:right w:val="single" w:color="auto" w:sz="4" w:space="0"/>
            </w:tcBorders>
            <w:vAlign w:val="center"/>
          </w:tcPr>
          <w:p w14:paraId="156DDD2F">
            <w:pPr>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投标人所投分标投标文件满足招标文件全部实质性要求的，得基本分</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w:t>
            </w:r>
          </w:p>
          <w:p w14:paraId="2F62707C">
            <w:pPr>
              <w:spacing w:line="400" w:lineRule="exact"/>
              <w:rPr>
                <w:rFonts w:hAnsi="宋体" w:cs="宋体"/>
                <w:color w:val="auto"/>
                <w:sz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投标人所投分标</w:t>
            </w:r>
            <w:r>
              <w:rPr>
                <w:rFonts w:hint="eastAsia" w:ascii="宋体" w:hAnsi="宋体" w:cs="宋体"/>
                <w:bCs/>
                <w:color w:val="auto"/>
                <w:szCs w:val="21"/>
                <w:highlight w:val="none"/>
                <w:lang w:val="en-US" w:eastAsia="zh-CN"/>
              </w:rPr>
              <w:t>产品在满足</w:t>
            </w:r>
            <w:r>
              <w:rPr>
                <w:rFonts w:hint="eastAsia" w:ascii="宋体" w:hAnsi="宋体" w:cs="宋体"/>
                <w:bCs/>
                <w:color w:val="auto"/>
                <w:szCs w:val="21"/>
                <w:highlight w:val="none"/>
              </w:rPr>
              <w:t>招标文件“技术要求”中标注“▲”符号的实质性技术</w:t>
            </w:r>
            <w:r>
              <w:rPr>
                <w:rFonts w:hint="eastAsia" w:ascii="宋体" w:hAnsi="宋体" w:cs="宋体"/>
                <w:bCs/>
                <w:color w:val="auto"/>
                <w:szCs w:val="21"/>
                <w:highlight w:val="none"/>
                <w:lang w:val="en-US" w:eastAsia="zh-CN"/>
              </w:rPr>
              <w:t>要求基</w:t>
            </w:r>
            <w:bookmarkStart w:id="157" w:name="_GoBack"/>
            <w:bookmarkEnd w:id="157"/>
            <w:r>
              <w:rPr>
                <w:rFonts w:hint="eastAsia" w:ascii="宋体" w:hAnsi="宋体" w:cs="宋体"/>
                <w:bCs/>
                <w:color w:val="auto"/>
                <w:szCs w:val="21"/>
                <w:highlight w:val="none"/>
                <w:lang w:val="en-US" w:eastAsia="zh-CN"/>
              </w:rPr>
              <w:t>础上</w:t>
            </w:r>
            <w:r>
              <w:rPr>
                <w:rFonts w:hint="eastAsia" w:ascii="宋体" w:hAnsi="宋体" w:cs="宋体"/>
                <w:bCs/>
                <w:color w:val="auto"/>
                <w:szCs w:val="21"/>
                <w:highlight w:val="none"/>
                <w:lang w:eastAsia="zh-CN"/>
              </w:rPr>
              <w:t>存在</w:t>
            </w:r>
            <w:r>
              <w:rPr>
                <w:rFonts w:hint="eastAsia" w:ascii="宋体" w:hAnsi="宋体" w:cs="宋体"/>
                <w:bCs/>
                <w:color w:val="auto"/>
                <w:szCs w:val="21"/>
                <w:highlight w:val="none"/>
              </w:rPr>
              <w:t>正偏离，并于投标文件中同时提供相关有效证明材料予以佐证（证明材料可以是产品功能截图及其说明、由国家认可的第三方检测机构出具的检测报告、彩页等，并加盖投标人电子签章，否则不予认可），且经评委独立评审确定的，每有1项加</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分，本项目最多得</w:t>
            </w:r>
            <w:r>
              <w:rPr>
                <w:rFonts w:hint="eastAsia" w:ascii="宋体" w:hAnsi="宋体" w:cs="宋体"/>
                <w:bCs/>
                <w:color w:val="auto"/>
                <w:szCs w:val="21"/>
                <w:highlight w:val="none"/>
                <w:lang w:val="en-US" w:eastAsia="zh-CN"/>
              </w:rPr>
              <w:t>24</w:t>
            </w:r>
            <w:r>
              <w:rPr>
                <w:rFonts w:hint="eastAsia" w:ascii="宋体" w:hAnsi="宋体" w:cs="宋体"/>
                <w:bCs/>
                <w:color w:val="auto"/>
                <w:szCs w:val="21"/>
                <w:highlight w:val="none"/>
              </w:rPr>
              <w:t xml:space="preserve"> 分。</w:t>
            </w:r>
          </w:p>
        </w:tc>
      </w:tr>
      <w:tr w14:paraId="7BCD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525" w:type="dxa"/>
            <w:tcBorders>
              <w:top w:val="single" w:color="auto" w:sz="4" w:space="0"/>
              <w:left w:val="single" w:color="auto" w:sz="4" w:space="0"/>
              <w:right w:val="single" w:color="auto" w:sz="4" w:space="0"/>
            </w:tcBorders>
            <w:vAlign w:val="center"/>
          </w:tcPr>
          <w:p w14:paraId="7D8A481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1224" w:type="dxa"/>
            <w:tcBorders>
              <w:top w:val="single" w:color="auto" w:sz="4" w:space="0"/>
              <w:left w:val="single" w:color="auto" w:sz="4" w:space="0"/>
              <w:right w:val="single" w:color="auto" w:sz="4" w:space="0"/>
            </w:tcBorders>
            <w:vAlign w:val="center"/>
          </w:tcPr>
          <w:p w14:paraId="437957BA">
            <w:pPr>
              <w:adjustRightInd w:val="0"/>
              <w:spacing w:line="470" w:lineRule="exact"/>
              <w:jc w:val="center"/>
              <w:textAlignment w:val="baseline"/>
              <w:rPr>
                <w:rFonts w:ascii="宋体" w:hAnsi="宋体" w:cs="宋体"/>
                <w:b/>
                <w:color w:val="auto"/>
                <w:highlight w:val="none"/>
              </w:rPr>
            </w:pPr>
            <w:r>
              <w:rPr>
                <w:rFonts w:hint="eastAsia" w:ascii="宋体" w:hAnsi="宋体" w:cs="宋体"/>
                <w:b/>
                <w:bCs/>
                <w:color w:val="auto"/>
                <w:highlight w:val="none"/>
              </w:rPr>
              <w:t>安装实施方案分（15分）</w:t>
            </w:r>
          </w:p>
        </w:tc>
        <w:tc>
          <w:tcPr>
            <w:tcW w:w="7701" w:type="dxa"/>
            <w:gridSpan w:val="2"/>
            <w:tcBorders>
              <w:top w:val="single" w:color="auto" w:sz="4" w:space="0"/>
              <w:left w:val="single" w:color="auto" w:sz="4" w:space="0"/>
              <w:right w:val="single" w:color="auto" w:sz="4" w:space="0"/>
            </w:tcBorders>
            <w:vAlign w:val="center"/>
          </w:tcPr>
          <w:p w14:paraId="6CF69E40">
            <w:pPr>
              <w:pStyle w:val="24"/>
              <w:spacing w:line="400" w:lineRule="exact"/>
              <w:rPr>
                <w:rFonts w:hAnsi="宋体" w:cs="宋体"/>
                <w:color w:val="auto"/>
                <w:kern w:val="2"/>
                <w:sz w:val="21"/>
                <w:highlight w:val="none"/>
              </w:rPr>
            </w:pPr>
            <w:r>
              <w:rPr>
                <w:rFonts w:hint="eastAsia" w:hAnsi="宋体" w:cs="宋体"/>
                <w:color w:val="auto"/>
                <w:kern w:val="2"/>
                <w:sz w:val="21"/>
                <w:highlight w:val="none"/>
              </w:rPr>
              <w:t>评委对投标人提供的安装实施方案（包括但不仅限于：①安装方案；②设备调试方案；③设备试运行方案等）内容进行独立评审并按以下规则独立打分：</w:t>
            </w:r>
          </w:p>
          <w:p w14:paraId="24BF8897">
            <w:pPr>
              <w:pStyle w:val="24"/>
              <w:spacing w:line="400" w:lineRule="exact"/>
              <w:rPr>
                <w:rFonts w:hAnsi="宋体" w:cs="宋体"/>
                <w:color w:val="auto"/>
                <w:kern w:val="2"/>
                <w:sz w:val="21"/>
                <w:highlight w:val="none"/>
              </w:rPr>
            </w:pPr>
            <w:r>
              <w:rPr>
                <w:rFonts w:hint="eastAsia" w:hAnsi="宋体" w:cs="宋体"/>
                <w:color w:val="auto"/>
                <w:kern w:val="2"/>
                <w:sz w:val="21"/>
                <w:highlight w:val="none"/>
              </w:rPr>
              <w:t>一档（5分）：三项评审内容有一项经评审具有针对性、可操作性、且内容科学合理的；</w:t>
            </w:r>
          </w:p>
          <w:p w14:paraId="4446F18B">
            <w:pPr>
              <w:pStyle w:val="24"/>
              <w:spacing w:line="400" w:lineRule="exact"/>
              <w:rPr>
                <w:rFonts w:hAnsi="宋体" w:cs="宋体"/>
                <w:color w:val="auto"/>
                <w:kern w:val="2"/>
                <w:sz w:val="21"/>
                <w:highlight w:val="none"/>
              </w:rPr>
            </w:pPr>
            <w:r>
              <w:rPr>
                <w:rFonts w:hint="eastAsia" w:hAnsi="宋体" w:cs="宋体"/>
                <w:color w:val="auto"/>
                <w:kern w:val="2"/>
                <w:sz w:val="21"/>
                <w:highlight w:val="none"/>
              </w:rPr>
              <w:t>二档（10分）：三项评审内容有二项经评审具有针对性、可操作性、且内容科学合理的；</w:t>
            </w:r>
          </w:p>
          <w:p w14:paraId="5829841A">
            <w:pPr>
              <w:pStyle w:val="24"/>
              <w:spacing w:line="400" w:lineRule="exact"/>
              <w:rPr>
                <w:rFonts w:hAnsi="宋体" w:cs="宋体"/>
                <w:color w:val="auto"/>
                <w:sz w:val="21"/>
                <w:highlight w:val="none"/>
              </w:rPr>
            </w:pPr>
            <w:r>
              <w:rPr>
                <w:rFonts w:hint="eastAsia" w:hAnsi="宋体" w:cs="宋体"/>
                <w:color w:val="auto"/>
                <w:kern w:val="2"/>
                <w:sz w:val="21"/>
                <w:highlight w:val="none"/>
              </w:rPr>
              <w:t>三档（15分）：三项评审内容经评审均具有针对性、可操作性、且内容科学合理的。</w:t>
            </w:r>
          </w:p>
        </w:tc>
      </w:tr>
      <w:tr w14:paraId="70AD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525" w:type="dxa"/>
            <w:tcBorders>
              <w:top w:val="single" w:color="auto" w:sz="4" w:space="0"/>
              <w:left w:val="single" w:color="auto" w:sz="4" w:space="0"/>
              <w:right w:val="single" w:color="auto" w:sz="4" w:space="0"/>
            </w:tcBorders>
            <w:vAlign w:val="center"/>
          </w:tcPr>
          <w:p w14:paraId="64D1553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4</w:t>
            </w:r>
          </w:p>
        </w:tc>
        <w:tc>
          <w:tcPr>
            <w:tcW w:w="1224" w:type="dxa"/>
            <w:tcBorders>
              <w:top w:val="single" w:color="auto" w:sz="4" w:space="0"/>
              <w:left w:val="single" w:color="auto" w:sz="4" w:space="0"/>
              <w:right w:val="single" w:color="auto" w:sz="4" w:space="0"/>
            </w:tcBorders>
            <w:shd w:val="clear" w:color="auto" w:fill="auto"/>
            <w:vAlign w:val="center"/>
          </w:tcPr>
          <w:p w14:paraId="0415BB7D">
            <w:pPr>
              <w:adjustRightInd w:val="0"/>
              <w:spacing w:line="470" w:lineRule="exact"/>
              <w:jc w:val="center"/>
              <w:textAlignment w:val="baseline"/>
              <w:rPr>
                <w:rFonts w:ascii="宋体" w:hAnsi="宋体" w:cs="宋体"/>
                <w:b/>
                <w:color w:val="auto"/>
                <w:highlight w:val="none"/>
              </w:rPr>
            </w:pPr>
            <w:r>
              <w:rPr>
                <w:rFonts w:hint="eastAsia" w:ascii="宋体" w:hAnsi="宋体" w:cs="宋体"/>
                <w:b/>
                <w:color w:val="auto"/>
                <w:highlight w:val="none"/>
              </w:rPr>
              <w:t>增值售后服务方案分（</w:t>
            </w:r>
            <w:r>
              <w:rPr>
                <w:rFonts w:hint="eastAsia" w:ascii="宋体" w:hAnsi="宋体" w:cs="宋体"/>
                <w:b/>
                <w:color w:val="auto"/>
                <w:szCs w:val="21"/>
                <w:highlight w:val="none"/>
              </w:rPr>
              <w:t>12</w:t>
            </w:r>
            <w:r>
              <w:rPr>
                <w:rFonts w:hint="eastAsia" w:ascii="宋体" w:hAnsi="宋体" w:cs="宋体"/>
                <w:b/>
                <w:color w:val="auto"/>
                <w:highlight w:val="none"/>
              </w:rPr>
              <w:t>分）</w:t>
            </w:r>
          </w:p>
        </w:tc>
        <w:tc>
          <w:tcPr>
            <w:tcW w:w="7701" w:type="dxa"/>
            <w:gridSpan w:val="2"/>
            <w:tcBorders>
              <w:top w:val="single" w:color="auto" w:sz="4" w:space="0"/>
              <w:left w:val="single" w:color="auto" w:sz="4" w:space="0"/>
              <w:right w:val="single" w:color="auto" w:sz="4" w:space="0"/>
            </w:tcBorders>
            <w:shd w:val="clear" w:color="auto" w:fill="auto"/>
            <w:vAlign w:val="center"/>
          </w:tcPr>
          <w:p w14:paraId="517B7B54">
            <w:pPr>
              <w:pStyle w:val="24"/>
              <w:spacing w:line="400" w:lineRule="exact"/>
              <w:rPr>
                <w:rFonts w:hAnsi="宋体" w:cs="宋体"/>
                <w:color w:val="auto"/>
                <w:sz w:val="21"/>
                <w:highlight w:val="none"/>
              </w:rPr>
            </w:pPr>
            <w:r>
              <w:rPr>
                <w:rFonts w:hint="eastAsia" w:hAnsi="宋体" w:cs="宋体"/>
                <w:color w:val="auto"/>
                <w:sz w:val="21"/>
                <w:highlight w:val="none"/>
              </w:rPr>
              <w:t>（1）</w:t>
            </w:r>
            <w:bookmarkStart w:id="144" w:name="_Toc171433132"/>
            <w:r>
              <w:rPr>
                <w:rFonts w:hint="eastAsia" w:hAnsi="宋体" w:cs="宋体"/>
                <w:color w:val="auto"/>
                <w:sz w:val="21"/>
                <w:highlight w:val="none"/>
              </w:rPr>
              <w:t>在满足所投分标基本保修期的基础上，投标人承诺所投标的保修期每延长半年的得1分，最多得2分。</w:t>
            </w:r>
            <w:bookmarkEnd w:id="144"/>
          </w:p>
          <w:p w14:paraId="2DA3F75A">
            <w:pPr>
              <w:pStyle w:val="24"/>
              <w:spacing w:line="400" w:lineRule="exact"/>
              <w:rPr>
                <w:rFonts w:hAnsi="宋体" w:cs="宋体"/>
                <w:color w:val="auto"/>
                <w:kern w:val="2"/>
                <w:sz w:val="21"/>
                <w:highlight w:val="none"/>
              </w:rPr>
            </w:pPr>
            <w:r>
              <w:rPr>
                <w:rFonts w:hint="eastAsia" w:hAnsi="宋体" w:cs="宋体"/>
                <w:color w:val="auto"/>
                <w:kern w:val="2"/>
                <w:sz w:val="21"/>
                <w:highlight w:val="none"/>
              </w:rPr>
              <w:t>（2）评委根据投标人所提供的增值售后服务方案内容【包括但不限于：</w:t>
            </w:r>
            <w:r>
              <w:rPr>
                <w:rFonts w:hint="eastAsia" w:hAnsi="宋体" w:cs="宋体"/>
                <w:color w:val="auto"/>
                <w:sz w:val="21"/>
                <w:highlight w:val="none"/>
              </w:rPr>
              <w:t>①服务人员的配备、故障出现解决方案，②定期维护 (注明时间)，③技术培训方案，④保修期外维修方案，⑤售后服务措施及其他优惠措施等</w:t>
            </w:r>
            <w:r>
              <w:rPr>
                <w:rFonts w:hint="eastAsia" w:hAnsi="宋体" w:cs="宋体"/>
                <w:color w:val="auto"/>
                <w:kern w:val="2"/>
                <w:sz w:val="21"/>
                <w:highlight w:val="none"/>
              </w:rPr>
              <w:t>】，按以下方式进行独立评审打分：</w:t>
            </w:r>
          </w:p>
          <w:p w14:paraId="5788A715">
            <w:pPr>
              <w:pStyle w:val="24"/>
              <w:spacing w:line="360" w:lineRule="exact"/>
              <w:rPr>
                <w:rFonts w:hAnsi="宋体" w:cs="宋体"/>
                <w:color w:val="auto"/>
                <w:sz w:val="21"/>
                <w:highlight w:val="none"/>
              </w:rPr>
            </w:pPr>
            <w:r>
              <w:rPr>
                <w:rFonts w:hint="eastAsia" w:hAnsi="宋体" w:cs="宋体"/>
                <w:color w:val="auto"/>
                <w:sz w:val="21"/>
                <w:highlight w:val="none"/>
              </w:rPr>
              <w:t>一档（2分）：五项评审因素有一项内容经评审合理、可行且具有针对性的；</w:t>
            </w:r>
          </w:p>
          <w:p w14:paraId="312C42A2">
            <w:pPr>
              <w:pStyle w:val="24"/>
              <w:spacing w:line="360" w:lineRule="exact"/>
              <w:rPr>
                <w:rFonts w:hAnsi="宋体" w:cs="宋体"/>
                <w:color w:val="auto"/>
                <w:sz w:val="21"/>
                <w:highlight w:val="none"/>
              </w:rPr>
            </w:pPr>
            <w:r>
              <w:rPr>
                <w:rFonts w:hint="eastAsia" w:hAnsi="宋体" w:cs="宋体"/>
                <w:color w:val="auto"/>
                <w:sz w:val="21"/>
                <w:highlight w:val="none"/>
              </w:rPr>
              <w:t>二档（4分）：五项评审因素有二项内容经评审合理、可行且具有针对性的；</w:t>
            </w:r>
          </w:p>
          <w:p w14:paraId="33435A41">
            <w:pPr>
              <w:pStyle w:val="24"/>
              <w:spacing w:line="360" w:lineRule="exact"/>
              <w:outlineLvl w:val="0"/>
              <w:rPr>
                <w:rFonts w:hAnsi="宋体" w:cs="宋体"/>
                <w:color w:val="auto"/>
                <w:sz w:val="21"/>
                <w:highlight w:val="none"/>
              </w:rPr>
            </w:pPr>
            <w:r>
              <w:rPr>
                <w:rFonts w:hint="eastAsia" w:hAnsi="宋体" w:cs="宋体"/>
                <w:color w:val="auto"/>
                <w:sz w:val="21"/>
                <w:highlight w:val="none"/>
              </w:rPr>
              <w:t>三档（6分）：五项评审因素有三项内容经评审合理、可行且具有针对性的；</w:t>
            </w:r>
          </w:p>
          <w:p w14:paraId="40C843D5">
            <w:pPr>
              <w:pStyle w:val="24"/>
              <w:spacing w:line="360" w:lineRule="exact"/>
              <w:outlineLvl w:val="0"/>
              <w:rPr>
                <w:rFonts w:hAnsi="宋体" w:cs="宋体"/>
                <w:color w:val="auto"/>
                <w:sz w:val="21"/>
                <w:highlight w:val="none"/>
              </w:rPr>
            </w:pPr>
            <w:r>
              <w:rPr>
                <w:rFonts w:hint="eastAsia" w:hAnsi="宋体" w:cs="宋体"/>
                <w:color w:val="auto"/>
                <w:sz w:val="21"/>
                <w:highlight w:val="none"/>
              </w:rPr>
              <w:t>四档（8分）：五项评审因素有四项内容经评审合理、可行且具有针对性的；</w:t>
            </w:r>
          </w:p>
          <w:p w14:paraId="3791F8E7">
            <w:pPr>
              <w:pStyle w:val="24"/>
              <w:spacing w:line="400" w:lineRule="exact"/>
              <w:rPr>
                <w:rFonts w:hAnsi="宋体" w:cs="宋体"/>
                <w:color w:val="auto"/>
                <w:sz w:val="21"/>
                <w:highlight w:val="none"/>
              </w:rPr>
            </w:pPr>
            <w:r>
              <w:rPr>
                <w:rFonts w:hint="eastAsia" w:hAnsi="宋体" w:cs="宋体"/>
                <w:color w:val="auto"/>
                <w:sz w:val="21"/>
                <w:highlight w:val="none"/>
              </w:rPr>
              <w:t>五档（10分）：五项评审因素均合理、可行且具有针对性的。</w:t>
            </w:r>
          </w:p>
        </w:tc>
      </w:tr>
      <w:tr w14:paraId="17EB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525" w:type="dxa"/>
            <w:tcBorders>
              <w:top w:val="single" w:color="auto" w:sz="4" w:space="0"/>
              <w:left w:val="single" w:color="auto" w:sz="4" w:space="0"/>
              <w:right w:val="single" w:color="auto" w:sz="4" w:space="0"/>
            </w:tcBorders>
            <w:vAlign w:val="center"/>
          </w:tcPr>
          <w:p w14:paraId="3820C3E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5</w:t>
            </w:r>
          </w:p>
        </w:tc>
        <w:tc>
          <w:tcPr>
            <w:tcW w:w="1224" w:type="dxa"/>
            <w:tcBorders>
              <w:top w:val="single" w:color="auto" w:sz="4" w:space="0"/>
              <w:left w:val="single" w:color="auto" w:sz="4" w:space="0"/>
              <w:right w:val="single" w:color="auto" w:sz="4" w:space="0"/>
            </w:tcBorders>
            <w:vAlign w:val="center"/>
          </w:tcPr>
          <w:p w14:paraId="27AC1D7D">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履约能力分（</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分）</w:t>
            </w:r>
          </w:p>
        </w:tc>
        <w:tc>
          <w:tcPr>
            <w:tcW w:w="7701" w:type="dxa"/>
            <w:gridSpan w:val="2"/>
            <w:tcBorders>
              <w:top w:val="single" w:color="auto" w:sz="4" w:space="0"/>
              <w:left w:val="single" w:color="auto" w:sz="4" w:space="0"/>
              <w:right w:val="single" w:color="auto" w:sz="4" w:space="0"/>
            </w:tcBorders>
            <w:vAlign w:val="center"/>
          </w:tcPr>
          <w:p w14:paraId="5BF4C7F4">
            <w:pPr>
              <w:pStyle w:val="24"/>
              <w:spacing w:line="400" w:lineRule="exact"/>
              <w:rPr>
                <w:rFonts w:hAnsi="宋体" w:cs="宋体"/>
                <w:color w:val="auto"/>
                <w:kern w:val="2"/>
                <w:sz w:val="21"/>
                <w:highlight w:val="none"/>
              </w:rPr>
            </w:pPr>
            <w:r>
              <w:rPr>
                <w:rFonts w:hint="eastAsia" w:hAnsi="宋体" w:cs="宋体"/>
                <w:color w:val="auto"/>
                <w:kern w:val="2"/>
                <w:sz w:val="21"/>
                <w:highlight w:val="none"/>
              </w:rPr>
              <w:t>（1）投标人或所投产品生产厂家通过ISO13485医疗器械质量管理体系认证、ISO9001质量管理体系认证且有效的（投标人于投标文件提供相应有效的认证证书复印件，并加盖投标人电子签章，否则不予认可），每提供1项得2分，最多得4分。</w:t>
            </w:r>
          </w:p>
          <w:p w14:paraId="229415F0">
            <w:pPr>
              <w:pStyle w:val="24"/>
              <w:spacing w:line="400" w:lineRule="exact"/>
              <w:rPr>
                <w:rFonts w:hAnsi="宋体" w:cs="宋体"/>
                <w:color w:val="auto"/>
                <w:sz w:val="21"/>
                <w:highlight w:val="none"/>
              </w:rPr>
            </w:pPr>
            <w:r>
              <w:rPr>
                <w:rFonts w:hint="eastAsia" w:hAnsi="宋体" w:cs="宋体"/>
                <w:color w:val="auto"/>
                <w:kern w:val="2"/>
                <w:sz w:val="21"/>
                <w:highlight w:val="none"/>
              </w:rPr>
              <w:t>（</w:t>
            </w:r>
            <w:r>
              <w:rPr>
                <w:rFonts w:hint="eastAsia" w:hAnsi="宋体" w:cs="宋体"/>
                <w:color w:val="auto"/>
                <w:kern w:val="2"/>
                <w:sz w:val="21"/>
                <w:highlight w:val="none"/>
                <w:lang w:val="en-US" w:eastAsia="zh-CN"/>
              </w:rPr>
              <w:t>2</w:t>
            </w:r>
            <w:r>
              <w:rPr>
                <w:rFonts w:hint="eastAsia" w:hAnsi="宋体" w:cs="宋体"/>
                <w:color w:val="auto"/>
                <w:kern w:val="2"/>
                <w:sz w:val="21"/>
                <w:highlight w:val="none"/>
              </w:rPr>
              <w:t>）投标人或所投产品生产厂家自2021年1月1日以来的具有同类产品销售业绩的（业绩以中标、成交通知书或合同为准，并能清晰反映所销售的产品名称、数量，同一个编号的项目有两个或两个以上的分标中标的只算1个业绩，并加盖投标人电子签章，否则不予认可），每提供1个业绩得1分，最多得3分。</w:t>
            </w:r>
          </w:p>
        </w:tc>
      </w:tr>
      <w:tr w14:paraId="59D8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500A5406">
            <w:pPr>
              <w:widowControl/>
              <w:jc w:val="center"/>
              <w:rPr>
                <w:rFonts w:ascii="宋体" w:hAnsi="宋体" w:cs="宋体"/>
                <w:b/>
                <w:color w:val="auto"/>
                <w:szCs w:val="21"/>
                <w:highlight w:val="none"/>
              </w:rPr>
            </w:pPr>
            <w:r>
              <w:rPr>
                <w:rFonts w:hint="eastAsia" w:ascii="宋体" w:hAnsi="宋体" w:cs="宋体"/>
                <w:b/>
                <w:color w:val="auto"/>
                <w:szCs w:val="21"/>
                <w:highlight w:val="none"/>
              </w:rPr>
              <w:t>6</w:t>
            </w:r>
          </w:p>
        </w:tc>
        <w:tc>
          <w:tcPr>
            <w:tcW w:w="1224" w:type="dxa"/>
            <w:tcBorders>
              <w:top w:val="single" w:color="auto" w:sz="4" w:space="0"/>
              <w:left w:val="single" w:color="auto" w:sz="4" w:space="0"/>
              <w:bottom w:val="single" w:color="auto" w:sz="4" w:space="0"/>
              <w:right w:val="single" w:color="auto" w:sz="4" w:space="0"/>
            </w:tcBorders>
            <w:vAlign w:val="center"/>
          </w:tcPr>
          <w:p w14:paraId="7603A81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政策分（2分）</w:t>
            </w:r>
          </w:p>
        </w:tc>
        <w:tc>
          <w:tcPr>
            <w:tcW w:w="7701" w:type="dxa"/>
            <w:gridSpan w:val="2"/>
            <w:tcBorders>
              <w:top w:val="single" w:color="auto" w:sz="4" w:space="0"/>
              <w:left w:val="single" w:color="auto" w:sz="4" w:space="0"/>
              <w:right w:val="single" w:color="auto" w:sz="4" w:space="0"/>
            </w:tcBorders>
            <w:tcMar>
              <w:top w:w="0" w:type="dxa"/>
              <w:left w:w="57" w:type="dxa"/>
              <w:bottom w:w="0" w:type="dxa"/>
              <w:right w:w="57" w:type="dxa"/>
            </w:tcMar>
            <w:vAlign w:val="center"/>
          </w:tcPr>
          <w:p w14:paraId="2163F386">
            <w:pPr>
              <w:pStyle w:val="24"/>
              <w:spacing w:line="400" w:lineRule="exact"/>
              <w:rPr>
                <w:rFonts w:hAnsi="宋体" w:cs="宋体"/>
                <w:color w:val="auto"/>
                <w:kern w:val="2"/>
                <w:sz w:val="21"/>
                <w:highlight w:val="none"/>
              </w:rPr>
            </w:pPr>
            <w:r>
              <w:rPr>
                <w:rFonts w:hint="eastAsia" w:hAnsi="宋体" w:cs="宋体"/>
                <w:color w:val="auto"/>
                <w:kern w:val="2"/>
                <w:sz w:val="21"/>
                <w:highlight w:val="none"/>
              </w:rPr>
              <w:t>（1）属于财政部《节能产品政府采购品目清单》内优先采购（清单内未标注“★”的品目）的产品[投标文件中提供有效的认证证书复印件及品目清单（标注出投标产品在品目清单中所属的品目），并加盖投标人电子签章]，根据其所占分标预算金额比例得0至1分，满分1分。</w:t>
            </w:r>
          </w:p>
          <w:p w14:paraId="36407012">
            <w:pPr>
              <w:pStyle w:val="24"/>
              <w:spacing w:line="400" w:lineRule="exact"/>
              <w:rPr>
                <w:rFonts w:hAnsi="宋体" w:cs="宋体"/>
                <w:color w:val="auto"/>
                <w:kern w:val="2"/>
                <w:sz w:val="21"/>
                <w:highlight w:val="none"/>
              </w:rPr>
            </w:pPr>
            <w:r>
              <w:rPr>
                <w:rFonts w:hint="eastAsia" w:hAnsi="宋体" w:cs="宋体"/>
                <w:color w:val="auto"/>
                <w:kern w:val="2"/>
                <w:sz w:val="21"/>
                <w:highlight w:val="none"/>
              </w:rPr>
              <w:t>（2）属于财政部《环境标志产品政府采购品目清单》内的产品[投标文件中提供有效的认证证书复印件及品目清单（标注出投标产品在品目清单中所属的品目），并加盖投标人电子签章]，根据其所占分标预算金额比例得0至1分，满分1分。</w:t>
            </w:r>
          </w:p>
        </w:tc>
      </w:tr>
      <w:tr w14:paraId="3527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14:paraId="438EABA8">
            <w:pPr>
              <w:rPr>
                <w:rFonts w:ascii="宋体" w:hAnsi="宋体" w:cs="宋体"/>
                <w:b/>
                <w:color w:val="auto"/>
                <w:szCs w:val="21"/>
                <w:highlight w:val="none"/>
              </w:rPr>
            </w:pPr>
            <w:r>
              <w:rPr>
                <w:rFonts w:hint="eastAsia" w:ascii="宋体" w:hAnsi="宋体" w:cs="宋体"/>
                <w:b/>
                <w:bCs/>
                <w:color w:val="auto"/>
                <w:highlight w:val="none"/>
              </w:rPr>
              <w:t>7.总得分为以上各项评审因素得分合计。</w:t>
            </w:r>
          </w:p>
        </w:tc>
      </w:tr>
    </w:tbl>
    <w:p w14:paraId="56CF0E40">
      <w:pPr>
        <w:pStyle w:val="4"/>
        <w:keepNext w:val="0"/>
        <w:keepLines w:val="0"/>
        <w:jc w:val="center"/>
        <w:rPr>
          <w:rFonts w:hint="eastAsia" w:ascii="宋体" w:hAnsi="宋体" w:cs="宋体"/>
          <w:color w:val="auto"/>
          <w:sz w:val="30"/>
          <w:szCs w:val="30"/>
          <w:highlight w:val="none"/>
        </w:rPr>
      </w:pPr>
    </w:p>
    <w:p w14:paraId="640E5CBD">
      <w:pPr>
        <w:pStyle w:val="4"/>
        <w:keepNext w:val="0"/>
        <w:keepLines w:val="0"/>
        <w:jc w:val="center"/>
        <w:rPr>
          <w:rFonts w:hint="eastAsia" w:ascii="宋体" w:hAnsi="宋体" w:cs="宋体"/>
          <w:color w:val="auto"/>
          <w:sz w:val="30"/>
          <w:szCs w:val="30"/>
          <w:highlight w:val="none"/>
        </w:rPr>
      </w:pPr>
    </w:p>
    <w:p w14:paraId="2C4013A2">
      <w:pPr>
        <w:pStyle w:val="4"/>
        <w:keepNext w:val="0"/>
        <w:keepLines w:val="0"/>
        <w:jc w:val="center"/>
        <w:rPr>
          <w:rFonts w:hint="eastAsia" w:ascii="宋体" w:hAnsi="宋体" w:cs="宋体"/>
          <w:color w:val="auto"/>
          <w:sz w:val="30"/>
          <w:szCs w:val="30"/>
          <w:highlight w:val="none"/>
        </w:rPr>
      </w:pPr>
    </w:p>
    <w:p w14:paraId="05E2A325">
      <w:pPr>
        <w:pStyle w:val="4"/>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四、中标候选人推荐</w:t>
      </w:r>
    </w:p>
    <w:p w14:paraId="63F81F03">
      <w:pPr>
        <w:pStyle w:val="24"/>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1.评标委员会根据原始评标记录和评标结果编写评标报告，并通过电子交易平台向采购人、采购代理机构提交。</w:t>
      </w:r>
    </w:p>
    <w:p w14:paraId="54633955">
      <w:pPr>
        <w:pStyle w:val="24"/>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523EAC15">
      <w:pPr>
        <w:pStyle w:val="3"/>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br w:type="page"/>
      </w:r>
    </w:p>
    <w:p w14:paraId="768842D7">
      <w:pPr>
        <w:pStyle w:val="3"/>
        <w:keepNext w:val="0"/>
        <w:keepLines w:val="0"/>
        <w:jc w:val="center"/>
        <w:rPr>
          <w:rFonts w:ascii="宋体" w:hAnsi="宋体" w:eastAsia="宋体" w:cs="宋体"/>
          <w:color w:val="auto"/>
          <w:highlight w:val="none"/>
        </w:rPr>
      </w:pPr>
    </w:p>
    <w:p w14:paraId="4D488E74">
      <w:pPr>
        <w:rPr>
          <w:rFonts w:ascii="宋体" w:hAnsi="宋体" w:cs="宋体"/>
          <w:color w:val="auto"/>
          <w:highlight w:val="none"/>
        </w:rPr>
      </w:pPr>
    </w:p>
    <w:p w14:paraId="41B7EA9E">
      <w:pPr>
        <w:pStyle w:val="18"/>
        <w:rPr>
          <w:rFonts w:ascii="宋体" w:hAnsi="宋体" w:cs="宋体"/>
          <w:color w:val="auto"/>
          <w:highlight w:val="none"/>
        </w:rPr>
      </w:pPr>
    </w:p>
    <w:p w14:paraId="3EF693DC">
      <w:pPr>
        <w:pStyle w:val="18"/>
        <w:rPr>
          <w:rFonts w:ascii="宋体" w:hAnsi="宋体" w:cs="宋体"/>
          <w:color w:val="auto"/>
          <w:highlight w:val="none"/>
        </w:rPr>
      </w:pPr>
    </w:p>
    <w:p w14:paraId="1760C436">
      <w:pPr>
        <w:pStyle w:val="18"/>
        <w:rPr>
          <w:rFonts w:ascii="宋体" w:hAnsi="宋体" w:cs="宋体"/>
          <w:color w:val="auto"/>
          <w:highlight w:val="none"/>
        </w:rPr>
      </w:pPr>
    </w:p>
    <w:p w14:paraId="2590C91F">
      <w:pPr>
        <w:pStyle w:val="18"/>
        <w:rPr>
          <w:rFonts w:ascii="宋体" w:hAnsi="宋体" w:cs="宋体"/>
          <w:color w:val="auto"/>
          <w:highlight w:val="none"/>
        </w:rPr>
      </w:pPr>
    </w:p>
    <w:p w14:paraId="123AFD8B">
      <w:pPr>
        <w:pStyle w:val="3"/>
        <w:keepNext w:val="0"/>
        <w:keepLines w:val="0"/>
        <w:jc w:val="center"/>
        <w:rPr>
          <w:rFonts w:ascii="宋体" w:hAnsi="宋体" w:eastAsia="宋体" w:cs="宋体"/>
          <w:color w:val="auto"/>
          <w:highlight w:val="none"/>
        </w:rPr>
      </w:pPr>
    </w:p>
    <w:p w14:paraId="4EFB2B23">
      <w:pPr>
        <w:rPr>
          <w:rFonts w:ascii="宋体" w:hAnsi="宋体" w:cs="宋体"/>
          <w:color w:val="auto"/>
          <w:highlight w:val="none"/>
        </w:rPr>
      </w:pPr>
    </w:p>
    <w:p w14:paraId="65AC3D0E">
      <w:pPr>
        <w:pStyle w:val="3"/>
        <w:keepNext w:val="0"/>
        <w:keepLines w:val="0"/>
        <w:jc w:val="center"/>
        <w:rPr>
          <w:rFonts w:ascii="宋体" w:hAnsi="宋体" w:eastAsia="宋体" w:cs="宋体"/>
          <w:color w:val="auto"/>
          <w:highlight w:val="none"/>
        </w:rPr>
      </w:pPr>
    </w:p>
    <w:p w14:paraId="3E234FD4">
      <w:pPr>
        <w:pStyle w:val="2"/>
        <w:jc w:val="center"/>
        <w:rPr>
          <w:rFonts w:ascii="宋体" w:hAnsi="宋体" w:cs="宋体"/>
          <w:color w:val="auto"/>
          <w:highlight w:val="none"/>
        </w:rPr>
      </w:pPr>
      <w:bookmarkStart w:id="145" w:name="_Toc74320804"/>
      <w:bookmarkStart w:id="146" w:name="_Toc143259165"/>
      <w:r>
        <w:rPr>
          <w:rFonts w:hint="eastAsia" w:ascii="宋体" w:hAnsi="宋体" w:cs="宋体"/>
          <w:color w:val="auto"/>
          <w:highlight w:val="none"/>
        </w:rPr>
        <w:t>第五章 拟签订的合同文本</w:t>
      </w:r>
      <w:bookmarkEnd w:id="145"/>
      <w:bookmarkEnd w:id="146"/>
    </w:p>
    <w:p w14:paraId="2B46E083">
      <w:pPr>
        <w:snapToGrid w:val="0"/>
        <w:jc w:val="center"/>
        <w:rPr>
          <w:rFonts w:ascii="宋体" w:hAnsi="宋体" w:cs="宋体"/>
          <w:bCs/>
          <w:color w:val="auto"/>
          <w:sz w:val="32"/>
          <w:szCs w:val="32"/>
          <w:highlight w:val="none"/>
        </w:rPr>
      </w:pPr>
    </w:p>
    <w:p w14:paraId="141F8786">
      <w:pPr>
        <w:snapToGrid w:val="0"/>
        <w:jc w:val="center"/>
        <w:rPr>
          <w:rFonts w:ascii="宋体" w:hAnsi="宋体" w:cs="宋体"/>
          <w:bCs/>
          <w:color w:val="auto"/>
          <w:sz w:val="32"/>
          <w:szCs w:val="32"/>
          <w:highlight w:val="none"/>
        </w:rPr>
      </w:pPr>
    </w:p>
    <w:p w14:paraId="572EFD72">
      <w:pPr>
        <w:snapToGrid w:val="0"/>
        <w:jc w:val="center"/>
        <w:rPr>
          <w:rFonts w:ascii="宋体" w:hAnsi="宋体" w:cs="宋体"/>
          <w:bCs/>
          <w:color w:val="auto"/>
          <w:sz w:val="32"/>
          <w:szCs w:val="32"/>
          <w:highlight w:val="none"/>
        </w:rPr>
      </w:pPr>
    </w:p>
    <w:p w14:paraId="2227656D">
      <w:pPr>
        <w:snapToGrid w:val="0"/>
        <w:jc w:val="center"/>
        <w:rPr>
          <w:rFonts w:ascii="宋体" w:hAnsi="宋体" w:cs="宋体"/>
          <w:bCs/>
          <w:color w:val="auto"/>
          <w:sz w:val="32"/>
          <w:szCs w:val="32"/>
          <w:highlight w:val="none"/>
        </w:rPr>
      </w:pPr>
    </w:p>
    <w:p w14:paraId="6647D22B">
      <w:pPr>
        <w:snapToGrid w:val="0"/>
        <w:jc w:val="center"/>
        <w:rPr>
          <w:rFonts w:ascii="宋体" w:hAnsi="宋体" w:cs="宋体"/>
          <w:bCs/>
          <w:color w:val="auto"/>
          <w:sz w:val="32"/>
          <w:szCs w:val="32"/>
          <w:highlight w:val="none"/>
        </w:rPr>
      </w:pPr>
    </w:p>
    <w:p w14:paraId="19565B4B">
      <w:pPr>
        <w:snapToGrid w:val="0"/>
        <w:jc w:val="center"/>
        <w:rPr>
          <w:rFonts w:ascii="宋体" w:hAnsi="宋体" w:cs="宋体"/>
          <w:bCs/>
          <w:color w:val="auto"/>
          <w:sz w:val="32"/>
          <w:szCs w:val="32"/>
          <w:highlight w:val="none"/>
        </w:rPr>
      </w:pPr>
    </w:p>
    <w:p w14:paraId="18049DA6">
      <w:pPr>
        <w:snapToGrid w:val="0"/>
        <w:jc w:val="center"/>
        <w:rPr>
          <w:rFonts w:ascii="宋体" w:hAnsi="宋体" w:cs="宋体"/>
          <w:bCs/>
          <w:color w:val="auto"/>
          <w:sz w:val="32"/>
          <w:szCs w:val="32"/>
          <w:highlight w:val="none"/>
        </w:rPr>
      </w:pPr>
    </w:p>
    <w:p w14:paraId="4F7E07CD">
      <w:pPr>
        <w:snapToGrid w:val="0"/>
        <w:jc w:val="center"/>
        <w:rPr>
          <w:rFonts w:ascii="宋体" w:hAnsi="宋体" w:cs="宋体"/>
          <w:bCs/>
          <w:color w:val="auto"/>
          <w:sz w:val="32"/>
          <w:szCs w:val="32"/>
          <w:highlight w:val="none"/>
        </w:rPr>
      </w:pPr>
    </w:p>
    <w:p w14:paraId="3F567959">
      <w:pPr>
        <w:snapToGrid w:val="0"/>
        <w:jc w:val="center"/>
        <w:rPr>
          <w:rFonts w:ascii="宋体" w:hAnsi="宋体" w:cs="宋体"/>
          <w:bCs/>
          <w:color w:val="auto"/>
          <w:sz w:val="32"/>
          <w:szCs w:val="32"/>
          <w:highlight w:val="none"/>
        </w:rPr>
      </w:pPr>
    </w:p>
    <w:p w14:paraId="38693728">
      <w:pPr>
        <w:snapToGrid w:val="0"/>
        <w:jc w:val="center"/>
        <w:rPr>
          <w:rFonts w:ascii="宋体" w:hAnsi="宋体" w:cs="宋体"/>
          <w:bCs/>
          <w:color w:val="auto"/>
          <w:sz w:val="32"/>
          <w:szCs w:val="32"/>
          <w:highlight w:val="none"/>
        </w:rPr>
      </w:pPr>
    </w:p>
    <w:p w14:paraId="6B3F09F5">
      <w:pPr>
        <w:snapToGrid w:val="0"/>
        <w:jc w:val="center"/>
        <w:rPr>
          <w:rFonts w:ascii="宋体" w:hAnsi="宋体" w:cs="宋体"/>
          <w:bCs/>
          <w:color w:val="auto"/>
          <w:sz w:val="32"/>
          <w:szCs w:val="32"/>
          <w:highlight w:val="none"/>
        </w:rPr>
      </w:pPr>
    </w:p>
    <w:p w14:paraId="27474295">
      <w:pPr>
        <w:snapToGrid w:val="0"/>
        <w:jc w:val="center"/>
        <w:rPr>
          <w:rFonts w:ascii="宋体" w:hAnsi="宋体" w:cs="宋体"/>
          <w:bCs/>
          <w:color w:val="auto"/>
          <w:sz w:val="32"/>
          <w:szCs w:val="32"/>
          <w:highlight w:val="none"/>
        </w:rPr>
      </w:pPr>
    </w:p>
    <w:p w14:paraId="5526EFF4">
      <w:pPr>
        <w:snapToGrid w:val="0"/>
        <w:jc w:val="center"/>
        <w:rPr>
          <w:rFonts w:ascii="宋体" w:hAnsi="宋体" w:cs="宋体"/>
          <w:bCs/>
          <w:color w:val="auto"/>
          <w:sz w:val="32"/>
          <w:szCs w:val="32"/>
          <w:highlight w:val="none"/>
        </w:rPr>
      </w:pPr>
    </w:p>
    <w:p w14:paraId="32DC179F">
      <w:pPr>
        <w:snapToGrid w:val="0"/>
        <w:spacing w:line="360" w:lineRule="auto"/>
        <w:ind w:firstLine="420" w:firstLineChars="200"/>
        <w:rPr>
          <w:rFonts w:ascii="宋体" w:hAnsi="宋体" w:cs="宋体"/>
          <w:color w:val="auto"/>
          <w:szCs w:val="21"/>
          <w:highlight w:val="none"/>
        </w:rPr>
      </w:pPr>
    </w:p>
    <w:p w14:paraId="34A9970F">
      <w:pPr>
        <w:rPr>
          <w:rFonts w:ascii="宋体" w:hAnsi="宋体" w:cs="宋体"/>
          <w:color w:val="auto"/>
          <w:szCs w:val="21"/>
          <w:highlight w:val="none"/>
        </w:rPr>
      </w:pPr>
    </w:p>
    <w:p w14:paraId="1D53A8D4">
      <w:pPr>
        <w:jc w:val="center"/>
        <w:rPr>
          <w:rFonts w:ascii="宋体" w:hAnsi="宋体" w:cs="宋体"/>
          <w:color w:val="auto"/>
          <w:sz w:val="56"/>
          <w:highlight w:val="none"/>
        </w:rPr>
      </w:pPr>
      <w:r>
        <w:rPr>
          <w:rFonts w:hint="eastAsia" w:ascii="宋体" w:hAnsi="宋体" w:cs="宋体"/>
          <w:color w:val="auto"/>
          <w:sz w:val="56"/>
          <w:highlight w:val="none"/>
        </w:rPr>
        <w:t>医疗设备采购合同</w:t>
      </w:r>
    </w:p>
    <w:p w14:paraId="34CC4829">
      <w:pPr>
        <w:jc w:val="center"/>
        <w:rPr>
          <w:rFonts w:ascii="宋体" w:hAnsi="宋体" w:cs="宋体"/>
          <w:b/>
          <w:bCs/>
          <w:color w:val="auto"/>
          <w:sz w:val="56"/>
          <w:highlight w:val="none"/>
        </w:rPr>
      </w:pPr>
    </w:p>
    <w:p w14:paraId="71562DDB">
      <w:pPr>
        <w:jc w:val="center"/>
        <w:rPr>
          <w:rFonts w:ascii="宋体" w:hAnsi="宋体" w:cs="宋体"/>
          <w:b/>
          <w:bCs/>
          <w:color w:val="auto"/>
          <w:sz w:val="24"/>
          <w:highlight w:val="none"/>
        </w:rPr>
      </w:pPr>
    </w:p>
    <w:p w14:paraId="7AF0250F">
      <w:pPr>
        <w:jc w:val="center"/>
        <w:rPr>
          <w:rFonts w:ascii="宋体" w:hAnsi="宋体" w:cs="宋体"/>
          <w:b/>
          <w:bCs/>
          <w:color w:val="auto"/>
          <w:sz w:val="24"/>
          <w:highlight w:val="none"/>
        </w:rPr>
      </w:pPr>
    </w:p>
    <w:p w14:paraId="62D1D1A9">
      <w:pPr>
        <w:jc w:val="center"/>
        <w:rPr>
          <w:rFonts w:ascii="宋体" w:hAnsi="宋体" w:cs="宋体"/>
          <w:b/>
          <w:bCs/>
          <w:color w:val="auto"/>
          <w:sz w:val="24"/>
          <w:highlight w:val="none"/>
        </w:rPr>
      </w:pPr>
    </w:p>
    <w:p w14:paraId="0C8329BC">
      <w:pPr>
        <w:jc w:val="center"/>
        <w:rPr>
          <w:rFonts w:ascii="宋体" w:hAnsi="宋体" w:cs="宋体"/>
          <w:b/>
          <w:bCs/>
          <w:color w:val="auto"/>
          <w:sz w:val="24"/>
          <w:highlight w:val="none"/>
        </w:rPr>
      </w:pPr>
    </w:p>
    <w:p w14:paraId="2A1C59AC">
      <w:pPr>
        <w:jc w:val="center"/>
        <w:rPr>
          <w:rFonts w:ascii="宋体" w:hAnsi="宋体" w:cs="宋体"/>
          <w:b/>
          <w:bCs/>
          <w:color w:val="auto"/>
          <w:sz w:val="24"/>
          <w:highlight w:val="none"/>
        </w:rPr>
      </w:pPr>
    </w:p>
    <w:p w14:paraId="6506F616">
      <w:pPr>
        <w:jc w:val="left"/>
        <w:rPr>
          <w:rFonts w:ascii="宋体" w:hAnsi="宋体" w:cs="宋体"/>
          <w:b/>
          <w:bCs/>
          <w:color w:val="auto"/>
          <w:sz w:val="24"/>
          <w:highlight w:val="none"/>
        </w:rPr>
      </w:pPr>
    </w:p>
    <w:p w14:paraId="4E5289BF">
      <w:pPr>
        <w:jc w:val="center"/>
        <w:rPr>
          <w:rFonts w:ascii="宋体" w:hAnsi="宋体" w:cs="宋体"/>
          <w:b/>
          <w:bCs/>
          <w:color w:val="auto"/>
          <w:sz w:val="36"/>
          <w:highlight w:val="none"/>
        </w:rPr>
      </w:pPr>
    </w:p>
    <w:p w14:paraId="6D3DCECD">
      <w:pPr>
        <w:jc w:val="center"/>
        <w:rPr>
          <w:rFonts w:ascii="宋体" w:hAnsi="宋体" w:cs="宋体"/>
          <w:b/>
          <w:bCs/>
          <w:color w:val="auto"/>
          <w:sz w:val="36"/>
          <w:highlight w:val="none"/>
        </w:rPr>
      </w:pPr>
    </w:p>
    <w:p w14:paraId="0B513BE6">
      <w:pPr>
        <w:spacing w:line="700" w:lineRule="exact"/>
        <w:ind w:firstLine="1807" w:firstLineChars="500"/>
        <w:jc w:val="left"/>
        <w:rPr>
          <w:rFonts w:ascii="宋体" w:hAnsi="宋体" w:cs="宋体"/>
          <w:b/>
          <w:bCs/>
          <w:color w:val="auto"/>
          <w:sz w:val="36"/>
          <w:highlight w:val="none"/>
        </w:rPr>
      </w:pPr>
      <w:r>
        <w:rPr>
          <w:rFonts w:hint="eastAsia" w:ascii="宋体" w:hAnsi="宋体" w:cs="宋体"/>
          <w:b/>
          <w:bCs/>
          <w:color w:val="auto"/>
          <w:sz w:val="36"/>
          <w:highlight w:val="none"/>
        </w:rPr>
        <w:t>甲方：</w:t>
      </w:r>
    </w:p>
    <w:p w14:paraId="787AA235">
      <w:pPr>
        <w:spacing w:line="700" w:lineRule="exact"/>
        <w:ind w:firstLine="1807" w:firstLineChars="500"/>
        <w:jc w:val="left"/>
        <w:rPr>
          <w:rFonts w:ascii="宋体" w:hAnsi="宋体" w:cs="宋体"/>
          <w:b/>
          <w:bCs/>
          <w:color w:val="auto"/>
          <w:sz w:val="36"/>
          <w:highlight w:val="none"/>
          <w:u w:val="single"/>
        </w:rPr>
      </w:pPr>
      <w:r>
        <w:rPr>
          <w:rFonts w:hint="eastAsia" w:ascii="宋体" w:hAnsi="宋体" w:cs="宋体"/>
          <w:b/>
          <w:bCs/>
          <w:color w:val="auto"/>
          <w:sz w:val="36"/>
          <w:highlight w:val="none"/>
        </w:rPr>
        <w:t>乙方：</w:t>
      </w:r>
    </w:p>
    <w:p w14:paraId="3F13BCBD">
      <w:pPr>
        <w:spacing w:line="360" w:lineRule="auto"/>
        <w:ind w:firstLine="1807" w:firstLineChars="500"/>
        <w:jc w:val="left"/>
        <w:rPr>
          <w:rFonts w:ascii="宋体" w:hAnsi="宋体" w:cs="宋体"/>
          <w:b/>
          <w:bCs/>
          <w:color w:val="auto"/>
          <w:sz w:val="36"/>
          <w:highlight w:val="none"/>
        </w:rPr>
      </w:pPr>
    </w:p>
    <w:p w14:paraId="05179938">
      <w:pPr>
        <w:spacing w:line="360" w:lineRule="auto"/>
        <w:ind w:firstLine="1807" w:firstLineChars="500"/>
        <w:jc w:val="left"/>
        <w:rPr>
          <w:rFonts w:ascii="宋体" w:hAnsi="宋体" w:cs="宋体"/>
          <w:b/>
          <w:bCs/>
          <w:color w:val="auto"/>
          <w:sz w:val="36"/>
          <w:highlight w:val="none"/>
        </w:rPr>
      </w:pPr>
    </w:p>
    <w:p w14:paraId="67C55822">
      <w:pPr>
        <w:spacing w:line="360" w:lineRule="auto"/>
        <w:ind w:firstLine="1807" w:firstLineChars="500"/>
        <w:jc w:val="left"/>
        <w:rPr>
          <w:rFonts w:ascii="宋体" w:hAnsi="宋体" w:cs="宋体"/>
          <w:b/>
          <w:bCs/>
          <w:color w:val="auto"/>
          <w:sz w:val="36"/>
          <w:highlight w:val="none"/>
        </w:rPr>
      </w:pPr>
    </w:p>
    <w:p w14:paraId="5B81572B">
      <w:pPr>
        <w:snapToGrid w:val="0"/>
        <w:spacing w:line="360" w:lineRule="auto"/>
        <w:jc w:val="center"/>
        <w:rPr>
          <w:rFonts w:ascii="宋体" w:hAnsi="宋体" w:cs="宋体"/>
          <w:b/>
          <w:bCs/>
          <w:color w:val="auto"/>
          <w:sz w:val="36"/>
          <w:highlight w:val="none"/>
        </w:rPr>
      </w:pPr>
      <w:r>
        <w:rPr>
          <w:rFonts w:hint="eastAsia" w:ascii="宋体" w:hAnsi="宋体" w:cs="宋体"/>
          <w:b/>
          <w:bCs/>
          <w:color w:val="auto"/>
          <w:sz w:val="36"/>
          <w:highlight w:val="none"/>
        </w:rPr>
        <w:t>日期： 年  月  日</w:t>
      </w:r>
    </w:p>
    <w:p w14:paraId="60FAAB38">
      <w:pPr>
        <w:pStyle w:val="18"/>
        <w:rPr>
          <w:rFonts w:ascii="宋体" w:hAnsi="宋体" w:cs="宋体"/>
          <w:color w:val="auto"/>
          <w:highlight w:val="none"/>
        </w:rPr>
      </w:pPr>
    </w:p>
    <w:p w14:paraId="12DD90DA">
      <w:pPr>
        <w:pStyle w:val="18"/>
        <w:rPr>
          <w:rFonts w:ascii="宋体" w:hAnsi="宋体" w:cs="宋体"/>
          <w:color w:val="auto"/>
          <w:highlight w:val="none"/>
        </w:rPr>
      </w:pPr>
    </w:p>
    <w:p w14:paraId="7E54550C">
      <w:pPr>
        <w:pStyle w:val="18"/>
        <w:rPr>
          <w:rFonts w:ascii="宋体" w:hAnsi="宋体" w:cs="宋体"/>
          <w:color w:val="auto"/>
          <w:highlight w:val="none"/>
        </w:rPr>
      </w:pPr>
    </w:p>
    <w:p w14:paraId="4935A1DE">
      <w:pPr>
        <w:pStyle w:val="18"/>
        <w:rPr>
          <w:rFonts w:ascii="宋体" w:hAnsi="宋体" w:cs="宋体"/>
          <w:color w:val="auto"/>
          <w:highlight w:val="none"/>
        </w:rPr>
      </w:pPr>
    </w:p>
    <w:p w14:paraId="22E68E75">
      <w:pPr>
        <w:pStyle w:val="18"/>
        <w:rPr>
          <w:rFonts w:ascii="宋体" w:hAnsi="宋体" w:cs="宋体"/>
          <w:color w:val="auto"/>
          <w:highlight w:val="none"/>
        </w:rPr>
      </w:pPr>
    </w:p>
    <w:p w14:paraId="18CC4D9B">
      <w:pPr>
        <w:pStyle w:val="18"/>
        <w:rPr>
          <w:rFonts w:ascii="宋体" w:hAnsi="宋体" w:cs="宋体"/>
          <w:color w:val="auto"/>
          <w:highlight w:val="none"/>
        </w:rPr>
      </w:pPr>
    </w:p>
    <w:p w14:paraId="7C7A6802">
      <w:pPr>
        <w:pStyle w:val="18"/>
        <w:rPr>
          <w:rFonts w:ascii="宋体" w:hAnsi="宋体" w:cs="宋体"/>
          <w:color w:val="auto"/>
          <w:highlight w:val="none"/>
        </w:rPr>
      </w:pPr>
    </w:p>
    <w:p w14:paraId="2E04295A">
      <w:pPr>
        <w:pStyle w:val="18"/>
        <w:rPr>
          <w:rFonts w:ascii="宋体" w:hAnsi="宋体" w:cs="宋体"/>
          <w:color w:val="auto"/>
          <w:highlight w:val="none"/>
        </w:rPr>
      </w:pPr>
    </w:p>
    <w:p w14:paraId="47847A07">
      <w:pPr>
        <w:pStyle w:val="18"/>
        <w:rPr>
          <w:rFonts w:ascii="宋体" w:hAnsi="宋体" w:cs="宋体"/>
          <w:color w:val="auto"/>
          <w:highlight w:val="none"/>
        </w:rPr>
      </w:pPr>
    </w:p>
    <w:p w14:paraId="34EE06FE">
      <w:pPr>
        <w:pStyle w:val="18"/>
        <w:rPr>
          <w:rFonts w:ascii="宋体" w:hAnsi="宋体" w:cs="宋体"/>
          <w:color w:val="auto"/>
          <w:highlight w:val="none"/>
        </w:rPr>
      </w:pPr>
    </w:p>
    <w:p w14:paraId="07D3D6B3">
      <w:pPr>
        <w:pStyle w:val="18"/>
        <w:rPr>
          <w:rFonts w:ascii="宋体" w:hAnsi="宋体" w:cs="宋体"/>
          <w:color w:val="auto"/>
          <w:highlight w:val="none"/>
        </w:rPr>
      </w:pPr>
    </w:p>
    <w:p w14:paraId="3E0F94AA">
      <w:pPr>
        <w:pStyle w:val="18"/>
        <w:rPr>
          <w:rFonts w:ascii="宋体" w:hAnsi="宋体" w:cs="宋体"/>
          <w:color w:val="auto"/>
          <w:highlight w:val="none"/>
        </w:rPr>
      </w:pPr>
    </w:p>
    <w:p w14:paraId="5AD0570B">
      <w:pPr>
        <w:pStyle w:val="3"/>
        <w:spacing w:line="360" w:lineRule="auto"/>
        <w:jc w:val="center"/>
        <w:rPr>
          <w:rFonts w:ascii="宋体" w:hAnsi="宋体" w:eastAsia="宋体" w:cs="宋体"/>
          <w:b w:val="0"/>
          <w:bCs w:val="0"/>
          <w:color w:val="auto"/>
          <w:highlight w:val="none"/>
        </w:rPr>
      </w:pPr>
      <w:r>
        <w:rPr>
          <w:rFonts w:hint="eastAsia" w:ascii="宋体" w:hAnsi="宋体" w:eastAsia="宋体" w:cs="宋体"/>
          <w:color w:val="auto"/>
          <w:highlight w:val="none"/>
        </w:rPr>
        <w:t>医疗设备购销合同</w:t>
      </w:r>
    </w:p>
    <w:p w14:paraId="3FB4FD59">
      <w:pPr>
        <w:spacing w:line="360" w:lineRule="auto"/>
        <w:rPr>
          <w:rFonts w:ascii="宋体" w:hAnsi="宋体" w:cs="宋体"/>
          <w:color w:val="auto"/>
          <w:highlight w:val="none"/>
        </w:rPr>
      </w:pPr>
    </w:p>
    <w:p w14:paraId="3394D519">
      <w:pPr>
        <w:snapToGrid w:val="0"/>
        <w:spacing w:line="360" w:lineRule="auto"/>
        <w:ind w:right="480"/>
        <w:rPr>
          <w:rFonts w:ascii="宋体" w:hAnsi="宋体" w:cs="宋体"/>
          <w:bCs/>
          <w:color w:val="auto"/>
          <w:szCs w:val="21"/>
          <w:highlight w:val="none"/>
          <w:u w:val="single"/>
        </w:rPr>
      </w:pPr>
      <w:r>
        <w:rPr>
          <w:rFonts w:hint="eastAsia" w:ascii="宋体" w:hAnsi="宋体" w:cs="宋体"/>
          <w:color w:val="auto"/>
          <w:szCs w:val="21"/>
          <w:highlight w:val="none"/>
        </w:rPr>
        <w:t>采购人（甲方）：广西壮族自治区南溪山医院（广西壮族自治区第二人民医院）</w:t>
      </w:r>
    </w:p>
    <w:p w14:paraId="11D785E7">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供应商（乙方）：</w:t>
      </w:r>
    </w:p>
    <w:p w14:paraId="20429BC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采购计划文号：</w:t>
      </w:r>
    </w:p>
    <w:p w14:paraId="4CCE230E">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rPr>
        <w:t>项目编号：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302AB266">
      <w:pPr>
        <w:snapToGrid w:val="0"/>
        <w:spacing w:line="360" w:lineRule="auto"/>
        <w:rPr>
          <w:rFonts w:ascii="宋体" w:hAnsi="宋体" w:cs="宋体"/>
          <w:color w:val="auto"/>
          <w:highlight w:val="none"/>
        </w:rPr>
      </w:pPr>
      <w:r>
        <w:rPr>
          <w:rFonts w:hint="eastAsia" w:ascii="宋体" w:hAnsi="宋体" w:cs="宋体"/>
          <w:color w:val="auto"/>
          <w:szCs w:val="21"/>
          <w:highlight w:val="none"/>
        </w:rPr>
        <w:t>合同类型：买卖合同</w:t>
      </w:r>
      <w:r>
        <w:rPr>
          <w:rFonts w:hint="eastAsia" w:ascii="宋体" w:hAnsi="宋体" w:eastAsia="宋体" w:cs="宋体"/>
          <w:color w:val="auto"/>
          <w:szCs w:val="21"/>
          <w:highlight w:val="none"/>
          <w:lang w:val="en-US" w:eastAsia="zh-CN"/>
        </w:rPr>
        <w:t xml:space="preserve">                  </w:t>
      </w:r>
    </w:p>
    <w:p w14:paraId="28D358E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签订地点：广西壮族自治区南溪山医院（广西壮族自治区第二人民医院）</w:t>
      </w:r>
    </w:p>
    <w:p w14:paraId="1A5BF2C1">
      <w:pPr>
        <w:pStyle w:val="24"/>
        <w:adjustRightInd w:val="0"/>
        <w:snapToGrid w:val="0"/>
        <w:spacing w:line="360" w:lineRule="auto"/>
        <w:ind w:firstLine="420" w:firstLineChars="200"/>
        <w:rPr>
          <w:rFonts w:hAnsi="宋体" w:cs="宋体"/>
          <w:color w:val="auto"/>
          <w:sz w:val="21"/>
          <w:highlight w:val="none"/>
        </w:rPr>
      </w:pPr>
    </w:p>
    <w:p w14:paraId="3FFA1C3D">
      <w:pPr>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根据《中华人民共和国政府采购法》、《政府采购货物和服务招标投标管理办法》、《中华人民共和国民法典》等法律、法规规定，按照招标文件规定条款和乙方投标文件承诺，甲乙双方签订本合同。</w:t>
      </w:r>
    </w:p>
    <w:p w14:paraId="40D3C9AF">
      <w:pPr>
        <w:numPr>
          <w:ilvl w:val="0"/>
          <w:numId w:val="7"/>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合同标的</w:t>
      </w:r>
    </w:p>
    <w:p w14:paraId="1BF9D6ED">
      <w:pPr>
        <w:pStyle w:val="57"/>
        <w:ind w:firstLine="630" w:firstLineChars="300"/>
        <w:rPr>
          <w:rFonts w:ascii="宋体" w:hAnsi="宋体" w:cs="宋体"/>
          <w:color w:val="auto"/>
          <w:highlight w:val="none"/>
        </w:rPr>
      </w:pPr>
      <w:r>
        <w:rPr>
          <w:rFonts w:hint="eastAsia" w:ascii="宋体" w:hAnsi="宋体" w:cs="宋体"/>
          <w:color w:val="auto"/>
          <w:highlight w:val="none"/>
        </w:rPr>
        <w:t>分标</w:t>
      </w:r>
      <w:r>
        <w:rPr>
          <w:rFonts w:hint="eastAsia" w:ascii="宋体" w:hAnsi="宋体" w:eastAsia="宋体" w:cs="宋体"/>
          <w:color w:val="auto"/>
          <w:szCs w:val="21"/>
          <w:highlight w:val="none"/>
          <w:u w:val="single"/>
          <w:lang w:val="en-US" w:eastAsia="zh-CN"/>
        </w:rPr>
        <w:t xml:space="preserve">     </w:t>
      </w:r>
    </w:p>
    <w:tbl>
      <w:tblPr>
        <w:tblStyle w:val="47"/>
        <w:tblW w:w="8534"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087"/>
        <w:gridCol w:w="1013"/>
        <w:gridCol w:w="1258"/>
        <w:gridCol w:w="1039"/>
        <w:gridCol w:w="807"/>
        <w:gridCol w:w="697"/>
        <w:gridCol w:w="594"/>
        <w:gridCol w:w="614"/>
        <w:gridCol w:w="928"/>
      </w:tblGrid>
      <w:tr w14:paraId="1268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497" w:type="dxa"/>
            <w:tcBorders>
              <w:top w:val="single" w:color="auto" w:sz="4" w:space="0"/>
              <w:left w:val="single" w:color="auto" w:sz="4" w:space="0"/>
              <w:bottom w:val="single" w:color="auto" w:sz="4" w:space="0"/>
              <w:right w:val="single" w:color="auto" w:sz="4" w:space="0"/>
            </w:tcBorders>
            <w:noWrap/>
            <w:vAlign w:val="center"/>
          </w:tcPr>
          <w:p w14:paraId="5E984C16">
            <w:pPr>
              <w:adjustRightInd w:val="0"/>
              <w:snapToGrid w:val="0"/>
              <w:spacing w:line="360" w:lineRule="auto"/>
              <w:jc w:val="center"/>
              <w:rPr>
                <w:rFonts w:ascii="宋体" w:hAnsi="宋体" w:cs="宋体"/>
                <w:color w:val="auto"/>
                <w:spacing w:val="-10"/>
                <w:szCs w:val="21"/>
                <w:highlight w:val="none"/>
              </w:rPr>
            </w:pPr>
            <w:r>
              <w:rPr>
                <w:rFonts w:hint="eastAsia" w:ascii="宋体" w:hAnsi="宋体" w:cs="宋体"/>
                <w:color w:val="auto"/>
                <w:spacing w:val="-10"/>
                <w:szCs w:val="21"/>
                <w:highlight w:val="none"/>
              </w:rPr>
              <w:t>序号</w:t>
            </w:r>
          </w:p>
        </w:tc>
        <w:tc>
          <w:tcPr>
            <w:tcW w:w="1087" w:type="dxa"/>
            <w:tcBorders>
              <w:top w:val="single" w:color="auto" w:sz="4" w:space="0"/>
              <w:left w:val="single" w:color="auto" w:sz="4" w:space="0"/>
              <w:bottom w:val="single" w:color="auto" w:sz="4" w:space="0"/>
              <w:right w:val="single" w:color="auto" w:sz="4" w:space="0"/>
            </w:tcBorders>
            <w:noWrap/>
            <w:vAlign w:val="center"/>
          </w:tcPr>
          <w:p w14:paraId="4755808D">
            <w:pPr>
              <w:snapToGrid w:val="0"/>
              <w:spacing w:line="360" w:lineRule="auto"/>
              <w:jc w:val="center"/>
              <w:rPr>
                <w:rFonts w:ascii="宋体" w:hAnsi="宋体" w:cs="宋体"/>
                <w:color w:val="auto"/>
                <w:spacing w:val="-10"/>
                <w:szCs w:val="21"/>
                <w:highlight w:val="none"/>
              </w:rPr>
            </w:pPr>
            <w:r>
              <w:rPr>
                <w:rFonts w:hint="eastAsia" w:ascii="宋体" w:hAnsi="宋体" w:cs="宋体"/>
                <w:color w:val="auto"/>
                <w:spacing w:val="-10"/>
                <w:szCs w:val="21"/>
                <w:highlight w:val="none"/>
              </w:rPr>
              <w:t>标的名称</w:t>
            </w:r>
          </w:p>
        </w:tc>
        <w:tc>
          <w:tcPr>
            <w:tcW w:w="1013" w:type="dxa"/>
            <w:tcBorders>
              <w:top w:val="single" w:color="auto" w:sz="4" w:space="0"/>
              <w:left w:val="single" w:color="auto" w:sz="4" w:space="0"/>
              <w:bottom w:val="single" w:color="auto" w:sz="4" w:space="0"/>
              <w:right w:val="single" w:color="auto" w:sz="4" w:space="0"/>
            </w:tcBorders>
            <w:noWrap/>
            <w:vAlign w:val="center"/>
          </w:tcPr>
          <w:p w14:paraId="5CFC4EC5">
            <w:pPr>
              <w:adjustRightInd w:val="0"/>
              <w:snapToGrid w:val="0"/>
              <w:spacing w:line="360" w:lineRule="auto"/>
              <w:jc w:val="center"/>
              <w:rPr>
                <w:rFonts w:ascii="宋体" w:hAnsi="宋体" w:cs="宋体"/>
                <w:color w:val="auto"/>
                <w:spacing w:val="-10"/>
                <w:szCs w:val="21"/>
                <w:highlight w:val="none"/>
              </w:rPr>
            </w:pPr>
            <w:r>
              <w:rPr>
                <w:rFonts w:hint="eastAsia" w:ascii="宋体" w:hAnsi="宋体" w:cs="宋体"/>
                <w:color w:val="auto"/>
                <w:spacing w:val="-10"/>
                <w:szCs w:val="21"/>
                <w:highlight w:val="none"/>
              </w:rPr>
              <w:t>产品名称</w:t>
            </w:r>
          </w:p>
        </w:tc>
        <w:tc>
          <w:tcPr>
            <w:tcW w:w="1258" w:type="dxa"/>
            <w:tcBorders>
              <w:top w:val="single" w:color="auto" w:sz="4" w:space="0"/>
              <w:left w:val="single" w:color="auto" w:sz="4" w:space="0"/>
              <w:bottom w:val="single" w:color="auto" w:sz="4" w:space="0"/>
              <w:right w:val="single" w:color="auto" w:sz="4" w:space="0"/>
            </w:tcBorders>
            <w:noWrap/>
            <w:vAlign w:val="center"/>
          </w:tcPr>
          <w:p w14:paraId="5A487786">
            <w:pPr>
              <w:adjustRightInd w:val="0"/>
              <w:snapToGrid w:val="0"/>
              <w:spacing w:line="360" w:lineRule="auto"/>
              <w:jc w:val="center"/>
              <w:rPr>
                <w:rFonts w:ascii="宋体" w:hAnsi="宋体" w:cs="宋体"/>
                <w:color w:val="auto"/>
                <w:spacing w:val="-10"/>
                <w:szCs w:val="21"/>
                <w:highlight w:val="none"/>
              </w:rPr>
            </w:pPr>
            <w:r>
              <w:rPr>
                <w:rFonts w:hint="eastAsia" w:ascii="宋体" w:hAnsi="宋体" w:cs="宋体"/>
                <w:color w:val="auto"/>
                <w:spacing w:val="-10"/>
                <w:szCs w:val="21"/>
                <w:highlight w:val="none"/>
              </w:rPr>
              <w:t>商标品牌</w:t>
            </w:r>
          </w:p>
        </w:tc>
        <w:tc>
          <w:tcPr>
            <w:tcW w:w="1039" w:type="dxa"/>
            <w:tcBorders>
              <w:top w:val="single" w:color="auto" w:sz="4" w:space="0"/>
              <w:left w:val="single" w:color="auto" w:sz="4" w:space="0"/>
              <w:bottom w:val="single" w:color="auto" w:sz="4" w:space="0"/>
              <w:right w:val="single" w:color="auto" w:sz="4" w:space="0"/>
            </w:tcBorders>
            <w:noWrap/>
            <w:vAlign w:val="center"/>
          </w:tcPr>
          <w:p w14:paraId="659C59E5">
            <w:pPr>
              <w:adjustRightInd w:val="0"/>
              <w:snapToGrid w:val="0"/>
              <w:spacing w:line="360" w:lineRule="auto"/>
              <w:jc w:val="center"/>
              <w:rPr>
                <w:rFonts w:ascii="宋体" w:hAnsi="宋体" w:cs="宋体"/>
                <w:color w:val="auto"/>
                <w:spacing w:val="-10"/>
                <w:szCs w:val="21"/>
                <w:highlight w:val="none"/>
              </w:rPr>
            </w:pPr>
            <w:r>
              <w:rPr>
                <w:rFonts w:hint="eastAsia" w:ascii="宋体" w:hAnsi="宋体" w:cs="宋体"/>
                <w:color w:val="auto"/>
                <w:spacing w:val="-10"/>
                <w:szCs w:val="21"/>
                <w:highlight w:val="none"/>
              </w:rPr>
              <w:t>规格型号</w:t>
            </w:r>
          </w:p>
        </w:tc>
        <w:tc>
          <w:tcPr>
            <w:tcW w:w="807" w:type="dxa"/>
            <w:tcBorders>
              <w:top w:val="single" w:color="auto" w:sz="4" w:space="0"/>
              <w:left w:val="single" w:color="auto" w:sz="4" w:space="0"/>
              <w:bottom w:val="single" w:color="auto" w:sz="4" w:space="0"/>
              <w:right w:val="single" w:color="auto" w:sz="4" w:space="0"/>
            </w:tcBorders>
            <w:noWrap/>
            <w:vAlign w:val="center"/>
          </w:tcPr>
          <w:p w14:paraId="0F4A7302">
            <w:pPr>
              <w:adjustRightInd w:val="0"/>
              <w:snapToGrid w:val="0"/>
              <w:spacing w:line="360" w:lineRule="auto"/>
              <w:jc w:val="center"/>
              <w:rPr>
                <w:rFonts w:ascii="宋体" w:hAnsi="宋体" w:cs="宋体"/>
                <w:color w:val="auto"/>
                <w:spacing w:val="-10"/>
                <w:szCs w:val="21"/>
                <w:highlight w:val="none"/>
              </w:rPr>
            </w:pPr>
            <w:r>
              <w:rPr>
                <w:rFonts w:hint="eastAsia" w:ascii="宋体" w:hAnsi="宋体" w:cs="宋体"/>
                <w:color w:val="auto"/>
                <w:spacing w:val="-10"/>
                <w:szCs w:val="21"/>
                <w:highlight w:val="none"/>
              </w:rPr>
              <w:t>生产厂家</w:t>
            </w:r>
          </w:p>
        </w:tc>
        <w:tc>
          <w:tcPr>
            <w:tcW w:w="697" w:type="dxa"/>
            <w:tcBorders>
              <w:top w:val="single" w:color="auto" w:sz="4" w:space="0"/>
              <w:left w:val="single" w:color="auto" w:sz="4" w:space="0"/>
              <w:bottom w:val="single" w:color="auto" w:sz="4" w:space="0"/>
              <w:right w:val="single" w:color="auto" w:sz="4" w:space="0"/>
            </w:tcBorders>
            <w:noWrap/>
            <w:vAlign w:val="center"/>
          </w:tcPr>
          <w:p w14:paraId="04425315">
            <w:pPr>
              <w:adjustRightInd w:val="0"/>
              <w:snapToGrid w:val="0"/>
              <w:spacing w:line="360" w:lineRule="auto"/>
              <w:jc w:val="center"/>
              <w:rPr>
                <w:rFonts w:ascii="宋体" w:hAnsi="宋体" w:cs="宋体"/>
                <w:color w:val="auto"/>
                <w:spacing w:val="-10"/>
                <w:szCs w:val="21"/>
                <w:highlight w:val="none"/>
              </w:rPr>
            </w:pPr>
            <w:r>
              <w:rPr>
                <w:rFonts w:hint="eastAsia" w:ascii="宋体" w:hAnsi="宋体" w:cs="宋体"/>
                <w:color w:val="auto"/>
                <w:spacing w:val="-10"/>
                <w:szCs w:val="21"/>
                <w:highlight w:val="none"/>
              </w:rPr>
              <w:t>数量</w:t>
            </w:r>
          </w:p>
        </w:tc>
        <w:tc>
          <w:tcPr>
            <w:tcW w:w="594" w:type="dxa"/>
            <w:tcBorders>
              <w:top w:val="single" w:color="auto" w:sz="4" w:space="0"/>
              <w:left w:val="single" w:color="auto" w:sz="4" w:space="0"/>
              <w:bottom w:val="single" w:color="auto" w:sz="4" w:space="0"/>
              <w:right w:val="single" w:color="auto" w:sz="4" w:space="0"/>
            </w:tcBorders>
            <w:noWrap/>
            <w:vAlign w:val="center"/>
          </w:tcPr>
          <w:p w14:paraId="7B1E4FB8">
            <w:pPr>
              <w:adjustRightInd w:val="0"/>
              <w:snapToGrid w:val="0"/>
              <w:spacing w:line="360" w:lineRule="auto"/>
              <w:jc w:val="center"/>
              <w:rPr>
                <w:rFonts w:ascii="宋体" w:hAnsi="宋体" w:cs="宋体"/>
                <w:color w:val="auto"/>
                <w:spacing w:val="-10"/>
                <w:szCs w:val="21"/>
                <w:highlight w:val="none"/>
              </w:rPr>
            </w:pPr>
            <w:r>
              <w:rPr>
                <w:rFonts w:hint="eastAsia" w:ascii="宋体" w:hAnsi="宋体" w:cs="宋体"/>
                <w:color w:val="auto"/>
                <w:spacing w:val="-10"/>
                <w:szCs w:val="21"/>
                <w:highlight w:val="none"/>
              </w:rPr>
              <w:t>单位</w:t>
            </w:r>
          </w:p>
        </w:tc>
        <w:tc>
          <w:tcPr>
            <w:tcW w:w="614" w:type="dxa"/>
            <w:tcBorders>
              <w:top w:val="single" w:color="auto" w:sz="4" w:space="0"/>
              <w:left w:val="single" w:color="auto" w:sz="4" w:space="0"/>
              <w:bottom w:val="single" w:color="auto" w:sz="4" w:space="0"/>
              <w:right w:val="single" w:color="auto" w:sz="4" w:space="0"/>
            </w:tcBorders>
            <w:noWrap/>
            <w:vAlign w:val="center"/>
          </w:tcPr>
          <w:p w14:paraId="0C05CC31">
            <w:pPr>
              <w:adjustRightInd w:val="0"/>
              <w:snapToGrid w:val="0"/>
              <w:spacing w:line="360" w:lineRule="auto"/>
              <w:jc w:val="center"/>
              <w:rPr>
                <w:rFonts w:ascii="宋体" w:hAnsi="宋体" w:cs="宋体"/>
                <w:color w:val="auto"/>
                <w:spacing w:val="-10"/>
                <w:szCs w:val="21"/>
                <w:highlight w:val="none"/>
              </w:rPr>
            </w:pPr>
            <w:r>
              <w:rPr>
                <w:rFonts w:hint="eastAsia" w:ascii="宋体" w:hAnsi="宋体" w:cs="宋体"/>
                <w:color w:val="auto"/>
                <w:spacing w:val="-10"/>
                <w:szCs w:val="21"/>
                <w:highlight w:val="none"/>
              </w:rPr>
              <w:t>单价（元）</w:t>
            </w:r>
          </w:p>
        </w:tc>
        <w:tc>
          <w:tcPr>
            <w:tcW w:w="928" w:type="dxa"/>
            <w:tcBorders>
              <w:top w:val="single" w:color="auto" w:sz="4" w:space="0"/>
              <w:left w:val="single" w:color="auto" w:sz="4" w:space="0"/>
              <w:bottom w:val="single" w:color="auto" w:sz="4" w:space="0"/>
              <w:right w:val="single" w:color="auto" w:sz="4" w:space="0"/>
            </w:tcBorders>
            <w:noWrap/>
            <w:vAlign w:val="center"/>
          </w:tcPr>
          <w:p w14:paraId="2752EE35">
            <w:pPr>
              <w:adjustRightInd w:val="0"/>
              <w:snapToGrid w:val="0"/>
              <w:spacing w:line="360" w:lineRule="auto"/>
              <w:jc w:val="center"/>
              <w:rPr>
                <w:rFonts w:ascii="宋体" w:hAnsi="宋体" w:cs="宋体"/>
                <w:color w:val="auto"/>
                <w:spacing w:val="-10"/>
                <w:szCs w:val="21"/>
                <w:highlight w:val="none"/>
              </w:rPr>
            </w:pPr>
            <w:r>
              <w:rPr>
                <w:rFonts w:hint="eastAsia" w:ascii="宋体" w:hAnsi="宋体" w:cs="宋体"/>
                <w:color w:val="auto"/>
                <w:spacing w:val="-10"/>
                <w:szCs w:val="21"/>
                <w:highlight w:val="none"/>
              </w:rPr>
              <w:t>金额（元）</w:t>
            </w:r>
          </w:p>
        </w:tc>
      </w:tr>
      <w:tr w14:paraId="2D56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97" w:type="dxa"/>
            <w:tcBorders>
              <w:top w:val="single" w:color="auto" w:sz="4" w:space="0"/>
              <w:left w:val="single" w:color="auto" w:sz="4" w:space="0"/>
              <w:bottom w:val="single" w:color="auto" w:sz="4" w:space="0"/>
              <w:right w:val="single" w:color="auto" w:sz="4" w:space="0"/>
            </w:tcBorders>
            <w:noWrap/>
            <w:vAlign w:val="center"/>
          </w:tcPr>
          <w:p w14:paraId="356F338E">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087" w:type="dxa"/>
            <w:tcBorders>
              <w:top w:val="single" w:color="auto" w:sz="4" w:space="0"/>
              <w:left w:val="single" w:color="auto" w:sz="4" w:space="0"/>
              <w:bottom w:val="single" w:color="auto" w:sz="4" w:space="0"/>
              <w:right w:val="single" w:color="auto" w:sz="4" w:space="0"/>
            </w:tcBorders>
            <w:noWrap/>
            <w:vAlign w:val="center"/>
          </w:tcPr>
          <w:p w14:paraId="5779FC26">
            <w:pPr>
              <w:adjustRightInd w:val="0"/>
              <w:snapToGrid w:val="0"/>
              <w:spacing w:line="360" w:lineRule="auto"/>
              <w:jc w:val="center"/>
              <w:rPr>
                <w:rFonts w:ascii="宋体" w:hAnsi="宋体" w:cs="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ign w:val="center"/>
          </w:tcPr>
          <w:p w14:paraId="30EC9D07">
            <w:pPr>
              <w:adjustRightInd w:val="0"/>
              <w:snapToGrid w:val="0"/>
              <w:spacing w:line="360" w:lineRule="auto"/>
              <w:jc w:val="center"/>
              <w:rPr>
                <w:rFonts w:ascii="宋体" w:hAnsi="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noWrap/>
            <w:vAlign w:val="center"/>
          </w:tcPr>
          <w:p w14:paraId="78ACC855">
            <w:pPr>
              <w:adjustRightInd w:val="0"/>
              <w:snapToGrid w:val="0"/>
              <w:spacing w:line="360" w:lineRule="auto"/>
              <w:jc w:val="center"/>
              <w:rPr>
                <w:rFonts w:ascii="宋体" w:hAnsi="宋体" w:cs="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ign w:val="center"/>
          </w:tcPr>
          <w:p w14:paraId="4A872AC6">
            <w:pPr>
              <w:adjustRightInd w:val="0"/>
              <w:snapToGrid w:val="0"/>
              <w:spacing w:line="360" w:lineRule="auto"/>
              <w:jc w:val="center"/>
              <w:rPr>
                <w:rFonts w:ascii="宋体" w:hAnsi="宋体" w:cs="宋体"/>
                <w:color w:val="auto"/>
                <w:szCs w:val="21"/>
                <w:highlight w:val="none"/>
              </w:rPr>
            </w:pPr>
          </w:p>
        </w:tc>
        <w:tc>
          <w:tcPr>
            <w:tcW w:w="807" w:type="dxa"/>
            <w:tcBorders>
              <w:top w:val="single" w:color="auto" w:sz="4" w:space="0"/>
              <w:left w:val="single" w:color="auto" w:sz="4" w:space="0"/>
              <w:bottom w:val="single" w:color="auto" w:sz="4" w:space="0"/>
              <w:right w:val="single" w:color="auto" w:sz="4" w:space="0"/>
            </w:tcBorders>
            <w:noWrap/>
            <w:vAlign w:val="center"/>
          </w:tcPr>
          <w:p w14:paraId="2E5B9CD1">
            <w:pPr>
              <w:adjustRightInd w:val="0"/>
              <w:snapToGrid w:val="0"/>
              <w:spacing w:line="360" w:lineRule="auto"/>
              <w:jc w:val="center"/>
              <w:rPr>
                <w:rFonts w:ascii="宋体" w:hAnsi="宋体" w:cs="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noWrap/>
            <w:vAlign w:val="center"/>
          </w:tcPr>
          <w:p w14:paraId="42AEADA4">
            <w:pPr>
              <w:adjustRightInd w:val="0"/>
              <w:snapToGrid w:val="0"/>
              <w:spacing w:line="360" w:lineRule="auto"/>
              <w:jc w:val="center"/>
              <w:rPr>
                <w:rFonts w:ascii="宋体" w:hAnsi="宋体" w:cs="宋体"/>
                <w:color w:val="auto"/>
                <w:szCs w:val="21"/>
                <w:highlight w:val="none"/>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55776C1B">
            <w:pPr>
              <w:adjustRightInd w:val="0"/>
              <w:snapToGrid w:val="0"/>
              <w:spacing w:line="360" w:lineRule="auto"/>
              <w:jc w:val="center"/>
              <w:rPr>
                <w:rFonts w:ascii="宋体" w:hAnsi="宋体" w:cs="宋体"/>
                <w:color w:val="auto"/>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ign w:val="center"/>
          </w:tcPr>
          <w:p w14:paraId="44261AB0">
            <w:pPr>
              <w:adjustRightInd w:val="0"/>
              <w:snapToGrid w:val="0"/>
              <w:spacing w:line="360" w:lineRule="auto"/>
              <w:jc w:val="center"/>
              <w:rPr>
                <w:rFonts w:ascii="宋体" w:hAnsi="宋体" w:cs="宋体"/>
                <w:color w:val="auto"/>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6B9B0126">
            <w:pPr>
              <w:adjustRightInd w:val="0"/>
              <w:snapToGrid w:val="0"/>
              <w:spacing w:line="360" w:lineRule="auto"/>
              <w:jc w:val="center"/>
              <w:rPr>
                <w:rFonts w:ascii="宋体" w:hAnsi="宋体" w:cs="宋体"/>
                <w:color w:val="auto"/>
                <w:szCs w:val="21"/>
                <w:highlight w:val="none"/>
              </w:rPr>
            </w:pPr>
          </w:p>
        </w:tc>
      </w:tr>
      <w:tr w14:paraId="031F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97" w:type="dxa"/>
            <w:tcBorders>
              <w:top w:val="single" w:color="auto" w:sz="4" w:space="0"/>
              <w:left w:val="single" w:color="auto" w:sz="4" w:space="0"/>
              <w:bottom w:val="single" w:color="auto" w:sz="4" w:space="0"/>
              <w:right w:val="single" w:color="auto" w:sz="4" w:space="0"/>
            </w:tcBorders>
            <w:noWrap/>
            <w:vAlign w:val="center"/>
          </w:tcPr>
          <w:p w14:paraId="7281C8AD">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087" w:type="dxa"/>
            <w:tcBorders>
              <w:top w:val="single" w:color="auto" w:sz="4" w:space="0"/>
              <w:left w:val="single" w:color="auto" w:sz="4" w:space="0"/>
              <w:bottom w:val="single" w:color="auto" w:sz="4" w:space="0"/>
              <w:right w:val="single" w:color="auto" w:sz="4" w:space="0"/>
            </w:tcBorders>
            <w:noWrap/>
            <w:vAlign w:val="center"/>
          </w:tcPr>
          <w:p w14:paraId="1D53FF2E">
            <w:pPr>
              <w:adjustRightInd w:val="0"/>
              <w:snapToGrid w:val="0"/>
              <w:spacing w:line="360" w:lineRule="auto"/>
              <w:jc w:val="center"/>
              <w:rPr>
                <w:rFonts w:ascii="宋体" w:hAnsi="宋体" w:cs="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ign w:val="center"/>
          </w:tcPr>
          <w:p w14:paraId="04D88B65">
            <w:pPr>
              <w:adjustRightInd w:val="0"/>
              <w:snapToGrid w:val="0"/>
              <w:spacing w:line="360" w:lineRule="auto"/>
              <w:jc w:val="center"/>
              <w:rPr>
                <w:rFonts w:ascii="宋体" w:hAnsi="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noWrap/>
            <w:vAlign w:val="center"/>
          </w:tcPr>
          <w:p w14:paraId="3762F2C0">
            <w:pPr>
              <w:adjustRightInd w:val="0"/>
              <w:snapToGrid w:val="0"/>
              <w:spacing w:line="360" w:lineRule="auto"/>
              <w:jc w:val="center"/>
              <w:rPr>
                <w:rFonts w:ascii="宋体" w:hAnsi="宋体" w:cs="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ign w:val="center"/>
          </w:tcPr>
          <w:p w14:paraId="2AB41F88">
            <w:pPr>
              <w:adjustRightInd w:val="0"/>
              <w:snapToGrid w:val="0"/>
              <w:spacing w:line="360" w:lineRule="auto"/>
              <w:jc w:val="center"/>
              <w:rPr>
                <w:rFonts w:ascii="宋体" w:hAnsi="宋体" w:cs="宋体"/>
                <w:color w:val="auto"/>
                <w:szCs w:val="21"/>
                <w:highlight w:val="none"/>
              </w:rPr>
            </w:pPr>
          </w:p>
        </w:tc>
        <w:tc>
          <w:tcPr>
            <w:tcW w:w="807" w:type="dxa"/>
            <w:tcBorders>
              <w:top w:val="single" w:color="auto" w:sz="4" w:space="0"/>
              <w:left w:val="single" w:color="auto" w:sz="4" w:space="0"/>
              <w:bottom w:val="single" w:color="auto" w:sz="4" w:space="0"/>
              <w:right w:val="single" w:color="auto" w:sz="4" w:space="0"/>
            </w:tcBorders>
            <w:noWrap/>
            <w:vAlign w:val="center"/>
          </w:tcPr>
          <w:p w14:paraId="29378DDA">
            <w:pPr>
              <w:adjustRightInd w:val="0"/>
              <w:snapToGrid w:val="0"/>
              <w:spacing w:line="360" w:lineRule="auto"/>
              <w:jc w:val="center"/>
              <w:rPr>
                <w:rFonts w:ascii="宋体" w:hAnsi="宋体" w:cs="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noWrap/>
            <w:vAlign w:val="center"/>
          </w:tcPr>
          <w:p w14:paraId="17EE4C31">
            <w:pPr>
              <w:adjustRightInd w:val="0"/>
              <w:snapToGrid w:val="0"/>
              <w:spacing w:line="360" w:lineRule="auto"/>
              <w:jc w:val="center"/>
              <w:rPr>
                <w:rFonts w:ascii="宋体" w:hAnsi="宋体" w:cs="宋体"/>
                <w:color w:val="auto"/>
                <w:szCs w:val="21"/>
                <w:highlight w:val="none"/>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2B267447">
            <w:pPr>
              <w:adjustRightInd w:val="0"/>
              <w:snapToGrid w:val="0"/>
              <w:spacing w:line="360" w:lineRule="auto"/>
              <w:jc w:val="center"/>
              <w:rPr>
                <w:rFonts w:ascii="宋体" w:hAnsi="宋体" w:cs="宋体"/>
                <w:color w:val="auto"/>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ign w:val="center"/>
          </w:tcPr>
          <w:p w14:paraId="3B8411CF">
            <w:pPr>
              <w:adjustRightInd w:val="0"/>
              <w:snapToGrid w:val="0"/>
              <w:spacing w:line="360" w:lineRule="auto"/>
              <w:jc w:val="center"/>
              <w:rPr>
                <w:rFonts w:ascii="宋体" w:hAnsi="宋体" w:cs="宋体"/>
                <w:color w:val="auto"/>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582E9EB4">
            <w:pPr>
              <w:adjustRightInd w:val="0"/>
              <w:snapToGrid w:val="0"/>
              <w:spacing w:line="360" w:lineRule="auto"/>
              <w:jc w:val="center"/>
              <w:rPr>
                <w:rFonts w:ascii="宋体" w:hAnsi="宋体" w:cs="宋体"/>
                <w:color w:val="auto"/>
                <w:szCs w:val="21"/>
                <w:highlight w:val="none"/>
              </w:rPr>
            </w:pPr>
          </w:p>
        </w:tc>
      </w:tr>
      <w:tr w14:paraId="5205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97" w:type="dxa"/>
            <w:tcBorders>
              <w:top w:val="single" w:color="auto" w:sz="4" w:space="0"/>
              <w:left w:val="single" w:color="auto" w:sz="4" w:space="0"/>
              <w:bottom w:val="single" w:color="auto" w:sz="4" w:space="0"/>
              <w:right w:val="single" w:color="auto" w:sz="4" w:space="0"/>
            </w:tcBorders>
            <w:noWrap/>
            <w:vAlign w:val="center"/>
          </w:tcPr>
          <w:p w14:paraId="692F517C">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087" w:type="dxa"/>
            <w:tcBorders>
              <w:top w:val="single" w:color="auto" w:sz="4" w:space="0"/>
              <w:left w:val="single" w:color="auto" w:sz="4" w:space="0"/>
              <w:bottom w:val="single" w:color="auto" w:sz="4" w:space="0"/>
              <w:right w:val="single" w:color="auto" w:sz="4" w:space="0"/>
            </w:tcBorders>
            <w:noWrap/>
            <w:vAlign w:val="center"/>
          </w:tcPr>
          <w:p w14:paraId="3C454CCB">
            <w:pPr>
              <w:adjustRightInd w:val="0"/>
              <w:snapToGrid w:val="0"/>
              <w:spacing w:line="360" w:lineRule="auto"/>
              <w:jc w:val="center"/>
              <w:rPr>
                <w:rFonts w:ascii="宋体" w:hAnsi="宋体" w:cs="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ign w:val="center"/>
          </w:tcPr>
          <w:p w14:paraId="4565C755">
            <w:pPr>
              <w:adjustRightInd w:val="0"/>
              <w:snapToGrid w:val="0"/>
              <w:spacing w:line="360" w:lineRule="auto"/>
              <w:jc w:val="center"/>
              <w:rPr>
                <w:rFonts w:ascii="宋体" w:hAnsi="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noWrap/>
            <w:vAlign w:val="center"/>
          </w:tcPr>
          <w:p w14:paraId="6182B076">
            <w:pPr>
              <w:adjustRightInd w:val="0"/>
              <w:snapToGrid w:val="0"/>
              <w:spacing w:line="360" w:lineRule="auto"/>
              <w:jc w:val="center"/>
              <w:rPr>
                <w:rFonts w:ascii="宋体" w:hAnsi="宋体" w:cs="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ign w:val="center"/>
          </w:tcPr>
          <w:p w14:paraId="71586C97">
            <w:pPr>
              <w:adjustRightInd w:val="0"/>
              <w:snapToGrid w:val="0"/>
              <w:spacing w:line="360" w:lineRule="auto"/>
              <w:jc w:val="center"/>
              <w:rPr>
                <w:rFonts w:ascii="宋体" w:hAnsi="宋体" w:cs="宋体"/>
                <w:color w:val="auto"/>
                <w:szCs w:val="21"/>
                <w:highlight w:val="none"/>
              </w:rPr>
            </w:pPr>
          </w:p>
        </w:tc>
        <w:tc>
          <w:tcPr>
            <w:tcW w:w="807" w:type="dxa"/>
            <w:tcBorders>
              <w:top w:val="single" w:color="auto" w:sz="4" w:space="0"/>
              <w:left w:val="single" w:color="auto" w:sz="4" w:space="0"/>
              <w:bottom w:val="single" w:color="auto" w:sz="4" w:space="0"/>
              <w:right w:val="single" w:color="auto" w:sz="4" w:space="0"/>
            </w:tcBorders>
            <w:noWrap/>
            <w:vAlign w:val="center"/>
          </w:tcPr>
          <w:p w14:paraId="4E4F7666">
            <w:pPr>
              <w:adjustRightInd w:val="0"/>
              <w:snapToGrid w:val="0"/>
              <w:spacing w:line="360" w:lineRule="auto"/>
              <w:jc w:val="center"/>
              <w:rPr>
                <w:rFonts w:ascii="宋体" w:hAnsi="宋体" w:cs="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noWrap/>
            <w:vAlign w:val="center"/>
          </w:tcPr>
          <w:p w14:paraId="27344EF9">
            <w:pPr>
              <w:adjustRightInd w:val="0"/>
              <w:snapToGrid w:val="0"/>
              <w:spacing w:line="360" w:lineRule="auto"/>
              <w:jc w:val="center"/>
              <w:rPr>
                <w:rFonts w:ascii="宋体" w:hAnsi="宋体" w:cs="宋体"/>
                <w:color w:val="auto"/>
                <w:szCs w:val="21"/>
                <w:highlight w:val="none"/>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23CDA144">
            <w:pPr>
              <w:adjustRightInd w:val="0"/>
              <w:snapToGrid w:val="0"/>
              <w:spacing w:line="360" w:lineRule="auto"/>
              <w:jc w:val="center"/>
              <w:rPr>
                <w:rFonts w:ascii="宋体" w:hAnsi="宋体" w:cs="宋体"/>
                <w:color w:val="auto"/>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ign w:val="center"/>
          </w:tcPr>
          <w:p w14:paraId="77E8C81F">
            <w:pPr>
              <w:adjustRightInd w:val="0"/>
              <w:snapToGrid w:val="0"/>
              <w:spacing w:line="360" w:lineRule="auto"/>
              <w:jc w:val="center"/>
              <w:rPr>
                <w:rFonts w:ascii="宋体" w:hAnsi="宋体" w:cs="宋体"/>
                <w:color w:val="auto"/>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74FA3E37">
            <w:pPr>
              <w:adjustRightInd w:val="0"/>
              <w:snapToGrid w:val="0"/>
              <w:spacing w:line="360" w:lineRule="auto"/>
              <w:jc w:val="center"/>
              <w:rPr>
                <w:rFonts w:ascii="宋体" w:hAnsi="宋体" w:cs="宋体"/>
                <w:color w:val="auto"/>
                <w:szCs w:val="21"/>
                <w:highlight w:val="none"/>
              </w:rPr>
            </w:pPr>
          </w:p>
        </w:tc>
      </w:tr>
      <w:tr w14:paraId="4753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534" w:type="dxa"/>
            <w:gridSpan w:val="10"/>
            <w:tcBorders>
              <w:top w:val="single" w:color="auto" w:sz="4" w:space="0"/>
              <w:left w:val="single" w:color="auto" w:sz="4" w:space="0"/>
              <w:bottom w:val="single" w:color="auto" w:sz="4" w:space="0"/>
              <w:right w:val="single" w:color="auto" w:sz="4" w:space="0"/>
            </w:tcBorders>
            <w:noWrap/>
            <w:vAlign w:val="center"/>
          </w:tcPr>
          <w:p w14:paraId="6369368A">
            <w:pPr>
              <w:adjustRightInd w:val="0"/>
              <w:snapToGrid w:val="0"/>
              <w:spacing w:line="360" w:lineRule="auto"/>
              <w:jc w:val="left"/>
              <w:rPr>
                <w:rFonts w:ascii="宋体" w:hAnsi="宋体" w:cs="宋体"/>
                <w:color w:val="auto"/>
                <w:szCs w:val="21"/>
                <w:highlight w:val="none"/>
              </w:rPr>
            </w:pPr>
            <w:r>
              <w:rPr>
                <w:rFonts w:hint="eastAsia" w:ascii="宋体" w:hAnsi="宋体" w:eastAsia="宋体" w:cs="宋体"/>
                <w:color w:val="auto"/>
                <w:szCs w:val="21"/>
                <w:highlight w:val="none"/>
              </w:rPr>
              <w:t>合计金额(人民币):（大写）：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（小写） ¥：</w:t>
            </w:r>
            <w:r>
              <w:rPr>
                <w:rFonts w:hint="eastAsia" w:ascii="宋体" w:hAnsi="宋体" w:eastAsia="宋体" w:cs="宋体"/>
                <w:color w:val="auto"/>
                <w:szCs w:val="21"/>
                <w:highlight w:val="none"/>
                <w:u w:val="single"/>
                <w:lang w:val="en-US" w:eastAsia="zh-CN"/>
              </w:rPr>
              <w:t xml:space="preserve">          </w:t>
            </w:r>
          </w:p>
        </w:tc>
      </w:tr>
    </w:tbl>
    <w:p w14:paraId="3C1DE13F">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第二条　标的质量</w:t>
      </w:r>
    </w:p>
    <w:p w14:paraId="06E1CD2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1.乙方所提供标的的名称、商标品牌、生产厂家、规格型号、技术参数等内容必须与乙方投标文件及有关承诺相一致，且满足项目实施要求。</w:t>
      </w:r>
    </w:p>
    <w:p w14:paraId="155E65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2.乙方所提供的货物必须是全新、未使用的原装产品，且在正常安装、使用和保养条件下，其使用寿命期内各项指标均达到投标文件的承诺。</w:t>
      </w:r>
    </w:p>
    <w:p w14:paraId="22E5E0E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在交付产品后，甲方在任何时间如发现乙方所交付的产品不符合甲方招标文件要求或乙方在投标文件中的承诺，乙方应当提供相关证明材料或鉴定报告予以作证，乙方无法证明其交付的产品符合招标文件或投标文件的，按质量不合格处理。</w:t>
      </w:r>
    </w:p>
    <w:p w14:paraId="18FBCE97">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w:t>
      </w:r>
      <w:r>
        <w:rPr>
          <w:rFonts w:hint="eastAsia" w:ascii="宋体" w:hAnsi="宋体" w:cs="宋体"/>
          <w:color w:val="auto"/>
          <w:szCs w:val="21"/>
          <w:highlight w:val="none"/>
        </w:rPr>
        <w:t>履行时间（期限）、地点和方式</w:t>
      </w:r>
    </w:p>
    <w:p w14:paraId="0CDBCB8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1.履行时间（期限）：自签订合同之日起</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rPr>
        <w:t>个工作日内安装调试合格完毕并交付使用。</w:t>
      </w:r>
    </w:p>
    <w:p w14:paraId="3240016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2.履行地点：广西桂林市内甲方指定地点。</w:t>
      </w:r>
    </w:p>
    <w:p w14:paraId="31C046D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3.履行方式:</w:t>
      </w:r>
    </w:p>
    <w:p w14:paraId="06863B7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（1）乙方负责货物运输，货物的运输方式：</w:t>
      </w:r>
      <w:r>
        <w:rPr>
          <w:rFonts w:hint="eastAsia" w:ascii="宋体" w:hAnsi="宋体" w:cs="宋体"/>
          <w:color w:val="auto"/>
          <w:szCs w:val="21"/>
          <w:highlight w:val="none"/>
          <w:u w:val="single"/>
        </w:rPr>
        <w:t xml:space="preserve">  不限  </w:t>
      </w:r>
      <w:r>
        <w:rPr>
          <w:rFonts w:hint="eastAsia" w:ascii="宋体" w:hAnsi="宋体" w:cs="宋体"/>
          <w:color w:val="auto"/>
          <w:szCs w:val="21"/>
          <w:highlight w:val="none"/>
        </w:rPr>
        <w:t>。</w:t>
      </w:r>
    </w:p>
    <w:p w14:paraId="65247E7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（2）交货方式：</w:t>
      </w:r>
    </w:p>
    <w:p w14:paraId="3F56041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☑乙方将货物送到甲方指定地点。</w:t>
      </w:r>
    </w:p>
    <w:p w14:paraId="0B3EED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□甲方自行到乙方指定地点提货。</w:t>
      </w:r>
    </w:p>
    <w:p w14:paraId="5294DEB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□其他：。</w:t>
      </w:r>
    </w:p>
    <w:p w14:paraId="5779220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（3）卸货费用由乙方承担。</w:t>
      </w:r>
    </w:p>
    <w:p w14:paraId="27ABC59F">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第四条　包装方式及运输</w:t>
      </w:r>
    </w:p>
    <w:p w14:paraId="2FC84D1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1.乙方提供的货物均应按投标文件承诺的包装要求进行包装及运输,要求为原厂原包装，包装完好完整、无破损、未开封。国家对包装及运输有相关强制性标准或要求的，乙方应当执行。</w:t>
      </w:r>
    </w:p>
    <w:p w14:paraId="074D9DB5">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2.乙方的包装及运输应综合考虑运输距离、防水、防潮、防震、防锈和防破损装卸等要求，以保证货物安全、完好运达甲方指定地点。国家对包装及运输有相关强制性标准或要求的，乙方应当执行。</w:t>
      </w:r>
    </w:p>
    <w:p w14:paraId="21D38402">
      <w:pPr>
        <w:pStyle w:val="18"/>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3.货物的使用说明书（货物属于进口产品的，供货时应同时附上中文使用说明书）、质量检验证明书、质量合格证、随配附件和工具以及清单一并附于货物包装内。</w:t>
      </w:r>
    </w:p>
    <w:p w14:paraId="52B163AD">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4.产品（含包装）运抵甲方指定交付地点并经甲方验收合格前发生损坏及相关风险，相关损失由乙方自行承担。</w:t>
      </w:r>
    </w:p>
    <w:p w14:paraId="12A509CF">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5.乙方负责货物运输，货物运输合理损耗及计算方法：</w:t>
      </w:r>
      <w:r>
        <w:rPr>
          <w:rFonts w:hint="eastAsia" w:hAnsi="宋体" w:cs="宋体"/>
          <w:color w:val="auto"/>
          <w:sz w:val="21"/>
          <w:highlight w:val="none"/>
          <w:u w:val="single"/>
        </w:rPr>
        <w:t>由乙方负责</w:t>
      </w:r>
      <w:r>
        <w:rPr>
          <w:rFonts w:hint="eastAsia" w:hAnsi="宋体" w:cs="宋体"/>
          <w:color w:val="auto"/>
          <w:sz w:val="21"/>
          <w:highlight w:val="none"/>
        </w:rPr>
        <w:t>。</w:t>
      </w:r>
    </w:p>
    <w:p w14:paraId="72EB3E31">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6.乙方在货物发运手续办理完毕后二十四小时内或货到甲方四十八小时前通知甲方，以准备接货。</w:t>
      </w:r>
    </w:p>
    <w:p w14:paraId="11113D8C">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7.乙方应将所提供货物的装箱清单、用户手册、原厂保修卡、随机资料、工具和备品、备件等一并交付给甲方，如有缺失应及时补齐，否则视为逾期交货。</w:t>
      </w:r>
    </w:p>
    <w:p w14:paraId="42038499">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第五条　安装和培训</w:t>
      </w:r>
    </w:p>
    <w:p w14:paraId="23AD02A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1.安装时间及地点：</w:t>
      </w:r>
      <w:r>
        <w:rPr>
          <w:rFonts w:hint="eastAsia" w:ascii="宋体" w:hAnsi="宋体" w:cs="宋体"/>
          <w:color w:val="auto"/>
          <w:szCs w:val="21"/>
          <w:highlight w:val="none"/>
          <w:u w:val="single"/>
        </w:rPr>
        <w:t>甲方指定的时间和地点</w:t>
      </w:r>
      <w:r>
        <w:rPr>
          <w:rFonts w:hint="eastAsia" w:ascii="宋体" w:hAnsi="宋体" w:cs="宋体"/>
          <w:color w:val="auto"/>
          <w:szCs w:val="21"/>
          <w:highlight w:val="none"/>
        </w:rPr>
        <w:t>。</w:t>
      </w:r>
    </w:p>
    <w:p w14:paraId="775A0D1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2.安装要求：</w:t>
      </w:r>
      <w:r>
        <w:rPr>
          <w:rFonts w:hint="eastAsia" w:ascii="宋体" w:hAnsi="宋体" w:cs="宋体"/>
          <w:color w:val="auto"/>
          <w:szCs w:val="21"/>
          <w:highlight w:val="none"/>
          <w:u w:val="single"/>
        </w:rPr>
        <w:t>乙方应当按招标文件要求或甲方要求进行安装。</w:t>
      </w:r>
    </w:p>
    <w:p w14:paraId="37FF6BA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3.甲方应提供必要安装条件（如场地、电源、水源等）。</w:t>
      </w:r>
    </w:p>
    <w:p w14:paraId="4004AE28">
      <w:pPr>
        <w:pStyle w:val="18"/>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乙方应当按照投标文件的承诺负责对甲方有关人员进行培训，使甲方使用人员熟练掌握设备的全部功能，培训的相关费用包括在合同价款中，甲方不再另行支付。培训时间：货物安装调试合格完毕并交付使用后的</w:t>
      </w:r>
      <w:r>
        <w:rPr>
          <w:rFonts w:hint="eastAsia" w:ascii="宋体" w:hAnsi="宋体" w:cs="宋体"/>
          <w:color w:val="auto"/>
          <w:sz w:val="21"/>
          <w:szCs w:val="21"/>
          <w:highlight w:val="none"/>
          <w:u w:val="single"/>
        </w:rPr>
        <w:t>1</w:t>
      </w:r>
      <w:r>
        <w:rPr>
          <w:rFonts w:hint="eastAsia" w:ascii="宋体" w:hAnsi="宋体" w:cs="宋体"/>
          <w:color w:val="auto"/>
          <w:sz w:val="21"/>
          <w:szCs w:val="21"/>
          <w:highlight w:val="none"/>
        </w:rPr>
        <w:t>天内，具体时间由甲方指定；培训地点：</w:t>
      </w:r>
      <w:r>
        <w:rPr>
          <w:rFonts w:hint="eastAsia" w:ascii="宋体" w:hAnsi="宋体" w:cs="宋体"/>
          <w:color w:val="auto"/>
          <w:sz w:val="21"/>
          <w:szCs w:val="21"/>
          <w:highlight w:val="none"/>
          <w:u w:val="single"/>
        </w:rPr>
        <w:t>广西桂林市内甲方指定地点</w:t>
      </w:r>
      <w:r>
        <w:rPr>
          <w:rFonts w:hint="eastAsia" w:ascii="宋体" w:hAnsi="宋体" w:cs="宋体"/>
          <w:color w:val="auto"/>
          <w:sz w:val="21"/>
          <w:szCs w:val="21"/>
          <w:highlight w:val="none"/>
        </w:rPr>
        <w:t>。</w:t>
      </w:r>
    </w:p>
    <w:p w14:paraId="35AF3AB5">
      <w:pPr>
        <w:pStyle w:val="18"/>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乙方在安装、调试以及培训期间，应采取严格安全保障措施，承担安全保障义务，安装调试以及培训期间发生的人身或财产损害事件，一切责任与法律后果均由乙方自行承担，给甲方造成损失的，乙方应当予以全部赔偿。</w:t>
      </w:r>
    </w:p>
    <w:p w14:paraId="24B80496">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第六条　合同价款及支付</w:t>
      </w:r>
    </w:p>
    <w:p w14:paraId="5D2ECCD9">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1.本合同以人民币付款。</w:t>
      </w:r>
    </w:p>
    <w:p w14:paraId="4103B131">
      <w:pPr>
        <w:pStyle w:val="24"/>
        <w:snapToGrid w:val="0"/>
        <w:spacing w:line="360" w:lineRule="auto"/>
        <w:ind w:firstLine="420" w:firstLineChars="200"/>
        <w:rPr>
          <w:rFonts w:hAnsi="宋体" w:cs="宋体"/>
          <w:color w:val="auto"/>
          <w:highlight w:val="none"/>
        </w:rPr>
      </w:pPr>
      <w:r>
        <w:rPr>
          <w:rFonts w:hint="eastAsia" w:hAnsi="宋体" w:cs="宋体"/>
          <w:color w:val="auto"/>
          <w:sz w:val="21"/>
          <w:highlight w:val="none"/>
        </w:rPr>
        <w:t>2.合同价款(人民币):</w:t>
      </w:r>
      <w:r>
        <w:rPr>
          <w:rFonts w:hint="eastAsia" w:ascii="宋体" w:hAnsi="宋体" w:eastAsia="宋体" w:cs="宋体"/>
          <w:color w:val="auto"/>
          <w:sz w:val="21"/>
          <w:highlight w:val="none"/>
        </w:rPr>
        <w:t>（大写）</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（小写）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 xml:space="preserve"> 。</w:t>
      </w:r>
    </w:p>
    <w:p w14:paraId="68DF6D8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3.资金性质：</w:t>
      </w:r>
      <w:r>
        <w:rPr>
          <w:rFonts w:hint="eastAsia" w:ascii="宋体" w:hAnsi="宋体" w:cs="宋体"/>
          <w:color w:val="auto"/>
          <w:szCs w:val="21"/>
          <w:highlight w:val="none"/>
          <w:u w:val="single"/>
        </w:rPr>
        <w:t>财政性资金</w:t>
      </w:r>
      <w:r>
        <w:rPr>
          <w:rFonts w:hint="eastAsia" w:ascii="宋体" w:hAnsi="宋体" w:cs="宋体"/>
          <w:color w:val="auto"/>
          <w:szCs w:val="21"/>
          <w:highlight w:val="none"/>
        </w:rPr>
        <w:t>。</w:t>
      </w:r>
    </w:p>
    <w:p w14:paraId="417493FB">
      <w:pPr>
        <w:pStyle w:val="18"/>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合同价款是履行合同的最终价格，包括所提供的货物（包括备品备件、专用工具等）的价格，以及投标货物包装、运输、装卸、送货上门、安装、调试、检验、售后服务、技术服务、培训、保险、税金、招标文件要求提供的所有伴随服务、工程等费用和税费。</w:t>
      </w:r>
    </w:p>
    <w:p w14:paraId="36CFCA3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5.付款进度安排:</w:t>
      </w:r>
    </w:p>
    <w:p w14:paraId="479611F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本分标预付款为合同总金额的30%，在合同生效以及具备实施条件后，</w:t>
      </w:r>
      <w:r>
        <w:rPr>
          <w:rFonts w:hint="eastAsia" w:ascii="宋体" w:hAnsi="宋体" w:cs="宋体"/>
          <w:color w:val="auto"/>
          <w:highlight w:val="none"/>
          <w:lang w:eastAsia="zh-CN"/>
        </w:rPr>
        <w:t>甲方</w:t>
      </w:r>
      <w:r>
        <w:rPr>
          <w:rFonts w:hint="eastAsia" w:ascii="宋体" w:hAnsi="宋体" w:cs="宋体"/>
          <w:color w:val="auto"/>
          <w:highlight w:val="none"/>
        </w:rPr>
        <w:t>30个工作日内支付预付款；设备验收合格正常运转30个工作日内，</w:t>
      </w:r>
      <w:r>
        <w:rPr>
          <w:rFonts w:hint="eastAsia" w:ascii="宋体" w:hAnsi="宋体" w:cs="宋体"/>
          <w:color w:val="auto"/>
          <w:highlight w:val="none"/>
          <w:lang w:eastAsia="zh-CN"/>
        </w:rPr>
        <w:t>甲方</w:t>
      </w:r>
      <w:r>
        <w:rPr>
          <w:rFonts w:hint="eastAsia" w:ascii="宋体" w:hAnsi="宋体" w:cs="宋体"/>
          <w:color w:val="auto"/>
          <w:highlight w:val="none"/>
        </w:rPr>
        <w:t>支付合同价款的70%（无息）。在设备验收合格正常运转30个工作日内，</w:t>
      </w:r>
      <w:r>
        <w:rPr>
          <w:rFonts w:hint="eastAsia" w:ascii="宋体" w:hAnsi="宋体" w:cs="宋体"/>
          <w:color w:val="auto"/>
          <w:highlight w:val="none"/>
          <w:lang w:eastAsia="zh-CN"/>
        </w:rPr>
        <w:t>乙方</w:t>
      </w:r>
      <w:r>
        <w:rPr>
          <w:rFonts w:hint="eastAsia" w:ascii="宋体" w:hAnsi="宋体" w:cs="宋体"/>
          <w:color w:val="auto"/>
          <w:highlight w:val="none"/>
        </w:rPr>
        <w:t>必须向</w:t>
      </w:r>
      <w:r>
        <w:rPr>
          <w:rFonts w:hint="eastAsia" w:ascii="宋体" w:hAnsi="宋体" w:cs="宋体"/>
          <w:color w:val="auto"/>
          <w:highlight w:val="none"/>
          <w:lang w:eastAsia="zh-CN"/>
        </w:rPr>
        <w:t>甲方</w:t>
      </w:r>
      <w:r>
        <w:rPr>
          <w:rFonts w:hint="eastAsia" w:ascii="宋体" w:hAnsi="宋体" w:cs="宋体"/>
          <w:color w:val="auto"/>
          <w:highlight w:val="none"/>
        </w:rPr>
        <w:t>提供符合国家规定及</w:t>
      </w:r>
      <w:r>
        <w:rPr>
          <w:rFonts w:hint="eastAsia" w:ascii="宋体" w:hAnsi="宋体" w:cs="宋体"/>
          <w:color w:val="auto"/>
          <w:highlight w:val="none"/>
          <w:lang w:eastAsia="zh-CN"/>
        </w:rPr>
        <w:t>甲方</w:t>
      </w:r>
      <w:r>
        <w:rPr>
          <w:rFonts w:hint="eastAsia" w:ascii="宋体" w:hAnsi="宋体" w:cs="宋体"/>
          <w:color w:val="auto"/>
          <w:highlight w:val="none"/>
        </w:rPr>
        <w:t>要求的全额有效的税务发票，</w:t>
      </w:r>
      <w:r>
        <w:rPr>
          <w:rFonts w:hint="eastAsia" w:ascii="宋体" w:hAnsi="宋体" w:cs="宋体"/>
          <w:color w:val="auto"/>
          <w:highlight w:val="none"/>
          <w:lang w:eastAsia="zh-CN"/>
        </w:rPr>
        <w:t>甲方</w:t>
      </w:r>
      <w:r>
        <w:rPr>
          <w:rFonts w:hint="eastAsia" w:ascii="宋体" w:hAnsi="宋体" w:cs="宋体"/>
          <w:color w:val="auto"/>
          <w:highlight w:val="none"/>
        </w:rPr>
        <w:t>未收到发票的，有权不予支付相应款项直至</w:t>
      </w:r>
      <w:r>
        <w:rPr>
          <w:rFonts w:hint="eastAsia" w:ascii="宋体" w:hAnsi="宋体" w:cs="宋体"/>
          <w:color w:val="auto"/>
          <w:highlight w:val="none"/>
          <w:lang w:eastAsia="zh-CN"/>
        </w:rPr>
        <w:t>乙方</w:t>
      </w:r>
      <w:r>
        <w:rPr>
          <w:rFonts w:hint="eastAsia" w:ascii="宋体" w:hAnsi="宋体" w:cs="宋体"/>
          <w:color w:val="auto"/>
          <w:highlight w:val="none"/>
        </w:rPr>
        <w:t>提供合格发票，并不承担延迟付款责任。发票认证通过是付款的必要前提之一。</w:t>
      </w:r>
    </w:p>
    <w:p w14:paraId="3674BBC7">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6.资金支付方式：</w:t>
      </w:r>
      <w:r>
        <w:rPr>
          <w:rFonts w:hint="eastAsia" w:ascii="宋体" w:hAnsi="宋体" w:cs="宋体"/>
          <w:color w:val="auto"/>
          <w:highlight w:val="none"/>
          <w:u w:val="single"/>
        </w:rPr>
        <w:t xml:space="preserve">    （银行转账）   </w:t>
      </w:r>
      <w:r>
        <w:rPr>
          <w:rFonts w:hint="eastAsia" w:ascii="宋体" w:hAnsi="宋体" w:cs="宋体"/>
          <w:color w:val="auto"/>
          <w:highlight w:val="none"/>
        </w:rPr>
        <w:t>。</w:t>
      </w:r>
    </w:p>
    <w:p w14:paraId="21C45C33">
      <w:pPr>
        <w:pStyle w:val="16"/>
        <w:spacing w:line="360" w:lineRule="auto"/>
        <w:ind w:firstLine="420" w:firstLineChars="200"/>
        <w:rPr>
          <w:rFonts w:ascii="宋体" w:hAnsi="宋体" w:cs="宋体"/>
          <w:color w:val="auto"/>
          <w:highlight w:val="none"/>
        </w:rPr>
      </w:pPr>
      <w:r>
        <w:rPr>
          <w:rFonts w:hint="eastAsia" w:ascii="宋体" w:hAnsi="宋体" w:cs="宋体"/>
          <w:color w:val="auto"/>
          <w:highlight w:val="none"/>
        </w:rPr>
        <w:t>乙方银行账户信息：</w:t>
      </w:r>
    </w:p>
    <w:p w14:paraId="229496A3">
      <w:pPr>
        <w:pStyle w:val="16"/>
        <w:spacing w:line="360" w:lineRule="auto"/>
        <w:ind w:firstLine="420" w:firstLineChars="200"/>
        <w:rPr>
          <w:rFonts w:ascii="宋体" w:hAnsi="宋体" w:cs="宋体"/>
          <w:color w:val="auto"/>
          <w:highlight w:val="none"/>
        </w:rPr>
      </w:pPr>
      <w:r>
        <w:rPr>
          <w:rFonts w:hint="eastAsia" w:ascii="宋体" w:hAnsi="宋体" w:cs="宋体"/>
          <w:color w:val="auto"/>
          <w:highlight w:val="none"/>
        </w:rPr>
        <w:t>开户银行：银行支行</w:t>
      </w:r>
    </w:p>
    <w:p w14:paraId="397BDC94">
      <w:pPr>
        <w:pStyle w:val="16"/>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账号名称：</w:t>
      </w:r>
    </w:p>
    <w:p w14:paraId="6AA57205">
      <w:pPr>
        <w:pStyle w:val="16"/>
        <w:spacing w:line="360" w:lineRule="auto"/>
        <w:ind w:firstLine="420" w:firstLineChars="200"/>
        <w:rPr>
          <w:rFonts w:ascii="宋体" w:hAnsi="宋体" w:cs="宋体"/>
          <w:color w:val="auto"/>
          <w:highlight w:val="none"/>
        </w:rPr>
      </w:pPr>
      <w:r>
        <w:rPr>
          <w:rFonts w:hint="eastAsia" w:ascii="宋体" w:hAnsi="宋体" w:cs="宋体"/>
          <w:color w:val="auto"/>
          <w:highlight w:val="none"/>
        </w:rPr>
        <w:t>账号：</w:t>
      </w:r>
    </w:p>
    <w:p w14:paraId="5D259F8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7.政府采购合同履行中，甲方需追加与合同标的相同的货物的，在不改变合同其他条款的前提下，可以与乙方协商签订补充合同，但所有补充合同的采购金额不得超过原合同采购金额的10%。</w:t>
      </w:r>
    </w:p>
    <w:p w14:paraId="442C04F1">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保险、税费</w:t>
      </w:r>
    </w:p>
    <w:p w14:paraId="1277537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1.若乙方为本项目标的及标的涉及的相关材料、设备、人员、运输等购买保险的，相关费用由乙方自行承担。</w:t>
      </w:r>
    </w:p>
    <w:p w14:paraId="3B3C084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2.本合同执行中相关的一切税费均由乙方负担。</w:t>
      </w:r>
    </w:p>
    <w:p w14:paraId="4BFD564E">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验收、交付标准和方法</w:t>
      </w:r>
    </w:p>
    <w:p w14:paraId="415650F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1.履约验收时间：</w:t>
      </w:r>
    </w:p>
    <w:p w14:paraId="284D526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（1）初步验收：标的到达甲方指定地点之日起7个工作日内。</w:t>
      </w:r>
    </w:p>
    <w:p w14:paraId="65C129B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（2）交付验收：标的安装调试完毕之日起7个工作日内。</w:t>
      </w:r>
    </w:p>
    <w:p w14:paraId="29A7086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（3）最终验收：乙方履行完合同约定的应当由乙方履行的全部事项之日起7个工作日内。</w:t>
      </w:r>
    </w:p>
    <w:p w14:paraId="149CEA1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2.履约验收程序：</w:t>
      </w:r>
    </w:p>
    <w:p w14:paraId="60517D8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到达甲方指定地点，甲方在规定的时间内进行初步验收；初步验收合格、标的安装调试完毕后，甲方在规定的时间内进行交付验收；交付验收合格，乙方履行完合同约定的应当由乙方履行的全部事项之日起7个工作日内进行最终验收。</w:t>
      </w:r>
    </w:p>
    <w:p w14:paraId="4BB25CC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3.履约验收内容：</w:t>
      </w:r>
    </w:p>
    <w:p w14:paraId="5D5E06C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甲方依据招标文件要求、乙方的投标承诺以及国家有关质量标准，就乙方对标的每一项技术、商务要求等相关内容进行验收。</w:t>
      </w:r>
    </w:p>
    <w:p w14:paraId="5DF2261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4.履约验收标准：</w:t>
      </w:r>
    </w:p>
    <w:p w14:paraId="24074BF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（1）初步验收：</w:t>
      </w:r>
    </w:p>
    <w:p w14:paraId="35F84DB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在规定的时间内到货，标的（含包装）完整、完好，与投标承诺的产品（制造商、品牌、规格型号等）一致，标的无明显瑕疵、无损坏，装箱清单、用户手册、原厂保修卡、安装操作使用和维护手册、随机资料等所有技术资料、工具和备品、备件齐全。全部满足以上情形的，视为初步验收合格，标的不符合上述情形的，甲方在初步验收后七个工作日内以书面形式向乙方提出，乙方应自收到甲方书面异议后七个工作日内及时予以解决，否则，视为初步验收不合格，不予进行交付验收。</w:t>
      </w:r>
    </w:p>
    <w:p w14:paraId="7A9C37E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（2）交付验收：</w:t>
      </w:r>
    </w:p>
    <w:p w14:paraId="693C7F1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的技术指标与乙方的投标承诺一致或更高，且满足招标文件全部实质性要求，视为交付验收合格。标的不符合上述情形的，甲方在交付验收后七个工作日内以书面形式向乙方提出，乙方应自收到甲方书面异议后七个工作日内及时予以解决，否则，视为交付验收不合格。</w:t>
      </w:r>
    </w:p>
    <w:p w14:paraId="3CF1662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（3）最终验收：</w:t>
      </w:r>
    </w:p>
    <w:p w14:paraId="14E1CF0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标的交付验收合格投入使用后，乙方提供的售后服务与其投标承诺一致或更优，且乙方履行完合同约定的应当由乙方履行的全部事项之，视为最终验收合格。</w:t>
      </w:r>
    </w:p>
    <w:p w14:paraId="3573DAD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5.其他事项：</w:t>
      </w:r>
    </w:p>
    <w:p w14:paraId="6557ED2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（1）验收时，甲方与乙方双方应当派员在场，并对验收结果签署意见，否则视为其同意验收结果。</w:t>
      </w:r>
    </w:p>
    <w:p w14:paraId="78C1AFD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于乙方的原因造成甲方验收不合格、影响甲方正常使用的，由此造成的损失由乙方承担。初步验收或交付验收不合格的，甲方有权终止合同并全部退货，同时报相关监督管理部门处理，由此造成甲方经济损失的由乙方负责承担全部赔偿责任。</w:t>
      </w:r>
    </w:p>
    <w:p w14:paraId="2D2A342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（3）对技术复杂的货物，甲方可请国家认可的专业检测机构参与初步验收及交付验收，并由其出具质量检测报告，费用由乙方承担。</w:t>
      </w:r>
    </w:p>
    <w:p w14:paraId="4329A95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（4）验收过程中所产生的一切费用均由乙方承担，乙方在投标报价时应综合考虑相关费用。</w:t>
      </w:r>
    </w:p>
    <w:p w14:paraId="1266AFC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（5）甲方对产品的验收不免除乙方的质量保证责任。</w:t>
      </w:r>
    </w:p>
    <w:p w14:paraId="3CE105C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2.交付标准和方法</w:t>
      </w:r>
    </w:p>
    <w:p w14:paraId="0DEA5BCB">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（1）除售后服务验收外，</w:t>
      </w:r>
      <w:r>
        <w:rPr>
          <w:rFonts w:hint="eastAsia" w:ascii="宋体" w:hAnsi="宋体" w:cs="宋体"/>
          <w:color w:val="auto"/>
          <w:szCs w:val="21"/>
          <w:highlight w:val="none"/>
        </w:rPr>
        <w:t>验收结论合格的，乙方应自收到验收书后</w:t>
      </w:r>
      <w:r>
        <w:rPr>
          <w:rFonts w:hint="eastAsia" w:ascii="宋体" w:hAnsi="宋体" w:cs="宋体"/>
          <w:color w:val="auto"/>
          <w:szCs w:val="21"/>
          <w:highlight w:val="none"/>
          <w:u w:val="single"/>
        </w:rPr>
        <w:t>1</w:t>
      </w:r>
      <w:r>
        <w:rPr>
          <w:rFonts w:hint="eastAsia" w:ascii="宋体" w:hAnsi="宋体" w:cs="宋体"/>
          <w:color w:val="auto"/>
          <w:szCs w:val="21"/>
          <w:highlight w:val="none"/>
        </w:rPr>
        <w:t>日内向甲方交付使用。</w:t>
      </w:r>
    </w:p>
    <w:p w14:paraId="70FE7489">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（2）货物的所有权和风险自交付且经甲方验收合格时起由乙方转移至甲方，货物交付给甲方之前所有风险均由乙方承担。</w:t>
      </w:r>
    </w:p>
    <w:p w14:paraId="23A7A384">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售后服务</w:t>
      </w:r>
    </w:p>
    <w:p w14:paraId="0831FB3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1.乙方应按照国家有关法律法规规定以及投标文件承诺，为甲方提供售后服务。</w:t>
      </w:r>
    </w:p>
    <w:p w14:paraId="5EDE49A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2.质量保修范围:</w:t>
      </w:r>
      <w:r>
        <w:rPr>
          <w:rFonts w:hint="eastAsia" w:ascii="宋体" w:hAnsi="宋体" w:cs="宋体"/>
          <w:color w:val="auto"/>
          <w:szCs w:val="21"/>
          <w:highlight w:val="none"/>
          <w:u w:val="single"/>
        </w:rPr>
        <w:t xml:space="preserve"> 本项目采购范围内的所有设备</w:t>
      </w:r>
      <w:r>
        <w:rPr>
          <w:rFonts w:hint="eastAsia" w:ascii="宋体" w:hAnsi="宋体" w:cs="宋体"/>
          <w:color w:val="auto"/>
          <w:szCs w:val="21"/>
          <w:highlight w:val="none"/>
        </w:rPr>
        <w:t>。免费保修期内上门维修（维修费和元器件费包含在投标报价中）、更换零部件，软件终身免费升级服务，设备生产厂家提供远程联机维护服务，能对设备进行软件升级及故障分析；保修期： 按乙方投标文件承诺（且不低于采购文件要求）执行  。</w:t>
      </w:r>
    </w:p>
    <w:p w14:paraId="4F64208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3.免费保修期：</w:t>
      </w:r>
      <w:r>
        <w:rPr>
          <w:rFonts w:hint="eastAsia" w:ascii="宋体" w:hAnsi="宋体" w:cs="宋体"/>
          <w:bCs/>
          <w:color w:val="auto"/>
          <w:szCs w:val="21"/>
          <w:highlight w:val="none"/>
        </w:rPr>
        <w:t>按国家有关产品“三包”规定执行“三包”；免费保修期为年（免费保修期从设备验收合格之日起计算），免费保修期内上门维修不收取任何费用，</w:t>
      </w:r>
      <w:r>
        <w:rPr>
          <w:rFonts w:hint="eastAsia" w:ascii="宋体" w:hAnsi="宋体" w:cs="宋体"/>
          <w:bCs/>
          <w:color w:val="auto"/>
          <w:szCs w:val="21"/>
          <w:highlight w:val="none"/>
          <w:u w:val="single"/>
        </w:rPr>
        <w:t>提供</w:t>
      </w:r>
      <w:r>
        <w:rPr>
          <w:rFonts w:hint="eastAsia" w:ascii="宋体" w:hAnsi="宋体" w:cs="宋体"/>
          <w:bCs/>
          <w:color w:val="auto"/>
          <w:szCs w:val="21"/>
          <w:highlight w:val="none"/>
        </w:rPr>
        <w:t>备用机。</w:t>
      </w:r>
    </w:p>
    <w:p w14:paraId="704E5BF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4.在免费保修期内因货物本身的质量问题发生故障，乙方应负责免费修理和更换零部件。对达不到技术要求者，根据实际情况，甲方有权按以下办法处理：</w:t>
      </w:r>
    </w:p>
    <w:p w14:paraId="0EDF073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（1）更换：由乙方承担所发生的全部费用。</w:t>
      </w:r>
    </w:p>
    <w:p w14:paraId="0F2A579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（2）贬值处理：由甲乙双方合议定价。</w:t>
      </w:r>
    </w:p>
    <w:p w14:paraId="34C2A04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（3）退货处理：乙方应退还甲方支付的合同款，同时应承担该货物的直接费用（运输、保险、检验、货款利息及银行手续费等）。</w:t>
      </w:r>
    </w:p>
    <w:p w14:paraId="2B3A1C48">
      <w:pPr>
        <w:pStyle w:val="24"/>
        <w:adjustRightInd w:val="0"/>
        <w:snapToGrid w:val="0"/>
        <w:spacing w:line="360" w:lineRule="auto"/>
        <w:ind w:firstLine="420" w:firstLineChars="200"/>
        <w:rPr>
          <w:rFonts w:hAnsi="宋体" w:cs="宋体"/>
          <w:color w:val="auto"/>
          <w:sz w:val="21"/>
          <w:highlight w:val="none"/>
        </w:rPr>
      </w:pPr>
      <w:r>
        <w:rPr>
          <w:rFonts w:hint="eastAsia" w:ascii="宋体" w:hAnsi="宋体" w:eastAsia="宋体" w:cs="宋体"/>
          <w:color w:val="auto"/>
          <w:sz w:val="21"/>
          <w:highlight w:val="none"/>
        </w:rPr>
        <w:t>5.如在使用过程中发生质量问题，乙方在接到甲方通知后</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color w:val="auto"/>
          <w:sz w:val="21"/>
          <w:highlight w:val="none"/>
        </w:rPr>
        <w:t>小时内响应，</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color w:val="auto"/>
          <w:sz w:val="21"/>
          <w:highlight w:val="none"/>
        </w:rPr>
        <w:t>小时内到达现场进行处理，到达现场后</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color w:val="auto"/>
          <w:sz w:val="21"/>
          <w:highlight w:val="none"/>
        </w:rPr>
        <w:t>小时内排除故障，恢复正常使用。乙方逾期响应、到达现场、排除故障或者无法排除故障的，甲方有权自行或寻找第三方机构获得维修、维护等售后服务，全部费用由乙方承担，且无需经过乙方同意、确认。</w:t>
      </w:r>
    </w:p>
    <w:p w14:paraId="4FC1CC50">
      <w:pPr>
        <w:pStyle w:val="24"/>
        <w:adjustRightInd w:val="0"/>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6.在免费保修期内，乙方应对货物出现的质量及安全问题负责处理解决并承担一切费用。</w:t>
      </w:r>
    </w:p>
    <w:p w14:paraId="7DB93F0B">
      <w:pPr>
        <w:pStyle w:val="24"/>
        <w:adjustRightInd w:val="0"/>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7.本项目采购范围内的货物因人为因素出现的故障不在免费保修范围内。超过免费保修期的机器设备，提供终生维修服务。</w:t>
      </w:r>
    </w:p>
    <w:p w14:paraId="10557E14">
      <w:pPr>
        <w:pStyle w:val="24"/>
        <w:adjustRightInd w:val="0"/>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8. 乙方提供的货物在免费保修期内，因设计、工艺或材料的缺陷和其它质量原因造成的问题，由乙方负责，费用从最后一笔支付的合同价款当中扣除，不足以扣除的，由乙方另行支付。</w:t>
      </w:r>
    </w:p>
    <w:p w14:paraId="22FD978D">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9.乙方提供的服务承诺和售后服务及免费保修期责任等其它具体约定事项。（见合同附件）</w:t>
      </w:r>
    </w:p>
    <w:p w14:paraId="3EAB2F2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履约保证金</w:t>
      </w:r>
    </w:p>
    <w:p w14:paraId="09E41CD5">
      <w:pPr>
        <w:widowControl/>
        <w:autoSpaceDE w:val="0"/>
        <w:autoSpaceDN w:val="0"/>
        <w:snapToGrid w:val="0"/>
        <w:spacing w:line="360" w:lineRule="auto"/>
        <w:ind w:firstLine="420" w:firstLineChars="200"/>
        <w:jc w:val="left"/>
        <w:textAlignment w:val="bottom"/>
        <w:rPr>
          <w:rFonts w:ascii="宋体" w:hAnsi="宋体" w:cs="宋体"/>
          <w:color w:val="auto"/>
          <w:szCs w:val="21"/>
          <w:highlight w:val="none"/>
        </w:rPr>
      </w:pPr>
      <w:r>
        <w:rPr>
          <w:rFonts w:hint="eastAsia" w:ascii="宋体" w:hAnsi="宋体" w:cs="宋体"/>
          <w:color w:val="auto"/>
          <w:szCs w:val="21"/>
          <w:highlight w:val="none"/>
        </w:rPr>
        <w:t>1.履约保证金金额：合同金额的5%。（中小企业收取的履约保证金数额为政府采购合同金额的2%）。</w:t>
      </w:r>
    </w:p>
    <w:p w14:paraId="50FF2123">
      <w:pPr>
        <w:widowControl/>
        <w:autoSpaceDE w:val="0"/>
        <w:autoSpaceDN w:val="0"/>
        <w:snapToGrid w:val="0"/>
        <w:spacing w:line="360" w:lineRule="auto"/>
        <w:ind w:firstLine="420" w:firstLineChars="200"/>
        <w:jc w:val="left"/>
        <w:textAlignment w:val="bottom"/>
        <w:rPr>
          <w:rFonts w:ascii="宋体" w:hAnsi="宋体" w:cs="宋体"/>
          <w:color w:val="auto"/>
          <w:szCs w:val="21"/>
          <w:highlight w:val="none"/>
        </w:rPr>
      </w:pPr>
      <w:r>
        <w:rPr>
          <w:rFonts w:hint="eastAsia" w:ascii="宋体" w:hAnsi="宋体" w:cs="宋体"/>
          <w:color w:val="auto"/>
          <w:szCs w:val="21"/>
          <w:highlight w:val="none"/>
        </w:rPr>
        <w:t>2.履约保证金的形式：银行转账、银行保函、电子保函等。</w:t>
      </w:r>
    </w:p>
    <w:p w14:paraId="0AE0FD39">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3.履约保证金的缴纳时间：乙方在收到中标通知书后正式签订合同前向甲方足额提交履约保证金，否则甲方可以取消其中标资格。</w:t>
      </w:r>
    </w:p>
    <w:p w14:paraId="18421F59">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第十一条　违约责任</w:t>
      </w:r>
    </w:p>
    <w:p w14:paraId="38F56153">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1.合同一方不履行合同义务、履行合同义务不符合约定或者违反合同项下所作保证的， 应向对方承担继续履行、采取修理、更换、退货等补救措施或者赔偿损失等违约责任。</w:t>
      </w:r>
    </w:p>
    <w:p w14:paraId="60E7E31E">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2.乙方延迟交付货物的，应向甲方支付延迟违约金。延迟违约金的计算方法如下：每延迟一天向对方偿付货款总额3‰违约金，超过30 天甲方有权解除合同，乙方承担因此给甲方造成的全部损失，并按照货款总额的15%向甲方支付违约金，且乙方应当退还甲方支付过的全部费用。</w:t>
      </w:r>
      <w:r>
        <w:rPr>
          <w:rFonts w:hint="eastAsia" w:hAnsi="宋体" w:cs="宋体"/>
          <w:color w:val="auto"/>
          <w:highlight w:val="none"/>
        </w:rPr>
        <w:t>如延迟交付必然导致合同货物安装、调试、验收等工作推迟的，相关工作应相应顺延。</w:t>
      </w:r>
    </w:p>
    <w:p w14:paraId="6CC0C1A4">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甲方未能按合同约定支付合同价款的，经乙方书面催告，甲方无正当理由在合理期限（不少于10个工作日）内仍未支付的，自合理期限届满之次日起，应向乙方支付延迟付款违约金。延迟付款违约金的计算方法如下：每延迟一天向乙方偿付当期应付未付金额0.3‰违约金，但违约金累计不得超过当期应付未付总额的5%。</w:t>
      </w:r>
    </w:p>
    <w:p w14:paraId="4C12CD5D">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乙方提供的产品不符合本合同约定或存在质量问题的，乙方应当按照本合同约定以及甲方要求进行退换，并承担由此产生的一切费用，因退换导致逾期交货的，乙方应当按照本合同第十一条第2点的内容承担逾期交货违约责任；乙方拒绝退换的，甲方有权解除合同，乙方应当自行取回货物，甲方不承担任何保管义务，并且乙方应当按照合同总金额的15%向甲方支付违约金。</w:t>
      </w:r>
    </w:p>
    <w:p w14:paraId="07A03611">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5.乙方未按本合同和投标承诺提供售后服务的，经甲方书面催告1次仍不整改的，乙方应按本合同价款（报酬）的 5%向甲方支付违约金，同时甲方有权寻找第三方机构获得售后服务，全部费用由乙方承担，且无需经过乙方同意、确认。乙方经甲方书面催告3次仍不整改的，甲方有权解除合同，甲方解除合同的，无需向乙方支付任何设备使用费、折旧费以及其他补偿，乙方应当退还甲方支付过的费用，并自行取回货物，甲方不承担任何保管义务。</w:t>
      </w:r>
    </w:p>
    <w:p w14:paraId="546CBAFF">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6.因某一方原因导致变更、中止或者终止政府采购合同的，该方应当对另一方受到的损失予以赔偿或者补偿。</w:t>
      </w:r>
    </w:p>
    <w:p w14:paraId="3E023299">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7.其它违约责任按《中华人民共和国民法典》处理。</w:t>
      </w:r>
    </w:p>
    <w:p w14:paraId="42F85F31">
      <w:pPr>
        <w:pStyle w:val="24"/>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第十二条  不可抗力事件处理</w:t>
      </w:r>
    </w:p>
    <w:p w14:paraId="0E986FA9">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1.在合同有效期内，任何一方因不可抗力事件导致不能履行合同，则合同履行期可延长，其延长期与不可抗力影响期相同。</w:t>
      </w:r>
    </w:p>
    <w:p w14:paraId="7DA9709F">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2.不可抗力事件发生后，应立即通知对方，并寄送有关权威机构出具的证明。</w:t>
      </w:r>
    </w:p>
    <w:p w14:paraId="6B17FA0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1EC5189D">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第十三条  合同争议解决</w:t>
      </w:r>
    </w:p>
    <w:p w14:paraId="68B2F4B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对货物质量进行鉴定，鉴定工作由乙方负责，并由乙方先行垫付鉴定费。货物符合标准的，鉴定费由甲方承担；货物不符合标准的，鉴定费由乙方承担。</w:t>
      </w:r>
    </w:p>
    <w:p w14:paraId="6587B7B2">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应向甲方所在地有管辖权的人民法院提起诉讼。守约方有权要求违约方支付因维护自身权益所支出的诉讼费、律师费、交通费、保险费、保全费、执行费等一切费用。</w:t>
      </w:r>
    </w:p>
    <w:p w14:paraId="69703158">
      <w:pPr>
        <w:pStyle w:val="57"/>
        <w:spacing w:line="360" w:lineRule="auto"/>
        <w:ind w:firstLine="420"/>
        <w:rPr>
          <w:rFonts w:ascii="宋体" w:hAnsi="宋体" w:cs="宋体"/>
          <w:color w:val="auto"/>
          <w:highlight w:val="none"/>
        </w:rPr>
      </w:pPr>
      <w:r>
        <w:rPr>
          <w:rFonts w:hint="eastAsia" w:ascii="宋体" w:hAnsi="宋体" w:cs="宋体"/>
          <w:color w:val="auto"/>
          <w:szCs w:val="21"/>
          <w:highlight w:val="none"/>
        </w:rPr>
        <w:t>3.本合同所留单位地址为各方居住地址或者主要办事机构所在地址，本合同履行过程中发生任何纠纷，则前述地址视为法院邮寄法律文书及邮寄催收函、律师函、工作联系函等文件的法定送达地址。所留电话为文件邮寄的联系电话，邮件一旦邮寄，不管是否签收即视为送达，拒收或者退件，以拒收或者退件时间为送达时间。</w:t>
      </w:r>
    </w:p>
    <w:p w14:paraId="17A7DD92">
      <w:pPr>
        <w:autoSpaceDE w:val="0"/>
        <w:autoSpaceDN w:val="0"/>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合同的变更、中止或者终止</w:t>
      </w:r>
    </w:p>
    <w:p w14:paraId="48E74D4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除《中华人民共和国政府采购法》第五十条规定的情形外，本合同一经签订，甲乙双方不得擅自变更、中止或者终止合同。</w:t>
      </w:r>
    </w:p>
    <w:p w14:paraId="6E6FB610">
      <w:pPr>
        <w:pStyle w:val="18"/>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2.采购合同继续履行将损害国家利益和社会公共利益的，双方当事人应当变更、中止或者终止合同。有过错的一方应当承担赔偿责任，双方都有过错的，各自承担相应的责任。</w:t>
      </w:r>
    </w:p>
    <w:p w14:paraId="18C6EE5C">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知识产权、权利保证和保密要求</w:t>
      </w:r>
    </w:p>
    <w:p w14:paraId="420DF43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1.甲方在履行合同过程中提供给乙方的全部图纸、文件和其他含有数据和信息的资料，其知识产权属于甲方。</w:t>
      </w:r>
    </w:p>
    <w:p w14:paraId="371810F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2.除招标文件采购需求另有约定外，甲方不因签署和履行合同而享有乙方在履行合同过程中提供给甲方的图纸、文件、配套软件、电子辅助程序和其他含有数据和信息的资料的知识产权。</w:t>
      </w:r>
    </w:p>
    <w:p w14:paraId="752A4EE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5BBB8BA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4.如果甲方收到任何第三方有关知识产权或其他权利的主张、索赔或诉讼，乙方在收到甲方通知后， 应以甲方名义并在甲方的协助下，自负费用处理与第三方的索赔或诉讼，并赔偿甲方因此发生的费用和遭受的损失。如果乙方拒绝处理前述索赔或诉讼或在收到甲方通知后3日内未作表示，甲方可以自己的名义进行这些索赔或诉讼，因此发生的费用和遭受的损失均应由乙方承担，包括但不限于支付给第三方的赔偿金、补偿金、因消除负面影响或舆情产生的全部费用、因涉纠纷发生的律师费、诉讼费、保全费、保全担保保险费、差旅费等。</w:t>
      </w:r>
    </w:p>
    <w:p w14:paraId="571A7C8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7BD2374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6.乙方保证将要交付的货物的所有权完全属于乙方且无任何抵押、质押、查封等产权瑕疵。</w:t>
      </w:r>
    </w:p>
    <w:p w14:paraId="6C9C070E">
      <w:pPr>
        <w:pStyle w:val="24"/>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第十六条  合同生效及其它</w:t>
      </w:r>
    </w:p>
    <w:p w14:paraId="2C658C31">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1.合同经双方法定代表人或者委托代理人签字并加盖单位公章后生效（委托代理人签字的需后附授权委托书，格式自拟）。</w:t>
      </w:r>
    </w:p>
    <w:p w14:paraId="4D965203">
      <w:pPr>
        <w:pStyle w:val="18"/>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2.合同执行中涉及采购资金和采购内容修改或者补充的，并签书面补充协议报财政部门备案，方可作为主合同不可分割的一部分。</w:t>
      </w:r>
    </w:p>
    <w:p w14:paraId="46B0C053">
      <w:pPr>
        <w:pStyle w:val="18"/>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3.合同生效后，甲乙双方不得因姓名、名称的变更或者法定代表人、负责人、承办人的变动而不履行合同义务。</w:t>
      </w:r>
    </w:p>
    <w:p w14:paraId="6A0E7479">
      <w:pPr>
        <w:pStyle w:val="24"/>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4.本合同未尽事宜，遵照《中华人民共和国民法典》有关条文执行。</w:t>
      </w:r>
    </w:p>
    <w:p w14:paraId="3B0AADB9">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第十七条　签订本合同依据</w:t>
      </w:r>
    </w:p>
    <w:p w14:paraId="113058E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1.政府采购招标文件；</w:t>
      </w:r>
    </w:p>
    <w:p w14:paraId="47AE40D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2.乙方提供的投标文件；</w:t>
      </w:r>
    </w:p>
    <w:p w14:paraId="1DA5E89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3.中标通知书。</w:t>
      </w:r>
    </w:p>
    <w:p w14:paraId="3A320493">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第十八条 廉洁承诺</w:t>
      </w:r>
    </w:p>
    <w:p w14:paraId="6E585573">
      <w:pPr>
        <w:pStyle w:val="24"/>
        <w:adjustRightInd w:val="0"/>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为保证医疗设备购销领域活动的廉洁性，防止各类违法违纪案件的发生，乙方供货公司和所属人员庄严承诺如下：</w:t>
      </w:r>
    </w:p>
    <w:p w14:paraId="3E046FBA">
      <w:pPr>
        <w:pStyle w:val="24"/>
        <w:adjustRightInd w:val="0"/>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1．遵守国家的法律法规。依法处理医疗设备购销业务，保证不搞违法乱纪活动，自觉接受执法执纪部门的监督检查；</w:t>
      </w:r>
    </w:p>
    <w:p w14:paraId="3DED1512">
      <w:pPr>
        <w:pStyle w:val="24"/>
        <w:adjustRightInd w:val="0"/>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2．在医疗设备购销领域中，保证不以任何形式给予医院工作人员回扣、好处费等；</w:t>
      </w:r>
    </w:p>
    <w:p w14:paraId="1DE4C541">
      <w:pPr>
        <w:pStyle w:val="24"/>
        <w:adjustRightInd w:val="0"/>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3．在正常业务交往中，保证不赠送各种礼金、有价证券和贵重物品，不给对方报销应由个人支付的费用；</w:t>
      </w:r>
    </w:p>
    <w:p w14:paraId="5A9A712B">
      <w:pPr>
        <w:pStyle w:val="24"/>
        <w:adjustRightInd w:val="0"/>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4．维护正常的医疗秩序，保证不以宴请、高消费娱乐、提供国（境）外学术活动等手段影响医生的用药选择权；</w:t>
      </w:r>
    </w:p>
    <w:p w14:paraId="4C6CC4D7">
      <w:pPr>
        <w:pStyle w:val="24"/>
        <w:adjustRightInd w:val="0"/>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5．乙方给医院的捐赠款物，保证严格按照《中华人民共和国公益事业捐赠法》和《卫生计生单位接受公益事业捐赠管理办法》（国卫财务发2015 77号）等法律法规执行；</w:t>
      </w:r>
    </w:p>
    <w:p w14:paraId="7D6FC898">
      <w:pPr>
        <w:pStyle w:val="24"/>
        <w:adjustRightInd w:val="0"/>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6．严格对业务代表进行管理，不进入医院门诊、病区、科室向医护人员推销医疗产品，业务代表不得以任何理由让临床、设备、信息等有关人员统计医生处方和有关耗材的用量信息或要求相关人员为此提供便利；</w:t>
      </w:r>
    </w:p>
    <w:p w14:paraId="0AB940F4">
      <w:pPr>
        <w:pStyle w:val="24"/>
        <w:adjustRightInd w:val="0"/>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以上承诺如有违反，乙方愿意按照《国家卫生计生委关于建立医药购销领域商业贿赂不良记录的规定》（国卫法制发〔2013〕50号）等相关规定处理。如果情节严重的移交司法机关处理。</w:t>
      </w:r>
    </w:p>
    <w:p w14:paraId="0700947A">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第十九条　</w:t>
      </w:r>
      <w:r>
        <w:rPr>
          <w:rFonts w:hint="eastAsia" w:ascii="宋体" w:hAnsi="宋体" w:cs="宋体"/>
          <w:color w:val="auto"/>
          <w:szCs w:val="21"/>
          <w:highlight w:val="none"/>
        </w:rPr>
        <w:t>本合同一式陆份，具有同等法律效力。甲方肆份，乙方壹份，</w:t>
      </w:r>
      <w:r>
        <w:rPr>
          <w:rFonts w:hint="eastAsia" w:ascii="宋体" w:hAnsi="宋体" w:cs="宋体"/>
          <w:color w:val="auto"/>
          <w:spacing w:val="4"/>
          <w:szCs w:val="21"/>
          <w:highlight w:val="none"/>
        </w:rPr>
        <w:t>采购代理机构</w:t>
      </w:r>
      <w:r>
        <w:rPr>
          <w:rFonts w:hint="eastAsia" w:ascii="宋体" w:hAnsi="宋体" w:cs="宋体"/>
          <w:color w:val="auto"/>
          <w:szCs w:val="21"/>
          <w:highlight w:val="none"/>
        </w:rPr>
        <w:t>壹份。本合同经甲乙双方法定代表人或授权代表签字并加盖单位公章后生效。</w:t>
      </w:r>
    </w:p>
    <w:p w14:paraId="1D4B1A2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w:t>
      </w:r>
    </w:p>
    <w:p w14:paraId="716E3E9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1.中标通知书</w:t>
      </w:r>
    </w:p>
    <w:p w14:paraId="6C0D250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2.招标文件技术、商务要求</w:t>
      </w:r>
    </w:p>
    <w:p w14:paraId="3EA5A01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3.乙方的投标声明、开标一览表、技术要求偏离表、商务要求偏离表、设备性能配置清单及参数（如有）、售后服务方案（如有）、选配件、专用耗材、售后服务优惠表（如有）</w:t>
      </w:r>
    </w:p>
    <w:p w14:paraId="7FC22326">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4.乙方的营业执照等主体证明文件、医疗器械经营许可证（或医疗器械经营备案凭证）</w:t>
      </w:r>
    </w:p>
    <w:p w14:paraId="54A640D6">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5.制造商授权书（如有）</w:t>
      </w:r>
    </w:p>
    <w:p w14:paraId="4B971CE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6.制造商相关资质及合同标的对应的医疗器械注册证复印件等；</w:t>
      </w:r>
    </w:p>
    <w:p w14:paraId="65DFE2A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（以下无正文，为签署页）</w:t>
      </w:r>
    </w:p>
    <w:tbl>
      <w:tblPr>
        <w:tblStyle w:val="4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5"/>
        <w:gridCol w:w="4825"/>
      </w:tblGrid>
      <w:tr w14:paraId="5BFD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75B8868D">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甲方（章）广西壮族自治区南溪山医院（广西壮族自治区第二人民医院）</w:t>
            </w:r>
          </w:p>
        </w:tc>
        <w:tc>
          <w:tcPr>
            <w:tcW w:w="4825" w:type="dxa"/>
            <w:tcBorders>
              <w:top w:val="single" w:color="auto" w:sz="4" w:space="0"/>
              <w:left w:val="single" w:color="auto" w:sz="4" w:space="0"/>
              <w:bottom w:val="single" w:color="auto" w:sz="4" w:space="0"/>
              <w:right w:val="single" w:color="auto" w:sz="4" w:space="0"/>
            </w:tcBorders>
            <w:noWrap/>
            <w:vAlign w:val="center"/>
          </w:tcPr>
          <w:p w14:paraId="74C68227">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乙方（章）</w:t>
            </w:r>
          </w:p>
        </w:tc>
      </w:tr>
      <w:tr w14:paraId="2FA9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264AA34A">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单位地址：桂林市象山区崇信路46号</w:t>
            </w:r>
          </w:p>
        </w:tc>
        <w:tc>
          <w:tcPr>
            <w:tcW w:w="4825" w:type="dxa"/>
            <w:tcBorders>
              <w:top w:val="single" w:color="auto" w:sz="4" w:space="0"/>
              <w:left w:val="single" w:color="auto" w:sz="4" w:space="0"/>
              <w:bottom w:val="single" w:color="auto" w:sz="4" w:space="0"/>
              <w:right w:val="single" w:color="auto" w:sz="4" w:space="0"/>
            </w:tcBorders>
            <w:noWrap/>
            <w:vAlign w:val="center"/>
          </w:tcPr>
          <w:p w14:paraId="44EFACF2">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6D93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3FD5647D">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825" w:type="dxa"/>
            <w:tcBorders>
              <w:top w:val="single" w:color="auto" w:sz="4" w:space="0"/>
              <w:left w:val="single" w:color="auto" w:sz="4" w:space="0"/>
              <w:bottom w:val="single" w:color="auto" w:sz="4" w:space="0"/>
              <w:right w:val="single" w:color="auto" w:sz="4" w:space="0"/>
            </w:tcBorders>
            <w:noWrap/>
            <w:vAlign w:val="center"/>
          </w:tcPr>
          <w:p w14:paraId="1FBBABEA">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法定代表人： </w:t>
            </w:r>
          </w:p>
        </w:tc>
      </w:tr>
      <w:tr w14:paraId="30CE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181157E6">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825" w:type="dxa"/>
            <w:tcBorders>
              <w:top w:val="single" w:color="auto" w:sz="4" w:space="0"/>
              <w:left w:val="single" w:color="auto" w:sz="4" w:space="0"/>
              <w:bottom w:val="single" w:color="auto" w:sz="4" w:space="0"/>
              <w:right w:val="single" w:color="auto" w:sz="4" w:space="0"/>
            </w:tcBorders>
            <w:noWrap/>
            <w:vAlign w:val="center"/>
          </w:tcPr>
          <w:p w14:paraId="3B7D3740">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委托代理人： </w:t>
            </w:r>
          </w:p>
        </w:tc>
      </w:tr>
      <w:tr w14:paraId="230F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002FD4DA">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电话：0773-3831227</w:t>
            </w:r>
          </w:p>
        </w:tc>
        <w:tc>
          <w:tcPr>
            <w:tcW w:w="4825" w:type="dxa"/>
            <w:tcBorders>
              <w:top w:val="single" w:color="auto" w:sz="4" w:space="0"/>
              <w:left w:val="single" w:color="auto" w:sz="4" w:space="0"/>
              <w:bottom w:val="single" w:color="auto" w:sz="4" w:space="0"/>
              <w:right w:val="single" w:color="auto" w:sz="4" w:space="0"/>
            </w:tcBorders>
            <w:noWrap/>
            <w:vAlign w:val="center"/>
          </w:tcPr>
          <w:p w14:paraId="6D7301D9">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5031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3701DBC8">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电子邮箱：nysbk3831227@163.com</w:t>
            </w:r>
          </w:p>
        </w:tc>
        <w:tc>
          <w:tcPr>
            <w:tcW w:w="4825" w:type="dxa"/>
            <w:tcBorders>
              <w:top w:val="single" w:color="auto" w:sz="4" w:space="0"/>
              <w:left w:val="single" w:color="auto" w:sz="4" w:space="0"/>
              <w:bottom w:val="single" w:color="auto" w:sz="4" w:space="0"/>
              <w:right w:val="single" w:color="auto" w:sz="4" w:space="0"/>
            </w:tcBorders>
            <w:noWrap/>
            <w:vAlign w:val="center"/>
          </w:tcPr>
          <w:p w14:paraId="7A5DD264">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电子邮箱：</w:t>
            </w:r>
          </w:p>
        </w:tc>
      </w:tr>
      <w:tr w14:paraId="39F4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20ADDA29">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纳税人识别号： 12450000498502373N</w:t>
            </w:r>
          </w:p>
        </w:tc>
        <w:tc>
          <w:tcPr>
            <w:tcW w:w="4825" w:type="dxa"/>
            <w:tcBorders>
              <w:top w:val="single" w:color="auto" w:sz="4" w:space="0"/>
              <w:left w:val="single" w:color="auto" w:sz="4" w:space="0"/>
              <w:bottom w:val="single" w:color="auto" w:sz="4" w:space="0"/>
              <w:right w:val="single" w:color="auto" w:sz="4" w:space="0"/>
            </w:tcBorders>
            <w:noWrap/>
            <w:vAlign w:val="center"/>
          </w:tcPr>
          <w:p w14:paraId="0AD20727">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纳税人识别号：</w:t>
            </w:r>
          </w:p>
        </w:tc>
      </w:tr>
      <w:tr w14:paraId="325A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1EDAE731">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开户银行：中国建设银行股份有限公司桂林城南支行</w:t>
            </w:r>
          </w:p>
        </w:tc>
        <w:tc>
          <w:tcPr>
            <w:tcW w:w="4825" w:type="dxa"/>
            <w:tcBorders>
              <w:top w:val="single" w:color="auto" w:sz="4" w:space="0"/>
              <w:left w:val="single" w:color="auto" w:sz="4" w:space="0"/>
              <w:bottom w:val="single" w:color="auto" w:sz="4" w:space="0"/>
              <w:right w:val="single" w:color="auto" w:sz="4" w:space="0"/>
            </w:tcBorders>
            <w:noWrap/>
            <w:vAlign w:val="center"/>
          </w:tcPr>
          <w:p w14:paraId="17D7EDFC">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p>
        </w:tc>
      </w:tr>
      <w:tr w14:paraId="7C41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3AEE9A7E">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账号：45001635305059666666</w:t>
            </w:r>
          </w:p>
        </w:tc>
        <w:tc>
          <w:tcPr>
            <w:tcW w:w="4825" w:type="dxa"/>
            <w:tcBorders>
              <w:top w:val="single" w:color="auto" w:sz="4" w:space="0"/>
              <w:left w:val="single" w:color="auto" w:sz="4" w:space="0"/>
              <w:bottom w:val="single" w:color="auto" w:sz="4" w:space="0"/>
              <w:right w:val="single" w:color="auto" w:sz="4" w:space="0"/>
            </w:tcBorders>
            <w:noWrap/>
            <w:vAlign w:val="center"/>
          </w:tcPr>
          <w:p w14:paraId="1AF43A6A">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1242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1B82907A">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邮政编码：541002</w:t>
            </w:r>
          </w:p>
        </w:tc>
        <w:tc>
          <w:tcPr>
            <w:tcW w:w="4825" w:type="dxa"/>
            <w:tcBorders>
              <w:top w:val="single" w:color="auto" w:sz="4" w:space="0"/>
              <w:left w:val="single" w:color="auto" w:sz="4" w:space="0"/>
              <w:bottom w:val="single" w:color="auto" w:sz="4" w:space="0"/>
              <w:right w:val="single" w:color="auto" w:sz="4" w:space="0"/>
            </w:tcBorders>
            <w:noWrap/>
            <w:vAlign w:val="center"/>
          </w:tcPr>
          <w:p w14:paraId="28F71AB4">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r w14:paraId="4FEA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9120" w:type="dxa"/>
            <w:gridSpan w:val="2"/>
            <w:tcBorders>
              <w:top w:val="single" w:color="auto" w:sz="4" w:space="0"/>
              <w:left w:val="single" w:color="auto" w:sz="4" w:space="0"/>
              <w:bottom w:val="single" w:color="auto" w:sz="4" w:space="0"/>
              <w:right w:val="single" w:color="auto" w:sz="4" w:space="0"/>
            </w:tcBorders>
            <w:noWrap/>
          </w:tcPr>
          <w:p w14:paraId="1736BDC3">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签订时间：</w:t>
            </w:r>
          </w:p>
          <w:p w14:paraId="27BF0B93">
            <w:pPr>
              <w:adjustRightInd w:val="0"/>
              <w:snapToGrid w:val="0"/>
              <w:spacing w:line="360" w:lineRule="auto"/>
              <w:ind w:firstLine="2520" w:firstLineChars="1200"/>
              <w:rPr>
                <w:rFonts w:ascii="宋体" w:hAnsi="宋体" w:cs="宋体"/>
                <w:color w:val="auto"/>
                <w:szCs w:val="21"/>
                <w:highlight w:val="none"/>
              </w:rPr>
            </w:pPr>
            <w:r>
              <w:rPr>
                <w:rFonts w:hint="eastAsia" w:ascii="宋体" w:hAnsi="宋体" w:cs="宋体"/>
                <w:color w:val="auto"/>
                <w:szCs w:val="21"/>
                <w:highlight w:val="none"/>
              </w:rPr>
              <w:t>年 　  月 　  日</w:t>
            </w:r>
          </w:p>
        </w:tc>
      </w:tr>
    </w:tbl>
    <w:p w14:paraId="27C09D54">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备注：乙方合同签订开户银行及银行账号与乙方开具付款发票开户银行及银行账号完全一致。每份附设备配置清单及参数，公司营业执照，公司经营许可证、设备注册证、委托代理人授权书，法人及代理人身份证复印件；金额大小写之间不能留空白。</w:t>
      </w:r>
    </w:p>
    <w:p w14:paraId="2FC83CCE">
      <w:pPr>
        <w:rPr>
          <w:rFonts w:ascii="宋体" w:hAnsi="宋体" w:cs="宋体"/>
          <w:bCs/>
          <w:color w:val="auto"/>
          <w:sz w:val="24"/>
          <w:highlight w:val="none"/>
        </w:rPr>
      </w:pPr>
      <w:bookmarkStart w:id="147" w:name="_Hlk55381736"/>
    </w:p>
    <w:bookmarkEnd w:id="147"/>
    <w:p w14:paraId="42EF1188">
      <w:pPr>
        <w:rPr>
          <w:rFonts w:ascii="宋体" w:hAnsi="宋体" w:cs="宋体"/>
          <w:bCs/>
          <w:color w:val="auto"/>
          <w:sz w:val="32"/>
          <w:szCs w:val="32"/>
          <w:highlight w:val="none"/>
        </w:rPr>
      </w:pPr>
    </w:p>
    <w:p w14:paraId="04CD966A">
      <w:pPr>
        <w:rPr>
          <w:rFonts w:ascii="宋体" w:hAnsi="宋体" w:cs="宋体"/>
          <w:bCs/>
          <w:color w:val="auto"/>
          <w:sz w:val="32"/>
          <w:szCs w:val="32"/>
          <w:highlight w:val="none"/>
        </w:rPr>
      </w:pPr>
    </w:p>
    <w:p w14:paraId="7688F6D8">
      <w:pPr>
        <w:rPr>
          <w:rFonts w:ascii="宋体" w:hAnsi="宋体" w:cs="宋体"/>
          <w:bCs/>
          <w:color w:val="auto"/>
          <w:sz w:val="32"/>
          <w:szCs w:val="32"/>
          <w:highlight w:val="none"/>
        </w:rPr>
      </w:pPr>
    </w:p>
    <w:p w14:paraId="1849DF25">
      <w:pPr>
        <w:rPr>
          <w:rFonts w:ascii="宋体" w:hAnsi="宋体" w:cs="宋体"/>
          <w:bCs/>
          <w:color w:val="auto"/>
          <w:sz w:val="32"/>
          <w:szCs w:val="32"/>
          <w:highlight w:val="none"/>
        </w:rPr>
      </w:pPr>
    </w:p>
    <w:p w14:paraId="2B6AD6CD">
      <w:pPr>
        <w:rPr>
          <w:rFonts w:ascii="宋体" w:hAnsi="宋体" w:cs="宋体"/>
          <w:bCs/>
          <w:color w:val="auto"/>
          <w:sz w:val="32"/>
          <w:szCs w:val="32"/>
          <w:highlight w:val="none"/>
        </w:rPr>
      </w:pPr>
    </w:p>
    <w:p w14:paraId="13C9A9DD">
      <w:pPr>
        <w:rPr>
          <w:rFonts w:ascii="宋体" w:hAnsi="宋体" w:cs="宋体"/>
          <w:bCs/>
          <w:color w:val="auto"/>
          <w:sz w:val="32"/>
          <w:szCs w:val="32"/>
          <w:highlight w:val="none"/>
        </w:rPr>
      </w:pPr>
    </w:p>
    <w:p w14:paraId="36595E9C">
      <w:pPr>
        <w:rPr>
          <w:rFonts w:ascii="宋体" w:hAnsi="宋体" w:cs="宋体"/>
          <w:bCs/>
          <w:color w:val="auto"/>
          <w:sz w:val="32"/>
          <w:szCs w:val="32"/>
          <w:highlight w:val="none"/>
        </w:rPr>
      </w:pPr>
    </w:p>
    <w:p w14:paraId="194FD72A">
      <w:pPr>
        <w:pStyle w:val="3"/>
        <w:rPr>
          <w:rFonts w:ascii="宋体" w:hAnsi="宋体" w:eastAsia="宋体" w:cs="宋体"/>
          <w:color w:val="auto"/>
          <w:highlight w:val="none"/>
        </w:rPr>
      </w:pPr>
    </w:p>
    <w:p w14:paraId="2619D409">
      <w:pPr>
        <w:rPr>
          <w:rFonts w:ascii="宋体" w:hAnsi="宋体" w:cs="宋体"/>
          <w:bCs/>
          <w:color w:val="auto"/>
          <w:sz w:val="32"/>
          <w:szCs w:val="32"/>
          <w:highlight w:val="none"/>
        </w:rPr>
      </w:pPr>
    </w:p>
    <w:p w14:paraId="29730236">
      <w:pPr>
        <w:rPr>
          <w:rFonts w:ascii="宋体" w:hAnsi="宋体" w:cs="宋体"/>
          <w:bCs/>
          <w:color w:val="auto"/>
          <w:sz w:val="32"/>
          <w:szCs w:val="32"/>
          <w:highlight w:val="none"/>
        </w:rPr>
      </w:pPr>
    </w:p>
    <w:p w14:paraId="43D66155">
      <w:pPr>
        <w:rPr>
          <w:rFonts w:ascii="宋体" w:hAnsi="宋体" w:cs="宋体"/>
          <w:bCs/>
          <w:color w:val="auto"/>
          <w:sz w:val="32"/>
          <w:szCs w:val="32"/>
          <w:highlight w:val="none"/>
        </w:rPr>
      </w:pPr>
    </w:p>
    <w:p w14:paraId="1CFDBC93">
      <w:pPr>
        <w:rPr>
          <w:rFonts w:ascii="宋体" w:hAnsi="宋体" w:cs="宋体"/>
          <w:bCs/>
          <w:color w:val="auto"/>
          <w:sz w:val="32"/>
          <w:szCs w:val="32"/>
          <w:highlight w:val="none"/>
        </w:rPr>
      </w:pPr>
    </w:p>
    <w:p w14:paraId="461BD7EE">
      <w:pPr>
        <w:pStyle w:val="2"/>
        <w:jc w:val="center"/>
        <w:rPr>
          <w:rFonts w:ascii="宋体" w:hAnsi="宋体" w:cs="宋体"/>
          <w:color w:val="auto"/>
          <w:highlight w:val="none"/>
        </w:rPr>
      </w:pPr>
      <w:bookmarkStart w:id="148" w:name="_Toc74320805"/>
      <w:bookmarkStart w:id="149" w:name="_Toc143259166"/>
      <w:r>
        <w:rPr>
          <w:rFonts w:hint="eastAsia" w:ascii="宋体" w:hAnsi="宋体" w:cs="宋体"/>
          <w:color w:val="auto"/>
          <w:highlight w:val="none"/>
        </w:rPr>
        <w:t>第六章  投标文件格式</w:t>
      </w:r>
      <w:bookmarkEnd w:id="148"/>
      <w:bookmarkEnd w:id="149"/>
    </w:p>
    <w:p w14:paraId="2ABD67C4">
      <w:pPr>
        <w:snapToGrid w:val="0"/>
        <w:spacing w:before="50" w:after="50"/>
        <w:outlineLvl w:val="1"/>
        <w:rPr>
          <w:rFonts w:ascii="宋体" w:hAnsi="宋体" w:cs="宋体"/>
          <w:color w:val="auto"/>
          <w:sz w:val="32"/>
          <w:szCs w:val="20"/>
          <w:highlight w:val="none"/>
        </w:rPr>
      </w:pPr>
    </w:p>
    <w:p w14:paraId="3F5BE9AF">
      <w:pPr>
        <w:snapToGrid w:val="0"/>
        <w:spacing w:before="50" w:after="50"/>
        <w:outlineLvl w:val="1"/>
        <w:rPr>
          <w:rFonts w:ascii="宋体" w:hAnsi="宋体" w:cs="宋体"/>
          <w:color w:val="auto"/>
          <w:sz w:val="32"/>
          <w:szCs w:val="20"/>
          <w:highlight w:val="none"/>
        </w:rPr>
      </w:pPr>
    </w:p>
    <w:p w14:paraId="50310AEC">
      <w:pPr>
        <w:snapToGrid w:val="0"/>
        <w:spacing w:before="50" w:after="50"/>
        <w:outlineLvl w:val="1"/>
        <w:rPr>
          <w:rFonts w:ascii="宋体" w:hAnsi="宋体" w:cs="宋体"/>
          <w:color w:val="auto"/>
          <w:sz w:val="32"/>
          <w:szCs w:val="20"/>
          <w:highlight w:val="none"/>
        </w:rPr>
      </w:pPr>
    </w:p>
    <w:p w14:paraId="01E7CF0E">
      <w:pPr>
        <w:snapToGrid w:val="0"/>
        <w:spacing w:before="50" w:after="50"/>
        <w:outlineLvl w:val="1"/>
        <w:rPr>
          <w:rFonts w:ascii="宋体" w:hAnsi="宋体" w:cs="宋体"/>
          <w:color w:val="auto"/>
          <w:sz w:val="32"/>
          <w:szCs w:val="20"/>
          <w:highlight w:val="none"/>
        </w:rPr>
      </w:pPr>
    </w:p>
    <w:p w14:paraId="0698338F">
      <w:pPr>
        <w:snapToGrid w:val="0"/>
        <w:spacing w:before="50" w:after="50"/>
        <w:outlineLvl w:val="1"/>
        <w:rPr>
          <w:rFonts w:ascii="宋体" w:hAnsi="宋体" w:cs="宋体"/>
          <w:color w:val="auto"/>
          <w:sz w:val="32"/>
          <w:szCs w:val="20"/>
          <w:highlight w:val="none"/>
        </w:rPr>
      </w:pPr>
    </w:p>
    <w:p w14:paraId="45A23359">
      <w:pPr>
        <w:snapToGrid w:val="0"/>
        <w:spacing w:before="50" w:after="50"/>
        <w:outlineLvl w:val="1"/>
        <w:rPr>
          <w:rFonts w:ascii="宋体" w:hAnsi="宋体" w:cs="宋体"/>
          <w:color w:val="auto"/>
          <w:sz w:val="32"/>
          <w:szCs w:val="20"/>
          <w:highlight w:val="none"/>
        </w:rPr>
      </w:pPr>
    </w:p>
    <w:p w14:paraId="0D9C5B9F">
      <w:pPr>
        <w:snapToGrid w:val="0"/>
        <w:spacing w:before="50" w:after="50"/>
        <w:outlineLvl w:val="1"/>
        <w:rPr>
          <w:rFonts w:ascii="宋体" w:hAnsi="宋体" w:cs="宋体"/>
          <w:color w:val="auto"/>
          <w:sz w:val="32"/>
          <w:szCs w:val="20"/>
          <w:highlight w:val="none"/>
        </w:rPr>
      </w:pPr>
    </w:p>
    <w:p w14:paraId="0E62DF7E">
      <w:pPr>
        <w:snapToGrid w:val="0"/>
        <w:spacing w:before="50" w:after="50"/>
        <w:outlineLvl w:val="1"/>
        <w:rPr>
          <w:rFonts w:ascii="宋体" w:hAnsi="宋体" w:cs="宋体"/>
          <w:color w:val="auto"/>
          <w:sz w:val="32"/>
          <w:szCs w:val="20"/>
          <w:highlight w:val="none"/>
        </w:rPr>
      </w:pPr>
    </w:p>
    <w:p w14:paraId="5BAFC438">
      <w:pPr>
        <w:snapToGrid w:val="0"/>
        <w:spacing w:before="50" w:after="50"/>
        <w:outlineLvl w:val="1"/>
        <w:rPr>
          <w:rFonts w:ascii="宋体" w:hAnsi="宋体" w:cs="宋体"/>
          <w:color w:val="auto"/>
          <w:sz w:val="32"/>
          <w:szCs w:val="20"/>
          <w:highlight w:val="none"/>
        </w:rPr>
      </w:pPr>
    </w:p>
    <w:p w14:paraId="189FCCFD">
      <w:pPr>
        <w:snapToGrid w:val="0"/>
        <w:spacing w:before="50" w:after="50"/>
        <w:outlineLvl w:val="1"/>
        <w:rPr>
          <w:rFonts w:ascii="宋体" w:hAnsi="宋体" w:cs="宋体"/>
          <w:color w:val="auto"/>
          <w:sz w:val="32"/>
          <w:szCs w:val="20"/>
          <w:highlight w:val="none"/>
        </w:rPr>
      </w:pPr>
    </w:p>
    <w:p w14:paraId="1AC37ACC">
      <w:pPr>
        <w:snapToGrid w:val="0"/>
        <w:spacing w:before="50" w:after="50"/>
        <w:outlineLvl w:val="1"/>
        <w:rPr>
          <w:rFonts w:ascii="宋体" w:hAnsi="宋体" w:cs="宋体"/>
          <w:color w:val="auto"/>
          <w:sz w:val="32"/>
          <w:szCs w:val="20"/>
          <w:highlight w:val="none"/>
        </w:rPr>
      </w:pPr>
    </w:p>
    <w:p w14:paraId="21CFA823">
      <w:pPr>
        <w:snapToGrid w:val="0"/>
        <w:spacing w:before="50" w:after="50"/>
        <w:outlineLvl w:val="1"/>
        <w:rPr>
          <w:rFonts w:ascii="宋体" w:hAnsi="宋体" w:cs="宋体"/>
          <w:color w:val="auto"/>
          <w:sz w:val="32"/>
          <w:szCs w:val="20"/>
          <w:highlight w:val="none"/>
        </w:rPr>
      </w:pPr>
    </w:p>
    <w:p w14:paraId="767C138C">
      <w:pPr>
        <w:snapToGrid w:val="0"/>
        <w:spacing w:before="50" w:after="50"/>
        <w:outlineLvl w:val="1"/>
        <w:rPr>
          <w:rFonts w:ascii="宋体" w:hAnsi="宋体" w:cs="宋体"/>
          <w:color w:val="auto"/>
          <w:highlight w:val="none"/>
        </w:rPr>
      </w:pPr>
    </w:p>
    <w:p w14:paraId="630ABED1">
      <w:pPr>
        <w:rPr>
          <w:rFonts w:ascii="宋体" w:hAnsi="宋体" w:cs="宋体"/>
          <w:b/>
          <w:color w:val="auto"/>
          <w:sz w:val="28"/>
          <w:szCs w:val="28"/>
          <w:highlight w:val="none"/>
        </w:rPr>
      </w:pPr>
      <w:bookmarkStart w:id="150" w:name="_Toc19686836"/>
      <w:bookmarkStart w:id="151" w:name="_Toc254970557"/>
      <w:bookmarkStart w:id="152" w:name="_Toc254970698"/>
      <w:r>
        <w:rPr>
          <w:rFonts w:hint="eastAsia" w:ascii="宋体" w:hAnsi="宋体" w:cs="宋体"/>
          <w:b/>
          <w:color w:val="auto"/>
          <w:sz w:val="28"/>
          <w:szCs w:val="28"/>
          <w:highlight w:val="none"/>
        </w:rPr>
        <w:t>一、报价文件格式</w:t>
      </w:r>
      <w:bookmarkEnd w:id="150"/>
    </w:p>
    <w:p w14:paraId="7135375D">
      <w:pPr>
        <w:snapToGrid w:val="0"/>
        <w:spacing w:beforeLines="50" w:after="50" w:line="360" w:lineRule="auto"/>
        <w:ind w:left="142"/>
        <w:jc w:val="left"/>
        <w:rPr>
          <w:rFonts w:ascii="宋体" w:hAnsi="宋体" w:cs="宋体"/>
          <w:b/>
          <w:color w:val="auto"/>
          <w:sz w:val="24"/>
          <w:highlight w:val="none"/>
        </w:rPr>
      </w:pPr>
      <w:r>
        <w:rPr>
          <w:rFonts w:hint="eastAsia" w:ascii="宋体" w:hAnsi="宋体" w:cs="宋体"/>
          <w:b/>
          <w:color w:val="auto"/>
          <w:sz w:val="24"/>
          <w:highlight w:val="none"/>
        </w:rPr>
        <w:t xml:space="preserve">1. 报价文件封面格式： </w:t>
      </w:r>
    </w:p>
    <w:p w14:paraId="68984B34">
      <w:pPr>
        <w:snapToGrid w:val="0"/>
        <w:spacing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74DA0F4A">
      <w:pPr>
        <w:snapToGrid w:val="0"/>
        <w:spacing w:beforeLines="50" w:after="50" w:line="400" w:lineRule="exact"/>
        <w:jc w:val="left"/>
        <w:rPr>
          <w:rFonts w:ascii="宋体" w:hAnsi="宋体" w:cs="宋体"/>
          <w:bCs/>
          <w:color w:val="auto"/>
          <w:sz w:val="48"/>
          <w:szCs w:val="48"/>
          <w:highlight w:val="none"/>
        </w:rPr>
      </w:pPr>
    </w:p>
    <w:p w14:paraId="3E9BA38C">
      <w:pPr>
        <w:snapToGrid w:val="0"/>
        <w:spacing w:beforeLines="50" w:after="50" w:line="4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报  价  文  件</w:t>
      </w:r>
    </w:p>
    <w:p w14:paraId="55263E28">
      <w:pPr>
        <w:snapToGrid w:val="0"/>
        <w:spacing w:beforeLines="50" w:after="50" w:line="400" w:lineRule="exact"/>
        <w:rPr>
          <w:rFonts w:ascii="宋体" w:hAnsi="宋体" w:cs="宋体"/>
          <w:bCs/>
          <w:color w:val="auto"/>
          <w:sz w:val="24"/>
          <w:szCs w:val="20"/>
          <w:highlight w:val="none"/>
        </w:rPr>
      </w:pPr>
    </w:p>
    <w:p w14:paraId="10A405E8">
      <w:pPr>
        <w:snapToGrid w:val="0"/>
        <w:spacing w:beforeLines="50" w:after="50" w:line="400" w:lineRule="exact"/>
        <w:rPr>
          <w:rFonts w:ascii="宋体" w:hAnsi="宋体" w:cs="宋体"/>
          <w:bCs/>
          <w:color w:val="auto"/>
          <w:sz w:val="24"/>
          <w:szCs w:val="20"/>
          <w:highlight w:val="none"/>
        </w:rPr>
      </w:pPr>
    </w:p>
    <w:p w14:paraId="7D190AC7">
      <w:pPr>
        <w:snapToGrid w:val="0"/>
        <w:spacing w:beforeLines="50" w:after="50" w:line="400" w:lineRule="exact"/>
        <w:rPr>
          <w:rFonts w:ascii="宋体" w:hAnsi="宋体" w:cs="宋体"/>
          <w:bCs/>
          <w:color w:val="auto"/>
          <w:sz w:val="24"/>
          <w:szCs w:val="20"/>
          <w:highlight w:val="none"/>
        </w:rPr>
      </w:pPr>
    </w:p>
    <w:p w14:paraId="51E6FE66">
      <w:pPr>
        <w:snapToGrid w:val="0"/>
        <w:spacing w:beforeLines="50" w:after="50" w:line="400" w:lineRule="exact"/>
        <w:rPr>
          <w:rFonts w:ascii="宋体" w:hAnsi="宋体" w:cs="宋体"/>
          <w:bCs/>
          <w:color w:val="auto"/>
          <w:sz w:val="24"/>
          <w:szCs w:val="20"/>
          <w:highlight w:val="none"/>
        </w:rPr>
      </w:pPr>
    </w:p>
    <w:p w14:paraId="7576017C">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2AB1A417">
      <w:pPr>
        <w:snapToGrid w:val="0"/>
        <w:spacing w:beforeLines="50" w:after="50" w:line="400" w:lineRule="exact"/>
        <w:ind w:firstLine="360" w:firstLineChars="150"/>
        <w:rPr>
          <w:rFonts w:ascii="宋体" w:hAnsi="宋体" w:cs="宋体"/>
          <w:bCs/>
          <w:color w:val="auto"/>
          <w:sz w:val="24"/>
          <w:highlight w:val="none"/>
        </w:rPr>
      </w:pPr>
    </w:p>
    <w:p w14:paraId="14989B3C">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1085F9C7">
      <w:pPr>
        <w:snapToGrid w:val="0"/>
        <w:spacing w:beforeLines="50" w:after="50" w:line="400" w:lineRule="exact"/>
        <w:ind w:firstLine="360" w:firstLineChars="150"/>
        <w:rPr>
          <w:rFonts w:ascii="宋体" w:hAnsi="宋体" w:cs="宋体"/>
          <w:bCs/>
          <w:color w:val="auto"/>
          <w:sz w:val="24"/>
          <w:highlight w:val="none"/>
        </w:rPr>
      </w:pPr>
    </w:p>
    <w:p w14:paraId="459959DC">
      <w:pPr>
        <w:snapToGrid w:val="0"/>
        <w:spacing w:beforeLines="50" w:after="50" w:line="400" w:lineRule="exact"/>
        <w:ind w:firstLine="360" w:firstLineChars="150"/>
        <w:rPr>
          <w:rFonts w:ascii="宋体" w:hAnsi="宋体" w:cs="宋体"/>
          <w:bCs/>
          <w:color w:val="auto"/>
          <w:sz w:val="24"/>
          <w:highlight w:val="none"/>
        </w:rPr>
      </w:pPr>
    </w:p>
    <w:p w14:paraId="4EC79012">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5CCB3342">
      <w:pPr>
        <w:snapToGrid w:val="0"/>
        <w:spacing w:beforeLines="50" w:after="50" w:line="400" w:lineRule="exact"/>
        <w:ind w:firstLine="360" w:firstLineChars="150"/>
        <w:rPr>
          <w:rFonts w:ascii="宋体" w:hAnsi="宋体" w:cs="宋体"/>
          <w:bCs/>
          <w:color w:val="auto"/>
          <w:sz w:val="24"/>
          <w:highlight w:val="none"/>
        </w:rPr>
      </w:pPr>
    </w:p>
    <w:p w14:paraId="00588E47">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442577B9">
      <w:pPr>
        <w:pStyle w:val="6"/>
        <w:snapToGrid w:val="0"/>
        <w:spacing w:before="50" w:after="50" w:line="400" w:lineRule="exact"/>
        <w:ind w:firstLine="960" w:firstLineChars="400"/>
        <w:rPr>
          <w:rFonts w:ascii="宋体" w:hAnsi="宋体" w:cs="宋体"/>
          <w:bCs/>
          <w:color w:val="auto"/>
          <w:sz w:val="24"/>
          <w:szCs w:val="24"/>
          <w:highlight w:val="none"/>
        </w:rPr>
      </w:pPr>
    </w:p>
    <w:p w14:paraId="54210E86">
      <w:pPr>
        <w:snapToGrid w:val="0"/>
        <w:spacing w:beforeLines="50" w:after="50" w:line="400" w:lineRule="exact"/>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14:paraId="6F2BBC9D">
      <w:pPr>
        <w:snapToGrid w:val="0"/>
        <w:spacing w:beforeLines="50" w:after="50" w:line="360" w:lineRule="auto"/>
        <w:jc w:val="left"/>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w:t>
      </w:r>
      <w:r>
        <w:rPr>
          <w:rFonts w:hint="eastAsia" w:ascii="宋体" w:hAnsi="宋体" w:cs="宋体"/>
          <w:b/>
          <w:bCs/>
          <w:color w:val="auto"/>
          <w:sz w:val="24"/>
          <w:highlight w:val="none"/>
        </w:rPr>
        <w:t>报价文件目录</w:t>
      </w:r>
    </w:p>
    <w:p w14:paraId="10AD7613">
      <w:pPr>
        <w:snapToGrid w:val="0"/>
        <w:spacing w:before="50" w:afterLines="50" w:line="360" w:lineRule="auto"/>
        <w:jc w:val="left"/>
        <w:rPr>
          <w:rFonts w:ascii="宋体" w:hAnsi="宋体" w:cs="宋体"/>
          <w:b/>
          <w:color w:val="auto"/>
          <w:sz w:val="24"/>
          <w:highlight w:val="none"/>
        </w:rPr>
      </w:pPr>
      <w:r>
        <w:rPr>
          <w:rFonts w:hint="eastAsia" w:ascii="宋体" w:hAnsi="宋体" w:cs="宋体"/>
          <w:color w:val="auto"/>
          <w:szCs w:val="21"/>
          <w:highlight w:val="none"/>
        </w:rPr>
        <w:t>根据招标文件规定及投标人提供的材料自行编写目录。</w:t>
      </w:r>
    </w:p>
    <w:p w14:paraId="4DD2361F">
      <w:pPr>
        <w:snapToGrid w:val="0"/>
        <w:spacing w:beforeLines="50" w:after="50"/>
        <w:rPr>
          <w:rFonts w:ascii="宋体" w:hAnsi="宋体" w:cs="宋体"/>
          <w:b/>
          <w:color w:val="auto"/>
          <w:sz w:val="24"/>
          <w:highlight w:val="none"/>
        </w:rPr>
      </w:pPr>
    </w:p>
    <w:p w14:paraId="337B2DB4">
      <w:pPr>
        <w:snapToGrid w:val="0"/>
        <w:spacing w:beforeLines="50" w:after="50"/>
        <w:rPr>
          <w:rFonts w:ascii="宋体" w:hAnsi="宋体" w:cs="宋体"/>
          <w:b/>
          <w:color w:val="auto"/>
          <w:sz w:val="24"/>
          <w:highlight w:val="none"/>
        </w:rPr>
      </w:pPr>
    </w:p>
    <w:p w14:paraId="6901F92A">
      <w:pPr>
        <w:snapToGrid w:val="0"/>
        <w:spacing w:beforeLines="50" w:after="50"/>
        <w:rPr>
          <w:rFonts w:ascii="宋体" w:hAnsi="宋体" w:cs="宋体"/>
          <w:b/>
          <w:color w:val="auto"/>
          <w:sz w:val="24"/>
          <w:highlight w:val="none"/>
        </w:rPr>
      </w:pPr>
    </w:p>
    <w:p w14:paraId="4C52D65C">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3.部分</w:t>
      </w:r>
      <w:r>
        <w:rPr>
          <w:rFonts w:hint="eastAsia" w:ascii="宋体" w:hAnsi="宋体" w:cs="宋体"/>
          <w:b/>
          <w:bCs/>
          <w:color w:val="auto"/>
          <w:sz w:val="24"/>
          <w:highlight w:val="none"/>
        </w:rPr>
        <w:t>报价</w:t>
      </w:r>
      <w:r>
        <w:rPr>
          <w:rFonts w:hint="eastAsia" w:ascii="宋体" w:hAnsi="宋体" w:cs="宋体"/>
          <w:b/>
          <w:color w:val="auto"/>
          <w:sz w:val="24"/>
          <w:highlight w:val="none"/>
        </w:rPr>
        <w:t>文件格式</w:t>
      </w:r>
    </w:p>
    <w:p w14:paraId="78C91B51">
      <w:pPr>
        <w:snapToGrid w:val="0"/>
        <w:spacing w:beforeLines="50" w:after="50"/>
        <w:ind w:left="142"/>
        <w:jc w:val="left"/>
        <w:rPr>
          <w:rFonts w:ascii="宋体" w:hAnsi="宋体" w:cs="宋体"/>
          <w:b/>
          <w:color w:val="auto"/>
          <w:sz w:val="24"/>
          <w:highlight w:val="none"/>
        </w:rPr>
      </w:pPr>
    </w:p>
    <w:p w14:paraId="16BE330D">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投标函：</w:t>
      </w:r>
    </w:p>
    <w:p w14:paraId="44903D4A">
      <w:pPr>
        <w:snapToGrid w:val="0"/>
        <w:spacing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投 标 函</w:t>
      </w:r>
    </w:p>
    <w:p w14:paraId="3609045D">
      <w:pPr>
        <w:snapToGrid w:val="0"/>
        <w:spacing w:beforeLines="50" w:after="50" w:line="320" w:lineRule="exact"/>
        <w:jc w:val="center"/>
        <w:rPr>
          <w:rFonts w:ascii="宋体" w:hAnsi="宋体" w:cs="宋体"/>
          <w:b/>
          <w:color w:val="auto"/>
          <w:sz w:val="32"/>
          <w:szCs w:val="32"/>
          <w:highlight w:val="none"/>
        </w:rPr>
      </w:pPr>
    </w:p>
    <w:p w14:paraId="204048F8">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20921F1E">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（项目编号：）的招标公告，签字代表______（姓名）经正式授权并代表投标人（投标人名称）提交投标文件。</w:t>
      </w:r>
    </w:p>
    <w:p w14:paraId="14EF872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据此函，我方宣布同意如下：</w:t>
      </w:r>
    </w:p>
    <w:p w14:paraId="4C14F01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69F0A2B1">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2.我方在投标之前已经完全理解并接受招标文件的各项规定和要求，对招标文件的合理性、合法性不再有异议。</w:t>
      </w:r>
    </w:p>
    <w:p w14:paraId="414185E4">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3.本投标有效期自投标截止之日起180日。</w:t>
      </w:r>
    </w:p>
    <w:p w14:paraId="4C6C2474">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4.如中标，本投标文件至本项目合同履行完毕止均保持有效，我方将按“招标文件”及政府采购法律、法规的规定履行合同责任和义务。</w:t>
      </w:r>
    </w:p>
    <w:p w14:paraId="0B36C8AD">
      <w:pPr>
        <w:spacing w:line="400" w:lineRule="exact"/>
        <w:ind w:firstLine="420"/>
        <w:rPr>
          <w:rFonts w:ascii="宋体" w:hAnsi="宋体" w:cs="宋体"/>
          <w:color w:val="auto"/>
          <w:kern w:val="0"/>
          <w:sz w:val="24"/>
          <w:highlight w:val="none"/>
        </w:rPr>
      </w:pPr>
      <w:r>
        <w:rPr>
          <w:rFonts w:hint="eastAsia" w:ascii="宋体" w:hAnsi="宋体" w:cs="宋体"/>
          <w:color w:val="auto"/>
          <w:sz w:val="24"/>
          <w:highlight w:val="none"/>
        </w:rPr>
        <w:t>5.我方承诺，</w:t>
      </w:r>
      <w:r>
        <w:rPr>
          <w:rFonts w:hint="eastAsia" w:ascii="宋体" w:hAnsi="宋体" w:cs="宋体"/>
          <w:color w:val="auto"/>
          <w:kern w:val="0"/>
          <w:sz w:val="24"/>
          <w:highlight w:val="none"/>
        </w:rPr>
        <w:t>如我方中标，我方保证按本项目招标文件的规定及标准向贵单位一次性足额支付代理服务费。代理服务费发票我方选择开具：□</w:t>
      </w:r>
      <w:r>
        <w:rPr>
          <w:rFonts w:hint="eastAsia" w:ascii="宋体" w:hAnsi="宋体" w:cs="宋体"/>
          <w:color w:val="auto"/>
          <w:kern w:val="0"/>
          <w:sz w:val="24"/>
          <w:highlight w:val="none"/>
          <w:u w:val="single"/>
        </w:rPr>
        <w:t>增值税普通发票</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增值税专用发票</w:t>
      </w:r>
      <w:r>
        <w:rPr>
          <w:rFonts w:hint="eastAsia" w:ascii="宋体" w:hAnsi="宋体" w:cs="宋体"/>
          <w:color w:val="auto"/>
          <w:kern w:val="0"/>
          <w:sz w:val="24"/>
          <w:highlight w:val="none"/>
        </w:rPr>
        <w:t>，开票信息如下：</w:t>
      </w:r>
    </w:p>
    <w:p w14:paraId="6FAAA680">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①公司名称：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w:t>
      </w:r>
    </w:p>
    <w:p w14:paraId="0A5F0191">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②纳税人识别号：</w:t>
      </w:r>
      <w:r>
        <w:rPr>
          <w:rFonts w:hint="eastAsia" w:ascii="宋体" w:hAnsi="宋体" w:cs="宋体"/>
          <w:color w:val="auto"/>
          <w:kern w:val="0"/>
          <w:sz w:val="24"/>
          <w:szCs w:val="24"/>
          <w:highlight w:val="none"/>
          <w:u w:val="single"/>
        </w:rPr>
        <w:t xml:space="preserve">               </w:t>
      </w:r>
    </w:p>
    <w:p w14:paraId="36AD6E24">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6.我方同意按照贵方要求提供与投标有关的一切数据或者资料。</w:t>
      </w:r>
    </w:p>
    <w:p w14:paraId="7BF657F6">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7.我方向贵方提交的所有投标文件、资料都是准确的和真实的。</w:t>
      </w:r>
    </w:p>
    <w:p w14:paraId="0165C339">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4AF1B1E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9.根据《中华人民共和国政府采购法实施条例》第五十条要求对政府采购合同进行公告，但政府采购合同中涉及国家秘密、商业秘密的内容除外。我方就对本次投标文件进行注明如下：（两项内容中必须选择一项）</w:t>
      </w:r>
    </w:p>
    <w:p w14:paraId="489909D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6D40FBF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涉及商业秘密的内容有：</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w:t>
      </w:r>
    </w:p>
    <w:p w14:paraId="7954FD0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10.与本投标有关的一切正式往来信函请寄：</w:t>
      </w:r>
    </w:p>
    <w:p w14:paraId="39A7C00B">
      <w:pPr>
        <w:spacing w:line="360" w:lineRule="auto"/>
        <w:ind w:firstLine="480" w:firstLineChars="200"/>
        <w:contextualSpacing/>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_               </w:t>
      </w:r>
    </w:p>
    <w:p w14:paraId="724877D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 xml:space="preserve"> 电子邮箱：</w:t>
      </w:r>
      <w:r>
        <w:rPr>
          <w:rFonts w:hint="eastAsia" w:ascii="宋体" w:hAnsi="宋体" w:cs="宋体"/>
          <w:color w:val="auto"/>
          <w:sz w:val="24"/>
          <w:highlight w:val="none"/>
          <w:u w:val="single"/>
        </w:rPr>
        <w:t xml:space="preserve">_               </w:t>
      </w:r>
    </w:p>
    <w:p w14:paraId="703E2854">
      <w:pPr>
        <w:spacing w:line="360" w:lineRule="auto"/>
        <w:ind w:firstLine="480" w:firstLineChars="200"/>
        <w:contextualSpacing/>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_               </w:t>
      </w:r>
    </w:p>
    <w:p w14:paraId="03C9646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 xml:space="preserve">   银行账号：</w:t>
      </w:r>
      <w:r>
        <w:rPr>
          <w:rFonts w:hint="eastAsia" w:ascii="宋体" w:hAnsi="宋体" w:cs="宋体"/>
          <w:color w:val="auto"/>
          <w:sz w:val="24"/>
          <w:highlight w:val="none"/>
          <w:u w:val="single"/>
        </w:rPr>
        <w:t xml:space="preserve">_               </w:t>
      </w:r>
    </w:p>
    <w:p w14:paraId="4F2AC464">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法定代表人或者委托代理人（签字或者电子签名）:___________ </w:t>
      </w:r>
    </w:p>
    <w:p w14:paraId="133D01F7">
      <w:pPr>
        <w:pStyle w:val="24"/>
        <w:spacing w:line="360" w:lineRule="auto"/>
        <w:contextualSpacing/>
        <w:jc w:val="center"/>
        <w:rPr>
          <w:rFonts w:hAnsi="宋体" w:cs="宋体"/>
          <w:color w:val="auto"/>
          <w:sz w:val="24"/>
          <w:highlight w:val="none"/>
        </w:rPr>
      </w:pPr>
    </w:p>
    <w:p w14:paraId="37E851FB">
      <w:pPr>
        <w:pStyle w:val="24"/>
        <w:spacing w:line="360" w:lineRule="auto"/>
        <w:contextualSpacing/>
        <w:jc w:val="center"/>
        <w:rPr>
          <w:rFonts w:hAnsi="宋体" w:cs="宋体"/>
          <w:color w:val="auto"/>
          <w:sz w:val="24"/>
          <w:highlight w:val="none"/>
        </w:rPr>
      </w:pPr>
    </w:p>
    <w:p w14:paraId="416013D2">
      <w:pPr>
        <w:pStyle w:val="24"/>
        <w:spacing w:line="360" w:lineRule="auto"/>
        <w:contextualSpacing/>
        <w:jc w:val="center"/>
        <w:rPr>
          <w:rFonts w:hAnsi="宋体" w:cs="宋体"/>
          <w:color w:val="auto"/>
          <w:sz w:val="24"/>
          <w:szCs w:val="24"/>
          <w:highlight w:val="none"/>
          <w:u w:val="single"/>
        </w:rPr>
      </w:pPr>
      <w:r>
        <w:rPr>
          <w:rFonts w:hint="eastAsia" w:hAnsi="宋体" w:cs="宋体"/>
          <w:color w:val="auto"/>
          <w:sz w:val="24"/>
          <w:highlight w:val="none"/>
        </w:rPr>
        <w:t>投标人名称（电子签章）：</w:t>
      </w:r>
    </w:p>
    <w:p w14:paraId="40D4E44E">
      <w:pPr>
        <w:pStyle w:val="24"/>
        <w:spacing w:line="360" w:lineRule="auto"/>
        <w:ind w:firstLine="3360" w:firstLineChars="1400"/>
        <w:contextualSpacing/>
        <w:rPr>
          <w:rFonts w:hAnsi="宋体" w:cs="宋体"/>
          <w:color w:val="auto"/>
          <w:sz w:val="24"/>
          <w:highlight w:val="none"/>
        </w:rPr>
      </w:pPr>
      <w:r>
        <w:rPr>
          <w:rFonts w:hint="eastAsia" w:hAnsi="宋体" w:cs="宋体"/>
          <w:color w:val="auto"/>
          <w:sz w:val="24"/>
          <w:szCs w:val="24"/>
          <w:highlight w:val="none"/>
        </w:rPr>
        <w:t>年  月  日</w:t>
      </w:r>
    </w:p>
    <w:p w14:paraId="7A2A8F50">
      <w:pPr>
        <w:snapToGrid w:val="0"/>
        <w:spacing w:beforeLines="50" w:after="50"/>
        <w:jc w:val="left"/>
        <w:rPr>
          <w:rFonts w:ascii="宋体" w:hAnsi="宋体" w:cs="宋体"/>
          <w:b/>
          <w:color w:val="auto"/>
          <w:sz w:val="24"/>
          <w:szCs w:val="20"/>
          <w:highlight w:val="none"/>
        </w:rPr>
      </w:pPr>
      <w:r>
        <w:rPr>
          <w:rFonts w:hint="eastAsia" w:ascii="宋体" w:hAnsi="宋体" w:cs="宋体"/>
          <w:color w:val="auto"/>
          <w:highlight w:val="none"/>
          <w:u w:val="single"/>
        </w:rPr>
        <w:br w:type="page"/>
      </w:r>
      <w:r>
        <w:rPr>
          <w:rFonts w:hint="eastAsia" w:ascii="宋体" w:hAnsi="宋体" w:cs="宋体"/>
          <w:b/>
          <w:color w:val="auto"/>
          <w:sz w:val="24"/>
          <w:highlight w:val="none"/>
        </w:rPr>
        <w:t>开标一览表</w:t>
      </w:r>
    </w:p>
    <w:p w14:paraId="3BCDBD0B">
      <w:pPr>
        <w:snapToGrid w:val="0"/>
        <w:spacing w:before="50" w:after="50" w:line="340" w:lineRule="exact"/>
        <w:jc w:val="center"/>
        <w:rPr>
          <w:rFonts w:ascii="宋体" w:hAnsi="宋体" w:cs="宋体"/>
          <w:b/>
          <w:color w:val="auto"/>
          <w:sz w:val="30"/>
          <w:highlight w:val="none"/>
        </w:rPr>
      </w:pPr>
      <w:r>
        <w:rPr>
          <w:rFonts w:hint="eastAsia" w:ascii="宋体" w:hAnsi="宋体" w:cs="宋体"/>
          <w:b/>
          <w:color w:val="auto"/>
          <w:sz w:val="30"/>
          <w:highlight w:val="none"/>
        </w:rPr>
        <w:t>开标一览表</w:t>
      </w:r>
    </w:p>
    <w:p w14:paraId="398BC568">
      <w:pPr>
        <w:snapToGrid w:val="0"/>
        <w:spacing w:before="50" w:after="50" w:line="340" w:lineRule="exact"/>
        <w:jc w:val="center"/>
        <w:rPr>
          <w:rFonts w:ascii="宋体" w:hAnsi="宋体" w:cs="宋体"/>
          <w:b/>
          <w:color w:val="auto"/>
          <w:sz w:val="30"/>
          <w:szCs w:val="20"/>
          <w:highlight w:val="none"/>
        </w:rPr>
      </w:pPr>
    </w:p>
    <w:p w14:paraId="55868F24">
      <w:pPr>
        <w:snapToGrid w:val="0"/>
        <w:spacing w:before="50" w:after="50" w:line="340" w:lineRule="exact"/>
        <w:rPr>
          <w:rFonts w:ascii="宋体" w:hAnsi="宋体" w:cs="宋体"/>
          <w:color w:val="auto"/>
          <w:sz w:val="24"/>
          <w:highlight w:val="none"/>
        </w:rPr>
      </w:pPr>
      <w:r>
        <w:rPr>
          <w:rFonts w:hint="eastAsia" w:ascii="宋体" w:hAnsi="宋体" w:cs="宋体"/>
          <w:color w:val="auto"/>
          <w:sz w:val="24"/>
          <w:highlight w:val="none"/>
        </w:rPr>
        <w:t>项目名称：                         项目编号：             分标号：</w:t>
      </w:r>
    </w:p>
    <w:p w14:paraId="72491101">
      <w:pPr>
        <w:snapToGrid w:val="0"/>
        <w:spacing w:before="50" w:after="50" w:line="340" w:lineRule="exact"/>
        <w:rPr>
          <w:rFonts w:ascii="宋体" w:hAnsi="宋体" w:cs="宋体"/>
          <w:color w:val="auto"/>
          <w:sz w:val="24"/>
          <w:highlight w:val="none"/>
        </w:rPr>
      </w:pPr>
      <w:r>
        <w:rPr>
          <w:rFonts w:hint="eastAsia" w:ascii="宋体" w:hAnsi="宋体" w:cs="宋体"/>
          <w:color w:val="auto"/>
          <w:sz w:val="24"/>
          <w:highlight w:val="none"/>
        </w:rPr>
        <w:t>投标人名称：                       单位：元</w:t>
      </w:r>
    </w:p>
    <w:tbl>
      <w:tblPr>
        <w:tblStyle w:val="47"/>
        <w:tblW w:w="493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15"/>
        <w:gridCol w:w="710"/>
        <w:gridCol w:w="1011"/>
        <w:gridCol w:w="623"/>
        <w:gridCol w:w="876"/>
        <w:gridCol w:w="807"/>
        <w:gridCol w:w="1084"/>
        <w:gridCol w:w="1175"/>
      </w:tblGrid>
      <w:tr w14:paraId="2D857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46" w:type="pct"/>
            <w:tcBorders>
              <w:top w:val="single" w:color="auto" w:sz="4" w:space="0"/>
              <w:left w:val="single" w:color="auto" w:sz="4" w:space="0"/>
              <w:bottom w:val="single" w:color="auto" w:sz="4" w:space="0"/>
              <w:right w:val="single" w:color="auto" w:sz="4" w:space="0"/>
            </w:tcBorders>
            <w:vAlign w:val="center"/>
          </w:tcPr>
          <w:p w14:paraId="39EF4458">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标的的名称</w:t>
            </w:r>
          </w:p>
        </w:tc>
        <w:tc>
          <w:tcPr>
            <w:tcW w:w="413" w:type="pct"/>
            <w:tcBorders>
              <w:top w:val="single" w:color="auto" w:sz="4" w:space="0"/>
              <w:left w:val="single" w:color="auto" w:sz="4" w:space="0"/>
              <w:bottom w:val="single" w:color="auto" w:sz="4" w:space="0"/>
              <w:right w:val="single" w:color="auto" w:sz="4" w:space="0"/>
            </w:tcBorders>
            <w:vAlign w:val="center"/>
          </w:tcPr>
          <w:p w14:paraId="1AA24E4B">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588" w:type="pct"/>
            <w:tcBorders>
              <w:top w:val="single" w:color="auto" w:sz="4" w:space="0"/>
              <w:left w:val="single" w:color="auto" w:sz="4" w:space="0"/>
              <w:bottom w:val="single" w:color="auto" w:sz="4" w:space="0"/>
              <w:right w:val="single" w:color="auto" w:sz="4" w:space="0"/>
            </w:tcBorders>
            <w:vAlign w:val="center"/>
          </w:tcPr>
          <w:p w14:paraId="7104EB64">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生产厂家（制造商）</w:t>
            </w:r>
          </w:p>
        </w:tc>
        <w:tc>
          <w:tcPr>
            <w:tcW w:w="362" w:type="pct"/>
            <w:tcBorders>
              <w:top w:val="single" w:color="auto" w:sz="4" w:space="0"/>
              <w:left w:val="single" w:color="auto" w:sz="4" w:space="0"/>
              <w:bottom w:val="single" w:color="auto" w:sz="4" w:space="0"/>
              <w:right w:val="single" w:color="auto" w:sz="4" w:space="0"/>
            </w:tcBorders>
            <w:vAlign w:val="center"/>
          </w:tcPr>
          <w:p w14:paraId="1B2AF980">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509" w:type="pct"/>
            <w:tcBorders>
              <w:top w:val="single" w:color="auto" w:sz="4" w:space="0"/>
              <w:left w:val="single" w:color="auto" w:sz="4" w:space="0"/>
              <w:bottom w:val="single" w:color="auto" w:sz="4" w:space="0"/>
              <w:right w:val="single" w:color="auto" w:sz="4" w:space="0"/>
            </w:tcBorders>
            <w:vAlign w:val="center"/>
          </w:tcPr>
          <w:p w14:paraId="275A69EF">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469" w:type="pct"/>
            <w:tcBorders>
              <w:top w:val="single" w:color="auto" w:sz="4" w:space="0"/>
              <w:left w:val="single" w:color="auto" w:sz="4" w:space="0"/>
              <w:bottom w:val="single" w:color="auto" w:sz="4" w:space="0"/>
              <w:right w:val="single" w:color="auto" w:sz="4" w:space="0"/>
            </w:tcBorders>
            <w:vAlign w:val="center"/>
          </w:tcPr>
          <w:p w14:paraId="647335B5">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数量及单位①</w:t>
            </w:r>
          </w:p>
        </w:tc>
        <w:tc>
          <w:tcPr>
            <w:tcW w:w="630" w:type="pct"/>
            <w:tcBorders>
              <w:top w:val="single" w:color="auto" w:sz="4" w:space="0"/>
              <w:left w:val="single" w:color="auto" w:sz="4" w:space="0"/>
              <w:bottom w:val="single" w:color="auto" w:sz="4" w:space="0"/>
              <w:right w:val="single" w:color="auto" w:sz="4" w:space="0"/>
            </w:tcBorders>
            <w:vAlign w:val="center"/>
          </w:tcPr>
          <w:p w14:paraId="664E4245">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p w14:paraId="44C878EF">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②</w:t>
            </w:r>
          </w:p>
        </w:tc>
        <w:tc>
          <w:tcPr>
            <w:tcW w:w="682" w:type="pct"/>
            <w:tcBorders>
              <w:top w:val="single" w:color="auto" w:sz="4" w:space="0"/>
              <w:left w:val="single" w:color="auto" w:sz="4" w:space="0"/>
              <w:bottom w:val="single" w:color="auto" w:sz="4" w:space="0"/>
              <w:right w:val="single" w:color="auto" w:sz="4" w:space="0"/>
            </w:tcBorders>
            <w:vAlign w:val="center"/>
          </w:tcPr>
          <w:p w14:paraId="49BCB391">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w:t>
            </w:r>
          </w:p>
          <w:p w14:paraId="67B9D935">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③=①×②</w:t>
            </w:r>
          </w:p>
        </w:tc>
      </w:tr>
      <w:tr w14:paraId="381F0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1346" w:type="pct"/>
            <w:tcBorders>
              <w:top w:val="single" w:color="auto" w:sz="4" w:space="0"/>
              <w:left w:val="single" w:color="auto" w:sz="4" w:space="0"/>
              <w:bottom w:val="single" w:color="auto" w:sz="4" w:space="0"/>
              <w:right w:val="single" w:color="auto" w:sz="4" w:space="0"/>
            </w:tcBorders>
            <w:vAlign w:val="center"/>
          </w:tcPr>
          <w:p w14:paraId="7115B36C">
            <w:pPr>
              <w:tabs>
                <w:tab w:val="left" w:pos="180"/>
                <w:tab w:val="left" w:pos="1620"/>
              </w:tabs>
              <w:adjustRightInd w:val="0"/>
              <w:snapToGrid w:val="0"/>
              <w:spacing w:line="360" w:lineRule="exact"/>
              <w:jc w:val="center"/>
              <w:rPr>
                <w:rFonts w:ascii="宋体" w:hAnsi="宋体" w:cs="宋体"/>
                <w:b/>
                <w:color w:val="auto"/>
                <w:sz w:val="24"/>
                <w:highlight w:val="none"/>
              </w:rPr>
            </w:pPr>
          </w:p>
        </w:tc>
        <w:tc>
          <w:tcPr>
            <w:tcW w:w="413" w:type="pct"/>
            <w:tcBorders>
              <w:top w:val="single" w:color="auto" w:sz="4" w:space="0"/>
              <w:left w:val="single" w:color="auto" w:sz="4" w:space="0"/>
              <w:bottom w:val="single" w:color="auto" w:sz="4" w:space="0"/>
              <w:right w:val="single" w:color="auto" w:sz="4" w:space="0"/>
            </w:tcBorders>
            <w:vAlign w:val="center"/>
          </w:tcPr>
          <w:p w14:paraId="191C3EC6">
            <w:pPr>
              <w:snapToGrid w:val="0"/>
              <w:spacing w:before="50" w:after="50" w:line="360" w:lineRule="auto"/>
              <w:jc w:val="center"/>
              <w:rPr>
                <w:rFonts w:ascii="宋体" w:hAnsi="宋体" w:cs="宋体"/>
                <w:b/>
                <w:color w:val="auto"/>
                <w:sz w:val="24"/>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02EE223B">
            <w:pPr>
              <w:snapToGrid w:val="0"/>
              <w:spacing w:before="50" w:after="50" w:line="360" w:lineRule="auto"/>
              <w:jc w:val="center"/>
              <w:rPr>
                <w:rFonts w:ascii="宋体" w:hAnsi="宋体" w:cs="宋体"/>
                <w:b/>
                <w:color w:val="auto"/>
                <w:sz w:val="24"/>
                <w:highlight w:val="none"/>
              </w:rPr>
            </w:pPr>
          </w:p>
        </w:tc>
        <w:tc>
          <w:tcPr>
            <w:tcW w:w="362" w:type="pct"/>
            <w:tcBorders>
              <w:top w:val="single" w:color="auto" w:sz="4" w:space="0"/>
              <w:left w:val="single" w:color="auto" w:sz="4" w:space="0"/>
              <w:bottom w:val="single" w:color="auto" w:sz="4" w:space="0"/>
              <w:right w:val="single" w:color="auto" w:sz="4" w:space="0"/>
            </w:tcBorders>
            <w:vAlign w:val="center"/>
          </w:tcPr>
          <w:p w14:paraId="0596C5C0">
            <w:pPr>
              <w:snapToGrid w:val="0"/>
              <w:spacing w:before="50" w:after="50" w:line="360" w:lineRule="auto"/>
              <w:rPr>
                <w:rFonts w:ascii="宋体" w:hAnsi="宋体" w:cs="宋体"/>
                <w:color w:val="auto"/>
                <w:sz w:val="24"/>
                <w:highlight w:val="none"/>
              </w:rPr>
            </w:pPr>
          </w:p>
        </w:tc>
        <w:tc>
          <w:tcPr>
            <w:tcW w:w="509" w:type="pct"/>
            <w:tcBorders>
              <w:top w:val="single" w:color="auto" w:sz="4" w:space="0"/>
              <w:left w:val="single" w:color="auto" w:sz="4" w:space="0"/>
              <w:bottom w:val="single" w:color="auto" w:sz="4" w:space="0"/>
              <w:right w:val="single" w:color="auto" w:sz="4" w:space="0"/>
            </w:tcBorders>
          </w:tcPr>
          <w:p w14:paraId="2FBA6F41">
            <w:pPr>
              <w:snapToGrid w:val="0"/>
              <w:spacing w:before="50" w:after="50" w:line="360" w:lineRule="auto"/>
              <w:rPr>
                <w:rFonts w:ascii="宋体" w:hAnsi="宋体" w:cs="宋体"/>
                <w:color w:val="auto"/>
                <w:sz w:val="24"/>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312FE514">
            <w:pPr>
              <w:snapToGrid w:val="0"/>
              <w:spacing w:before="50" w:after="50" w:line="360" w:lineRule="auto"/>
              <w:rPr>
                <w:rFonts w:ascii="宋体" w:hAnsi="宋体" w:cs="宋体"/>
                <w:color w:val="auto"/>
                <w:sz w:val="24"/>
                <w:highlight w:val="none"/>
              </w:rPr>
            </w:pPr>
          </w:p>
        </w:tc>
        <w:tc>
          <w:tcPr>
            <w:tcW w:w="630" w:type="pct"/>
            <w:tcBorders>
              <w:top w:val="single" w:color="auto" w:sz="4" w:space="0"/>
              <w:left w:val="single" w:color="auto" w:sz="4" w:space="0"/>
              <w:bottom w:val="single" w:color="auto" w:sz="4" w:space="0"/>
              <w:right w:val="single" w:color="auto" w:sz="4" w:space="0"/>
            </w:tcBorders>
            <w:vAlign w:val="center"/>
          </w:tcPr>
          <w:p w14:paraId="63D111FA">
            <w:pPr>
              <w:snapToGrid w:val="0"/>
              <w:spacing w:before="50" w:after="50" w:line="360" w:lineRule="auto"/>
              <w:rPr>
                <w:rFonts w:ascii="宋体" w:hAnsi="宋体" w:cs="宋体"/>
                <w:color w:val="auto"/>
                <w:sz w:val="24"/>
                <w:highlight w:val="none"/>
              </w:rPr>
            </w:pPr>
          </w:p>
        </w:tc>
        <w:tc>
          <w:tcPr>
            <w:tcW w:w="682" w:type="pct"/>
            <w:tcBorders>
              <w:top w:val="single" w:color="auto" w:sz="4" w:space="0"/>
              <w:left w:val="single" w:color="auto" w:sz="4" w:space="0"/>
              <w:bottom w:val="single" w:color="auto" w:sz="4" w:space="0"/>
              <w:right w:val="single" w:color="auto" w:sz="4" w:space="0"/>
            </w:tcBorders>
            <w:vAlign w:val="center"/>
          </w:tcPr>
          <w:p w14:paraId="10330D7B">
            <w:pPr>
              <w:snapToGrid w:val="0"/>
              <w:spacing w:before="50" w:after="50" w:line="360" w:lineRule="auto"/>
              <w:rPr>
                <w:rFonts w:ascii="宋体" w:hAnsi="宋体" w:cs="宋体"/>
                <w:color w:val="auto"/>
                <w:sz w:val="24"/>
                <w:highlight w:val="none"/>
              </w:rPr>
            </w:pPr>
          </w:p>
        </w:tc>
      </w:tr>
      <w:tr w14:paraId="652F0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8"/>
            <w:tcBorders>
              <w:top w:val="single" w:color="auto" w:sz="4" w:space="0"/>
              <w:left w:val="single" w:color="auto" w:sz="4" w:space="0"/>
              <w:bottom w:val="single" w:color="auto" w:sz="4" w:space="0"/>
              <w:right w:val="single" w:color="auto" w:sz="4" w:space="0"/>
            </w:tcBorders>
          </w:tcPr>
          <w:p w14:paraId="67B679C7">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合计金额大写：人民币</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 xml:space="preserve"> ）</w:t>
            </w:r>
          </w:p>
        </w:tc>
      </w:tr>
    </w:tbl>
    <w:p w14:paraId="32AC83AF">
      <w:pPr>
        <w:snapToGrid w:val="0"/>
        <w:spacing w:line="280" w:lineRule="exact"/>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79578818">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1.投标人的开标一览表必须加盖供应商CA电子签章并由法定代表人或者委托代理人签字或者电子签名，</w:t>
      </w:r>
      <w:r>
        <w:rPr>
          <w:rFonts w:hint="eastAsia" w:ascii="宋体" w:hAnsi="宋体" w:cs="宋体"/>
          <w:b/>
          <w:color w:val="auto"/>
          <w:sz w:val="24"/>
          <w:highlight w:val="none"/>
        </w:rPr>
        <w:t>否则其投标作无效标处理</w:t>
      </w:r>
      <w:r>
        <w:rPr>
          <w:rFonts w:hint="eastAsia" w:ascii="宋体" w:hAnsi="宋体" w:cs="宋体"/>
          <w:color w:val="auto"/>
          <w:sz w:val="24"/>
          <w:highlight w:val="none"/>
        </w:rPr>
        <w:t>。</w:t>
      </w:r>
    </w:p>
    <w:p w14:paraId="317D73A3">
      <w:pPr>
        <w:snapToGrid w:val="0"/>
        <w:spacing w:line="280" w:lineRule="exact"/>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报价一经涂改，应在涂改处加盖投标人公章或者加盖电子签章或者由法定代表人或者委托代理人签字（或者电子签名）</w:t>
      </w:r>
      <w:r>
        <w:rPr>
          <w:rFonts w:hint="eastAsia" w:ascii="宋体" w:hAnsi="宋体" w:cs="宋体"/>
          <w:b/>
          <w:color w:val="auto"/>
          <w:sz w:val="24"/>
          <w:highlight w:val="none"/>
        </w:rPr>
        <w:t>，否则其投标作无效标处理。</w:t>
      </w:r>
    </w:p>
    <w:p w14:paraId="3C45C05C">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3.招标文件中列明采购专用耗材的，应按招标文件规定的耗材量或者按耗材的常规</w:t>
      </w:r>
      <w:r>
        <w:rPr>
          <w:rFonts w:hint="eastAsia" w:ascii="宋体" w:hAnsi="宋体" w:cs="宋体"/>
          <w:color w:val="auto"/>
          <w:sz w:val="24"/>
          <w:highlight w:val="none"/>
          <w:lang w:eastAsia="zh-CN"/>
        </w:rPr>
        <w:t>使用</w:t>
      </w:r>
      <w:r>
        <w:rPr>
          <w:rFonts w:hint="eastAsia" w:ascii="宋体" w:hAnsi="宋体" w:cs="宋体"/>
          <w:color w:val="auto"/>
          <w:sz w:val="24"/>
          <w:highlight w:val="none"/>
        </w:rPr>
        <w:t>量提供报价。</w:t>
      </w:r>
    </w:p>
    <w:p w14:paraId="355B3FE4">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4.如为联合体投标，“投标人名称”处必须列明联合体各方名称，并标注联合体牵头人名称，</w:t>
      </w:r>
      <w:r>
        <w:rPr>
          <w:rFonts w:hint="eastAsia" w:ascii="宋体" w:hAnsi="宋体" w:cs="宋体"/>
          <w:b/>
          <w:color w:val="auto"/>
          <w:sz w:val="24"/>
          <w:highlight w:val="none"/>
        </w:rPr>
        <w:t>否则其投标作无效标处理。</w:t>
      </w:r>
    </w:p>
    <w:p w14:paraId="38FFA547">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5.本项目货物各项号标的的“生产厂家（制造商）、品牌、规格、型号、数量及单位、单价、投标报价”必须如实填写完整，</w:t>
      </w:r>
      <w:r>
        <w:rPr>
          <w:rFonts w:hint="eastAsia" w:ascii="宋体" w:hAnsi="宋体" w:cs="宋体"/>
          <w:b/>
          <w:color w:val="auto"/>
          <w:sz w:val="24"/>
          <w:highlight w:val="none"/>
        </w:rPr>
        <w:t>填写有缺漏的，投标作无效标处理。</w:t>
      </w:r>
    </w:p>
    <w:p w14:paraId="019077F1">
      <w:pPr>
        <w:snapToGrid w:val="0"/>
        <w:spacing w:line="280" w:lineRule="exact"/>
        <w:ind w:firstLine="456" w:firstLineChars="200"/>
        <w:jc w:val="left"/>
        <w:rPr>
          <w:rFonts w:ascii="宋体" w:hAnsi="宋体" w:cs="宋体"/>
          <w:color w:val="auto"/>
          <w:spacing w:val="-6"/>
          <w:sz w:val="24"/>
          <w:highlight w:val="none"/>
        </w:rPr>
      </w:pPr>
      <w:r>
        <w:rPr>
          <w:rFonts w:hint="eastAsia" w:ascii="宋体" w:hAnsi="宋体" w:cs="宋体"/>
          <w:color w:val="auto"/>
          <w:spacing w:val="-6"/>
          <w:sz w:val="24"/>
          <w:highlight w:val="none"/>
        </w:rPr>
        <w:t>6.如为联合体投标，盖章处须加盖联合体牵头人电子签章，</w:t>
      </w:r>
      <w:r>
        <w:rPr>
          <w:rFonts w:hint="eastAsia" w:ascii="宋体" w:hAnsi="宋体" w:cs="宋体"/>
          <w:b/>
          <w:color w:val="auto"/>
          <w:spacing w:val="-6"/>
          <w:sz w:val="24"/>
          <w:highlight w:val="none"/>
        </w:rPr>
        <w:t>否则其投标作无效标处理。</w:t>
      </w:r>
    </w:p>
    <w:p w14:paraId="413237E9">
      <w:pPr>
        <w:snapToGrid w:val="0"/>
        <w:spacing w:line="300" w:lineRule="exact"/>
        <w:ind w:firstLine="482" w:firstLineChars="200"/>
        <w:rPr>
          <w:rFonts w:ascii="宋体" w:hAnsi="宋体" w:cs="宋体"/>
          <w:b/>
          <w:color w:val="auto"/>
          <w:sz w:val="24"/>
          <w:highlight w:val="none"/>
        </w:rPr>
      </w:pPr>
    </w:p>
    <w:p w14:paraId="3E05C23E">
      <w:pPr>
        <w:snapToGrid w:val="0"/>
        <w:spacing w:line="300" w:lineRule="exact"/>
        <w:ind w:left="-2" w:leftChars="-1" w:right="-817" w:rightChars="-389"/>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法定代表人或者委托代理人（签字或者电子签名）：</w:t>
      </w:r>
    </w:p>
    <w:p w14:paraId="7F16E3F3">
      <w:pPr>
        <w:snapToGrid w:val="0"/>
        <w:spacing w:line="300" w:lineRule="exact"/>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4B884017">
      <w:pPr>
        <w:snapToGrid w:val="0"/>
        <w:spacing w:line="300" w:lineRule="exact"/>
        <w:ind w:left="-3" w:leftChars="-15" w:right="-817" w:rightChars="-389" w:hanging="28" w:hangingChars="12"/>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243B5C00">
      <w:pPr>
        <w:rPr>
          <w:rFonts w:ascii="宋体" w:hAnsi="宋体" w:cs="宋体"/>
          <w:b/>
          <w:color w:val="auto"/>
          <w:sz w:val="28"/>
          <w:szCs w:val="28"/>
          <w:highlight w:val="none"/>
        </w:rPr>
      </w:pPr>
      <w:r>
        <w:rPr>
          <w:rFonts w:hint="eastAsia" w:ascii="宋体" w:hAnsi="宋体" w:cs="宋体"/>
          <w:b/>
          <w:bCs/>
          <w:color w:val="auto"/>
          <w:sz w:val="24"/>
          <w:highlight w:val="none"/>
        </w:rPr>
        <w:br w:type="page"/>
      </w:r>
      <w:bookmarkStart w:id="153" w:name="_Toc19686837"/>
      <w:r>
        <w:rPr>
          <w:rFonts w:hint="eastAsia" w:ascii="宋体" w:hAnsi="宋体" w:cs="宋体"/>
          <w:b/>
          <w:color w:val="auto"/>
          <w:sz w:val="28"/>
          <w:szCs w:val="28"/>
          <w:highlight w:val="none"/>
        </w:rPr>
        <w:t>二、资格证明文件格式</w:t>
      </w:r>
      <w:bookmarkEnd w:id="151"/>
      <w:bookmarkEnd w:id="152"/>
      <w:bookmarkEnd w:id="153"/>
    </w:p>
    <w:p w14:paraId="7F5904D8">
      <w:pPr>
        <w:numPr>
          <w:ilvl w:val="2"/>
          <w:numId w:val="8"/>
        </w:numPr>
        <w:snapToGrid w:val="0"/>
        <w:spacing w:beforeLines="50" w:after="50" w:line="360" w:lineRule="auto"/>
        <w:ind w:left="0" w:firstLine="0"/>
        <w:jc w:val="left"/>
        <w:rPr>
          <w:rFonts w:ascii="宋体" w:hAnsi="宋体" w:cs="宋体"/>
          <w:b/>
          <w:color w:val="auto"/>
          <w:sz w:val="24"/>
          <w:highlight w:val="none"/>
        </w:rPr>
      </w:pPr>
      <w:r>
        <w:rPr>
          <w:rFonts w:hint="eastAsia" w:ascii="宋体" w:hAnsi="宋体" w:cs="宋体"/>
          <w:b/>
          <w:color w:val="auto"/>
          <w:sz w:val="24"/>
          <w:highlight w:val="none"/>
        </w:rPr>
        <w:t xml:space="preserve">资格证明文件封面格式： </w:t>
      </w:r>
    </w:p>
    <w:p w14:paraId="5EBED7C0">
      <w:pPr>
        <w:snapToGrid w:val="0"/>
        <w:spacing w:beforeLines="50" w:after="50"/>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1291E6BE">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12794F7B">
      <w:pPr>
        <w:snapToGrid w:val="0"/>
        <w:spacing w:beforeLines="50" w:after="50"/>
        <w:rPr>
          <w:rFonts w:ascii="宋体" w:hAnsi="宋体" w:cs="宋体"/>
          <w:bCs/>
          <w:color w:val="auto"/>
          <w:sz w:val="24"/>
          <w:szCs w:val="20"/>
          <w:highlight w:val="none"/>
        </w:rPr>
      </w:pPr>
    </w:p>
    <w:p w14:paraId="12513EA3">
      <w:pPr>
        <w:snapToGrid w:val="0"/>
        <w:spacing w:beforeLines="50" w:after="50"/>
        <w:rPr>
          <w:rFonts w:ascii="宋体" w:hAnsi="宋体" w:cs="宋体"/>
          <w:bCs/>
          <w:color w:val="auto"/>
          <w:sz w:val="24"/>
          <w:szCs w:val="20"/>
          <w:highlight w:val="none"/>
        </w:rPr>
      </w:pPr>
    </w:p>
    <w:p w14:paraId="58825A38">
      <w:pPr>
        <w:snapToGrid w:val="0"/>
        <w:spacing w:beforeLines="50" w:after="50"/>
        <w:rPr>
          <w:rFonts w:ascii="宋体" w:hAnsi="宋体" w:cs="宋体"/>
          <w:bCs/>
          <w:color w:val="auto"/>
          <w:sz w:val="24"/>
          <w:szCs w:val="20"/>
          <w:highlight w:val="none"/>
        </w:rPr>
      </w:pPr>
    </w:p>
    <w:p w14:paraId="625F1C29">
      <w:pPr>
        <w:snapToGrid w:val="0"/>
        <w:spacing w:beforeLines="50" w:after="50"/>
        <w:rPr>
          <w:rFonts w:ascii="宋体" w:hAnsi="宋体" w:cs="宋体"/>
          <w:bCs/>
          <w:color w:val="auto"/>
          <w:sz w:val="24"/>
          <w:szCs w:val="20"/>
          <w:highlight w:val="none"/>
        </w:rPr>
      </w:pPr>
    </w:p>
    <w:p w14:paraId="03C360AA">
      <w:pPr>
        <w:snapToGrid w:val="0"/>
        <w:spacing w:beforeLines="50" w:after="50"/>
        <w:rPr>
          <w:rFonts w:ascii="宋体" w:hAnsi="宋体" w:cs="宋体"/>
          <w:bCs/>
          <w:color w:val="auto"/>
          <w:sz w:val="24"/>
          <w:szCs w:val="20"/>
          <w:highlight w:val="none"/>
        </w:rPr>
      </w:pPr>
    </w:p>
    <w:p w14:paraId="4F731F6B">
      <w:pPr>
        <w:snapToGrid w:val="0"/>
        <w:spacing w:beforeLines="50" w:after="50"/>
        <w:rPr>
          <w:rFonts w:ascii="宋体" w:hAnsi="宋体" w:cs="宋体"/>
          <w:bCs/>
          <w:color w:val="auto"/>
          <w:sz w:val="24"/>
          <w:szCs w:val="20"/>
          <w:highlight w:val="none"/>
        </w:rPr>
      </w:pPr>
    </w:p>
    <w:p w14:paraId="194DA0D9">
      <w:pPr>
        <w:snapToGrid w:val="0"/>
        <w:spacing w:beforeLines="50" w:after="50"/>
        <w:rPr>
          <w:rFonts w:ascii="宋体" w:hAnsi="宋体" w:cs="宋体"/>
          <w:bCs/>
          <w:color w:val="auto"/>
          <w:sz w:val="24"/>
          <w:szCs w:val="20"/>
          <w:highlight w:val="none"/>
        </w:rPr>
      </w:pPr>
    </w:p>
    <w:p w14:paraId="7CD2042B">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182FF515">
      <w:pPr>
        <w:snapToGrid w:val="0"/>
        <w:spacing w:beforeLines="50" w:after="50"/>
        <w:ind w:firstLine="540" w:firstLineChars="225"/>
        <w:rPr>
          <w:rFonts w:ascii="宋体" w:hAnsi="宋体" w:cs="宋体"/>
          <w:bCs/>
          <w:color w:val="auto"/>
          <w:sz w:val="24"/>
          <w:szCs w:val="20"/>
          <w:highlight w:val="none"/>
        </w:rPr>
      </w:pPr>
    </w:p>
    <w:p w14:paraId="24C49B1F">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4BA6593D">
      <w:pPr>
        <w:snapToGrid w:val="0"/>
        <w:spacing w:beforeLines="50" w:after="50"/>
        <w:ind w:firstLine="540" w:firstLineChars="225"/>
        <w:rPr>
          <w:rFonts w:ascii="宋体" w:hAnsi="宋体" w:cs="宋体"/>
          <w:bCs/>
          <w:color w:val="auto"/>
          <w:sz w:val="24"/>
          <w:szCs w:val="20"/>
          <w:highlight w:val="none"/>
        </w:rPr>
      </w:pPr>
    </w:p>
    <w:p w14:paraId="3C8C6CA1">
      <w:pPr>
        <w:pStyle w:val="6"/>
        <w:snapToGrid w:val="0"/>
        <w:spacing w:before="50" w:after="50"/>
        <w:ind w:firstLine="540" w:firstLineChars="225"/>
        <w:rPr>
          <w:rFonts w:ascii="宋体" w:hAnsi="宋体" w:cs="宋体"/>
          <w:bCs/>
          <w:color w:val="auto"/>
          <w:sz w:val="24"/>
          <w:szCs w:val="24"/>
          <w:highlight w:val="none"/>
        </w:rPr>
      </w:pPr>
    </w:p>
    <w:p w14:paraId="2A19EC8B">
      <w:pPr>
        <w:pStyle w:val="6"/>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7FCD34C7">
      <w:pPr>
        <w:pStyle w:val="6"/>
        <w:snapToGrid w:val="0"/>
        <w:spacing w:before="50" w:after="50"/>
        <w:ind w:firstLine="540" w:firstLineChars="225"/>
        <w:rPr>
          <w:rFonts w:ascii="宋体" w:hAnsi="宋体" w:cs="宋体"/>
          <w:bCs/>
          <w:color w:val="auto"/>
          <w:sz w:val="24"/>
          <w:szCs w:val="24"/>
          <w:highlight w:val="none"/>
        </w:rPr>
      </w:pPr>
    </w:p>
    <w:p w14:paraId="039BB99F">
      <w:pPr>
        <w:pStyle w:val="6"/>
        <w:snapToGrid w:val="0"/>
        <w:spacing w:before="50" w:after="50"/>
        <w:ind w:firstLine="960" w:firstLineChars="400"/>
        <w:rPr>
          <w:rFonts w:ascii="宋体" w:hAnsi="宋体" w:cs="宋体"/>
          <w:bCs/>
          <w:color w:val="auto"/>
          <w:sz w:val="24"/>
          <w:szCs w:val="24"/>
          <w:highlight w:val="none"/>
        </w:rPr>
      </w:pPr>
    </w:p>
    <w:p w14:paraId="70BBB73A">
      <w:pPr>
        <w:snapToGrid w:val="0"/>
        <w:spacing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6E459E49">
      <w:pPr>
        <w:snapToGrid w:val="0"/>
        <w:spacing w:beforeLines="50" w:after="50"/>
        <w:rPr>
          <w:rFonts w:ascii="宋体" w:hAnsi="宋体" w:cs="宋体"/>
          <w:color w:val="auto"/>
          <w:sz w:val="24"/>
          <w:szCs w:val="20"/>
          <w:highlight w:val="none"/>
        </w:rPr>
      </w:pPr>
    </w:p>
    <w:p w14:paraId="4896541B">
      <w:pPr>
        <w:snapToGrid w:val="0"/>
        <w:spacing w:beforeLines="50" w:after="50"/>
        <w:rPr>
          <w:rFonts w:ascii="宋体" w:hAnsi="宋体" w:cs="宋体"/>
          <w:color w:val="auto"/>
          <w:sz w:val="24"/>
          <w:szCs w:val="20"/>
          <w:highlight w:val="none"/>
        </w:rPr>
      </w:pPr>
    </w:p>
    <w:p w14:paraId="6BD7940F">
      <w:pPr>
        <w:numPr>
          <w:ilvl w:val="2"/>
          <w:numId w:val="8"/>
        </w:numPr>
        <w:snapToGrid w:val="0"/>
        <w:spacing w:beforeLines="50" w:after="50" w:line="360" w:lineRule="auto"/>
        <w:ind w:left="0" w:firstLine="0"/>
        <w:jc w:val="left"/>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资格证明文件目录</w:t>
      </w:r>
    </w:p>
    <w:p w14:paraId="7A529D4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14:paraId="4268195F">
      <w:pPr>
        <w:snapToGrid w:val="0"/>
        <w:spacing w:before="50" w:afterLines="50"/>
        <w:jc w:val="left"/>
        <w:rPr>
          <w:rFonts w:ascii="宋体" w:hAnsi="宋体" w:cs="宋体"/>
          <w:color w:val="auto"/>
          <w:sz w:val="24"/>
          <w:highlight w:val="none"/>
        </w:rPr>
      </w:pPr>
    </w:p>
    <w:p w14:paraId="767253C0">
      <w:pPr>
        <w:snapToGrid w:val="0"/>
        <w:spacing w:before="50" w:afterLines="50"/>
        <w:jc w:val="left"/>
        <w:rPr>
          <w:rFonts w:ascii="宋体" w:hAnsi="宋体" w:cs="宋体"/>
          <w:color w:val="auto"/>
          <w:sz w:val="24"/>
          <w:highlight w:val="none"/>
        </w:rPr>
      </w:pPr>
    </w:p>
    <w:p w14:paraId="743258A7">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w:t>
      </w:r>
      <w:r>
        <w:rPr>
          <w:rFonts w:hint="eastAsia" w:ascii="宋体" w:hAnsi="宋体" w:cs="宋体"/>
          <w:b/>
          <w:color w:val="auto"/>
          <w:sz w:val="28"/>
          <w:szCs w:val="28"/>
          <w:highlight w:val="none"/>
        </w:rPr>
        <w:t>投标人直接控股股东信息表</w:t>
      </w:r>
    </w:p>
    <w:p w14:paraId="62DEABE0">
      <w:pPr>
        <w:snapToGrid w:val="0"/>
        <w:spacing w:before="50" w:afterLines="50"/>
        <w:jc w:val="center"/>
        <w:rPr>
          <w:rFonts w:ascii="宋体" w:hAnsi="宋体" w:cs="宋体"/>
          <w:b/>
          <w:color w:val="auto"/>
          <w:sz w:val="28"/>
          <w:szCs w:val="28"/>
          <w:highlight w:val="none"/>
        </w:rPr>
      </w:pPr>
    </w:p>
    <w:p w14:paraId="182F1B82">
      <w:pPr>
        <w:snapToGrid w:val="0"/>
        <w:spacing w:before="5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4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A4D6568">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3CB943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068395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0F6C82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0BD581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EBA808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8F8F75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9E67EF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177EEA5">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5ACA87D">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7274739">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F593AFD">
            <w:pPr>
              <w:spacing w:line="360" w:lineRule="auto"/>
              <w:jc w:val="center"/>
              <w:rPr>
                <w:rFonts w:ascii="宋体" w:hAnsi="宋体" w:cs="宋体"/>
                <w:color w:val="auto"/>
                <w:kern w:val="0"/>
                <w:sz w:val="24"/>
                <w:highlight w:val="none"/>
              </w:rPr>
            </w:pPr>
          </w:p>
        </w:tc>
      </w:tr>
      <w:tr w14:paraId="68AEEAA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5690E3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CB694F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A4A997C">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114818A">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A322843">
            <w:pPr>
              <w:spacing w:line="360" w:lineRule="auto"/>
              <w:jc w:val="center"/>
              <w:rPr>
                <w:rFonts w:ascii="宋体" w:hAnsi="宋体" w:cs="宋体"/>
                <w:color w:val="auto"/>
                <w:kern w:val="0"/>
                <w:sz w:val="24"/>
                <w:highlight w:val="none"/>
              </w:rPr>
            </w:pPr>
          </w:p>
        </w:tc>
      </w:tr>
      <w:tr w14:paraId="619F8AF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3F4EAD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9422A55">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C60F334">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0313214">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17767C0">
            <w:pPr>
              <w:spacing w:line="360" w:lineRule="auto"/>
              <w:jc w:val="center"/>
              <w:rPr>
                <w:rFonts w:ascii="宋体" w:hAnsi="宋体" w:cs="宋体"/>
                <w:color w:val="auto"/>
                <w:kern w:val="0"/>
                <w:sz w:val="24"/>
                <w:highlight w:val="none"/>
              </w:rPr>
            </w:pPr>
          </w:p>
        </w:tc>
      </w:tr>
      <w:tr w14:paraId="365E3FB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00F345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4B5D97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C357536">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7CB2691">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48B0C80">
            <w:pPr>
              <w:spacing w:line="360" w:lineRule="auto"/>
              <w:jc w:val="center"/>
              <w:rPr>
                <w:rFonts w:ascii="宋体" w:hAnsi="宋体" w:cs="宋体"/>
                <w:color w:val="auto"/>
                <w:kern w:val="0"/>
                <w:sz w:val="24"/>
                <w:highlight w:val="none"/>
              </w:rPr>
            </w:pPr>
          </w:p>
        </w:tc>
      </w:tr>
    </w:tbl>
    <w:p w14:paraId="1CC682DD">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6D031AE4">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F1B48FF">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A59059E">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55163BA6">
      <w:pPr>
        <w:snapToGrid w:val="0"/>
        <w:spacing w:line="360" w:lineRule="auto"/>
        <w:jc w:val="left"/>
        <w:rPr>
          <w:rFonts w:ascii="宋体" w:hAnsi="宋体" w:cs="宋体"/>
          <w:color w:val="auto"/>
          <w:sz w:val="24"/>
          <w:highlight w:val="none"/>
        </w:rPr>
      </w:pPr>
    </w:p>
    <w:p w14:paraId="34627C07">
      <w:pPr>
        <w:snapToGrid w:val="0"/>
        <w:spacing w:line="360" w:lineRule="auto"/>
        <w:jc w:val="left"/>
        <w:rPr>
          <w:rFonts w:ascii="宋体" w:hAnsi="宋体" w:cs="宋体"/>
          <w:color w:val="auto"/>
          <w:sz w:val="24"/>
          <w:highlight w:val="none"/>
        </w:rPr>
      </w:pPr>
    </w:p>
    <w:p w14:paraId="1FBBAD2D">
      <w:pPr>
        <w:snapToGrid w:val="0"/>
        <w:spacing w:line="360" w:lineRule="auto"/>
        <w:jc w:val="left"/>
        <w:rPr>
          <w:rFonts w:ascii="宋体" w:hAnsi="宋体" w:cs="宋体"/>
          <w:color w:val="auto"/>
          <w:sz w:val="24"/>
          <w:highlight w:val="none"/>
        </w:rPr>
      </w:pPr>
    </w:p>
    <w:p w14:paraId="65A5BEE4">
      <w:pPr>
        <w:snapToGrid w:val="0"/>
        <w:spacing w:line="360" w:lineRule="auto"/>
        <w:ind w:left="-2" w:leftChars="-1" w:right="-817" w:rightChars="-389"/>
        <w:rPr>
          <w:rFonts w:ascii="宋体" w:hAnsi="宋体" w:cs="宋体"/>
          <w:color w:val="auto"/>
          <w:sz w:val="24"/>
          <w:highlight w:val="none"/>
        </w:rPr>
      </w:pPr>
      <w:r>
        <w:rPr>
          <w:rFonts w:hint="eastAsia" w:ascii="宋体" w:hAnsi="宋体" w:cs="宋体"/>
          <w:color w:val="auto"/>
          <w:sz w:val="24"/>
          <w:highlight w:val="none"/>
        </w:rPr>
        <w:t xml:space="preserve">             法定代表人或者委托代理人（签字或者电子签名）：</w:t>
      </w:r>
    </w:p>
    <w:p w14:paraId="5243143F">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2C790F0F">
      <w:pPr>
        <w:snapToGrid w:val="0"/>
        <w:spacing w:line="360" w:lineRule="auto"/>
        <w:jc w:val="left"/>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70DBB171">
      <w:pPr>
        <w:snapToGrid w:val="0"/>
        <w:jc w:val="center"/>
        <w:rPr>
          <w:rFonts w:ascii="宋体" w:hAnsi="宋体" w:cs="宋体"/>
          <w:b/>
          <w:color w:val="auto"/>
          <w:sz w:val="28"/>
          <w:szCs w:val="28"/>
          <w:highlight w:val="none"/>
        </w:rPr>
      </w:pPr>
    </w:p>
    <w:p w14:paraId="0E23472B">
      <w:pPr>
        <w:snapToGrid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24"/>
          <w:highlight w:val="none"/>
        </w:rPr>
        <w:t>4.</w:t>
      </w:r>
      <w:r>
        <w:rPr>
          <w:rFonts w:hint="eastAsia" w:ascii="宋体" w:hAnsi="宋体" w:cs="宋体"/>
          <w:b/>
          <w:color w:val="auto"/>
          <w:sz w:val="28"/>
          <w:szCs w:val="28"/>
          <w:highlight w:val="none"/>
        </w:rPr>
        <w:t>投标人直接管理关系信息表</w:t>
      </w:r>
    </w:p>
    <w:p w14:paraId="7388AC44">
      <w:pPr>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4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16B4B7D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48A6F0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50163D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87A46C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BB5B58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727BEF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7AC06C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1348308">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02E79DB">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FCBF65E">
            <w:pPr>
              <w:spacing w:line="360" w:lineRule="auto"/>
              <w:jc w:val="center"/>
              <w:rPr>
                <w:rFonts w:ascii="宋体" w:hAnsi="宋体" w:cs="宋体"/>
                <w:color w:val="auto"/>
                <w:kern w:val="0"/>
                <w:sz w:val="24"/>
                <w:highlight w:val="none"/>
              </w:rPr>
            </w:pPr>
          </w:p>
        </w:tc>
      </w:tr>
      <w:tr w14:paraId="0E5B3F4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955AAB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1A2FA24">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9F3225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60BD702">
            <w:pPr>
              <w:spacing w:line="360" w:lineRule="auto"/>
              <w:jc w:val="center"/>
              <w:rPr>
                <w:rFonts w:ascii="宋体" w:hAnsi="宋体" w:cs="宋体"/>
                <w:color w:val="auto"/>
                <w:kern w:val="0"/>
                <w:sz w:val="24"/>
                <w:highlight w:val="none"/>
              </w:rPr>
            </w:pPr>
          </w:p>
        </w:tc>
      </w:tr>
      <w:tr w14:paraId="200945C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A9EA98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0C5B135">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D2D99CE">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A29C8AC">
            <w:pPr>
              <w:spacing w:line="360" w:lineRule="auto"/>
              <w:jc w:val="center"/>
              <w:rPr>
                <w:rFonts w:ascii="宋体" w:hAnsi="宋体" w:cs="宋体"/>
                <w:color w:val="auto"/>
                <w:kern w:val="0"/>
                <w:sz w:val="24"/>
                <w:highlight w:val="none"/>
              </w:rPr>
            </w:pPr>
          </w:p>
        </w:tc>
      </w:tr>
      <w:tr w14:paraId="2C6230F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0AA6D8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76998B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2428F5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F93D12D">
            <w:pPr>
              <w:spacing w:line="360" w:lineRule="auto"/>
              <w:jc w:val="center"/>
              <w:rPr>
                <w:rFonts w:ascii="宋体" w:hAnsi="宋体" w:cs="宋体"/>
                <w:color w:val="auto"/>
                <w:kern w:val="0"/>
                <w:sz w:val="24"/>
                <w:highlight w:val="none"/>
              </w:rPr>
            </w:pPr>
          </w:p>
        </w:tc>
      </w:tr>
    </w:tbl>
    <w:p w14:paraId="6416E03E">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2729FCF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542E36F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74A6376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0BAA5326">
      <w:pPr>
        <w:snapToGrid w:val="0"/>
        <w:spacing w:line="360" w:lineRule="auto"/>
        <w:jc w:val="left"/>
        <w:rPr>
          <w:rFonts w:ascii="宋体" w:hAnsi="宋体" w:cs="宋体"/>
          <w:color w:val="auto"/>
          <w:sz w:val="24"/>
          <w:highlight w:val="none"/>
        </w:rPr>
      </w:pPr>
    </w:p>
    <w:p w14:paraId="2E47BF24">
      <w:pPr>
        <w:snapToGrid w:val="0"/>
        <w:spacing w:line="360" w:lineRule="auto"/>
        <w:jc w:val="left"/>
        <w:rPr>
          <w:rFonts w:ascii="宋体" w:hAnsi="宋体" w:cs="宋体"/>
          <w:color w:val="auto"/>
          <w:sz w:val="24"/>
          <w:highlight w:val="none"/>
        </w:rPr>
      </w:pPr>
    </w:p>
    <w:p w14:paraId="7280C3D2">
      <w:pPr>
        <w:snapToGrid w:val="0"/>
        <w:spacing w:line="360" w:lineRule="auto"/>
        <w:jc w:val="left"/>
        <w:rPr>
          <w:rFonts w:ascii="宋体" w:hAnsi="宋体" w:cs="宋体"/>
          <w:color w:val="auto"/>
          <w:sz w:val="24"/>
          <w:highlight w:val="none"/>
        </w:rPr>
      </w:pPr>
    </w:p>
    <w:p w14:paraId="310FCF7B">
      <w:pPr>
        <w:snapToGrid w:val="0"/>
        <w:spacing w:line="360" w:lineRule="auto"/>
        <w:jc w:val="left"/>
        <w:rPr>
          <w:rFonts w:ascii="宋体" w:hAnsi="宋体" w:cs="宋体"/>
          <w:color w:val="auto"/>
          <w:sz w:val="24"/>
          <w:highlight w:val="none"/>
        </w:rPr>
      </w:pPr>
    </w:p>
    <w:p w14:paraId="3B874947">
      <w:pPr>
        <w:snapToGrid w:val="0"/>
        <w:spacing w:line="360" w:lineRule="auto"/>
        <w:ind w:left="-2" w:leftChars="-1" w:right="-817" w:rightChars="-389"/>
        <w:rPr>
          <w:rFonts w:ascii="宋体" w:hAnsi="宋体" w:cs="宋体"/>
          <w:color w:val="auto"/>
          <w:sz w:val="24"/>
          <w:highlight w:val="none"/>
        </w:rPr>
      </w:pPr>
      <w:r>
        <w:rPr>
          <w:rFonts w:hint="eastAsia" w:ascii="宋体" w:hAnsi="宋体" w:cs="宋体"/>
          <w:color w:val="auto"/>
          <w:sz w:val="24"/>
          <w:highlight w:val="none"/>
        </w:rPr>
        <w:t xml:space="preserve">            法定代表人或者委托代理人（签字或者电子签名）：</w:t>
      </w:r>
    </w:p>
    <w:p w14:paraId="67B94850">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5362A927">
      <w:pPr>
        <w:snapToGrid w:val="0"/>
        <w:spacing w:line="360" w:lineRule="auto"/>
        <w:ind w:right="480" w:firstLine="240" w:firstLineChars="100"/>
        <w:jc w:val="left"/>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10AEBB57">
      <w:pPr>
        <w:snapToGrid w:val="0"/>
        <w:spacing w:beforeLines="50" w:after="50"/>
        <w:jc w:val="left"/>
        <w:rPr>
          <w:rFonts w:ascii="宋体" w:hAnsi="宋体" w:cs="宋体"/>
          <w:b/>
          <w:color w:val="auto"/>
          <w:sz w:val="24"/>
          <w:szCs w:val="20"/>
          <w:highlight w:val="none"/>
        </w:rPr>
      </w:pPr>
    </w:p>
    <w:p w14:paraId="4B238FFB">
      <w:pPr>
        <w:snapToGrid w:val="0"/>
        <w:spacing w:line="360" w:lineRule="auto"/>
        <w:ind w:right="480" w:firstLine="210" w:firstLineChars="100"/>
        <w:jc w:val="left"/>
        <w:rPr>
          <w:rFonts w:ascii="宋体" w:hAnsi="宋体" w:cs="宋体"/>
          <w:color w:val="auto"/>
          <w:szCs w:val="21"/>
          <w:highlight w:val="none"/>
        </w:rPr>
      </w:pPr>
    </w:p>
    <w:p w14:paraId="19206007">
      <w:pPr>
        <w:snapToGrid w:val="0"/>
        <w:spacing w:beforeLines="50" w:after="50"/>
        <w:jc w:val="left"/>
        <w:rPr>
          <w:rFonts w:ascii="宋体" w:hAnsi="宋体" w:cs="宋体"/>
          <w:b/>
          <w:color w:val="auto"/>
          <w:sz w:val="24"/>
          <w:szCs w:val="20"/>
          <w:highlight w:val="none"/>
        </w:rPr>
      </w:pPr>
    </w:p>
    <w:p w14:paraId="1359FCBD">
      <w:pPr>
        <w:snapToGrid w:val="0"/>
        <w:spacing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5.投标声明</w:t>
      </w:r>
    </w:p>
    <w:p w14:paraId="4CD378D2">
      <w:pPr>
        <w:snapToGrid w:val="0"/>
        <w:spacing w:before="50" w:afterLines="50"/>
        <w:jc w:val="left"/>
        <w:rPr>
          <w:rFonts w:ascii="宋体" w:hAnsi="宋体" w:cs="宋体"/>
          <w:color w:val="auto"/>
          <w:highlight w:val="none"/>
        </w:rPr>
      </w:pPr>
    </w:p>
    <w:p w14:paraId="5432B5C7">
      <w:pPr>
        <w:snapToGrid w:val="0"/>
        <w:spacing w:before="50" w:afterLines="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投标声明</w:t>
      </w:r>
    </w:p>
    <w:p w14:paraId="6AAACFFE">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（采购人名称）：</w:t>
      </w:r>
    </w:p>
    <w:p w14:paraId="763F9A42">
      <w:pPr>
        <w:spacing w:line="400" w:lineRule="exact"/>
        <w:ind w:firstLine="523" w:firstLineChars="218"/>
        <w:contextualSpacing/>
        <w:jc w:val="left"/>
        <w:rPr>
          <w:rFonts w:ascii="宋体" w:hAnsi="宋体" w:cs="宋体"/>
          <w:color w:val="auto"/>
          <w:sz w:val="24"/>
          <w:highlight w:val="none"/>
        </w:rPr>
      </w:pPr>
      <w:r>
        <w:rPr>
          <w:rFonts w:hint="eastAsia" w:ascii="宋体" w:hAnsi="宋体" w:cs="宋体"/>
          <w:color w:val="auto"/>
          <w:sz w:val="24"/>
          <w:highlight w:val="none"/>
        </w:rPr>
        <w:t>我方参加贵单位组织项目</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）的政府采购活动。我方在此郑重声明：</w:t>
      </w:r>
    </w:p>
    <w:p w14:paraId="6E73E2D2">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42A3B77">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6EBFFA1B">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 我方承诺符合《中华人民共和国政府采购法》第二十二条规定：</w:t>
      </w:r>
    </w:p>
    <w:p w14:paraId="073D9E53">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14:paraId="0DDE9C51">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06FB7CC3">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4BCDAECB">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32701F6E">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5A213EFC">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14:paraId="6C06D1C6">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4.以上事项如有虚假或者隐瞒，我方愿意承担一切后果，并不再寻求任何旨在减轻或者免除法律责任的辩解。</w:t>
      </w:r>
    </w:p>
    <w:p w14:paraId="7C4FB469">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特此承诺。</w:t>
      </w:r>
    </w:p>
    <w:p w14:paraId="3DC635C8">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法定代表人或者委托代理人</w:t>
      </w:r>
      <w:r>
        <w:rPr>
          <w:rFonts w:hint="eastAsia" w:ascii="宋体" w:hAnsi="宋体" w:cs="宋体"/>
          <w:color w:val="auto"/>
          <w:spacing w:val="20"/>
          <w:sz w:val="24"/>
          <w:highlight w:val="none"/>
        </w:rPr>
        <w:t>（签字或者电子签名）：</w:t>
      </w:r>
    </w:p>
    <w:p w14:paraId="3F26AE0A">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0C3FFCBE">
      <w:pPr>
        <w:spacing w:line="400" w:lineRule="exact"/>
        <w:contextualSpacing/>
        <w:jc w:val="left"/>
        <w:rPr>
          <w:rFonts w:ascii="宋体" w:hAnsi="宋体" w:cs="宋体"/>
          <w:color w:val="auto"/>
          <w:highlight w:val="none"/>
        </w:rPr>
      </w:pPr>
      <w:r>
        <w:rPr>
          <w:rFonts w:hint="eastAsia" w:ascii="宋体" w:hAnsi="宋体" w:cs="宋体"/>
          <w:color w:val="auto"/>
          <w:sz w:val="24"/>
          <w:highlight w:val="none"/>
        </w:rPr>
        <w:t xml:space="preserve">                                                  年    月    日</w:t>
      </w:r>
    </w:p>
    <w:p w14:paraId="116AB387">
      <w:pPr>
        <w:spacing w:line="440" w:lineRule="exact"/>
        <w:contextualSpacing/>
        <w:rPr>
          <w:rFonts w:ascii="宋体" w:hAnsi="宋体" w:cs="宋体"/>
          <w:b/>
          <w:color w:val="auto"/>
          <w:sz w:val="24"/>
          <w:highlight w:val="none"/>
        </w:rPr>
      </w:pPr>
      <w:bookmarkStart w:id="154" w:name="_Toc19686838"/>
      <w:r>
        <w:rPr>
          <w:rFonts w:hint="eastAsia" w:ascii="宋体" w:hAnsi="宋体" w:cs="宋体"/>
          <w:b/>
          <w:color w:val="auto"/>
          <w:sz w:val="24"/>
          <w:highlight w:val="none"/>
        </w:rPr>
        <w:t>注：如为联合体投标，盖章处须加盖联合体牵头人电子签章并由联合体各方法定代表人分别签字或者盖章或者电子签名，否则投标无效。</w:t>
      </w:r>
    </w:p>
    <w:p w14:paraId="3FB0F107">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三、商务文件格式</w:t>
      </w:r>
      <w:bookmarkEnd w:id="154"/>
    </w:p>
    <w:p w14:paraId="59152CB1">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1.商务文件封面格式： </w:t>
      </w:r>
    </w:p>
    <w:p w14:paraId="4DED379C">
      <w:pPr>
        <w:snapToGrid w:val="0"/>
        <w:spacing w:beforeLines="50" w:after="50"/>
        <w:jc w:val="center"/>
        <w:rPr>
          <w:rFonts w:ascii="宋体" w:hAnsi="宋体" w:cs="宋体"/>
          <w:color w:val="auto"/>
          <w:sz w:val="24"/>
          <w:highlight w:val="none"/>
        </w:rPr>
      </w:pPr>
      <w:r>
        <w:rPr>
          <w:rFonts w:hint="eastAsia" w:ascii="宋体" w:hAnsi="宋体" w:cs="宋体"/>
          <w:bCs/>
          <w:color w:val="auto"/>
          <w:sz w:val="48"/>
          <w:szCs w:val="48"/>
          <w:highlight w:val="none"/>
        </w:rPr>
        <w:t>电子投标文件</w:t>
      </w:r>
    </w:p>
    <w:p w14:paraId="530191BF">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文  件</w:t>
      </w:r>
    </w:p>
    <w:p w14:paraId="47641DDB">
      <w:pPr>
        <w:snapToGrid w:val="0"/>
        <w:spacing w:beforeLines="50" w:after="50"/>
        <w:rPr>
          <w:rFonts w:ascii="宋体" w:hAnsi="宋体" w:cs="宋体"/>
          <w:bCs/>
          <w:color w:val="auto"/>
          <w:sz w:val="24"/>
          <w:szCs w:val="20"/>
          <w:highlight w:val="none"/>
        </w:rPr>
      </w:pPr>
    </w:p>
    <w:p w14:paraId="7B703AEB">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6736961E">
      <w:pPr>
        <w:snapToGrid w:val="0"/>
        <w:spacing w:beforeLines="50" w:after="50"/>
        <w:ind w:firstLine="540" w:firstLineChars="225"/>
        <w:rPr>
          <w:rFonts w:ascii="宋体" w:hAnsi="宋体" w:cs="宋体"/>
          <w:bCs/>
          <w:color w:val="auto"/>
          <w:sz w:val="24"/>
          <w:szCs w:val="20"/>
          <w:highlight w:val="none"/>
        </w:rPr>
      </w:pPr>
    </w:p>
    <w:p w14:paraId="390A3246">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5B0AD6ED">
      <w:pPr>
        <w:snapToGrid w:val="0"/>
        <w:spacing w:beforeLines="50" w:after="50"/>
        <w:ind w:firstLine="540" w:firstLineChars="225"/>
        <w:rPr>
          <w:rFonts w:ascii="宋体" w:hAnsi="宋体" w:cs="宋体"/>
          <w:bCs/>
          <w:color w:val="auto"/>
          <w:sz w:val="24"/>
          <w:szCs w:val="20"/>
          <w:highlight w:val="none"/>
        </w:rPr>
      </w:pPr>
    </w:p>
    <w:p w14:paraId="34B1F4B0">
      <w:pPr>
        <w:snapToGrid w:val="0"/>
        <w:spacing w:beforeLines="50" w:after="50"/>
        <w:ind w:firstLine="540" w:firstLineChars="225"/>
        <w:rPr>
          <w:rFonts w:ascii="宋体" w:hAnsi="宋体" w:cs="宋体"/>
          <w:bCs/>
          <w:color w:val="auto"/>
          <w:sz w:val="24"/>
          <w:szCs w:val="20"/>
          <w:highlight w:val="none"/>
        </w:rPr>
      </w:pPr>
    </w:p>
    <w:p w14:paraId="691D8EBC">
      <w:pPr>
        <w:pStyle w:val="6"/>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452BCC0B">
      <w:pPr>
        <w:pStyle w:val="6"/>
        <w:snapToGrid w:val="0"/>
        <w:spacing w:before="50" w:after="50"/>
        <w:ind w:firstLine="540" w:firstLineChars="225"/>
        <w:rPr>
          <w:rFonts w:ascii="宋体" w:hAnsi="宋体" w:cs="宋体"/>
          <w:bCs/>
          <w:color w:val="auto"/>
          <w:sz w:val="24"/>
          <w:szCs w:val="24"/>
          <w:highlight w:val="none"/>
        </w:rPr>
      </w:pPr>
    </w:p>
    <w:p w14:paraId="19EE21B4">
      <w:pPr>
        <w:pStyle w:val="6"/>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06CD31D4">
      <w:pPr>
        <w:pStyle w:val="6"/>
        <w:snapToGrid w:val="0"/>
        <w:spacing w:before="50" w:after="50"/>
        <w:ind w:firstLine="960" w:firstLineChars="400"/>
        <w:rPr>
          <w:rFonts w:ascii="宋体" w:hAnsi="宋体" w:cs="宋体"/>
          <w:bCs/>
          <w:color w:val="auto"/>
          <w:sz w:val="24"/>
          <w:szCs w:val="24"/>
          <w:highlight w:val="none"/>
        </w:rPr>
      </w:pPr>
    </w:p>
    <w:p w14:paraId="20697868">
      <w:pPr>
        <w:snapToGrid w:val="0"/>
        <w:spacing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04E80F11">
      <w:pPr>
        <w:snapToGrid w:val="0"/>
        <w:spacing w:beforeLines="50" w:after="50"/>
        <w:rPr>
          <w:rFonts w:ascii="宋体" w:hAnsi="宋体" w:cs="宋体"/>
          <w:color w:val="auto"/>
          <w:sz w:val="24"/>
          <w:szCs w:val="20"/>
          <w:highlight w:val="none"/>
        </w:rPr>
      </w:pPr>
    </w:p>
    <w:p w14:paraId="57037632">
      <w:pPr>
        <w:snapToGrid w:val="0"/>
        <w:spacing w:line="360" w:lineRule="auto"/>
        <w:jc w:val="left"/>
        <w:rPr>
          <w:rFonts w:ascii="宋体" w:hAnsi="宋体" w:cs="宋体"/>
          <w:b/>
          <w:color w:val="auto"/>
          <w:sz w:val="24"/>
          <w:highlight w:val="none"/>
        </w:rPr>
      </w:pPr>
      <w:r>
        <w:rPr>
          <w:rFonts w:hint="eastAsia" w:ascii="宋体" w:hAnsi="宋体" w:cs="宋体"/>
          <w:color w:val="auto"/>
          <w:sz w:val="24"/>
          <w:szCs w:val="20"/>
          <w:highlight w:val="none"/>
        </w:rPr>
        <w:br w:type="page"/>
      </w:r>
      <w:r>
        <w:rPr>
          <w:rFonts w:hint="eastAsia" w:ascii="宋体" w:hAnsi="宋体" w:cs="宋体"/>
          <w:b/>
          <w:color w:val="auto"/>
          <w:sz w:val="24"/>
          <w:highlight w:val="none"/>
        </w:rPr>
        <w:t>2.商务文件目录</w:t>
      </w:r>
    </w:p>
    <w:p w14:paraId="25925623">
      <w:pPr>
        <w:snapToGrid w:val="0"/>
        <w:spacing w:before="50" w:afterLines="50" w:line="360" w:lineRule="auto"/>
        <w:ind w:firstLine="560" w:firstLineChars="200"/>
        <w:jc w:val="left"/>
        <w:rPr>
          <w:rFonts w:ascii="宋体" w:hAnsi="宋体" w:cs="宋体"/>
          <w:b/>
          <w:bCs/>
          <w:color w:val="auto"/>
          <w:sz w:val="32"/>
          <w:szCs w:val="32"/>
          <w:highlight w:val="none"/>
        </w:rPr>
      </w:pPr>
      <w:r>
        <w:rPr>
          <w:rFonts w:hint="eastAsia" w:ascii="宋体" w:hAnsi="宋体" w:cs="宋体"/>
          <w:color w:val="auto"/>
          <w:sz w:val="28"/>
          <w:szCs w:val="28"/>
          <w:highlight w:val="none"/>
        </w:rPr>
        <w:t>根据招标文件规定及投标人提供的材料自行编写目录。</w:t>
      </w:r>
    </w:p>
    <w:p w14:paraId="264F2AB5">
      <w:pPr>
        <w:snapToGrid w:val="0"/>
        <w:spacing w:before="50" w:afterLines="50"/>
        <w:jc w:val="left"/>
        <w:rPr>
          <w:rFonts w:ascii="宋体" w:hAnsi="宋体" w:cs="宋体"/>
          <w:color w:val="auto"/>
          <w:highlight w:val="none"/>
        </w:rPr>
      </w:pPr>
    </w:p>
    <w:p w14:paraId="36407973">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3.部分商务文件格式</w:t>
      </w:r>
    </w:p>
    <w:p w14:paraId="65D631E3">
      <w:pPr>
        <w:snapToGrid w:val="0"/>
        <w:spacing w:beforeLines="50" w:after="50"/>
        <w:jc w:val="left"/>
        <w:rPr>
          <w:rFonts w:ascii="宋体" w:hAnsi="宋体" w:cs="宋体"/>
          <w:b/>
          <w:color w:val="auto"/>
          <w:sz w:val="24"/>
          <w:highlight w:val="none"/>
        </w:rPr>
      </w:pPr>
    </w:p>
    <w:p w14:paraId="1F0C6764">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t>投标人参加本项目无围标串标行为的承诺</w:t>
      </w:r>
    </w:p>
    <w:p w14:paraId="4966DBC5">
      <w:pPr>
        <w:spacing w:line="360" w:lineRule="auto"/>
        <w:ind w:left="420"/>
        <w:contextualSpacing/>
        <w:jc w:val="center"/>
        <w:rPr>
          <w:rFonts w:ascii="宋体" w:hAnsi="宋体" w:cs="宋体"/>
          <w:b/>
          <w:color w:val="auto"/>
          <w:sz w:val="24"/>
          <w:highlight w:val="none"/>
        </w:rPr>
      </w:pPr>
      <w:r>
        <w:rPr>
          <w:rFonts w:hint="eastAsia" w:ascii="宋体" w:hAnsi="宋体" w:cs="宋体"/>
          <w:bCs/>
          <w:color w:val="auto"/>
          <w:spacing w:val="-11"/>
          <w:sz w:val="44"/>
          <w:szCs w:val="44"/>
          <w:highlight w:val="none"/>
        </w:rPr>
        <w:t>投标人参加本项目无围标串标行为的承诺函</w:t>
      </w:r>
    </w:p>
    <w:p w14:paraId="5D6FE11E">
      <w:pPr>
        <w:spacing w:line="400" w:lineRule="exact"/>
        <w:contextualSpacing/>
        <w:jc w:val="left"/>
        <w:rPr>
          <w:rFonts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4BA31EA7">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14:paraId="63A7727C">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12E2CA48">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76596347">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1A368A43">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14:paraId="0FCFAAFB">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7213C2BE">
      <w:pPr>
        <w:spacing w:line="400" w:lineRule="exact"/>
        <w:contextualSpacing/>
        <w:jc w:val="left"/>
        <w:rPr>
          <w:rFonts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7E4102DD">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1.投标人直接或者间接从采购人或者采购代理机构处获得其他投标人的相关信息并修改其投标文件或者响应文件；</w:t>
      </w:r>
    </w:p>
    <w:p w14:paraId="42A79FDC">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2.投标人按照采购人或者采购代理机构的授意撤换、修改投标文件或者响应文件；</w:t>
      </w:r>
    </w:p>
    <w:p w14:paraId="1AACE0E6">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3.投标人之间协商报价、技术方案等投标文件或者响应文件的实质性内容；</w:t>
      </w:r>
    </w:p>
    <w:p w14:paraId="73AF7038">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7DEC6DFF">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6BB85411">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094CCDE7">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41F4C976">
      <w:pPr>
        <w:spacing w:line="400" w:lineRule="exact"/>
        <w:ind w:firstLine="472" w:firstLineChars="196"/>
        <w:contextualSpacing/>
        <w:jc w:val="left"/>
        <w:rPr>
          <w:rFonts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2D100DD6">
      <w:pPr>
        <w:pStyle w:val="24"/>
        <w:spacing w:line="440" w:lineRule="exact"/>
        <w:ind w:firstLine="6840" w:firstLineChars="2850"/>
        <w:contextualSpacing/>
        <w:rPr>
          <w:rFonts w:hAnsi="宋体" w:cs="宋体"/>
          <w:color w:val="auto"/>
          <w:sz w:val="24"/>
          <w:szCs w:val="24"/>
          <w:highlight w:val="none"/>
        </w:rPr>
      </w:pPr>
    </w:p>
    <w:p w14:paraId="006273C4">
      <w:pPr>
        <w:pStyle w:val="24"/>
        <w:spacing w:line="440" w:lineRule="exact"/>
        <w:contextualSpacing/>
        <w:jc w:val="center"/>
        <w:rPr>
          <w:rFonts w:hAnsi="宋体" w:cs="宋体"/>
          <w:color w:val="auto"/>
          <w:sz w:val="24"/>
          <w:szCs w:val="24"/>
          <w:highlight w:val="none"/>
        </w:rPr>
      </w:pPr>
      <w:r>
        <w:rPr>
          <w:rFonts w:hint="eastAsia" w:hAnsi="宋体" w:cs="宋体"/>
          <w:color w:val="auto"/>
          <w:sz w:val="24"/>
          <w:szCs w:val="24"/>
          <w:highlight w:val="none"/>
        </w:rPr>
        <w:t>投标人名称（电子签章）</w:t>
      </w:r>
    </w:p>
    <w:p w14:paraId="256B012D">
      <w:pPr>
        <w:pStyle w:val="24"/>
        <w:spacing w:line="440" w:lineRule="exact"/>
        <w:ind w:firstLine="4200" w:firstLineChars="1750"/>
        <w:contextualSpacing/>
        <w:rPr>
          <w:rFonts w:hAnsi="宋体" w:cs="宋体"/>
          <w:color w:val="auto"/>
          <w:sz w:val="24"/>
          <w:highlight w:val="none"/>
        </w:rPr>
      </w:pPr>
      <w:r>
        <w:rPr>
          <w:rFonts w:hint="eastAsia" w:hAnsi="宋体" w:cs="宋体"/>
          <w:color w:val="auto"/>
          <w:sz w:val="24"/>
          <w:highlight w:val="none"/>
        </w:rPr>
        <w:t>年   月   日</w:t>
      </w:r>
    </w:p>
    <w:p w14:paraId="40C7E8C8">
      <w:pPr>
        <w:snapToGrid w:val="0"/>
        <w:spacing w:beforeLines="50" w:after="50"/>
        <w:jc w:val="left"/>
        <w:rPr>
          <w:rFonts w:ascii="宋体" w:hAnsi="宋体" w:cs="宋体"/>
          <w:b/>
          <w:color w:val="auto"/>
          <w:sz w:val="24"/>
          <w:highlight w:val="none"/>
        </w:rPr>
      </w:pPr>
    </w:p>
    <w:p w14:paraId="31610DF9">
      <w:pPr>
        <w:snapToGrid w:val="0"/>
        <w:spacing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t>法定代表人身份证明</w:t>
      </w:r>
    </w:p>
    <w:p w14:paraId="54F2C1DF">
      <w:pPr>
        <w:spacing w:beforeLines="100" w:afterLines="50"/>
        <w:ind w:left="54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法定代表人身份证明</w:t>
      </w:r>
    </w:p>
    <w:p w14:paraId="5F6053F9">
      <w:pPr>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_               </w:t>
      </w:r>
    </w:p>
    <w:p w14:paraId="2E02A6F8">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_               </w:t>
      </w:r>
    </w:p>
    <w:p w14:paraId="52A0A625">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_               </w:t>
      </w:r>
    </w:p>
    <w:p w14:paraId="22511821">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_               </w:t>
      </w:r>
    </w:p>
    <w:p w14:paraId="061BFE94">
      <w:pPr>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_               </w:t>
      </w:r>
    </w:p>
    <w:p w14:paraId="1040802D">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6009CEE7">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7E307C06">
      <w:pPr>
        <w:spacing w:line="500" w:lineRule="exact"/>
        <w:ind w:left="540"/>
        <w:rPr>
          <w:rFonts w:ascii="宋体" w:hAnsi="宋体" w:cs="宋体"/>
          <w:color w:val="auto"/>
          <w:sz w:val="24"/>
          <w:highlight w:val="none"/>
        </w:rPr>
      </w:pPr>
    </w:p>
    <w:p w14:paraId="5774EB94">
      <w:pPr>
        <w:spacing w:line="500" w:lineRule="exact"/>
        <w:ind w:left="540"/>
        <w:rPr>
          <w:rFonts w:ascii="宋体" w:hAnsi="宋体" w:cs="宋体"/>
          <w:color w:val="auto"/>
          <w:sz w:val="24"/>
          <w:highlight w:val="none"/>
        </w:rPr>
      </w:pPr>
    </w:p>
    <w:p w14:paraId="7CAD778F">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7F06584E">
      <w:pPr>
        <w:spacing w:line="500" w:lineRule="exact"/>
        <w:ind w:left="540"/>
        <w:rPr>
          <w:rFonts w:ascii="宋体" w:hAnsi="宋体" w:cs="宋体"/>
          <w:color w:val="auto"/>
          <w:sz w:val="24"/>
          <w:highlight w:val="none"/>
        </w:rPr>
      </w:pPr>
    </w:p>
    <w:p w14:paraId="6301C505">
      <w:pPr>
        <w:spacing w:line="500" w:lineRule="exact"/>
        <w:ind w:left="540"/>
        <w:jc w:val="right"/>
        <w:rPr>
          <w:rFonts w:ascii="宋体" w:hAnsi="宋体" w:cs="宋体"/>
          <w:color w:val="auto"/>
          <w:sz w:val="24"/>
          <w:highlight w:val="none"/>
        </w:rPr>
      </w:pPr>
      <w:r>
        <w:rPr>
          <w:rFonts w:hint="eastAsia" w:ascii="宋体" w:hAnsi="宋体" w:cs="宋体"/>
          <w:color w:val="auto"/>
          <w:sz w:val="24"/>
          <w:highlight w:val="none"/>
        </w:rPr>
        <w:t>投标人名称（电子签章）</w:t>
      </w:r>
    </w:p>
    <w:p w14:paraId="6985E84A">
      <w:pPr>
        <w:spacing w:line="500" w:lineRule="exact"/>
        <w:ind w:left="540"/>
        <w:jc w:val="right"/>
        <w:rPr>
          <w:rFonts w:ascii="宋体" w:hAnsi="宋体" w:cs="宋体"/>
          <w:color w:val="auto"/>
          <w:sz w:val="24"/>
          <w:highlight w:val="none"/>
        </w:rPr>
      </w:pPr>
    </w:p>
    <w:p w14:paraId="05D4EE9B">
      <w:pPr>
        <w:wordWrap w:val="0"/>
        <w:snapToGrid w:val="0"/>
        <w:spacing w:beforeLines="50" w:after="50"/>
        <w:ind w:left="540"/>
        <w:jc w:val="right"/>
        <w:rPr>
          <w:rFonts w:ascii="宋体" w:hAnsi="宋体" w:cs="宋体"/>
          <w:color w:val="auto"/>
          <w:sz w:val="24"/>
          <w:highlight w:val="none"/>
        </w:rPr>
      </w:pPr>
      <w:r>
        <w:rPr>
          <w:rFonts w:hint="eastAsia" w:ascii="宋体" w:hAnsi="宋体" w:cs="宋体"/>
          <w:color w:val="auto"/>
          <w:sz w:val="24"/>
          <w:highlight w:val="none"/>
        </w:rPr>
        <w:t>年  月  日</w:t>
      </w:r>
    </w:p>
    <w:p w14:paraId="64EA58A6">
      <w:pPr>
        <w:snapToGrid w:val="0"/>
        <w:spacing w:beforeLines="50" w:after="50"/>
        <w:jc w:val="center"/>
        <w:rPr>
          <w:rFonts w:ascii="宋体" w:hAnsi="宋体" w:cs="宋体"/>
          <w:b/>
          <w:color w:val="auto"/>
          <w:sz w:val="24"/>
          <w:highlight w:val="none"/>
        </w:rPr>
      </w:pPr>
    </w:p>
    <w:p w14:paraId="42B7FBE8">
      <w:pPr>
        <w:snapToGrid w:val="0"/>
        <w:spacing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19A59CF8">
      <w:pPr>
        <w:snapToGrid w:val="0"/>
        <w:spacing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授权委托书格式</w:t>
      </w:r>
    </w:p>
    <w:p w14:paraId="6AA0DBE6">
      <w:pPr>
        <w:snapToGrid w:val="0"/>
        <w:spacing w:beforeLines="50" w:after="50"/>
        <w:jc w:val="center"/>
        <w:rPr>
          <w:rFonts w:ascii="宋体" w:hAnsi="宋体" w:cs="宋体"/>
          <w:b/>
          <w:color w:val="auto"/>
          <w:sz w:val="44"/>
          <w:szCs w:val="44"/>
          <w:highlight w:val="none"/>
        </w:rPr>
      </w:pPr>
    </w:p>
    <w:p w14:paraId="2A2E2BD0">
      <w:pPr>
        <w:spacing w:line="360" w:lineRule="auto"/>
        <w:contextualSpacing/>
        <w:jc w:val="center"/>
        <w:rPr>
          <w:rFonts w:ascii="宋体" w:hAnsi="宋体" w:cs="宋体"/>
          <w:bCs/>
          <w:color w:val="auto"/>
          <w:sz w:val="44"/>
          <w:szCs w:val="44"/>
          <w:highlight w:val="none"/>
        </w:rPr>
      </w:pPr>
      <w:r>
        <w:rPr>
          <w:rFonts w:hint="eastAsia" w:ascii="宋体" w:hAnsi="宋体" w:cs="宋体"/>
          <w:bCs/>
          <w:color w:val="auto"/>
          <w:sz w:val="44"/>
          <w:szCs w:val="44"/>
          <w:highlight w:val="none"/>
        </w:rPr>
        <w:t>授权委托书</w:t>
      </w:r>
    </w:p>
    <w:p w14:paraId="3CD6C750">
      <w:pPr>
        <w:spacing w:line="360" w:lineRule="auto"/>
        <w:contextualSpacing/>
        <w:jc w:val="center"/>
        <w:rPr>
          <w:rFonts w:ascii="宋体" w:hAnsi="宋体" w:cs="宋体"/>
          <w:bCs/>
          <w:color w:val="auto"/>
          <w:sz w:val="32"/>
          <w:szCs w:val="32"/>
          <w:highlight w:val="none"/>
        </w:rPr>
      </w:pPr>
      <w:r>
        <w:rPr>
          <w:rFonts w:hint="eastAsia" w:ascii="宋体" w:hAnsi="宋体" w:cs="宋体"/>
          <w:bCs/>
          <w:color w:val="auto"/>
          <w:sz w:val="32"/>
          <w:szCs w:val="32"/>
          <w:highlight w:val="none"/>
        </w:rPr>
        <w:t>（非联合体投标格式）</w:t>
      </w:r>
    </w:p>
    <w:p w14:paraId="3FA2FFBB">
      <w:pPr>
        <w:spacing w:line="360" w:lineRule="auto"/>
        <w:contextualSpacing/>
        <w:jc w:val="center"/>
        <w:rPr>
          <w:rFonts w:ascii="宋体" w:hAnsi="宋体" w:cs="宋体"/>
          <w:bCs/>
          <w:color w:val="auto"/>
          <w:sz w:val="24"/>
          <w:highlight w:val="none"/>
        </w:rPr>
      </w:pPr>
      <w:r>
        <w:rPr>
          <w:rFonts w:hint="eastAsia" w:ascii="宋体" w:hAnsi="宋体" w:cs="宋体"/>
          <w:bCs/>
          <w:color w:val="auto"/>
          <w:sz w:val="32"/>
          <w:szCs w:val="32"/>
          <w:highlight w:val="none"/>
        </w:rPr>
        <w:t>（如有委托时）</w:t>
      </w:r>
    </w:p>
    <w:p w14:paraId="697DF4D8">
      <w:pPr>
        <w:spacing w:line="440" w:lineRule="exact"/>
        <w:contextualSpacing/>
        <w:jc w:val="center"/>
        <w:rPr>
          <w:rFonts w:ascii="宋体" w:hAnsi="宋体" w:cs="宋体"/>
          <w:b/>
          <w:color w:val="auto"/>
          <w:sz w:val="24"/>
          <w:highlight w:val="none"/>
        </w:rPr>
      </w:pPr>
    </w:p>
    <w:p w14:paraId="4E405BB8">
      <w:pPr>
        <w:spacing w:line="440" w:lineRule="exact"/>
        <w:contextualSpacing/>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2AAE508F">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我（姓名）</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以我方的名义参加项目的投标活动，并代表我方全权办理针对上述项目的所有采购程序和环节的具体事务和签署相关文件。</w:t>
      </w:r>
    </w:p>
    <w:p w14:paraId="035626C1">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 xml:space="preserve">    我方对委托代理人的签字或者电子签名事项负全部责任。</w:t>
      </w:r>
    </w:p>
    <w:p w14:paraId="158C5B19">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7C0AF39F">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7FD72D93">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7102C84F">
      <w:pPr>
        <w:spacing w:line="440" w:lineRule="exact"/>
        <w:contextualSpacing/>
        <w:rPr>
          <w:rFonts w:ascii="宋体" w:hAnsi="宋体" w:cs="宋体"/>
          <w:color w:val="auto"/>
          <w:sz w:val="24"/>
          <w:highlight w:val="none"/>
        </w:rPr>
      </w:pPr>
    </w:p>
    <w:p w14:paraId="28C6D528">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委托代理人（签字或者电子签名）：</w:t>
      </w:r>
    </w:p>
    <w:p w14:paraId="09A223AC">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委托代理人身份证号码：</w:t>
      </w:r>
    </w:p>
    <w:p w14:paraId="149759AE">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法定代表人（签字或者盖章或者电子签名）：</w:t>
      </w:r>
    </w:p>
    <w:p w14:paraId="062F9B7D">
      <w:pPr>
        <w:spacing w:line="440" w:lineRule="exact"/>
        <w:contextualSpacing/>
        <w:rPr>
          <w:rFonts w:ascii="宋体" w:hAnsi="宋体" w:cs="宋体"/>
          <w:color w:val="auto"/>
          <w:sz w:val="24"/>
          <w:highlight w:val="none"/>
        </w:rPr>
      </w:pPr>
    </w:p>
    <w:p w14:paraId="55758873">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4DBE8776">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05E5A3A5">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注：1.</w:t>
      </w:r>
      <w:bookmarkStart w:id="155" w:name="_Hlk65851555"/>
      <w:bookmarkStart w:id="156" w:name="_Hlk65851620"/>
      <w:r>
        <w:rPr>
          <w:rFonts w:hint="eastAsia" w:ascii="宋体" w:hAnsi="宋体" w:cs="宋体"/>
          <w:color w:val="auto"/>
          <w:sz w:val="24"/>
          <w:highlight w:val="none"/>
        </w:rPr>
        <w:t>法定代表人必须在授权委托书上签字或者盖章或者电子签名，</w:t>
      </w:r>
      <w:bookmarkEnd w:id="155"/>
      <w:r>
        <w:rPr>
          <w:rFonts w:hint="eastAsia" w:ascii="宋体" w:hAnsi="宋体" w:cs="宋体"/>
          <w:color w:val="auto"/>
          <w:sz w:val="24"/>
          <w:highlight w:val="none"/>
        </w:rPr>
        <w:t>委托代理人必须在授权委托书上签字或者电子签名，</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bookmarkEnd w:id="156"/>
    </w:p>
    <w:p w14:paraId="736A16B4">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2.法人、其他组织投标时“我方”是指“我单位”，自然人投标时“我方”是指“本人”。</w:t>
      </w:r>
    </w:p>
    <w:p w14:paraId="6003C427">
      <w:pPr>
        <w:snapToGrid w:val="0"/>
        <w:spacing w:beforeLines="50" w:after="50"/>
        <w:ind w:firstLine="566" w:firstLineChars="236"/>
        <w:jc w:val="center"/>
        <w:rPr>
          <w:rFonts w:ascii="宋体" w:hAnsi="宋体" w:cs="宋体"/>
          <w:color w:val="auto"/>
          <w:sz w:val="44"/>
          <w:szCs w:val="44"/>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授权委托书</w:t>
      </w:r>
    </w:p>
    <w:p w14:paraId="1C719436">
      <w:pPr>
        <w:snapToGrid w:val="0"/>
        <w:spacing w:beforeLines="50" w:after="50"/>
        <w:ind w:firstLine="755" w:firstLineChars="236"/>
        <w:jc w:val="center"/>
        <w:rPr>
          <w:rFonts w:ascii="宋体" w:hAnsi="宋体" w:cs="宋体"/>
          <w:color w:val="auto"/>
          <w:sz w:val="32"/>
          <w:szCs w:val="32"/>
          <w:highlight w:val="none"/>
        </w:rPr>
      </w:pPr>
      <w:r>
        <w:rPr>
          <w:rFonts w:hint="eastAsia" w:ascii="宋体" w:hAnsi="宋体" w:cs="宋体"/>
          <w:color w:val="auto"/>
          <w:sz w:val="32"/>
          <w:szCs w:val="32"/>
          <w:highlight w:val="none"/>
        </w:rPr>
        <w:t>（联合体投标格式）</w:t>
      </w:r>
    </w:p>
    <w:p w14:paraId="41B63D13">
      <w:pPr>
        <w:snapToGrid w:val="0"/>
        <w:spacing w:beforeLines="50" w:after="50"/>
        <w:ind w:firstLine="755" w:firstLineChars="236"/>
        <w:jc w:val="center"/>
        <w:rPr>
          <w:rFonts w:ascii="宋体" w:hAnsi="宋体" w:cs="宋体"/>
          <w:color w:val="auto"/>
          <w:sz w:val="24"/>
          <w:highlight w:val="none"/>
        </w:rPr>
      </w:pPr>
      <w:r>
        <w:rPr>
          <w:rFonts w:hint="eastAsia" w:ascii="宋体" w:hAnsi="宋体" w:cs="宋体"/>
          <w:color w:val="auto"/>
          <w:sz w:val="32"/>
          <w:szCs w:val="32"/>
          <w:highlight w:val="none"/>
        </w:rPr>
        <w:t>（如有委托时）</w:t>
      </w:r>
    </w:p>
    <w:p w14:paraId="424C766E">
      <w:pPr>
        <w:spacing w:line="440" w:lineRule="exact"/>
        <w:contextualSpacing/>
        <w:jc w:val="left"/>
        <w:rPr>
          <w:rFonts w:ascii="宋体" w:hAnsi="宋体" w:cs="宋体"/>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EAEBF21">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 xml:space="preserve">根据 </w:t>
      </w:r>
      <w:r>
        <w:rPr>
          <w:rFonts w:hint="eastAsia" w:ascii="宋体" w:hAnsi="宋体" w:cs="宋体"/>
          <w:color w:val="auto"/>
          <w:sz w:val="24"/>
          <w:highlight w:val="none"/>
          <w:u w:val="single"/>
        </w:rPr>
        <w:t xml:space="preserve"> （牵头人名称）</w:t>
      </w:r>
      <w:r>
        <w:rPr>
          <w:rFonts w:hint="eastAsia" w:ascii="宋体" w:hAnsi="宋体" w:cs="宋体"/>
          <w:color w:val="auto"/>
          <w:sz w:val="24"/>
          <w:highlight w:val="none"/>
        </w:rPr>
        <w:t>与</w:t>
      </w:r>
      <w:r>
        <w:rPr>
          <w:rFonts w:hint="eastAsia" w:ascii="宋体" w:hAnsi="宋体" w:cs="宋体"/>
          <w:color w:val="auto"/>
          <w:sz w:val="24"/>
          <w:highlight w:val="none"/>
          <w:u w:val="single"/>
        </w:rPr>
        <w:t>（联合体其他成员名称）</w:t>
      </w:r>
      <w:r>
        <w:rPr>
          <w:rFonts w:hint="eastAsia" w:ascii="宋体" w:hAnsi="宋体" w:cs="宋体"/>
          <w:color w:val="auto"/>
          <w:sz w:val="24"/>
          <w:highlight w:val="none"/>
        </w:rPr>
        <w:t>签订的《联合体投标协议书》的内容，</w:t>
      </w:r>
      <w:r>
        <w:rPr>
          <w:rFonts w:hint="eastAsia" w:ascii="宋体" w:hAnsi="宋体" w:cs="宋体"/>
          <w:color w:val="auto"/>
          <w:sz w:val="24"/>
          <w:highlight w:val="none"/>
          <w:u w:val="single"/>
        </w:rPr>
        <w:t>（牵头人名称）</w:t>
      </w:r>
      <w:r>
        <w:rPr>
          <w:rFonts w:hint="eastAsia" w:ascii="宋体" w:hAnsi="宋体" w:cs="宋体"/>
          <w:color w:val="auto"/>
          <w:sz w:val="24"/>
          <w:highlight w:val="none"/>
        </w:rPr>
        <w:t>的法定代表人</w:t>
      </w:r>
      <w:r>
        <w:rPr>
          <w:rFonts w:hint="eastAsia" w:ascii="宋体" w:hAnsi="宋体" w:cs="宋体"/>
          <w:color w:val="auto"/>
          <w:sz w:val="24"/>
          <w:highlight w:val="none"/>
          <w:u w:val="single"/>
        </w:rPr>
        <w:t>（姓名）</w:t>
      </w:r>
      <w:r>
        <w:rPr>
          <w:rFonts w:hint="eastAsia" w:ascii="宋体" w:hAnsi="宋体" w:cs="宋体"/>
          <w:color w:val="auto"/>
          <w:sz w:val="24"/>
          <w:highlight w:val="none"/>
        </w:rPr>
        <w:t>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以我方的名义参加项目的投标活动，并代表我方全权办理针对上述项目的所有采购程序和环节的具体事务和签署相关文件。</w:t>
      </w:r>
    </w:p>
    <w:p w14:paraId="0F34BA4E">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我方对委托代理人的签字或者电子签名事项负全部责任。</w:t>
      </w:r>
    </w:p>
    <w:p w14:paraId="59B6F76B">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20193750">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27E790E8">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附：牵头人法定代表人身份证明及委托代理人有效身份证正反面复印件</w:t>
      </w:r>
    </w:p>
    <w:p w14:paraId="0EB2D1D7">
      <w:pPr>
        <w:spacing w:line="440" w:lineRule="exact"/>
        <w:ind w:firstLine="566" w:firstLineChars="236"/>
        <w:contextualSpacing/>
        <w:rPr>
          <w:rFonts w:ascii="宋体" w:hAnsi="宋体" w:cs="宋体"/>
          <w:color w:val="auto"/>
          <w:sz w:val="24"/>
          <w:highlight w:val="none"/>
        </w:rPr>
      </w:pPr>
    </w:p>
    <w:p w14:paraId="7E37A392">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牵头人法定代表人（签字或者盖章或者电子签名）：</w:t>
      </w:r>
    </w:p>
    <w:p w14:paraId="30C3B33B">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牵头人（电子签章）：</w:t>
      </w:r>
    </w:p>
    <w:p w14:paraId="4D124D35">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7CAB439F">
      <w:pPr>
        <w:spacing w:line="440" w:lineRule="exact"/>
        <w:ind w:firstLine="566" w:firstLineChars="236"/>
        <w:contextualSpacing/>
        <w:rPr>
          <w:rFonts w:ascii="宋体" w:hAnsi="宋体" w:cs="宋体"/>
          <w:color w:val="auto"/>
          <w:sz w:val="24"/>
          <w:highlight w:val="none"/>
        </w:rPr>
      </w:pPr>
    </w:p>
    <w:p w14:paraId="67CB4B1D">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被授权人（签字或者电子签名）：</w:t>
      </w:r>
    </w:p>
    <w:p w14:paraId="2D9BA795">
      <w:pPr>
        <w:spacing w:line="440" w:lineRule="exact"/>
        <w:ind w:firstLine="566" w:firstLineChars="236"/>
        <w:contextualSpacing/>
        <w:rPr>
          <w:rFonts w:ascii="宋体" w:hAnsi="宋体" w:cs="宋体"/>
          <w:color w:val="auto"/>
          <w:sz w:val="32"/>
          <w:szCs w:val="32"/>
          <w:highlight w:val="none"/>
        </w:rPr>
      </w:pPr>
      <w:r>
        <w:rPr>
          <w:rFonts w:hint="eastAsia" w:ascii="宋体" w:hAnsi="宋体" w:cs="宋体"/>
          <w:color w:val="auto"/>
          <w:sz w:val="24"/>
          <w:highlight w:val="none"/>
        </w:rPr>
        <w:t>日期：    年   月   日</w:t>
      </w:r>
    </w:p>
    <w:p w14:paraId="2BFCF49D">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注：1.法定代表人必须在授权委托书上签字或者盖章或者电子签名，委托代理人必须在授权委托书上签字或者电子签名，</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p>
    <w:p w14:paraId="49DA0503">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2.法人、其他组织投标时“我方”是指“我单位”，自然人投标时“我方”是指“本人”。</w:t>
      </w:r>
    </w:p>
    <w:p w14:paraId="65EE8CFF">
      <w:pPr>
        <w:snapToGrid w:val="0"/>
        <w:spacing w:before="50" w:afterLines="50"/>
        <w:jc w:val="left"/>
        <w:rPr>
          <w:rFonts w:ascii="宋体" w:hAnsi="宋体" w:cs="宋体"/>
          <w:color w:val="auto"/>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992" w:gutter="0"/>
          <w:pgNumType w:start="0"/>
          <w:cols w:space="720" w:num="1"/>
          <w:titlePg/>
          <w:docGrid w:linePitch="312" w:charSpace="0"/>
        </w:sectPr>
      </w:pPr>
    </w:p>
    <w:p w14:paraId="38B66F13">
      <w:pPr>
        <w:rPr>
          <w:rFonts w:ascii="宋体" w:hAnsi="宋体" w:cs="宋体"/>
          <w:color w:val="auto"/>
          <w:sz w:val="24"/>
          <w:highlight w:val="none"/>
        </w:rPr>
      </w:pPr>
    </w:p>
    <w:p w14:paraId="3414DD29">
      <w:pPr>
        <w:rPr>
          <w:rFonts w:ascii="宋体" w:hAnsi="宋体" w:cs="宋体"/>
          <w:b/>
          <w:color w:val="auto"/>
          <w:sz w:val="24"/>
          <w:szCs w:val="20"/>
          <w:highlight w:val="none"/>
        </w:rPr>
      </w:pPr>
      <w:r>
        <w:rPr>
          <w:rFonts w:hint="eastAsia" w:ascii="宋体" w:hAnsi="宋体" w:cs="宋体"/>
          <w:b/>
          <w:color w:val="auto"/>
          <w:sz w:val="24"/>
          <w:highlight w:val="none"/>
        </w:rPr>
        <w:t>商务要求承诺响应表格式</w:t>
      </w:r>
    </w:p>
    <w:p w14:paraId="1DEF7F3C">
      <w:pPr>
        <w:snapToGrid w:val="0"/>
        <w:spacing w:before="50"/>
        <w:jc w:val="left"/>
        <w:rPr>
          <w:rFonts w:ascii="宋体" w:hAnsi="宋体" w:cs="宋体"/>
          <w:color w:val="auto"/>
          <w:sz w:val="24"/>
          <w:highlight w:val="none"/>
        </w:rPr>
      </w:pPr>
    </w:p>
    <w:tbl>
      <w:tblPr>
        <w:tblStyle w:val="47"/>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3"/>
        <w:gridCol w:w="6544"/>
      </w:tblGrid>
      <w:tr w14:paraId="4B2E0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503" w:type="dxa"/>
            <w:tcBorders>
              <w:top w:val="single" w:color="auto" w:sz="4" w:space="0"/>
              <w:left w:val="single" w:color="auto" w:sz="4" w:space="0"/>
              <w:bottom w:val="single" w:color="auto" w:sz="4" w:space="0"/>
              <w:right w:val="single" w:color="auto" w:sz="4" w:space="0"/>
            </w:tcBorders>
            <w:vAlign w:val="center"/>
          </w:tcPr>
          <w:p w14:paraId="7B542F7E">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6544" w:type="dxa"/>
            <w:tcBorders>
              <w:top w:val="single" w:color="auto" w:sz="4" w:space="0"/>
              <w:left w:val="single" w:color="auto" w:sz="4" w:space="0"/>
              <w:bottom w:val="single" w:color="auto" w:sz="4" w:space="0"/>
              <w:right w:val="single" w:color="auto" w:sz="4" w:space="0"/>
            </w:tcBorders>
            <w:vAlign w:val="center"/>
          </w:tcPr>
          <w:p w14:paraId="15776E49">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投标人对应“招标文件商务要求”的详细承诺响应</w:t>
            </w:r>
          </w:p>
        </w:tc>
      </w:tr>
      <w:tr w14:paraId="01FA1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503" w:type="dxa"/>
            <w:tcBorders>
              <w:top w:val="single" w:color="auto" w:sz="4" w:space="0"/>
              <w:left w:val="single" w:color="auto" w:sz="4" w:space="0"/>
              <w:bottom w:val="single" w:color="auto" w:sz="4" w:space="0"/>
              <w:right w:val="single" w:color="auto" w:sz="4" w:space="0"/>
            </w:tcBorders>
            <w:vAlign w:val="center"/>
          </w:tcPr>
          <w:p w14:paraId="69827ED0">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（一）售后服务基本要求</w:t>
            </w:r>
          </w:p>
        </w:tc>
        <w:tc>
          <w:tcPr>
            <w:tcW w:w="6544" w:type="dxa"/>
            <w:tcBorders>
              <w:top w:val="single" w:color="auto" w:sz="4" w:space="0"/>
              <w:left w:val="single" w:color="auto" w:sz="4" w:space="0"/>
              <w:bottom w:val="single" w:color="auto" w:sz="4" w:space="0"/>
              <w:right w:val="single" w:color="auto" w:sz="4" w:space="0"/>
            </w:tcBorders>
          </w:tcPr>
          <w:p w14:paraId="46F0DBDE">
            <w:pPr>
              <w:snapToGrid w:val="0"/>
              <w:spacing w:beforeLines="50"/>
              <w:jc w:val="center"/>
              <w:rPr>
                <w:rFonts w:ascii="宋体" w:hAnsi="宋体" w:cs="宋体"/>
                <w:color w:val="auto"/>
                <w:sz w:val="24"/>
                <w:highlight w:val="none"/>
              </w:rPr>
            </w:pPr>
          </w:p>
        </w:tc>
      </w:tr>
      <w:tr w14:paraId="6B3DC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1503" w:type="dxa"/>
            <w:tcBorders>
              <w:top w:val="single" w:color="auto" w:sz="4" w:space="0"/>
              <w:left w:val="single" w:color="auto" w:sz="4" w:space="0"/>
              <w:bottom w:val="single" w:color="auto" w:sz="4" w:space="0"/>
              <w:right w:val="single" w:color="auto" w:sz="4" w:space="0"/>
            </w:tcBorders>
            <w:vAlign w:val="center"/>
          </w:tcPr>
          <w:p w14:paraId="2BDF754E">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（二）合同签订时间</w:t>
            </w:r>
          </w:p>
        </w:tc>
        <w:tc>
          <w:tcPr>
            <w:tcW w:w="6544" w:type="dxa"/>
            <w:tcBorders>
              <w:top w:val="single" w:color="auto" w:sz="4" w:space="0"/>
              <w:left w:val="single" w:color="auto" w:sz="4" w:space="0"/>
              <w:bottom w:val="single" w:color="auto" w:sz="4" w:space="0"/>
              <w:right w:val="single" w:color="auto" w:sz="4" w:space="0"/>
            </w:tcBorders>
          </w:tcPr>
          <w:p w14:paraId="51263855">
            <w:pPr>
              <w:snapToGrid w:val="0"/>
              <w:spacing w:beforeLines="50"/>
              <w:ind w:left="43"/>
              <w:jc w:val="center"/>
              <w:rPr>
                <w:rFonts w:ascii="宋体" w:hAnsi="宋体" w:cs="宋体"/>
                <w:color w:val="auto"/>
                <w:sz w:val="24"/>
                <w:highlight w:val="none"/>
              </w:rPr>
            </w:pPr>
          </w:p>
        </w:tc>
      </w:tr>
      <w:tr w14:paraId="7CD9B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503" w:type="dxa"/>
            <w:tcBorders>
              <w:top w:val="single" w:color="auto" w:sz="4" w:space="0"/>
              <w:left w:val="single" w:color="auto" w:sz="4" w:space="0"/>
              <w:bottom w:val="single" w:color="auto" w:sz="4" w:space="0"/>
              <w:right w:val="single" w:color="auto" w:sz="4" w:space="0"/>
            </w:tcBorders>
            <w:vAlign w:val="center"/>
          </w:tcPr>
          <w:p w14:paraId="560EF241">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（三）交付时间和地点</w:t>
            </w:r>
          </w:p>
        </w:tc>
        <w:tc>
          <w:tcPr>
            <w:tcW w:w="6544" w:type="dxa"/>
            <w:tcBorders>
              <w:top w:val="single" w:color="auto" w:sz="4" w:space="0"/>
              <w:left w:val="single" w:color="auto" w:sz="4" w:space="0"/>
              <w:bottom w:val="single" w:color="auto" w:sz="4" w:space="0"/>
              <w:right w:val="single" w:color="auto" w:sz="4" w:space="0"/>
            </w:tcBorders>
          </w:tcPr>
          <w:p w14:paraId="2C64F440">
            <w:pPr>
              <w:snapToGrid w:val="0"/>
              <w:spacing w:beforeLines="50"/>
              <w:jc w:val="center"/>
              <w:rPr>
                <w:rFonts w:ascii="宋体" w:hAnsi="宋体" w:cs="宋体"/>
                <w:color w:val="auto"/>
                <w:sz w:val="24"/>
                <w:highlight w:val="none"/>
              </w:rPr>
            </w:pPr>
          </w:p>
        </w:tc>
      </w:tr>
      <w:tr w14:paraId="1ADC1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503" w:type="dxa"/>
            <w:tcBorders>
              <w:top w:val="single" w:color="auto" w:sz="4" w:space="0"/>
              <w:left w:val="single" w:color="auto" w:sz="4" w:space="0"/>
              <w:bottom w:val="single" w:color="auto" w:sz="4" w:space="0"/>
              <w:right w:val="single" w:color="auto" w:sz="4" w:space="0"/>
            </w:tcBorders>
            <w:vAlign w:val="center"/>
          </w:tcPr>
          <w:p w14:paraId="38C9A7B2">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（四）付款方式</w:t>
            </w:r>
          </w:p>
        </w:tc>
        <w:tc>
          <w:tcPr>
            <w:tcW w:w="6544" w:type="dxa"/>
            <w:tcBorders>
              <w:top w:val="single" w:color="auto" w:sz="4" w:space="0"/>
              <w:left w:val="single" w:color="auto" w:sz="4" w:space="0"/>
              <w:bottom w:val="single" w:color="auto" w:sz="4" w:space="0"/>
              <w:right w:val="single" w:color="auto" w:sz="4" w:space="0"/>
            </w:tcBorders>
          </w:tcPr>
          <w:p w14:paraId="539723FE">
            <w:pPr>
              <w:snapToGrid w:val="0"/>
              <w:spacing w:beforeLines="50"/>
              <w:jc w:val="center"/>
              <w:rPr>
                <w:rFonts w:ascii="宋体" w:hAnsi="宋体" w:cs="宋体"/>
                <w:color w:val="auto"/>
                <w:sz w:val="24"/>
                <w:highlight w:val="none"/>
              </w:rPr>
            </w:pPr>
          </w:p>
        </w:tc>
      </w:tr>
      <w:tr w14:paraId="03DAA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503" w:type="dxa"/>
            <w:tcBorders>
              <w:top w:val="single" w:color="auto" w:sz="4" w:space="0"/>
              <w:left w:val="single" w:color="auto" w:sz="4" w:space="0"/>
              <w:bottom w:val="single" w:color="auto" w:sz="4" w:space="0"/>
              <w:right w:val="single" w:color="auto" w:sz="4" w:space="0"/>
            </w:tcBorders>
            <w:vAlign w:val="center"/>
          </w:tcPr>
          <w:p w14:paraId="790409B1">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（五）包装和运输</w:t>
            </w:r>
          </w:p>
        </w:tc>
        <w:tc>
          <w:tcPr>
            <w:tcW w:w="6544" w:type="dxa"/>
            <w:tcBorders>
              <w:top w:val="single" w:color="auto" w:sz="4" w:space="0"/>
              <w:left w:val="single" w:color="auto" w:sz="4" w:space="0"/>
              <w:bottom w:val="single" w:color="auto" w:sz="4" w:space="0"/>
              <w:right w:val="single" w:color="auto" w:sz="4" w:space="0"/>
            </w:tcBorders>
          </w:tcPr>
          <w:p w14:paraId="69C37C49">
            <w:pPr>
              <w:snapToGrid w:val="0"/>
              <w:spacing w:beforeLines="50"/>
              <w:jc w:val="center"/>
              <w:rPr>
                <w:rFonts w:ascii="宋体" w:hAnsi="宋体" w:cs="宋体"/>
                <w:color w:val="auto"/>
                <w:sz w:val="24"/>
                <w:highlight w:val="none"/>
              </w:rPr>
            </w:pPr>
          </w:p>
        </w:tc>
      </w:tr>
      <w:tr w14:paraId="78196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503" w:type="dxa"/>
            <w:tcBorders>
              <w:top w:val="single" w:color="auto" w:sz="4" w:space="0"/>
              <w:left w:val="single" w:color="auto" w:sz="4" w:space="0"/>
              <w:bottom w:val="single" w:color="auto" w:sz="4" w:space="0"/>
              <w:right w:val="single" w:color="auto" w:sz="4" w:space="0"/>
            </w:tcBorders>
            <w:vAlign w:val="center"/>
          </w:tcPr>
          <w:p w14:paraId="4AEA987E">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（六）保险</w:t>
            </w:r>
          </w:p>
        </w:tc>
        <w:tc>
          <w:tcPr>
            <w:tcW w:w="6544" w:type="dxa"/>
            <w:tcBorders>
              <w:top w:val="single" w:color="auto" w:sz="4" w:space="0"/>
              <w:left w:val="single" w:color="auto" w:sz="4" w:space="0"/>
              <w:bottom w:val="single" w:color="auto" w:sz="4" w:space="0"/>
              <w:right w:val="single" w:color="auto" w:sz="4" w:space="0"/>
            </w:tcBorders>
          </w:tcPr>
          <w:p w14:paraId="6FD5F8D4">
            <w:pPr>
              <w:snapToGrid w:val="0"/>
              <w:spacing w:beforeLines="50"/>
              <w:jc w:val="center"/>
              <w:rPr>
                <w:rFonts w:ascii="宋体" w:hAnsi="宋体" w:cs="宋体"/>
                <w:color w:val="auto"/>
                <w:sz w:val="24"/>
                <w:highlight w:val="none"/>
              </w:rPr>
            </w:pPr>
          </w:p>
        </w:tc>
      </w:tr>
      <w:tr w14:paraId="4786A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503" w:type="dxa"/>
            <w:tcBorders>
              <w:top w:val="single" w:color="auto" w:sz="4" w:space="0"/>
              <w:left w:val="single" w:color="auto" w:sz="4" w:space="0"/>
              <w:bottom w:val="single" w:color="auto" w:sz="4" w:space="0"/>
              <w:right w:val="single" w:color="auto" w:sz="4" w:space="0"/>
            </w:tcBorders>
            <w:vAlign w:val="center"/>
          </w:tcPr>
          <w:p w14:paraId="77625352">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（七）验收标准</w:t>
            </w:r>
          </w:p>
        </w:tc>
        <w:tc>
          <w:tcPr>
            <w:tcW w:w="6544" w:type="dxa"/>
            <w:tcBorders>
              <w:top w:val="single" w:color="auto" w:sz="4" w:space="0"/>
              <w:left w:val="single" w:color="auto" w:sz="4" w:space="0"/>
              <w:bottom w:val="single" w:color="auto" w:sz="4" w:space="0"/>
              <w:right w:val="single" w:color="auto" w:sz="4" w:space="0"/>
            </w:tcBorders>
          </w:tcPr>
          <w:p w14:paraId="083DDDE4">
            <w:pPr>
              <w:snapToGrid w:val="0"/>
              <w:spacing w:beforeLines="50"/>
              <w:jc w:val="center"/>
              <w:rPr>
                <w:rFonts w:ascii="宋体" w:hAnsi="宋体" w:cs="宋体"/>
                <w:color w:val="auto"/>
                <w:sz w:val="24"/>
                <w:highlight w:val="none"/>
              </w:rPr>
            </w:pPr>
          </w:p>
        </w:tc>
      </w:tr>
      <w:tr w14:paraId="4755B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03" w:type="dxa"/>
            <w:tcBorders>
              <w:top w:val="single" w:color="auto" w:sz="4" w:space="0"/>
              <w:left w:val="single" w:color="auto" w:sz="4" w:space="0"/>
              <w:bottom w:val="single" w:color="auto" w:sz="4" w:space="0"/>
              <w:right w:val="single" w:color="auto" w:sz="4" w:space="0"/>
            </w:tcBorders>
            <w:vAlign w:val="center"/>
          </w:tcPr>
          <w:p w14:paraId="77E323F6">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（八）知识产权</w:t>
            </w:r>
          </w:p>
        </w:tc>
        <w:tc>
          <w:tcPr>
            <w:tcW w:w="6544" w:type="dxa"/>
            <w:tcBorders>
              <w:top w:val="single" w:color="auto" w:sz="4" w:space="0"/>
              <w:left w:val="single" w:color="auto" w:sz="4" w:space="0"/>
              <w:bottom w:val="single" w:color="auto" w:sz="4" w:space="0"/>
              <w:right w:val="single" w:color="auto" w:sz="4" w:space="0"/>
            </w:tcBorders>
          </w:tcPr>
          <w:p w14:paraId="69908CD3">
            <w:pPr>
              <w:snapToGrid w:val="0"/>
              <w:spacing w:beforeLines="50"/>
              <w:jc w:val="center"/>
              <w:rPr>
                <w:rFonts w:ascii="宋体" w:hAnsi="宋体" w:cs="宋体"/>
                <w:color w:val="auto"/>
                <w:sz w:val="24"/>
                <w:highlight w:val="none"/>
              </w:rPr>
            </w:pPr>
          </w:p>
        </w:tc>
      </w:tr>
      <w:tr w14:paraId="1ACFD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03" w:type="dxa"/>
            <w:tcBorders>
              <w:top w:val="single" w:color="auto" w:sz="4" w:space="0"/>
              <w:left w:val="single" w:color="auto" w:sz="4" w:space="0"/>
              <w:bottom w:val="single" w:color="auto" w:sz="4" w:space="0"/>
              <w:right w:val="single" w:color="auto" w:sz="4" w:space="0"/>
            </w:tcBorders>
            <w:vAlign w:val="center"/>
          </w:tcPr>
          <w:p w14:paraId="67198E41">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（九）违约责任</w:t>
            </w:r>
          </w:p>
        </w:tc>
        <w:tc>
          <w:tcPr>
            <w:tcW w:w="6544" w:type="dxa"/>
            <w:tcBorders>
              <w:top w:val="single" w:color="auto" w:sz="4" w:space="0"/>
              <w:left w:val="single" w:color="auto" w:sz="4" w:space="0"/>
              <w:bottom w:val="single" w:color="auto" w:sz="4" w:space="0"/>
              <w:right w:val="single" w:color="auto" w:sz="4" w:space="0"/>
            </w:tcBorders>
          </w:tcPr>
          <w:p w14:paraId="31DBB1A8">
            <w:pPr>
              <w:snapToGrid w:val="0"/>
              <w:spacing w:beforeLines="50"/>
              <w:jc w:val="center"/>
              <w:rPr>
                <w:rFonts w:ascii="宋体" w:hAnsi="宋体" w:cs="宋体"/>
                <w:color w:val="auto"/>
                <w:sz w:val="24"/>
                <w:highlight w:val="none"/>
              </w:rPr>
            </w:pPr>
          </w:p>
        </w:tc>
      </w:tr>
      <w:tr w14:paraId="1BD96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03" w:type="dxa"/>
            <w:tcBorders>
              <w:top w:val="single" w:color="auto" w:sz="4" w:space="0"/>
              <w:left w:val="single" w:color="auto" w:sz="4" w:space="0"/>
              <w:bottom w:val="single" w:color="auto" w:sz="4" w:space="0"/>
              <w:right w:val="single" w:color="auto" w:sz="4" w:space="0"/>
            </w:tcBorders>
            <w:vAlign w:val="center"/>
          </w:tcPr>
          <w:p w14:paraId="4F8289AC">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（十）进口产品说明</w:t>
            </w:r>
          </w:p>
        </w:tc>
        <w:tc>
          <w:tcPr>
            <w:tcW w:w="6544" w:type="dxa"/>
            <w:tcBorders>
              <w:top w:val="single" w:color="auto" w:sz="4" w:space="0"/>
              <w:left w:val="single" w:color="auto" w:sz="4" w:space="0"/>
              <w:bottom w:val="single" w:color="auto" w:sz="4" w:space="0"/>
              <w:right w:val="single" w:color="auto" w:sz="4" w:space="0"/>
            </w:tcBorders>
          </w:tcPr>
          <w:p w14:paraId="2791390F">
            <w:pPr>
              <w:snapToGrid w:val="0"/>
              <w:spacing w:beforeLines="50"/>
              <w:jc w:val="center"/>
              <w:rPr>
                <w:rFonts w:ascii="宋体" w:hAnsi="宋体" w:cs="宋体"/>
                <w:color w:val="auto"/>
                <w:sz w:val="24"/>
                <w:highlight w:val="none"/>
              </w:rPr>
            </w:pPr>
          </w:p>
        </w:tc>
      </w:tr>
      <w:tr w14:paraId="5F812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03" w:type="dxa"/>
            <w:tcBorders>
              <w:top w:val="single" w:color="auto" w:sz="4" w:space="0"/>
              <w:left w:val="single" w:color="auto" w:sz="4" w:space="0"/>
              <w:bottom w:val="single" w:color="auto" w:sz="4" w:space="0"/>
              <w:right w:val="single" w:color="auto" w:sz="4" w:space="0"/>
            </w:tcBorders>
            <w:vAlign w:val="center"/>
          </w:tcPr>
          <w:p w14:paraId="17D9E303">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（十一）采购预算及最高限价</w:t>
            </w:r>
          </w:p>
        </w:tc>
        <w:tc>
          <w:tcPr>
            <w:tcW w:w="6544" w:type="dxa"/>
            <w:tcBorders>
              <w:top w:val="single" w:color="auto" w:sz="4" w:space="0"/>
              <w:left w:val="single" w:color="auto" w:sz="4" w:space="0"/>
              <w:bottom w:val="single" w:color="auto" w:sz="4" w:space="0"/>
              <w:right w:val="single" w:color="auto" w:sz="4" w:space="0"/>
            </w:tcBorders>
          </w:tcPr>
          <w:p w14:paraId="2AE76446">
            <w:pPr>
              <w:snapToGrid w:val="0"/>
              <w:spacing w:beforeLines="50"/>
              <w:jc w:val="center"/>
              <w:rPr>
                <w:rFonts w:ascii="宋体" w:hAnsi="宋体" w:cs="宋体"/>
                <w:color w:val="auto"/>
                <w:sz w:val="24"/>
                <w:highlight w:val="none"/>
              </w:rPr>
            </w:pPr>
          </w:p>
        </w:tc>
      </w:tr>
    </w:tbl>
    <w:p w14:paraId="5931EE2D">
      <w:pPr>
        <w:pStyle w:val="17"/>
        <w:rPr>
          <w:rFonts w:ascii="宋体" w:hAnsi="宋体" w:cs="宋体"/>
          <w:color w:val="auto"/>
          <w:highlight w:val="none"/>
        </w:rPr>
      </w:pPr>
      <w:r>
        <w:rPr>
          <w:rFonts w:hint="eastAsia" w:ascii="宋体" w:hAnsi="宋体" w:cs="宋体"/>
          <w:color w:val="auto"/>
          <w:highlight w:val="none"/>
        </w:rPr>
        <w:t>注：</w:t>
      </w:r>
    </w:p>
    <w:p w14:paraId="0DB40C22">
      <w:pPr>
        <w:pStyle w:val="19"/>
        <w:spacing w:line="520" w:lineRule="exact"/>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说明：应对照招标文件“第二章 采购需求”中的商务要求逐条作明确的投标响应。</w:t>
      </w:r>
    </w:p>
    <w:p w14:paraId="25005FB2">
      <w:pPr>
        <w:snapToGrid w:val="0"/>
        <w:spacing w:before="50" w:after="50"/>
        <w:rPr>
          <w:rFonts w:ascii="宋体" w:hAnsi="宋体" w:cs="宋体"/>
          <w:color w:val="auto"/>
          <w:sz w:val="24"/>
          <w:highlight w:val="none"/>
        </w:rPr>
      </w:pPr>
    </w:p>
    <w:p w14:paraId="18951752">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法定代表人或者委托代理人（签字或者电子签名）</w:t>
      </w:r>
      <w:r>
        <w:rPr>
          <w:rFonts w:hint="eastAsia" w:ascii="宋体" w:hAnsi="宋体" w:cs="宋体"/>
          <w:color w:val="auto"/>
          <w:spacing w:val="20"/>
          <w:sz w:val="24"/>
          <w:highlight w:val="none"/>
        </w:rPr>
        <w:t>：</w:t>
      </w:r>
    </w:p>
    <w:p w14:paraId="3F38013E">
      <w:pPr>
        <w:snapToGrid w:val="0"/>
        <w:spacing w:beforeLines="50"/>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63F51961">
      <w:pPr>
        <w:snapToGrid w:val="0"/>
        <w:spacing w:beforeLines="50"/>
        <w:rPr>
          <w:rFonts w:ascii="宋体" w:hAnsi="宋体" w:cs="宋体"/>
          <w:color w:val="auto"/>
          <w:spacing w:val="20"/>
          <w:sz w:val="24"/>
          <w:highlight w:val="none"/>
        </w:rPr>
      </w:pPr>
      <w:r>
        <w:rPr>
          <w:rFonts w:hint="eastAsia" w:ascii="宋体" w:hAnsi="宋体" w:cs="宋体"/>
          <w:color w:val="auto"/>
          <w:spacing w:val="20"/>
          <w:sz w:val="24"/>
          <w:highlight w:val="none"/>
        </w:rPr>
        <w:t>日  期：</w:t>
      </w:r>
    </w:p>
    <w:p w14:paraId="59412EAD">
      <w:pPr>
        <w:snapToGrid w:val="0"/>
        <w:spacing w:beforeLines="50"/>
        <w:rPr>
          <w:rFonts w:ascii="宋体" w:hAnsi="宋体" w:cs="宋体"/>
          <w:b/>
          <w:color w:val="auto"/>
          <w:sz w:val="24"/>
          <w:highlight w:val="none"/>
        </w:rPr>
      </w:pPr>
      <w:r>
        <w:rPr>
          <w:rFonts w:hint="eastAsia" w:ascii="宋体" w:hAnsi="宋体" w:cs="宋体"/>
          <w:b/>
          <w:color w:val="auto"/>
          <w:sz w:val="24"/>
          <w:highlight w:val="none"/>
        </w:rPr>
        <w:t>安装实施方案格式</w:t>
      </w:r>
    </w:p>
    <w:p w14:paraId="27E634B7">
      <w:pPr>
        <w:snapToGrid w:val="0"/>
        <w:spacing w:beforeLines="50"/>
        <w:jc w:val="center"/>
        <w:rPr>
          <w:rFonts w:ascii="宋体" w:hAnsi="宋体" w:cs="宋体"/>
          <w:b/>
          <w:color w:val="auto"/>
          <w:sz w:val="36"/>
          <w:szCs w:val="36"/>
          <w:highlight w:val="none"/>
        </w:rPr>
      </w:pPr>
      <w:r>
        <w:rPr>
          <w:rFonts w:hint="eastAsia" w:ascii="宋体" w:hAnsi="宋体" w:cs="宋体"/>
          <w:b/>
          <w:color w:val="auto"/>
          <w:sz w:val="36"/>
          <w:szCs w:val="36"/>
          <w:highlight w:val="none"/>
        </w:rPr>
        <w:t>安装实施方案方案</w:t>
      </w:r>
    </w:p>
    <w:p w14:paraId="7841F2AA">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一、安装方案</w:t>
      </w:r>
    </w:p>
    <w:p w14:paraId="4B9F3926">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w:t>
      </w:r>
    </w:p>
    <w:p w14:paraId="4D54A826">
      <w:pPr>
        <w:snapToGrid w:val="0"/>
        <w:spacing w:beforeLines="50"/>
        <w:rPr>
          <w:rFonts w:ascii="宋体" w:hAnsi="宋体" w:cs="宋体"/>
          <w:bCs/>
          <w:color w:val="auto"/>
          <w:szCs w:val="21"/>
          <w:highlight w:val="none"/>
        </w:rPr>
      </w:pPr>
    </w:p>
    <w:p w14:paraId="6DBF16AF">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二、设备调试方案</w:t>
      </w:r>
    </w:p>
    <w:p w14:paraId="6D3F2378">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w:t>
      </w:r>
    </w:p>
    <w:p w14:paraId="514B22F4">
      <w:pPr>
        <w:snapToGrid w:val="0"/>
        <w:spacing w:beforeLines="50"/>
        <w:rPr>
          <w:rFonts w:ascii="宋体" w:hAnsi="宋体" w:cs="宋体"/>
          <w:bCs/>
          <w:color w:val="auto"/>
          <w:szCs w:val="21"/>
          <w:highlight w:val="none"/>
        </w:rPr>
      </w:pPr>
    </w:p>
    <w:p w14:paraId="3E307B2B">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三、设备试运行方案等</w:t>
      </w:r>
    </w:p>
    <w:p w14:paraId="662178B6">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w:t>
      </w:r>
    </w:p>
    <w:p w14:paraId="2E5ECCB3">
      <w:pPr>
        <w:snapToGrid w:val="0"/>
        <w:spacing w:before="50" w:after="50"/>
        <w:rPr>
          <w:rFonts w:ascii="宋体" w:hAnsi="宋体" w:cs="宋体"/>
          <w:color w:val="auto"/>
          <w:sz w:val="24"/>
          <w:highlight w:val="none"/>
        </w:rPr>
      </w:pPr>
    </w:p>
    <w:p w14:paraId="08E2B767">
      <w:pPr>
        <w:snapToGrid w:val="0"/>
        <w:spacing w:before="50" w:after="50"/>
        <w:rPr>
          <w:rFonts w:ascii="宋体" w:hAnsi="宋体" w:cs="宋体"/>
          <w:color w:val="auto"/>
          <w:sz w:val="24"/>
          <w:highlight w:val="none"/>
        </w:rPr>
      </w:pPr>
    </w:p>
    <w:p w14:paraId="563A6A1B">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法定代表人或者委托代理人（签字或者电子签名）</w:t>
      </w:r>
      <w:r>
        <w:rPr>
          <w:rFonts w:hint="eastAsia" w:ascii="宋体" w:hAnsi="宋体" w:cs="宋体"/>
          <w:color w:val="auto"/>
          <w:spacing w:val="20"/>
          <w:sz w:val="24"/>
          <w:highlight w:val="none"/>
        </w:rPr>
        <w:t>：</w:t>
      </w:r>
    </w:p>
    <w:p w14:paraId="300C088F">
      <w:pPr>
        <w:snapToGrid w:val="0"/>
        <w:spacing w:beforeLines="50"/>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7D2BF48D">
      <w:pPr>
        <w:snapToGrid w:val="0"/>
        <w:spacing w:beforeLines="50"/>
        <w:rPr>
          <w:rFonts w:ascii="宋体" w:hAnsi="宋体" w:cs="宋体"/>
          <w:color w:val="auto"/>
          <w:spacing w:val="20"/>
          <w:sz w:val="24"/>
          <w:highlight w:val="none"/>
          <w:u w:val="single"/>
        </w:rPr>
      </w:pPr>
      <w:r>
        <w:rPr>
          <w:rFonts w:hint="eastAsia" w:ascii="宋体" w:hAnsi="宋体" w:cs="宋体"/>
          <w:color w:val="auto"/>
          <w:spacing w:val="20"/>
          <w:sz w:val="24"/>
          <w:highlight w:val="none"/>
        </w:rPr>
        <w:t>日  期：</w:t>
      </w:r>
    </w:p>
    <w:p w14:paraId="203B131D">
      <w:pPr>
        <w:snapToGrid w:val="0"/>
        <w:spacing w:beforeLines="50"/>
        <w:rPr>
          <w:rFonts w:ascii="宋体" w:hAnsi="宋体" w:cs="宋体"/>
          <w:b/>
          <w:color w:val="auto"/>
          <w:sz w:val="24"/>
          <w:highlight w:val="none"/>
        </w:rPr>
      </w:pPr>
    </w:p>
    <w:p w14:paraId="44AF38CB">
      <w:pPr>
        <w:pStyle w:val="57"/>
        <w:ind w:firstLine="420"/>
        <w:rPr>
          <w:rFonts w:ascii="宋体" w:hAnsi="宋体" w:cs="宋体"/>
          <w:color w:val="auto"/>
          <w:highlight w:val="none"/>
        </w:rPr>
      </w:pPr>
    </w:p>
    <w:p w14:paraId="46F649AA">
      <w:pPr>
        <w:snapToGrid w:val="0"/>
        <w:spacing w:beforeLines="50"/>
        <w:rPr>
          <w:rFonts w:ascii="宋体" w:hAnsi="宋体" w:cs="宋体"/>
          <w:color w:val="auto"/>
          <w:spacing w:val="20"/>
          <w:sz w:val="24"/>
          <w:highlight w:val="none"/>
          <w:u w:val="single"/>
        </w:rPr>
      </w:pPr>
      <w:r>
        <w:rPr>
          <w:rFonts w:hint="eastAsia" w:ascii="宋体" w:hAnsi="宋体" w:cs="宋体"/>
          <w:b/>
          <w:color w:val="auto"/>
          <w:sz w:val="24"/>
          <w:highlight w:val="none"/>
        </w:rPr>
        <w:t>增值售后服务方案格式</w:t>
      </w:r>
    </w:p>
    <w:p w14:paraId="686CA894">
      <w:pPr>
        <w:snapToGrid w:val="0"/>
        <w:spacing w:beforeLines="50"/>
        <w:jc w:val="center"/>
        <w:rPr>
          <w:rFonts w:ascii="宋体" w:hAnsi="宋体" w:cs="宋体"/>
          <w:b/>
          <w:color w:val="auto"/>
          <w:sz w:val="36"/>
          <w:szCs w:val="36"/>
          <w:highlight w:val="none"/>
        </w:rPr>
      </w:pPr>
    </w:p>
    <w:p w14:paraId="107C59DC">
      <w:pPr>
        <w:snapToGrid w:val="0"/>
        <w:spacing w:beforeLines="50"/>
        <w:jc w:val="center"/>
        <w:rPr>
          <w:rFonts w:ascii="宋体" w:hAnsi="宋体" w:cs="宋体"/>
          <w:b/>
          <w:color w:val="auto"/>
          <w:spacing w:val="20"/>
          <w:sz w:val="36"/>
          <w:szCs w:val="36"/>
          <w:highlight w:val="none"/>
          <w:u w:val="single"/>
        </w:rPr>
      </w:pPr>
      <w:r>
        <w:rPr>
          <w:rFonts w:hint="eastAsia" w:ascii="宋体" w:hAnsi="宋体" w:cs="宋体"/>
          <w:b/>
          <w:color w:val="auto"/>
          <w:sz w:val="36"/>
          <w:szCs w:val="36"/>
          <w:highlight w:val="none"/>
        </w:rPr>
        <w:t>增值售后服务方案</w:t>
      </w:r>
    </w:p>
    <w:p w14:paraId="21DED4FE">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一、到达故障现场时间、故障出现解决方案</w:t>
      </w:r>
    </w:p>
    <w:p w14:paraId="215E0AF8">
      <w:pPr>
        <w:snapToGrid w:val="0"/>
        <w:spacing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6066EC36">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二、定期维护 (注明时间)</w:t>
      </w:r>
    </w:p>
    <w:p w14:paraId="577DD408">
      <w:pPr>
        <w:snapToGrid w:val="0"/>
        <w:spacing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0D7306F5">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三、技术培训方案</w:t>
      </w:r>
    </w:p>
    <w:p w14:paraId="2A678E98">
      <w:pPr>
        <w:snapToGrid w:val="0"/>
        <w:spacing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72DC46F1">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四、保修期外维修方案</w:t>
      </w:r>
    </w:p>
    <w:p w14:paraId="6035C7BD">
      <w:pPr>
        <w:snapToGrid w:val="0"/>
        <w:spacing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70004AC8">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五、售后服务措施及其他优惠措施</w:t>
      </w:r>
    </w:p>
    <w:p w14:paraId="6830B313">
      <w:pPr>
        <w:snapToGrid w:val="0"/>
        <w:spacing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7094E57B">
      <w:pPr>
        <w:snapToGrid w:val="0"/>
        <w:spacing w:beforeLines="50"/>
        <w:rPr>
          <w:rFonts w:ascii="宋体" w:hAnsi="宋体" w:cs="宋体"/>
          <w:color w:val="auto"/>
          <w:sz w:val="24"/>
          <w:szCs w:val="20"/>
          <w:highlight w:val="none"/>
        </w:rPr>
      </w:pPr>
    </w:p>
    <w:p w14:paraId="45431889">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法定代表人或者委托代理人（签字或者电子签名）</w:t>
      </w:r>
      <w:r>
        <w:rPr>
          <w:rFonts w:hint="eastAsia" w:ascii="宋体" w:hAnsi="宋体" w:cs="宋体"/>
          <w:color w:val="auto"/>
          <w:spacing w:val="20"/>
          <w:sz w:val="24"/>
          <w:highlight w:val="none"/>
        </w:rPr>
        <w:t>：</w:t>
      </w:r>
    </w:p>
    <w:p w14:paraId="62FE0620">
      <w:pPr>
        <w:snapToGrid w:val="0"/>
        <w:spacing w:beforeLines="50"/>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44DC353B">
      <w:pPr>
        <w:snapToGrid w:val="0"/>
        <w:spacing w:beforeLines="50"/>
        <w:rPr>
          <w:rFonts w:ascii="宋体" w:hAnsi="宋体" w:cs="宋体"/>
          <w:color w:val="auto"/>
          <w:spacing w:val="20"/>
          <w:sz w:val="24"/>
          <w:highlight w:val="none"/>
          <w:u w:val="single"/>
        </w:rPr>
      </w:pPr>
      <w:r>
        <w:rPr>
          <w:rFonts w:hint="eastAsia" w:ascii="宋体" w:hAnsi="宋体" w:cs="宋体"/>
          <w:color w:val="auto"/>
          <w:spacing w:val="20"/>
          <w:sz w:val="24"/>
          <w:highlight w:val="none"/>
        </w:rPr>
        <w:t>日  期：</w:t>
      </w:r>
    </w:p>
    <w:p w14:paraId="7E3D279F">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t>投标人业绩证明材料</w:t>
      </w:r>
    </w:p>
    <w:p w14:paraId="38EA6D6A">
      <w:pPr>
        <w:pStyle w:val="35"/>
        <w:snapToGrid w:val="0"/>
        <w:ind w:left="480" w:hanging="480"/>
        <w:rPr>
          <w:rFonts w:ascii="宋体" w:hAnsi="宋体" w:cs="宋体"/>
          <w:color w:val="auto"/>
          <w:sz w:val="24"/>
          <w:highlight w:val="none"/>
        </w:rPr>
      </w:pPr>
    </w:p>
    <w:p w14:paraId="2EB976E7">
      <w:pPr>
        <w:pStyle w:val="35"/>
        <w:snapToGrid w:val="0"/>
        <w:ind w:left="480" w:hanging="480"/>
        <w:rPr>
          <w:rFonts w:ascii="宋体" w:hAnsi="宋体" w:cs="宋体"/>
          <w:color w:val="auto"/>
          <w:sz w:val="24"/>
          <w:highlight w:val="none"/>
        </w:rPr>
      </w:pPr>
      <w:r>
        <w:rPr>
          <w:rFonts w:hint="eastAsia" w:ascii="宋体" w:hAnsi="宋体" w:cs="宋体"/>
          <w:color w:val="auto"/>
          <w:sz w:val="24"/>
          <w:highlight w:val="none"/>
        </w:rPr>
        <w:t xml:space="preserve">业绩情况一览表格式： </w:t>
      </w:r>
    </w:p>
    <w:tbl>
      <w:tblPr>
        <w:tblStyle w:val="4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44DA7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0B10B957">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237C5C5D">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2610F87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合同金额</w:t>
            </w:r>
          </w:p>
          <w:p w14:paraId="27119582">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61834CDE">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3292C017">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180B3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19F8886B">
            <w:pPr>
              <w:jc w:val="left"/>
              <w:rPr>
                <w:rFonts w:ascii="宋体" w:hAnsi="宋体" w:cs="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316AF8D8">
            <w:pPr>
              <w:jc w:val="left"/>
              <w:rPr>
                <w:rFonts w:ascii="宋体" w:hAnsi="宋体" w:cs="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37D317F6">
            <w:pPr>
              <w:jc w:val="left"/>
              <w:rPr>
                <w:rFonts w:ascii="宋体" w:hAnsi="宋体" w:cs="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36FEB3CD">
            <w:pPr>
              <w:jc w:val="left"/>
              <w:rPr>
                <w:rFonts w:ascii="宋体" w:hAnsi="宋体" w:cs="宋体"/>
                <w:color w:val="auto"/>
                <w:sz w:val="24"/>
                <w:highlight w:val="none"/>
              </w:rPr>
            </w:pPr>
          </w:p>
        </w:tc>
      </w:tr>
      <w:tr w14:paraId="3AD69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29D3CA5C">
            <w:pPr>
              <w:snapToGrid w:val="0"/>
              <w:spacing w:line="24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E82E548">
            <w:pPr>
              <w:snapToGrid w:val="0"/>
              <w:spacing w:line="24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4AA0482">
            <w:pPr>
              <w:snapToGrid w:val="0"/>
              <w:spacing w:line="24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3986E35A">
            <w:pPr>
              <w:snapToGrid w:val="0"/>
              <w:spacing w:line="240" w:lineRule="exact"/>
              <w:jc w:val="left"/>
              <w:rPr>
                <w:rFonts w:ascii="宋体" w:hAnsi="宋体" w:cs="宋体"/>
                <w:color w:val="auto"/>
                <w:sz w:val="24"/>
                <w:highlight w:val="none"/>
              </w:rPr>
            </w:pPr>
          </w:p>
        </w:tc>
      </w:tr>
      <w:tr w14:paraId="5FAE5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D3D0088">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CB0B55E">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4E927B8">
            <w:pPr>
              <w:snapToGrid w:val="0"/>
              <w:spacing w:before="5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0425F453">
            <w:pPr>
              <w:snapToGrid w:val="0"/>
              <w:spacing w:before="50" w:afterLines="50" w:line="400" w:lineRule="exact"/>
              <w:jc w:val="left"/>
              <w:rPr>
                <w:rFonts w:ascii="宋体" w:hAnsi="宋体" w:cs="宋体"/>
                <w:color w:val="auto"/>
                <w:sz w:val="24"/>
                <w:highlight w:val="none"/>
              </w:rPr>
            </w:pPr>
          </w:p>
        </w:tc>
      </w:tr>
      <w:tr w14:paraId="0E3B4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6B4E76D5">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00299E38">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0788BEA7">
            <w:pPr>
              <w:snapToGrid w:val="0"/>
              <w:spacing w:before="5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292CD4CD">
            <w:pPr>
              <w:snapToGrid w:val="0"/>
              <w:spacing w:before="50" w:afterLines="50" w:line="400" w:lineRule="exact"/>
              <w:jc w:val="left"/>
              <w:rPr>
                <w:rFonts w:ascii="宋体" w:hAnsi="宋体" w:cs="宋体"/>
                <w:color w:val="auto"/>
                <w:sz w:val="24"/>
                <w:highlight w:val="none"/>
              </w:rPr>
            </w:pPr>
          </w:p>
        </w:tc>
      </w:tr>
      <w:tr w14:paraId="0B2FB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35387FE1">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72A5EA6">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0EBD373">
            <w:pPr>
              <w:snapToGrid w:val="0"/>
              <w:spacing w:before="5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22639EB7">
            <w:pPr>
              <w:snapToGrid w:val="0"/>
              <w:spacing w:before="50" w:afterLines="50" w:line="400" w:lineRule="exact"/>
              <w:jc w:val="left"/>
              <w:rPr>
                <w:rFonts w:ascii="宋体" w:hAnsi="宋体" w:cs="宋体"/>
                <w:color w:val="auto"/>
                <w:sz w:val="24"/>
                <w:highlight w:val="none"/>
              </w:rPr>
            </w:pPr>
          </w:p>
        </w:tc>
      </w:tr>
      <w:tr w14:paraId="0D786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2E235B18">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0B43FC8">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88265D2">
            <w:pPr>
              <w:snapToGrid w:val="0"/>
              <w:spacing w:before="5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79236992">
            <w:pPr>
              <w:snapToGrid w:val="0"/>
              <w:spacing w:before="50" w:afterLines="50" w:line="400" w:lineRule="exact"/>
              <w:jc w:val="left"/>
              <w:rPr>
                <w:rFonts w:ascii="宋体" w:hAnsi="宋体" w:cs="宋体"/>
                <w:color w:val="auto"/>
                <w:sz w:val="24"/>
                <w:highlight w:val="none"/>
              </w:rPr>
            </w:pPr>
          </w:p>
        </w:tc>
      </w:tr>
    </w:tbl>
    <w:p w14:paraId="43A123C7">
      <w:pPr>
        <w:pStyle w:val="14"/>
        <w:spacing w:before="0" w:after="0" w:line="360" w:lineRule="auto"/>
        <w:contextualSpacing/>
        <w:rPr>
          <w:rFonts w:ascii="宋体" w:hAnsi="宋体" w:eastAsia="宋体" w:cs="宋体"/>
          <w:color w:val="auto"/>
          <w:sz w:val="24"/>
          <w:szCs w:val="24"/>
          <w:highlight w:val="none"/>
        </w:rPr>
      </w:pPr>
    </w:p>
    <w:p w14:paraId="6F66DE05">
      <w:pPr>
        <w:pStyle w:val="14"/>
        <w:spacing w:before="0" w:after="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投标人根据评标标准具体要求附业绩证明材料。</w:t>
      </w:r>
    </w:p>
    <w:p w14:paraId="0AD70B61">
      <w:pPr>
        <w:pStyle w:val="14"/>
        <w:spacing w:before="0" w:after="0" w:line="360" w:lineRule="auto"/>
        <w:contextualSpacing/>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法定代表人或者委托代理人（签字或者电子签名）：</w:t>
      </w:r>
      <w:r>
        <w:rPr>
          <w:rFonts w:hint="eastAsia" w:ascii="宋体" w:hAnsi="宋体" w:eastAsia="宋体" w:cs="宋体"/>
          <w:color w:val="auto"/>
          <w:sz w:val="24"/>
          <w:szCs w:val="24"/>
          <w:highlight w:val="none"/>
          <w:u w:val="single"/>
        </w:rPr>
        <w:t>　　　　　</w:t>
      </w:r>
    </w:p>
    <w:p w14:paraId="14813B05">
      <w:pPr>
        <w:spacing w:line="360" w:lineRule="auto"/>
        <w:ind w:right="480"/>
        <w:contextualSpacing/>
        <w:jc w:val="left"/>
        <w:rPr>
          <w:rFonts w:ascii="宋体" w:hAnsi="宋体" w:cs="宋体"/>
          <w:color w:val="auto"/>
          <w:sz w:val="24"/>
          <w:szCs w:val="20"/>
          <w:highlight w:val="none"/>
        </w:rPr>
      </w:pPr>
      <w:r>
        <w:rPr>
          <w:rFonts w:hint="eastAsia" w:ascii="宋体" w:hAnsi="宋体" w:cs="宋体"/>
          <w:color w:val="auto"/>
          <w:sz w:val="24"/>
          <w:highlight w:val="none"/>
        </w:rPr>
        <w:t>投标人名称（电子签章）：                                                               年    月    日</w:t>
      </w:r>
    </w:p>
    <w:p w14:paraId="2376CD42">
      <w:pPr>
        <w:snapToGrid w:val="0"/>
        <w:spacing w:before="50"/>
        <w:ind w:firstLine="480" w:firstLineChars="200"/>
        <w:jc w:val="left"/>
        <w:rPr>
          <w:rFonts w:ascii="宋体" w:hAnsi="宋体" w:cs="宋体"/>
          <w:color w:val="auto"/>
          <w:sz w:val="24"/>
          <w:szCs w:val="20"/>
          <w:highlight w:val="none"/>
        </w:rPr>
      </w:pPr>
    </w:p>
    <w:p w14:paraId="0A93E68F">
      <w:pPr>
        <w:snapToGrid w:val="0"/>
        <w:spacing w:before="50"/>
        <w:jc w:val="left"/>
        <w:rPr>
          <w:rFonts w:ascii="宋体" w:hAnsi="宋体" w:cs="宋体"/>
          <w:color w:val="auto"/>
          <w:sz w:val="24"/>
          <w:highlight w:val="none"/>
        </w:rPr>
      </w:pPr>
    </w:p>
    <w:p w14:paraId="53D70657">
      <w:pPr>
        <w:snapToGrid w:val="0"/>
        <w:spacing w:beforeLines="50"/>
        <w:rPr>
          <w:rFonts w:ascii="宋体" w:hAnsi="宋体" w:cs="宋体"/>
          <w:color w:val="auto"/>
          <w:sz w:val="24"/>
          <w:szCs w:val="20"/>
          <w:highlight w:val="none"/>
        </w:rPr>
        <w:sectPr>
          <w:pgSz w:w="11906" w:h="16838"/>
          <w:pgMar w:top="1440" w:right="1797" w:bottom="1440" w:left="1797" w:header="851" w:footer="992" w:gutter="0"/>
          <w:cols w:space="720" w:num="1"/>
          <w:docGrid w:linePitch="312" w:charSpace="0"/>
        </w:sectPr>
      </w:pPr>
    </w:p>
    <w:p w14:paraId="21740BC2">
      <w:pPr>
        <w:rPr>
          <w:rFonts w:ascii="宋体" w:hAnsi="宋体" w:cs="宋体"/>
          <w:b/>
          <w:color w:val="auto"/>
          <w:sz w:val="28"/>
          <w:szCs w:val="28"/>
          <w:highlight w:val="none"/>
        </w:rPr>
      </w:pPr>
      <w:r>
        <w:rPr>
          <w:rFonts w:hint="eastAsia" w:ascii="宋体" w:hAnsi="宋体" w:cs="宋体"/>
          <w:b/>
          <w:color w:val="auto"/>
          <w:sz w:val="28"/>
          <w:szCs w:val="28"/>
          <w:highlight w:val="none"/>
        </w:rPr>
        <w:t>四、技术文件格式</w:t>
      </w:r>
    </w:p>
    <w:p w14:paraId="3ED1D9AC">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 xml:space="preserve">1. 技术文件封面格式： </w:t>
      </w:r>
    </w:p>
    <w:p w14:paraId="17D9774E">
      <w:pPr>
        <w:snapToGrid w:val="0"/>
        <w:spacing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60D542A6">
      <w:pPr>
        <w:snapToGrid w:val="0"/>
        <w:spacing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w:t>
      </w:r>
    </w:p>
    <w:p w14:paraId="36A079B6">
      <w:pPr>
        <w:snapToGrid w:val="0"/>
        <w:spacing w:beforeLines="50" w:after="50"/>
        <w:rPr>
          <w:rFonts w:ascii="宋体" w:hAnsi="宋体" w:cs="宋体"/>
          <w:bCs/>
          <w:color w:val="auto"/>
          <w:sz w:val="24"/>
          <w:szCs w:val="20"/>
          <w:highlight w:val="none"/>
        </w:rPr>
      </w:pPr>
    </w:p>
    <w:p w14:paraId="21DE5C10">
      <w:pPr>
        <w:snapToGrid w:val="0"/>
        <w:spacing w:beforeLines="50" w:after="50" w:line="400" w:lineRule="exact"/>
        <w:ind w:firstLine="360" w:firstLineChars="150"/>
        <w:rPr>
          <w:rFonts w:ascii="宋体" w:hAnsi="宋体" w:cs="宋体"/>
          <w:bCs/>
          <w:color w:val="auto"/>
          <w:sz w:val="24"/>
          <w:szCs w:val="20"/>
          <w:highlight w:val="none"/>
        </w:rPr>
      </w:pPr>
      <w:r>
        <w:rPr>
          <w:rFonts w:hint="eastAsia" w:ascii="宋体" w:hAnsi="宋体" w:cs="宋体"/>
          <w:bCs/>
          <w:color w:val="auto"/>
          <w:sz w:val="24"/>
          <w:highlight w:val="none"/>
        </w:rPr>
        <w:t xml:space="preserve">项目名称： </w:t>
      </w:r>
    </w:p>
    <w:p w14:paraId="0E4FC79D">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31A7A2BE">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6EC8359F">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4D7D364D">
      <w:pPr>
        <w:snapToGrid w:val="0"/>
        <w:spacing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4584B425">
      <w:pPr>
        <w:snapToGrid w:val="0"/>
        <w:spacing w:beforeLines="50" w:after="50"/>
        <w:ind w:firstLine="645"/>
        <w:jc w:val="center"/>
        <w:rPr>
          <w:rFonts w:ascii="宋体" w:hAnsi="宋体" w:cs="宋体"/>
          <w:color w:val="auto"/>
          <w:sz w:val="24"/>
          <w:szCs w:val="20"/>
          <w:highlight w:val="none"/>
        </w:rPr>
      </w:pPr>
    </w:p>
    <w:p w14:paraId="7C437FC5">
      <w:pPr>
        <w:snapToGrid w:val="0"/>
        <w:spacing w:beforeLines="50" w:after="50"/>
        <w:ind w:left="142"/>
        <w:jc w:val="left"/>
        <w:rPr>
          <w:rFonts w:ascii="宋体" w:hAnsi="宋体" w:cs="宋体"/>
          <w:b/>
          <w:color w:val="auto"/>
          <w:sz w:val="24"/>
          <w:highlight w:val="none"/>
        </w:rPr>
      </w:pPr>
      <w:r>
        <w:rPr>
          <w:rFonts w:hint="eastAsia" w:ascii="宋体" w:hAnsi="宋体" w:cs="宋体"/>
          <w:b/>
          <w:bCs/>
          <w:color w:val="auto"/>
          <w:sz w:val="24"/>
          <w:highlight w:val="none"/>
        </w:rPr>
        <w:br w:type="page"/>
      </w:r>
      <w:r>
        <w:rPr>
          <w:rFonts w:hint="eastAsia" w:ascii="宋体" w:hAnsi="宋体" w:cs="宋体"/>
          <w:b/>
          <w:color w:val="auto"/>
          <w:sz w:val="24"/>
          <w:highlight w:val="none"/>
        </w:rPr>
        <w:t>2.技术文件目录</w:t>
      </w:r>
    </w:p>
    <w:p w14:paraId="30BE0D3B">
      <w:pPr>
        <w:snapToGrid w:val="0"/>
        <w:spacing w:before="50" w:afterLines="50"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16497E60">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部分技术文件格式</w:t>
      </w:r>
    </w:p>
    <w:p w14:paraId="55815287">
      <w:pPr>
        <w:snapToGrid w:val="0"/>
        <w:spacing w:beforeLines="50" w:after="50"/>
        <w:ind w:left="142"/>
        <w:jc w:val="left"/>
        <w:rPr>
          <w:rFonts w:ascii="宋体" w:hAnsi="宋体" w:cs="宋体"/>
          <w:b/>
          <w:color w:val="auto"/>
          <w:sz w:val="24"/>
          <w:highlight w:val="none"/>
        </w:rPr>
      </w:pPr>
    </w:p>
    <w:p w14:paraId="7CFE1D8F">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技术要求偏离表</w:t>
      </w:r>
    </w:p>
    <w:p w14:paraId="5002431C">
      <w:pPr>
        <w:snapToGrid w:val="0"/>
        <w:spacing w:beforeLines="50" w:after="50"/>
        <w:ind w:left="142"/>
        <w:jc w:val="left"/>
        <w:rPr>
          <w:rFonts w:ascii="宋体" w:hAnsi="宋体" w:cs="宋体"/>
          <w:b/>
          <w:color w:val="auto"/>
          <w:sz w:val="24"/>
          <w:highlight w:val="none"/>
        </w:rPr>
      </w:pPr>
    </w:p>
    <w:p w14:paraId="71501560">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技术要求偏离表</w:t>
      </w:r>
    </w:p>
    <w:p w14:paraId="6BE1EC1A">
      <w:pPr>
        <w:pStyle w:val="24"/>
        <w:spacing w:line="400" w:lineRule="exact"/>
        <w:jc w:val="left"/>
        <w:rPr>
          <w:rFonts w:hAnsi="宋体" w:cs="宋体"/>
          <w:color w:val="auto"/>
          <w:kern w:val="2"/>
          <w:sz w:val="24"/>
          <w:highlight w:val="none"/>
        </w:rPr>
      </w:pPr>
      <w:r>
        <w:rPr>
          <w:rFonts w:hint="eastAsia" w:hAnsi="宋体" w:cs="宋体"/>
          <w:color w:val="auto"/>
          <w:kern w:val="2"/>
          <w:sz w:val="24"/>
          <w:highlight w:val="none"/>
        </w:rPr>
        <w:t>分标号：</w:t>
      </w:r>
    </w:p>
    <w:tbl>
      <w:tblPr>
        <w:tblStyle w:val="4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1834"/>
        <w:gridCol w:w="2181"/>
        <w:gridCol w:w="1934"/>
      </w:tblGrid>
      <w:tr w14:paraId="7FB6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958" w:type="dxa"/>
            <w:vAlign w:val="center"/>
          </w:tcPr>
          <w:p w14:paraId="2973DF78">
            <w:pPr>
              <w:pStyle w:val="24"/>
              <w:spacing w:line="400" w:lineRule="exact"/>
              <w:jc w:val="center"/>
              <w:rPr>
                <w:rFonts w:hAnsi="宋体" w:cs="宋体"/>
                <w:color w:val="auto"/>
                <w:kern w:val="2"/>
                <w:sz w:val="24"/>
                <w:highlight w:val="none"/>
              </w:rPr>
            </w:pPr>
            <w:r>
              <w:rPr>
                <w:rFonts w:hint="eastAsia" w:hAnsi="宋体" w:cs="宋体"/>
                <w:color w:val="auto"/>
                <w:kern w:val="2"/>
                <w:sz w:val="24"/>
                <w:highlight w:val="none"/>
              </w:rPr>
              <w:t>标的的名称</w:t>
            </w:r>
          </w:p>
        </w:tc>
        <w:tc>
          <w:tcPr>
            <w:tcW w:w="1834" w:type="dxa"/>
            <w:vAlign w:val="center"/>
          </w:tcPr>
          <w:p w14:paraId="702E3AFE">
            <w:pPr>
              <w:pStyle w:val="24"/>
              <w:spacing w:line="400" w:lineRule="exact"/>
              <w:jc w:val="center"/>
              <w:rPr>
                <w:rFonts w:hAnsi="宋体" w:cs="宋体"/>
                <w:color w:val="auto"/>
                <w:kern w:val="2"/>
                <w:sz w:val="24"/>
                <w:highlight w:val="none"/>
              </w:rPr>
            </w:pPr>
            <w:r>
              <w:rPr>
                <w:rFonts w:hint="eastAsia" w:hAnsi="宋体" w:cs="宋体"/>
                <w:color w:val="auto"/>
                <w:kern w:val="2"/>
                <w:sz w:val="24"/>
                <w:highlight w:val="none"/>
              </w:rPr>
              <w:t>技术要求</w:t>
            </w:r>
          </w:p>
        </w:tc>
        <w:tc>
          <w:tcPr>
            <w:tcW w:w="2181" w:type="dxa"/>
            <w:vAlign w:val="center"/>
          </w:tcPr>
          <w:p w14:paraId="568E50A7">
            <w:pPr>
              <w:pStyle w:val="24"/>
              <w:spacing w:line="400" w:lineRule="exact"/>
              <w:jc w:val="center"/>
              <w:rPr>
                <w:rFonts w:hAnsi="宋体" w:cs="宋体"/>
                <w:color w:val="auto"/>
                <w:kern w:val="2"/>
                <w:sz w:val="24"/>
                <w:highlight w:val="none"/>
              </w:rPr>
            </w:pPr>
            <w:r>
              <w:rPr>
                <w:rFonts w:hint="eastAsia" w:hAnsi="宋体" w:cs="宋体"/>
                <w:color w:val="auto"/>
                <w:kern w:val="2"/>
                <w:sz w:val="24"/>
                <w:highlight w:val="none"/>
              </w:rPr>
              <w:t>投标响应</w:t>
            </w:r>
          </w:p>
        </w:tc>
        <w:tc>
          <w:tcPr>
            <w:tcW w:w="1934" w:type="dxa"/>
            <w:vAlign w:val="center"/>
          </w:tcPr>
          <w:p w14:paraId="5253FD33">
            <w:pPr>
              <w:pStyle w:val="24"/>
              <w:spacing w:line="400" w:lineRule="exact"/>
              <w:jc w:val="center"/>
              <w:rPr>
                <w:rFonts w:hAnsi="宋体" w:cs="宋体"/>
                <w:color w:val="auto"/>
                <w:kern w:val="2"/>
                <w:sz w:val="24"/>
                <w:highlight w:val="none"/>
              </w:rPr>
            </w:pPr>
            <w:r>
              <w:rPr>
                <w:rFonts w:hint="eastAsia" w:hAnsi="宋体" w:cs="宋体"/>
                <w:color w:val="auto"/>
                <w:kern w:val="2"/>
                <w:sz w:val="24"/>
                <w:highlight w:val="none"/>
              </w:rPr>
              <w:t>偏离说明</w:t>
            </w:r>
          </w:p>
        </w:tc>
      </w:tr>
      <w:tr w14:paraId="421E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8" w:type="dxa"/>
            <w:vAlign w:val="center"/>
          </w:tcPr>
          <w:p w14:paraId="2A9DE697">
            <w:pPr>
              <w:pStyle w:val="24"/>
              <w:spacing w:line="600" w:lineRule="exact"/>
              <w:jc w:val="center"/>
              <w:rPr>
                <w:rFonts w:hAnsi="宋体" w:cs="宋体"/>
                <w:color w:val="auto"/>
                <w:kern w:val="2"/>
                <w:sz w:val="24"/>
                <w:highlight w:val="none"/>
              </w:rPr>
            </w:pPr>
          </w:p>
        </w:tc>
        <w:tc>
          <w:tcPr>
            <w:tcW w:w="1834" w:type="dxa"/>
            <w:vAlign w:val="center"/>
          </w:tcPr>
          <w:p w14:paraId="5C5CE6B5">
            <w:pPr>
              <w:pStyle w:val="24"/>
              <w:spacing w:line="600" w:lineRule="exact"/>
              <w:jc w:val="center"/>
              <w:rPr>
                <w:rFonts w:hAnsi="宋体" w:cs="宋体"/>
                <w:color w:val="auto"/>
                <w:kern w:val="2"/>
                <w:sz w:val="24"/>
                <w:highlight w:val="none"/>
              </w:rPr>
            </w:pPr>
          </w:p>
        </w:tc>
        <w:tc>
          <w:tcPr>
            <w:tcW w:w="2181" w:type="dxa"/>
            <w:vAlign w:val="center"/>
          </w:tcPr>
          <w:p w14:paraId="0A44CB38">
            <w:pPr>
              <w:pStyle w:val="24"/>
              <w:spacing w:line="600" w:lineRule="exact"/>
              <w:jc w:val="center"/>
              <w:rPr>
                <w:rFonts w:hAnsi="宋体" w:cs="宋体"/>
                <w:color w:val="auto"/>
                <w:kern w:val="2"/>
                <w:sz w:val="24"/>
                <w:highlight w:val="none"/>
              </w:rPr>
            </w:pPr>
          </w:p>
        </w:tc>
        <w:tc>
          <w:tcPr>
            <w:tcW w:w="1934" w:type="dxa"/>
            <w:vAlign w:val="center"/>
          </w:tcPr>
          <w:p w14:paraId="79E4C0A1">
            <w:pPr>
              <w:pStyle w:val="24"/>
              <w:spacing w:line="600" w:lineRule="exact"/>
              <w:jc w:val="center"/>
              <w:rPr>
                <w:rFonts w:hAnsi="宋体" w:cs="宋体"/>
                <w:color w:val="auto"/>
                <w:kern w:val="2"/>
                <w:sz w:val="24"/>
                <w:highlight w:val="none"/>
              </w:rPr>
            </w:pPr>
          </w:p>
        </w:tc>
      </w:tr>
    </w:tbl>
    <w:p w14:paraId="186089C0">
      <w:pPr>
        <w:pStyle w:val="17"/>
        <w:rPr>
          <w:rFonts w:ascii="宋体" w:hAnsi="宋体" w:cs="宋体"/>
          <w:color w:val="auto"/>
          <w:highlight w:val="none"/>
        </w:rPr>
      </w:pPr>
      <w:r>
        <w:rPr>
          <w:rFonts w:hint="eastAsia" w:ascii="宋体" w:hAnsi="宋体" w:cs="宋体"/>
          <w:color w:val="auto"/>
          <w:highlight w:val="none"/>
        </w:rPr>
        <w:t>注：</w:t>
      </w:r>
    </w:p>
    <w:p w14:paraId="3227AD19">
      <w:pPr>
        <w:pStyle w:val="19"/>
        <w:spacing w:line="360" w:lineRule="auto"/>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采购需求”中的“技术要求”逐条作明确的投标响应，并作出偏离说明。</w:t>
      </w:r>
    </w:p>
    <w:p w14:paraId="4ADC1CBB">
      <w:pPr>
        <w:pStyle w:val="17"/>
        <w:spacing w:line="360" w:lineRule="auto"/>
        <w:rPr>
          <w:rFonts w:ascii="宋体" w:hAnsi="宋体" w:cs="宋体"/>
          <w:b w:val="0"/>
          <w:bCs w:val="0"/>
          <w:color w:val="auto"/>
          <w:highlight w:val="none"/>
        </w:rPr>
      </w:pPr>
      <w:r>
        <w:rPr>
          <w:rFonts w:hint="eastAsia" w:ascii="宋体" w:hAnsi="宋体" w:cs="宋体"/>
          <w:b w:val="0"/>
          <w:bCs w:val="0"/>
          <w:color w:val="auto"/>
          <w:highlight w:val="none"/>
        </w:rPr>
        <w:t>2.投标人根据投标货物的性能指标，对照招标文件技术要求，在“偏离说明”中注明“</w:t>
      </w:r>
      <w:r>
        <w:rPr>
          <w:rFonts w:hint="eastAsia" w:ascii="宋体" w:hAnsi="宋体" w:cs="宋体"/>
          <w:color w:val="auto"/>
          <w:highlight w:val="none"/>
        </w:rPr>
        <w:t>正偏离</w:t>
      </w:r>
      <w:r>
        <w:rPr>
          <w:rFonts w:hint="eastAsia" w:ascii="宋体" w:hAnsi="宋体" w:cs="宋体"/>
          <w:b w:val="0"/>
          <w:bCs w:val="0"/>
          <w:color w:val="auto"/>
          <w:highlight w:val="none"/>
        </w:rPr>
        <w:t>”、“</w:t>
      </w:r>
      <w:r>
        <w:rPr>
          <w:rFonts w:hint="eastAsia" w:ascii="宋体" w:hAnsi="宋体" w:cs="宋体"/>
          <w:color w:val="auto"/>
          <w:highlight w:val="none"/>
        </w:rPr>
        <w:t>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4BD63A92">
      <w:pPr>
        <w:pStyle w:val="19"/>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14:paraId="1E2BE8E3">
      <w:pPr>
        <w:pStyle w:val="19"/>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如技术要求偏离表中的投标响应与佐证材料不一致的，以佐证材料为准。</w:t>
      </w:r>
    </w:p>
    <w:p w14:paraId="545C04DE">
      <w:pPr>
        <w:snapToGrid w:val="0"/>
        <w:spacing w:before="50" w:after="50" w:line="360" w:lineRule="auto"/>
        <w:rPr>
          <w:rFonts w:ascii="宋体" w:hAnsi="宋体" w:cs="宋体"/>
          <w:color w:val="auto"/>
          <w:sz w:val="24"/>
          <w:highlight w:val="none"/>
        </w:rPr>
      </w:pPr>
    </w:p>
    <w:p w14:paraId="71CF2AB7">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4645BDA8">
      <w:pPr>
        <w:snapToGrid w:val="0"/>
        <w:spacing w:before="50" w:after="50" w:line="360" w:lineRule="auto"/>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798723E2">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pacing w:val="20"/>
          <w:sz w:val="24"/>
          <w:highlight w:val="none"/>
        </w:rPr>
        <w:t>日 期：</w:t>
      </w:r>
    </w:p>
    <w:p w14:paraId="5E7A1783">
      <w:pPr>
        <w:snapToGrid w:val="0"/>
        <w:spacing w:before="50" w:after="50" w:line="360" w:lineRule="auto"/>
        <w:rPr>
          <w:rFonts w:ascii="宋体" w:hAnsi="宋体" w:cs="宋体"/>
          <w:color w:val="auto"/>
          <w:sz w:val="24"/>
          <w:szCs w:val="20"/>
          <w:highlight w:val="none"/>
        </w:rPr>
      </w:pPr>
    </w:p>
    <w:p w14:paraId="128025AD">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p>
    <w:p w14:paraId="17DE28B5">
      <w:pPr>
        <w:snapToGrid w:val="0"/>
        <w:spacing w:beforeLines="50" w:after="50"/>
        <w:ind w:left="142"/>
        <w:jc w:val="left"/>
        <w:rPr>
          <w:rFonts w:ascii="宋体" w:hAnsi="宋体" w:cs="宋体"/>
          <w:color w:val="auto"/>
          <w:sz w:val="24"/>
          <w:szCs w:val="20"/>
          <w:highlight w:val="none"/>
        </w:rPr>
      </w:pPr>
      <w:r>
        <w:rPr>
          <w:rFonts w:hint="eastAsia" w:ascii="宋体" w:hAnsi="宋体" w:cs="宋体"/>
          <w:b/>
          <w:color w:val="auto"/>
          <w:sz w:val="24"/>
          <w:highlight w:val="none"/>
        </w:rPr>
        <w:t>设备性能配置清单</w:t>
      </w:r>
    </w:p>
    <w:p w14:paraId="1558CB94">
      <w:pPr>
        <w:snapToGrid w:val="0"/>
        <w:spacing w:beforeLines="50" w:after="50"/>
        <w:ind w:left="142"/>
        <w:jc w:val="left"/>
        <w:rPr>
          <w:rFonts w:ascii="宋体" w:hAnsi="宋体" w:cs="宋体"/>
          <w:b/>
          <w:color w:val="auto"/>
          <w:sz w:val="24"/>
          <w:highlight w:val="none"/>
        </w:rPr>
      </w:pPr>
    </w:p>
    <w:p w14:paraId="36B706DF">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设备性能配置清单</w:t>
      </w:r>
    </w:p>
    <w:p w14:paraId="44D66D36">
      <w:pPr>
        <w:snapToGrid w:val="0"/>
        <w:spacing w:beforeLines="50" w:after="50"/>
        <w:ind w:left="142"/>
        <w:jc w:val="left"/>
        <w:rPr>
          <w:rFonts w:ascii="宋体" w:hAnsi="宋体" w:cs="宋体"/>
          <w:b/>
          <w:color w:val="auto"/>
          <w:sz w:val="32"/>
          <w:szCs w:val="32"/>
          <w:highlight w:val="none"/>
        </w:rPr>
      </w:pPr>
      <w:r>
        <w:rPr>
          <w:rFonts w:hint="eastAsia" w:ascii="宋体" w:hAnsi="宋体" w:cs="宋体"/>
          <w:color w:val="auto"/>
          <w:sz w:val="24"/>
          <w:szCs w:val="21"/>
          <w:highlight w:val="none"/>
        </w:rPr>
        <w:t>分标号：</w:t>
      </w:r>
    </w:p>
    <w:tbl>
      <w:tblPr>
        <w:tblStyle w:val="47"/>
        <w:tblW w:w="457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6"/>
        <w:gridCol w:w="1266"/>
        <w:gridCol w:w="920"/>
        <w:gridCol w:w="828"/>
        <w:gridCol w:w="1413"/>
        <w:gridCol w:w="461"/>
        <w:gridCol w:w="581"/>
        <w:gridCol w:w="1402"/>
      </w:tblGrid>
      <w:tr w14:paraId="704BF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5D20D244">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810" w:type="pct"/>
            <w:tcBorders>
              <w:top w:val="single" w:color="auto" w:sz="4" w:space="0"/>
              <w:left w:val="single" w:color="auto" w:sz="4" w:space="0"/>
              <w:bottom w:val="single" w:color="auto" w:sz="4" w:space="0"/>
              <w:right w:val="single" w:color="auto" w:sz="4" w:space="0"/>
            </w:tcBorders>
            <w:vAlign w:val="center"/>
          </w:tcPr>
          <w:p w14:paraId="555004B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589" w:type="pct"/>
            <w:tcBorders>
              <w:top w:val="single" w:color="auto" w:sz="4" w:space="0"/>
              <w:left w:val="single" w:color="auto" w:sz="4" w:space="0"/>
              <w:bottom w:val="single" w:color="auto" w:sz="4" w:space="0"/>
              <w:right w:val="single" w:color="auto" w:sz="4" w:space="0"/>
            </w:tcBorders>
            <w:vAlign w:val="center"/>
          </w:tcPr>
          <w:p w14:paraId="34AEF12D">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530" w:type="pct"/>
            <w:tcBorders>
              <w:top w:val="single" w:color="auto" w:sz="4" w:space="0"/>
              <w:left w:val="single" w:color="auto" w:sz="4" w:space="0"/>
              <w:bottom w:val="single" w:color="auto" w:sz="4" w:space="0"/>
              <w:right w:val="single" w:color="auto" w:sz="4" w:space="0"/>
            </w:tcBorders>
            <w:vAlign w:val="center"/>
          </w:tcPr>
          <w:p w14:paraId="7D373BE8">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品牌</w:t>
            </w:r>
          </w:p>
        </w:tc>
        <w:tc>
          <w:tcPr>
            <w:tcW w:w="904" w:type="pct"/>
            <w:tcBorders>
              <w:top w:val="single" w:color="auto" w:sz="4" w:space="0"/>
              <w:left w:val="single" w:color="auto" w:sz="4" w:space="0"/>
              <w:bottom w:val="single" w:color="auto" w:sz="4" w:space="0"/>
              <w:right w:val="single" w:color="auto" w:sz="4" w:space="0"/>
            </w:tcBorders>
          </w:tcPr>
          <w:p w14:paraId="73851F8B">
            <w:pPr>
              <w:snapToGrid w:val="0"/>
              <w:spacing w:before="50" w:after="50"/>
              <w:jc w:val="center"/>
              <w:rPr>
                <w:rFonts w:ascii="宋体" w:hAnsi="宋体" w:cs="宋体"/>
                <w:color w:val="auto"/>
                <w:sz w:val="24"/>
                <w:highlight w:val="none"/>
              </w:rPr>
            </w:pPr>
          </w:p>
          <w:p w14:paraId="794DF280">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295" w:type="pct"/>
            <w:tcBorders>
              <w:top w:val="single" w:color="auto" w:sz="4" w:space="0"/>
              <w:left w:val="single" w:color="auto" w:sz="4" w:space="0"/>
              <w:bottom w:val="single" w:color="auto" w:sz="4" w:space="0"/>
              <w:right w:val="single" w:color="auto" w:sz="4" w:space="0"/>
            </w:tcBorders>
            <w:vAlign w:val="center"/>
          </w:tcPr>
          <w:p w14:paraId="6DCE213E">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制造商</w:t>
            </w:r>
          </w:p>
        </w:tc>
        <w:tc>
          <w:tcPr>
            <w:tcW w:w="372" w:type="pct"/>
            <w:tcBorders>
              <w:top w:val="single" w:color="auto" w:sz="4" w:space="0"/>
              <w:left w:val="single" w:color="auto" w:sz="4" w:space="0"/>
              <w:bottom w:val="single" w:color="auto" w:sz="4" w:space="0"/>
              <w:right w:val="single" w:color="auto" w:sz="4" w:space="0"/>
            </w:tcBorders>
            <w:vAlign w:val="center"/>
          </w:tcPr>
          <w:p w14:paraId="0627C23B">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产地</w:t>
            </w:r>
          </w:p>
        </w:tc>
        <w:tc>
          <w:tcPr>
            <w:tcW w:w="897" w:type="pct"/>
            <w:tcBorders>
              <w:top w:val="single" w:color="auto" w:sz="4" w:space="0"/>
              <w:left w:val="single" w:color="auto" w:sz="4" w:space="0"/>
              <w:bottom w:val="single" w:color="auto" w:sz="4" w:space="0"/>
              <w:right w:val="single" w:color="auto" w:sz="4" w:space="0"/>
            </w:tcBorders>
            <w:vAlign w:val="center"/>
          </w:tcPr>
          <w:p w14:paraId="3865F0D4">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参数性能、指标及配置</w:t>
            </w:r>
          </w:p>
        </w:tc>
      </w:tr>
      <w:tr w14:paraId="32166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1C662BF8">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1</w:t>
            </w:r>
          </w:p>
        </w:tc>
        <w:tc>
          <w:tcPr>
            <w:tcW w:w="810" w:type="pct"/>
            <w:tcBorders>
              <w:top w:val="single" w:color="auto" w:sz="4" w:space="0"/>
              <w:left w:val="single" w:color="auto" w:sz="4" w:space="0"/>
              <w:bottom w:val="single" w:color="auto" w:sz="4" w:space="0"/>
              <w:right w:val="single" w:color="auto" w:sz="4" w:space="0"/>
            </w:tcBorders>
            <w:vAlign w:val="center"/>
          </w:tcPr>
          <w:p w14:paraId="3BF39D64">
            <w:pPr>
              <w:tabs>
                <w:tab w:val="left" w:pos="180"/>
                <w:tab w:val="left" w:pos="1620"/>
              </w:tabs>
              <w:adjustRightInd w:val="0"/>
              <w:snapToGrid w:val="0"/>
              <w:spacing w:line="36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16CC60DF">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22F451D7">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18089503">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592F07F9">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333E8078">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0B667A7D">
            <w:pPr>
              <w:snapToGrid w:val="0"/>
              <w:spacing w:before="50" w:after="50"/>
              <w:jc w:val="center"/>
              <w:rPr>
                <w:rFonts w:ascii="宋体" w:hAnsi="宋体" w:cs="宋体"/>
                <w:color w:val="auto"/>
                <w:sz w:val="24"/>
                <w:highlight w:val="none"/>
              </w:rPr>
            </w:pPr>
          </w:p>
        </w:tc>
      </w:tr>
      <w:tr w14:paraId="3528F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2C0762D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2</w:t>
            </w:r>
          </w:p>
        </w:tc>
        <w:tc>
          <w:tcPr>
            <w:tcW w:w="810" w:type="pct"/>
            <w:tcBorders>
              <w:top w:val="single" w:color="auto" w:sz="4" w:space="0"/>
              <w:left w:val="single" w:color="auto" w:sz="4" w:space="0"/>
              <w:bottom w:val="single" w:color="auto" w:sz="4" w:space="0"/>
              <w:right w:val="single" w:color="auto" w:sz="4" w:space="0"/>
            </w:tcBorders>
            <w:vAlign w:val="center"/>
          </w:tcPr>
          <w:p w14:paraId="08C35638">
            <w:pPr>
              <w:tabs>
                <w:tab w:val="left" w:pos="180"/>
                <w:tab w:val="left" w:pos="1620"/>
              </w:tabs>
              <w:adjustRightInd w:val="0"/>
              <w:snapToGrid w:val="0"/>
              <w:spacing w:line="36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3E263B5B">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72575A81">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333C8A5F">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18460C92">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3652391C">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22876019">
            <w:pPr>
              <w:snapToGrid w:val="0"/>
              <w:spacing w:before="50" w:after="50"/>
              <w:jc w:val="center"/>
              <w:rPr>
                <w:rFonts w:ascii="宋体" w:hAnsi="宋体" w:cs="宋体"/>
                <w:color w:val="auto"/>
                <w:sz w:val="24"/>
                <w:highlight w:val="none"/>
              </w:rPr>
            </w:pPr>
          </w:p>
        </w:tc>
      </w:tr>
      <w:tr w14:paraId="7315D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44B83940">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3</w:t>
            </w:r>
          </w:p>
        </w:tc>
        <w:tc>
          <w:tcPr>
            <w:tcW w:w="810" w:type="pct"/>
            <w:tcBorders>
              <w:top w:val="single" w:color="auto" w:sz="4" w:space="0"/>
              <w:left w:val="single" w:color="auto" w:sz="4" w:space="0"/>
              <w:bottom w:val="single" w:color="auto" w:sz="4" w:space="0"/>
              <w:right w:val="single" w:color="auto" w:sz="4" w:space="0"/>
            </w:tcBorders>
            <w:vAlign w:val="center"/>
          </w:tcPr>
          <w:p w14:paraId="284C9B78">
            <w:pPr>
              <w:tabs>
                <w:tab w:val="left" w:pos="180"/>
                <w:tab w:val="left" w:pos="1620"/>
              </w:tabs>
              <w:adjustRightInd w:val="0"/>
              <w:snapToGrid w:val="0"/>
              <w:spacing w:line="36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5A53ECB0">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2309EF4F">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2D456AAF">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4D0AE9BF">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0B0BFB41">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4884DC8D">
            <w:pPr>
              <w:snapToGrid w:val="0"/>
              <w:spacing w:before="50" w:after="50"/>
              <w:jc w:val="center"/>
              <w:rPr>
                <w:rFonts w:ascii="宋体" w:hAnsi="宋体" w:cs="宋体"/>
                <w:color w:val="auto"/>
                <w:sz w:val="24"/>
                <w:highlight w:val="none"/>
              </w:rPr>
            </w:pPr>
          </w:p>
        </w:tc>
      </w:tr>
      <w:tr w14:paraId="4B252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5346D0EC">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w:t>
            </w:r>
          </w:p>
        </w:tc>
        <w:tc>
          <w:tcPr>
            <w:tcW w:w="810" w:type="pct"/>
            <w:tcBorders>
              <w:top w:val="single" w:color="auto" w:sz="4" w:space="0"/>
              <w:left w:val="single" w:color="auto" w:sz="4" w:space="0"/>
              <w:bottom w:val="single" w:color="auto" w:sz="4" w:space="0"/>
              <w:right w:val="single" w:color="auto" w:sz="4" w:space="0"/>
            </w:tcBorders>
            <w:vAlign w:val="center"/>
          </w:tcPr>
          <w:p w14:paraId="4304D0AC">
            <w:pPr>
              <w:snapToGrid w:val="0"/>
              <w:spacing w:line="32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7D710B77">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15D0D6EF">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149299FA">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61C4BA77">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15F88ED3">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29BF260B">
            <w:pPr>
              <w:snapToGrid w:val="0"/>
              <w:spacing w:before="50" w:after="50"/>
              <w:jc w:val="center"/>
              <w:rPr>
                <w:rFonts w:ascii="宋体" w:hAnsi="宋体" w:cs="宋体"/>
                <w:color w:val="auto"/>
                <w:sz w:val="24"/>
                <w:highlight w:val="none"/>
              </w:rPr>
            </w:pPr>
          </w:p>
        </w:tc>
      </w:tr>
    </w:tbl>
    <w:p w14:paraId="601504C4">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备注：</w:t>
      </w:r>
    </w:p>
    <w:p w14:paraId="2D0F41D2">
      <w:pPr>
        <w:spacing w:line="360" w:lineRule="auto"/>
        <w:ind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以上设备性能配置清单中“货物名称、数量及单位、品牌、规格型号、制造商、产地、参数性能、指标及配置”必须如实填写完整，品牌、规格型号没有则填无</w:t>
      </w:r>
      <w:r>
        <w:rPr>
          <w:rFonts w:hint="eastAsia" w:ascii="宋体" w:hAnsi="宋体" w:cs="宋体"/>
          <w:b/>
          <w:color w:val="auto"/>
          <w:sz w:val="24"/>
          <w:highlight w:val="none"/>
        </w:rPr>
        <w:t>。</w:t>
      </w:r>
    </w:p>
    <w:p w14:paraId="68E40E08">
      <w:pPr>
        <w:spacing w:line="360" w:lineRule="auto"/>
        <w:ind w:firstLine="480" w:firstLineChars="200"/>
        <w:contextualSpacing/>
        <w:rPr>
          <w:rFonts w:ascii="宋体" w:hAnsi="宋体" w:cs="宋体"/>
          <w:color w:val="auto"/>
          <w:sz w:val="24"/>
          <w:highlight w:val="none"/>
        </w:rPr>
      </w:pPr>
    </w:p>
    <w:p w14:paraId="28B16705">
      <w:pPr>
        <w:spacing w:line="360" w:lineRule="auto"/>
        <w:contextualSpacing/>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5FC7E4AD">
      <w:pPr>
        <w:spacing w:line="360" w:lineRule="auto"/>
        <w:contextualSpacing/>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5D753B39">
      <w:pPr>
        <w:spacing w:line="360" w:lineRule="auto"/>
        <w:contextualSpacing/>
        <w:rPr>
          <w:rFonts w:ascii="宋体" w:hAnsi="宋体" w:cs="宋体"/>
          <w:color w:val="auto"/>
          <w:sz w:val="24"/>
          <w:szCs w:val="20"/>
          <w:highlight w:val="none"/>
        </w:rPr>
      </w:pPr>
      <w:r>
        <w:rPr>
          <w:rFonts w:hint="eastAsia" w:ascii="宋体" w:hAnsi="宋体" w:cs="宋体"/>
          <w:color w:val="auto"/>
          <w:spacing w:val="20"/>
          <w:sz w:val="24"/>
          <w:highlight w:val="none"/>
        </w:rPr>
        <w:t>日  期：</w:t>
      </w:r>
    </w:p>
    <w:p w14:paraId="13A97FFD">
      <w:pPr>
        <w:snapToGrid w:val="0"/>
        <w:spacing w:before="50" w:afterLines="50"/>
        <w:jc w:val="left"/>
        <w:rPr>
          <w:rFonts w:ascii="宋体" w:hAnsi="宋体" w:cs="宋体"/>
          <w:color w:val="auto"/>
          <w:sz w:val="24"/>
          <w:szCs w:val="20"/>
          <w:highlight w:val="none"/>
        </w:rPr>
      </w:pPr>
    </w:p>
    <w:p w14:paraId="6CEB0F03">
      <w:pPr>
        <w:snapToGrid w:val="0"/>
        <w:spacing w:before="50" w:afterLines="50"/>
        <w:jc w:val="left"/>
        <w:rPr>
          <w:rFonts w:ascii="宋体" w:hAnsi="宋体" w:cs="宋体"/>
          <w:color w:val="auto"/>
          <w:sz w:val="24"/>
          <w:szCs w:val="20"/>
          <w:highlight w:val="none"/>
        </w:rPr>
      </w:pPr>
    </w:p>
    <w:p w14:paraId="4E17A534">
      <w:pPr>
        <w:pStyle w:val="18"/>
        <w:rPr>
          <w:rFonts w:ascii="宋体" w:hAnsi="宋体" w:cs="宋体"/>
          <w:color w:val="auto"/>
          <w:szCs w:val="20"/>
          <w:highlight w:val="none"/>
        </w:rPr>
      </w:pPr>
    </w:p>
    <w:p w14:paraId="5E622CC5">
      <w:pPr>
        <w:pStyle w:val="18"/>
        <w:rPr>
          <w:rFonts w:ascii="宋体" w:hAnsi="宋体" w:cs="宋体"/>
          <w:color w:val="auto"/>
          <w:szCs w:val="20"/>
          <w:highlight w:val="none"/>
        </w:rPr>
      </w:pPr>
    </w:p>
    <w:p w14:paraId="12B51787">
      <w:pPr>
        <w:pStyle w:val="18"/>
        <w:rPr>
          <w:rFonts w:ascii="宋体" w:hAnsi="宋体" w:cs="宋体"/>
          <w:color w:val="auto"/>
          <w:szCs w:val="20"/>
          <w:highlight w:val="none"/>
        </w:rPr>
      </w:pPr>
    </w:p>
    <w:p w14:paraId="4A3E9620">
      <w:pPr>
        <w:pStyle w:val="18"/>
        <w:rPr>
          <w:rFonts w:ascii="宋体" w:hAnsi="宋体" w:cs="宋体"/>
          <w:color w:val="auto"/>
          <w:szCs w:val="20"/>
          <w:highlight w:val="none"/>
        </w:rPr>
      </w:pPr>
    </w:p>
    <w:p w14:paraId="22465F8F">
      <w:pPr>
        <w:pStyle w:val="18"/>
        <w:rPr>
          <w:rFonts w:ascii="宋体" w:hAnsi="宋体" w:cs="宋体"/>
          <w:color w:val="auto"/>
          <w:szCs w:val="20"/>
          <w:highlight w:val="none"/>
        </w:rPr>
      </w:pPr>
    </w:p>
    <w:p w14:paraId="730EB951">
      <w:pPr>
        <w:pStyle w:val="18"/>
        <w:rPr>
          <w:rFonts w:ascii="宋体" w:hAnsi="宋体" w:cs="宋体"/>
          <w:color w:val="auto"/>
          <w:szCs w:val="20"/>
          <w:highlight w:val="none"/>
        </w:rPr>
      </w:pPr>
    </w:p>
    <w:p w14:paraId="67B7DDA8">
      <w:pPr>
        <w:pStyle w:val="18"/>
        <w:rPr>
          <w:rFonts w:ascii="宋体" w:hAnsi="宋体" w:cs="宋体"/>
          <w:color w:val="auto"/>
          <w:szCs w:val="20"/>
          <w:highlight w:val="none"/>
        </w:rPr>
      </w:pPr>
    </w:p>
    <w:p w14:paraId="3E52AC58">
      <w:pPr>
        <w:pStyle w:val="18"/>
        <w:rPr>
          <w:rFonts w:ascii="宋体" w:hAnsi="宋体" w:cs="宋体"/>
          <w:color w:val="auto"/>
          <w:szCs w:val="20"/>
          <w:highlight w:val="none"/>
        </w:rPr>
      </w:pPr>
    </w:p>
    <w:p w14:paraId="17570B52">
      <w:pPr>
        <w:pStyle w:val="18"/>
        <w:rPr>
          <w:rFonts w:ascii="宋体" w:hAnsi="宋体" w:cs="宋体"/>
          <w:color w:val="auto"/>
          <w:szCs w:val="20"/>
          <w:highlight w:val="none"/>
        </w:rPr>
      </w:pPr>
    </w:p>
    <w:p w14:paraId="55D26F7A">
      <w:pPr>
        <w:pStyle w:val="18"/>
        <w:rPr>
          <w:rFonts w:ascii="宋体" w:hAnsi="宋体" w:cs="宋体"/>
          <w:color w:val="auto"/>
          <w:highlight w:val="none"/>
        </w:rPr>
      </w:pPr>
    </w:p>
    <w:p w14:paraId="00C9E83D">
      <w:pPr>
        <w:rPr>
          <w:rFonts w:ascii="宋体" w:hAnsi="宋体" w:cs="宋体"/>
          <w:color w:val="auto"/>
          <w:highlight w:val="none"/>
        </w:rPr>
      </w:pPr>
    </w:p>
    <w:p w14:paraId="53BF0B1F">
      <w:pPr>
        <w:pStyle w:val="18"/>
        <w:rPr>
          <w:rFonts w:ascii="宋体" w:hAnsi="宋体" w:cs="宋体"/>
          <w:color w:val="auto"/>
          <w:highlight w:val="none"/>
        </w:rPr>
      </w:pPr>
    </w:p>
    <w:p w14:paraId="3F5E9F51">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项目实施人员一览表</w:t>
      </w:r>
    </w:p>
    <w:p w14:paraId="3B405BEA">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14:paraId="4F788658">
      <w:pPr>
        <w:snapToGrid w:val="0"/>
        <w:spacing w:beforeLines="50" w:after="50"/>
        <w:ind w:left="142"/>
        <w:jc w:val="left"/>
        <w:rPr>
          <w:rFonts w:ascii="宋体" w:hAnsi="宋体" w:cs="宋体"/>
          <w:b/>
          <w:color w:val="auto"/>
          <w:sz w:val="32"/>
          <w:szCs w:val="32"/>
          <w:highlight w:val="none"/>
        </w:rPr>
      </w:pPr>
      <w:r>
        <w:rPr>
          <w:rFonts w:hint="eastAsia" w:ascii="宋体" w:hAnsi="宋体" w:cs="宋体"/>
          <w:color w:val="auto"/>
          <w:sz w:val="24"/>
          <w:szCs w:val="21"/>
          <w:highlight w:val="none"/>
        </w:rPr>
        <w:t>分标号：</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4EDA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5101CE7">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14:paraId="5EC62D95">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1701" w:type="dxa"/>
            <w:vAlign w:val="center"/>
          </w:tcPr>
          <w:p w14:paraId="7F9EF948">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420" w:type="dxa"/>
            <w:vAlign w:val="center"/>
          </w:tcPr>
          <w:p w14:paraId="476AE123">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698" w:type="dxa"/>
            <w:vAlign w:val="center"/>
          </w:tcPr>
          <w:p w14:paraId="392D9C56">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17516997">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1843" w:type="dxa"/>
            <w:vAlign w:val="center"/>
          </w:tcPr>
          <w:p w14:paraId="1FA94C75">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14:paraId="6B33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BB83E48">
            <w:pPr>
              <w:snapToGrid w:val="0"/>
              <w:spacing w:before="50" w:afterLines="50"/>
              <w:jc w:val="center"/>
              <w:rPr>
                <w:rFonts w:ascii="宋体" w:hAnsi="宋体" w:cs="宋体"/>
                <w:color w:val="auto"/>
                <w:sz w:val="24"/>
                <w:szCs w:val="20"/>
                <w:highlight w:val="none"/>
              </w:rPr>
            </w:pPr>
          </w:p>
        </w:tc>
        <w:tc>
          <w:tcPr>
            <w:tcW w:w="709" w:type="dxa"/>
            <w:vAlign w:val="center"/>
          </w:tcPr>
          <w:p w14:paraId="1D81FA48">
            <w:pPr>
              <w:snapToGrid w:val="0"/>
              <w:spacing w:before="50" w:afterLines="50"/>
              <w:jc w:val="center"/>
              <w:rPr>
                <w:rFonts w:ascii="宋体" w:hAnsi="宋体" w:cs="宋体"/>
                <w:color w:val="auto"/>
                <w:sz w:val="24"/>
                <w:szCs w:val="20"/>
                <w:highlight w:val="none"/>
              </w:rPr>
            </w:pPr>
          </w:p>
        </w:tc>
        <w:tc>
          <w:tcPr>
            <w:tcW w:w="1701" w:type="dxa"/>
            <w:vAlign w:val="center"/>
          </w:tcPr>
          <w:p w14:paraId="15D45485">
            <w:pPr>
              <w:snapToGrid w:val="0"/>
              <w:spacing w:before="50" w:afterLines="50"/>
              <w:jc w:val="center"/>
              <w:rPr>
                <w:rFonts w:ascii="宋体" w:hAnsi="宋体" w:cs="宋体"/>
                <w:color w:val="auto"/>
                <w:sz w:val="24"/>
                <w:szCs w:val="20"/>
                <w:highlight w:val="none"/>
              </w:rPr>
            </w:pPr>
          </w:p>
        </w:tc>
        <w:tc>
          <w:tcPr>
            <w:tcW w:w="1420" w:type="dxa"/>
            <w:vAlign w:val="center"/>
          </w:tcPr>
          <w:p w14:paraId="7F673AF1">
            <w:pPr>
              <w:snapToGrid w:val="0"/>
              <w:spacing w:before="50" w:afterLines="50"/>
              <w:jc w:val="center"/>
              <w:rPr>
                <w:rFonts w:ascii="宋体" w:hAnsi="宋体" w:cs="宋体"/>
                <w:color w:val="auto"/>
                <w:sz w:val="24"/>
                <w:szCs w:val="20"/>
                <w:highlight w:val="none"/>
              </w:rPr>
            </w:pPr>
          </w:p>
        </w:tc>
        <w:tc>
          <w:tcPr>
            <w:tcW w:w="1698" w:type="dxa"/>
            <w:vAlign w:val="center"/>
          </w:tcPr>
          <w:p w14:paraId="72FD97F2">
            <w:pPr>
              <w:snapToGrid w:val="0"/>
              <w:spacing w:before="50" w:afterLines="50"/>
              <w:jc w:val="center"/>
              <w:rPr>
                <w:rFonts w:ascii="宋体" w:hAnsi="宋体" w:cs="宋体"/>
                <w:color w:val="auto"/>
                <w:sz w:val="24"/>
                <w:szCs w:val="20"/>
                <w:highlight w:val="none"/>
              </w:rPr>
            </w:pPr>
          </w:p>
        </w:tc>
        <w:tc>
          <w:tcPr>
            <w:tcW w:w="1843" w:type="dxa"/>
            <w:vAlign w:val="center"/>
          </w:tcPr>
          <w:p w14:paraId="52DDCEC1">
            <w:pPr>
              <w:snapToGrid w:val="0"/>
              <w:spacing w:before="50" w:afterLines="50"/>
              <w:jc w:val="center"/>
              <w:rPr>
                <w:rFonts w:ascii="宋体" w:hAnsi="宋体" w:cs="宋体"/>
                <w:color w:val="auto"/>
                <w:sz w:val="24"/>
                <w:szCs w:val="20"/>
                <w:highlight w:val="none"/>
              </w:rPr>
            </w:pPr>
          </w:p>
        </w:tc>
      </w:tr>
      <w:tr w14:paraId="6137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920F943">
            <w:pPr>
              <w:snapToGrid w:val="0"/>
              <w:spacing w:before="50" w:afterLines="50"/>
              <w:jc w:val="center"/>
              <w:rPr>
                <w:rFonts w:ascii="宋体" w:hAnsi="宋体" w:cs="宋体"/>
                <w:color w:val="auto"/>
                <w:sz w:val="24"/>
                <w:szCs w:val="20"/>
                <w:highlight w:val="none"/>
              </w:rPr>
            </w:pPr>
          </w:p>
        </w:tc>
        <w:tc>
          <w:tcPr>
            <w:tcW w:w="709" w:type="dxa"/>
            <w:vAlign w:val="center"/>
          </w:tcPr>
          <w:p w14:paraId="2B5B77A4">
            <w:pPr>
              <w:snapToGrid w:val="0"/>
              <w:spacing w:before="50" w:afterLines="50"/>
              <w:jc w:val="center"/>
              <w:rPr>
                <w:rFonts w:ascii="宋体" w:hAnsi="宋体" w:cs="宋体"/>
                <w:color w:val="auto"/>
                <w:sz w:val="24"/>
                <w:szCs w:val="20"/>
                <w:highlight w:val="none"/>
              </w:rPr>
            </w:pPr>
          </w:p>
        </w:tc>
        <w:tc>
          <w:tcPr>
            <w:tcW w:w="1701" w:type="dxa"/>
            <w:vAlign w:val="center"/>
          </w:tcPr>
          <w:p w14:paraId="1A815104">
            <w:pPr>
              <w:snapToGrid w:val="0"/>
              <w:spacing w:before="50" w:afterLines="50"/>
              <w:jc w:val="center"/>
              <w:rPr>
                <w:rFonts w:ascii="宋体" w:hAnsi="宋体" w:cs="宋体"/>
                <w:color w:val="auto"/>
                <w:sz w:val="24"/>
                <w:szCs w:val="20"/>
                <w:highlight w:val="none"/>
              </w:rPr>
            </w:pPr>
          </w:p>
        </w:tc>
        <w:tc>
          <w:tcPr>
            <w:tcW w:w="1420" w:type="dxa"/>
            <w:vAlign w:val="center"/>
          </w:tcPr>
          <w:p w14:paraId="0B43E3B2">
            <w:pPr>
              <w:snapToGrid w:val="0"/>
              <w:spacing w:before="50" w:afterLines="50"/>
              <w:jc w:val="center"/>
              <w:rPr>
                <w:rFonts w:ascii="宋体" w:hAnsi="宋体" w:cs="宋体"/>
                <w:color w:val="auto"/>
                <w:sz w:val="24"/>
                <w:szCs w:val="20"/>
                <w:highlight w:val="none"/>
              </w:rPr>
            </w:pPr>
          </w:p>
        </w:tc>
        <w:tc>
          <w:tcPr>
            <w:tcW w:w="1698" w:type="dxa"/>
            <w:vAlign w:val="center"/>
          </w:tcPr>
          <w:p w14:paraId="1E9F44BD">
            <w:pPr>
              <w:snapToGrid w:val="0"/>
              <w:spacing w:before="50" w:afterLines="50"/>
              <w:jc w:val="center"/>
              <w:rPr>
                <w:rFonts w:ascii="宋体" w:hAnsi="宋体" w:cs="宋体"/>
                <w:color w:val="auto"/>
                <w:sz w:val="24"/>
                <w:szCs w:val="20"/>
                <w:highlight w:val="none"/>
              </w:rPr>
            </w:pPr>
          </w:p>
        </w:tc>
        <w:tc>
          <w:tcPr>
            <w:tcW w:w="1843" w:type="dxa"/>
            <w:vAlign w:val="center"/>
          </w:tcPr>
          <w:p w14:paraId="3571F1D1">
            <w:pPr>
              <w:snapToGrid w:val="0"/>
              <w:spacing w:before="50" w:afterLines="50"/>
              <w:jc w:val="center"/>
              <w:rPr>
                <w:rFonts w:ascii="宋体" w:hAnsi="宋体" w:cs="宋体"/>
                <w:color w:val="auto"/>
                <w:sz w:val="24"/>
                <w:szCs w:val="20"/>
                <w:highlight w:val="none"/>
              </w:rPr>
            </w:pPr>
          </w:p>
        </w:tc>
      </w:tr>
      <w:tr w14:paraId="7639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0109A7D">
            <w:pPr>
              <w:snapToGrid w:val="0"/>
              <w:spacing w:before="50" w:afterLines="50"/>
              <w:jc w:val="center"/>
              <w:rPr>
                <w:rFonts w:ascii="宋体" w:hAnsi="宋体" w:cs="宋体"/>
                <w:color w:val="auto"/>
                <w:sz w:val="24"/>
                <w:szCs w:val="20"/>
                <w:highlight w:val="none"/>
              </w:rPr>
            </w:pPr>
          </w:p>
        </w:tc>
        <w:tc>
          <w:tcPr>
            <w:tcW w:w="709" w:type="dxa"/>
            <w:vAlign w:val="center"/>
          </w:tcPr>
          <w:p w14:paraId="2ECF8284">
            <w:pPr>
              <w:snapToGrid w:val="0"/>
              <w:spacing w:before="50" w:afterLines="50"/>
              <w:jc w:val="center"/>
              <w:rPr>
                <w:rFonts w:ascii="宋体" w:hAnsi="宋体" w:cs="宋体"/>
                <w:color w:val="auto"/>
                <w:sz w:val="24"/>
                <w:szCs w:val="20"/>
                <w:highlight w:val="none"/>
              </w:rPr>
            </w:pPr>
          </w:p>
        </w:tc>
        <w:tc>
          <w:tcPr>
            <w:tcW w:w="1701" w:type="dxa"/>
            <w:vAlign w:val="center"/>
          </w:tcPr>
          <w:p w14:paraId="1E3357A3">
            <w:pPr>
              <w:snapToGrid w:val="0"/>
              <w:spacing w:before="50" w:afterLines="50"/>
              <w:jc w:val="center"/>
              <w:rPr>
                <w:rFonts w:ascii="宋体" w:hAnsi="宋体" w:cs="宋体"/>
                <w:color w:val="auto"/>
                <w:sz w:val="24"/>
                <w:szCs w:val="20"/>
                <w:highlight w:val="none"/>
              </w:rPr>
            </w:pPr>
          </w:p>
        </w:tc>
        <w:tc>
          <w:tcPr>
            <w:tcW w:w="1420" w:type="dxa"/>
            <w:vAlign w:val="center"/>
          </w:tcPr>
          <w:p w14:paraId="278BE295">
            <w:pPr>
              <w:snapToGrid w:val="0"/>
              <w:spacing w:before="50" w:afterLines="50"/>
              <w:jc w:val="center"/>
              <w:rPr>
                <w:rFonts w:ascii="宋体" w:hAnsi="宋体" w:cs="宋体"/>
                <w:color w:val="auto"/>
                <w:sz w:val="24"/>
                <w:szCs w:val="20"/>
                <w:highlight w:val="none"/>
              </w:rPr>
            </w:pPr>
          </w:p>
        </w:tc>
        <w:tc>
          <w:tcPr>
            <w:tcW w:w="1698" w:type="dxa"/>
            <w:vAlign w:val="center"/>
          </w:tcPr>
          <w:p w14:paraId="291DE999">
            <w:pPr>
              <w:snapToGrid w:val="0"/>
              <w:spacing w:before="50" w:afterLines="50"/>
              <w:jc w:val="center"/>
              <w:rPr>
                <w:rFonts w:ascii="宋体" w:hAnsi="宋体" w:cs="宋体"/>
                <w:color w:val="auto"/>
                <w:sz w:val="24"/>
                <w:szCs w:val="20"/>
                <w:highlight w:val="none"/>
              </w:rPr>
            </w:pPr>
          </w:p>
        </w:tc>
        <w:tc>
          <w:tcPr>
            <w:tcW w:w="1843" w:type="dxa"/>
            <w:vAlign w:val="center"/>
          </w:tcPr>
          <w:p w14:paraId="48DA0291">
            <w:pPr>
              <w:snapToGrid w:val="0"/>
              <w:spacing w:before="50" w:afterLines="50"/>
              <w:jc w:val="center"/>
              <w:rPr>
                <w:rFonts w:ascii="宋体" w:hAnsi="宋体" w:cs="宋体"/>
                <w:color w:val="auto"/>
                <w:sz w:val="24"/>
                <w:szCs w:val="20"/>
                <w:highlight w:val="none"/>
              </w:rPr>
            </w:pPr>
          </w:p>
        </w:tc>
      </w:tr>
    </w:tbl>
    <w:p w14:paraId="3C0DB312">
      <w:pPr>
        <w:snapToGrid w:val="0"/>
        <w:spacing w:before="50" w:afterLines="50"/>
        <w:jc w:val="left"/>
        <w:rPr>
          <w:rFonts w:ascii="宋体" w:hAnsi="宋体" w:cs="宋体"/>
          <w:color w:val="auto"/>
          <w:sz w:val="24"/>
          <w:szCs w:val="20"/>
          <w:highlight w:val="none"/>
        </w:rPr>
      </w:pPr>
    </w:p>
    <w:p w14:paraId="4686A516">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w:t>
      </w:r>
    </w:p>
    <w:p w14:paraId="7E8C2296">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1.在填写时，如本表格不适合投标单位的实际情况，可根据本表格式自行制表填写。</w:t>
      </w:r>
    </w:p>
    <w:p w14:paraId="1C4DB25D">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2.投标人应当附本表所列证书的复印件并加盖供应商CA电子签章。</w:t>
      </w:r>
    </w:p>
    <w:p w14:paraId="03EB2C4C">
      <w:pPr>
        <w:spacing w:line="360" w:lineRule="auto"/>
        <w:contextualSpacing/>
        <w:jc w:val="left"/>
        <w:rPr>
          <w:rFonts w:ascii="宋体" w:hAnsi="宋体" w:cs="宋体"/>
          <w:color w:val="auto"/>
          <w:sz w:val="24"/>
          <w:szCs w:val="20"/>
          <w:highlight w:val="none"/>
        </w:rPr>
      </w:pPr>
    </w:p>
    <w:p w14:paraId="7072FB85">
      <w:pPr>
        <w:spacing w:line="360" w:lineRule="auto"/>
        <w:contextualSpacing/>
        <w:jc w:val="left"/>
        <w:rPr>
          <w:rFonts w:ascii="宋体" w:hAnsi="宋体" w:cs="宋体"/>
          <w:color w:val="auto"/>
          <w:sz w:val="24"/>
          <w:szCs w:val="20"/>
          <w:highlight w:val="none"/>
        </w:rPr>
      </w:pPr>
    </w:p>
    <w:p w14:paraId="126B603B">
      <w:pPr>
        <w:spacing w:line="360" w:lineRule="auto"/>
        <w:contextualSpacing/>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03799683">
      <w:pPr>
        <w:spacing w:line="360" w:lineRule="auto"/>
        <w:contextualSpacing/>
        <w:jc w:val="left"/>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52CE54AF">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日 期：</w:t>
      </w:r>
    </w:p>
    <w:p w14:paraId="022056E5">
      <w:pPr>
        <w:snapToGrid w:val="0"/>
        <w:spacing w:before="50" w:afterLines="50"/>
        <w:jc w:val="left"/>
        <w:rPr>
          <w:rFonts w:ascii="宋体" w:hAnsi="宋体" w:cs="宋体"/>
          <w:color w:val="auto"/>
          <w:sz w:val="24"/>
          <w:szCs w:val="20"/>
          <w:highlight w:val="none"/>
        </w:rPr>
      </w:pPr>
    </w:p>
    <w:p w14:paraId="2591069C">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选配件、专用耗材、售后服务优惠表</w:t>
      </w:r>
    </w:p>
    <w:p w14:paraId="00EE9A74">
      <w:pPr>
        <w:snapToGrid w:val="0"/>
        <w:spacing w:beforeLines="50" w:after="50"/>
        <w:ind w:left="142"/>
        <w:jc w:val="left"/>
        <w:rPr>
          <w:rFonts w:ascii="宋体" w:hAnsi="宋体" w:cs="宋体"/>
          <w:b/>
          <w:color w:val="auto"/>
          <w:sz w:val="24"/>
          <w:highlight w:val="none"/>
        </w:rPr>
      </w:pPr>
    </w:p>
    <w:p w14:paraId="484F4C60">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选配件、专用耗材、售后服务优惠表</w:t>
      </w:r>
    </w:p>
    <w:p w14:paraId="30B1B1E7">
      <w:pPr>
        <w:snapToGrid w:val="0"/>
        <w:spacing w:beforeLines="50" w:after="50"/>
        <w:ind w:left="142"/>
        <w:jc w:val="left"/>
        <w:rPr>
          <w:rFonts w:ascii="宋体" w:hAnsi="宋体" w:cs="宋体"/>
          <w:b/>
          <w:color w:val="auto"/>
          <w:sz w:val="32"/>
          <w:szCs w:val="32"/>
          <w:highlight w:val="none"/>
        </w:rPr>
      </w:pPr>
      <w:r>
        <w:rPr>
          <w:rFonts w:hint="eastAsia" w:ascii="宋体" w:hAnsi="宋体" w:cs="宋体"/>
          <w:color w:val="auto"/>
          <w:sz w:val="24"/>
          <w:szCs w:val="21"/>
          <w:highlight w:val="none"/>
        </w:rPr>
        <w:t>分标号：</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16F70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67DCCD">
            <w:pPr>
              <w:pStyle w:val="24"/>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25DEDDCD">
            <w:pPr>
              <w:pStyle w:val="24"/>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44A304BB">
            <w:pPr>
              <w:pStyle w:val="24"/>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40B056E7">
            <w:pPr>
              <w:pStyle w:val="24"/>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5DC92708">
            <w:pPr>
              <w:pStyle w:val="24"/>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比市场价优惠率（%）</w:t>
            </w:r>
          </w:p>
        </w:tc>
      </w:tr>
      <w:tr w14:paraId="26996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E92538E">
            <w:pPr>
              <w:pStyle w:val="24"/>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14:paraId="34318A32">
            <w:pPr>
              <w:pStyle w:val="24"/>
              <w:snapToGrid w:val="0"/>
              <w:spacing w:before="295" w:after="295"/>
              <w:jc w:val="center"/>
              <w:rPr>
                <w:rFonts w:hAnsi="宋体" w:cs="宋体"/>
                <w:color w:val="auto"/>
                <w:kern w:val="2"/>
                <w:sz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14:paraId="20A9EC8A">
            <w:pPr>
              <w:pStyle w:val="24"/>
              <w:snapToGrid w:val="0"/>
              <w:spacing w:before="295" w:after="295"/>
              <w:jc w:val="center"/>
              <w:rPr>
                <w:rFonts w:hAnsi="宋体" w:cs="宋体"/>
                <w:color w:val="auto"/>
                <w:kern w:val="2"/>
                <w:sz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3A8943C8">
            <w:pPr>
              <w:pStyle w:val="24"/>
              <w:snapToGrid w:val="0"/>
              <w:spacing w:before="295" w:after="295"/>
              <w:jc w:val="center"/>
              <w:rPr>
                <w:rFonts w:hAnsi="宋体" w:cs="宋体"/>
                <w:color w:val="auto"/>
                <w:kern w:val="2"/>
                <w:sz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14:paraId="5A1F04DA">
            <w:pPr>
              <w:pStyle w:val="24"/>
              <w:snapToGrid w:val="0"/>
              <w:spacing w:before="295" w:after="295"/>
              <w:jc w:val="center"/>
              <w:rPr>
                <w:rFonts w:hAnsi="宋体" w:cs="宋体"/>
                <w:color w:val="auto"/>
                <w:kern w:val="2"/>
                <w:sz w:val="24"/>
                <w:highlight w:val="none"/>
              </w:rPr>
            </w:pPr>
          </w:p>
        </w:tc>
      </w:tr>
      <w:tr w14:paraId="16BCD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43ECF6A">
            <w:pPr>
              <w:pStyle w:val="24"/>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14:paraId="270801FD">
            <w:pPr>
              <w:pStyle w:val="24"/>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434FED28">
            <w:pPr>
              <w:pStyle w:val="24"/>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74E9929">
            <w:pPr>
              <w:pStyle w:val="24"/>
              <w:snapToGrid w:val="0"/>
              <w:spacing w:before="295" w:after="295"/>
              <w:jc w:val="center"/>
              <w:rPr>
                <w:rFonts w:hAnsi="宋体" w:cs="宋体"/>
                <w:color w:val="auto"/>
                <w:kern w:val="2"/>
                <w:sz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2DB62D0C">
            <w:pPr>
              <w:pStyle w:val="24"/>
              <w:snapToGrid w:val="0"/>
              <w:spacing w:before="295" w:after="295"/>
              <w:jc w:val="center"/>
              <w:rPr>
                <w:rFonts w:hAnsi="宋体" w:cs="宋体"/>
                <w:color w:val="auto"/>
                <w:kern w:val="2"/>
                <w:sz w:val="24"/>
                <w:highlight w:val="none"/>
              </w:rPr>
            </w:pPr>
          </w:p>
        </w:tc>
      </w:tr>
      <w:tr w14:paraId="4A698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8D2F0EF">
            <w:pPr>
              <w:pStyle w:val="24"/>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14:paraId="118B8799">
            <w:pPr>
              <w:pStyle w:val="24"/>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4E10E236">
            <w:pPr>
              <w:pStyle w:val="24"/>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C93F0ED">
            <w:pPr>
              <w:pStyle w:val="24"/>
              <w:snapToGrid w:val="0"/>
              <w:spacing w:before="295" w:after="295"/>
              <w:jc w:val="center"/>
              <w:rPr>
                <w:rFonts w:hAnsi="宋体" w:cs="宋体"/>
                <w:color w:val="auto"/>
                <w:kern w:val="2"/>
                <w:sz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54724CAD">
            <w:pPr>
              <w:pStyle w:val="24"/>
              <w:snapToGrid w:val="0"/>
              <w:spacing w:before="295" w:after="295"/>
              <w:jc w:val="center"/>
              <w:rPr>
                <w:rFonts w:hAnsi="宋体" w:cs="宋体"/>
                <w:color w:val="auto"/>
                <w:kern w:val="2"/>
                <w:sz w:val="24"/>
                <w:highlight w:val="none"/>
              </w:rPr>
            </w:pPr>
          </w:p>
        </w:tc>
      </w:tr>
    </w:tbl>
    <w:p w14:paraId="088A508D">
      <w:pPr>
        <w:spacing w:line="360" w:lineRule="auto"/>
        <w:contextualSpacing/>
        <w:rPr>
          <w:rFonts w:ascii="宋体" w:hAnsi="宋体" w:cs="宋体"/>
          <w:color w:val="auto"/>
          <w:sz w:val="24"/>
          <w:highlight w:val="none"/>
        </w:rPr>
      </w:pPr>
    </w:p>
    <w:p w14:paraId="45BD5CF1">
      <w:pPr>
        <w:spacing w:line="360" w:lineRule="auto"/>
        <w:contextualSpacing/>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16323776">
      <w:pPr>
        <w:spacing w:line="360" w:lineRule="auto"/>
        <w:contextualSpacing/>
        <w:jc w:val="left"/>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4C6F1B65">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日 期：</w:t>
      </w:r>
    </w:p>
    <w:p w14:paraId="4A36B157">
      <w:pPr>
        <w:snapToGrid w:val="0"/>
        <w:spacing w:before="50" w:afterLines="50"/>
        <w:jc w:val="left"/>
        <w:rPr>
          <w:rFonts w:ascii="宋体" w:hAnsi="宋体" w:cs="宋体"/>
          <w:color w:val="auto"/>
          <w:sz w:val="24"/>
          <w:szCs w:val="20"/>
          <w:highlight w:val="none"/>
        </w:rPr>
      </w:pPr>
    </w:p>
    <w:p w14:paraId="08D8949C">
      <w:pPr>
        <w:rPr>
          <w:rFonts w:ascii="宋体" w:hAnsi="宋体" w:cs="宋体"/>
          <w:b/>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sz w:val="28"/>
          <w:szCs w:val="28"/>
          <w:highlight w:val="none"/>
        </w:rPr>
        <w:t>五、其他文书、文件格式</w:t>
      </w:r>
    </w:p>
    <w:p w14:paraId="7E4FBD89">
      <w:pPr>
        <w:snapToGrid w:val="0"/>
        <w:spacing w:beforeLines="50" w:after="50"/>
        <w:ind w:left="142"/>
        <w:jc w:val="left"/>
        <w:rPr>
          <w:rFonts w:ascii="宋体" w:hAnsi="宋体" w:cs="宋体"/>
          <w:b/>
          <w:color w:val="auto"/>
          <w:spacing w:val="20"/>
          <w:sz w:val="24"/>
          <w:highlight w:val="none"/>
        </w:rPr>
      </w:pPr>
      <w:r>
        <w:rPr>
          <w:rFonts w:hint="eastAsia" w:ascii="宋体" w:hAnsi="宋体" w:cs="宋体"/>
          <w:b/>
          <w:color w:val="auto"/>
          <w:spacing w:val="20"/>
          <w:sz w:val="24"/>
          <w:highlight w:val="none"/>
        </w:rPr>
        <w:t>1.联合投标协议书格式</w:t>
      </w:r>
    </w:p>
    <w:p w14:paraId="342F41CE">
      <w:pPr>
        <w:pStyle w:val="6"/>
        <w:overflowPunct w:val="0"/>
        <w:jc w:val="center"/>
        <w:rPr>
          <w:rFonts w:ascii="宋体" w:hAnsi="宋体" w:cs="宋体"/>
          <w:color w:val="auto"/>
          <w:sz w:val="44"/>
          <w:szCs w:val="44"/>
          <w:highlight w:val="none"/>
        </w:rPr>
      </w:pPr>
      <w:r>
        <w:rPr>
          <w:rFonts w:hint="eastAsia" w:ascii="宋体" w:hAnsi="宋体" w:cs="宋体"/>
          <w:color w:val="auto"/>
          <w:sz w:val="44"/>
          <w:szCs w:val="44"/>
          <w:highlight w:val="none"/>
        </w:rPr>
        <w:t>联合体协议书</w:t>
      </w:r>
    </w:p>
    <w:p w14:paraId="4CE13FD6">
      <w:pPr>
        <w:pStyle w:val="6"/>
        <w:overflowPunct w:val="0"/>
        <w:rPr>
          <w:rFonts w:ascii="宋体" w:hAnsi="宋体" w:cs="宋体"/>
          <w:color w:val="auto"/>
          <w:sz w:val="24"/>
          <w:highlight w:val="none"/>
        </w:rPr>
      </w:pPr>
    </w:p>
    <w:p w14:paraId="6FF9F558">
      <w:pPr>
        <w:pStyle w:val="6"/>
        <w:overflowPunct w:val="0"/>
        <w:spacing w:line="360" w:lineRule="auto"/>
        <w:contextualSpacing/>
        <w:rPr>
          <w:rFonts w:ascii="宋体" w:hAnsi="宋体" w:cs="宋体"/>
          <w:color w:val="auto"/>
          <w:sz w:val="24"/>
          <w:highlight w:val="none"/>
        </w:rPr>
      </w:pPr>
      <w:r>
        <w:rPr>
          <w:rFonts w:hint="eastAsia" w:ascii="宋体" w:hAnsi="宋体" w:cs="宋体"/>
          <w:color w:val="auto"/>
          <w:sz w:val="24"/>
          <w:highlight w:val="none"/>
          <w:u w:val="single"/>
        </w:rPr>
        <w:tab/>
      </w:r>
      <w:r>
        <w:rPr>
          <w:rFonts w:hint="eastAsia" w:ascii="宋体" w:hAnsi="宋体" w:cs="宋体"/>
          <w:color w:val="auto"/>
          <w:sz w:val="24"/>
          <w:highlight w:val="none"/>
        </w:rPr>
        <w:t>（所有成员单位名称）自愿组成</w:t>
      </w:r>
      <w:r>
        <w:rPr>
          <w:rFonts w:hint="eastAsia" w:ascii="宋体" w:hAnsi="宋体" w:cs="宋体"/>
          <w:color w:val="auto"/>
          <w:sz w:val="24"/>
          <w:highlight w:val="none"/>
          <w:u w:val="single"/>
        </w:rPr>
        <w:tab/>
      </w:r>
      <w:r>
        <w:rPr>
          <w:rFonts w:hint="eastAsia" w:ascii="宋体" w:hAnsi="宋体" w:cs="宋体"/>
          <w:color w:val="auto"/>
          <w:sz w:val="24"/>
          <w:highlight w:val="none"/>
        </w:rPr>
        <w:t>（联合体名称）联合体，共同参加</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采购招标项目投标。现就联合体投标事宜订立如下协议。</w:t>
      </w:r>
    </w:p>
    <w:p w14:paraId="0BE72DCC">
      <w:pPr>
        <w:pStyle w:val="6"/>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ab/>
      </w:r>
      <w:r>
        <w:rPr>
          <w:rFonts w:hint="eastAsia" w:ascii="宋体" w:hAnsi="宋体" w:cs="宋体"/>
          <w:color w:val="auto"/>
          <w:sz w:val="24"/>
          <w:highlight w:val="none"/>
        </w:rPr>
        <w:t>（某成员单位名称）为</w:t>
      </w:r>
      <w:r>
        <w:rPr>
          <w:rFonts w:hint="eastAsia" w:ascii="宋体" w:hAnsi="宋体" w:cs="宋体"/>
          <w:color w:val="auto"/>
          <w:sz w:val="24"/>
          <w:highlight w:val="none"/>
          <w:u w:val="single"/>
        </w:rPr>
        <w:tab/>
      </w:r>
      <w:r>
        <w:rPr>
          <w:rFonts w:hint="eastAsia" w:ascii="宋体" w:hAnsi="宋体" w:cs="宋体"/>
          <w:color w:val="auto"/>
          <w:sz w:val="24"/>
          <w:highlight w:val="none"/>
        </w:rPr>
        <w:t>（联合体名称）牵头人。</w:t>
      </w:r>
    </w:p>
    <w:p w14:paraId="67B05288">
      <w:pPr>
        <w:pStyle w:val="6"/>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2.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46931FC2">
      <w:pPr>
        <w:pStyle w:val="6"/>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3.联合体牵头人在本项目中签署和盖章的一切文件和处理的一切事宜，联合体各成员均予以承认。联合体各成员将严格按照招标文件、投标文件和合同的要求全面履行义务，并向招标人承担连带责任。</w:t>
      </w:r>
    </w:p>
    <w:p w14:paraId="432BD034">
      <w:pPr>
        <w:pStyle w:val="6"/>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4.联合体各成员单位内部的职责分工如下：</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2B872D94">
      <w:pPr>
        <w:pStyle w:val="6"/>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5.本协议书自所有成员单位法定代表人或者其委托代理人签字（或者电子签名）或者盖公章之日起生效，合同履行完毕后自动失效。</w:t>
      </w:r>
    </w:p>
    <w:p w14:paraId="75088B30">
      <w:pPr>
        <w:pStyle w:val="6"/>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6.本协议书一式</w:t>
      </w:r>
      <w:r>
        <w:rPr>
          <w:rFonts w:hint="eastAsia" w:ascii="宋体" w:hAnsi="宋体" w:cs="宋体"/>
          <w:color w:val="auto"/>
          <w:sz w:val="24"/>
          <w:highlight w:val="none"/>
          <w:u w:val="single"/>
        </w:rPr>
        <w:tab/>
      </w:r>
      <w:r>
        <w:rPr>
          <w:rFonts w:hint="eastAsia" w:ascii="宋体" w:hAnsi="宋体" w:cs="宋体"/>
          <w:color w:val="auto"/>
          <w:sz w:val="24"/>
          <w:highlight w:val="none"/>
        </w:rPr>
        <w:t>份，联合体成员和招标人各执一份。</w:t>
      </w:r>
    </w:p>
    <w:p w14:paraId="410FF835">
      <w:pPr>
        <w:pStyle w:val="6"/>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注：本协议书应附法定代表人身份证明；有委托代理的，应附授权委托书（格式自拟）。</w:t>
      </w:r>
    </w:p>
    <w:p w14:paraId="689E4919">
      <w:pPr>
        <w:pStyle w:val="6"/>
        <w:overflowPunct w:val="0"/>
        <w:spacing w:line="360" w:lineRule="auto"/>
        <w:ind w:firstLineChars="175"/>
        <w:contextualSpacing/>
        <w:rPr>
          <w:rFonts w:ascii="宋体" w:hAnsi="宋体" w:cs="宋体"/>
          <w:color w:val="auto"/>
          <w:sz w:val="24"/>
          <w:highlight w:val="none"/>
        </w:rPr>
      </w:pPr>
    </w:p>
    <w:p w14:paraId="13508431">
      <w:pPr>
        <w:pStyle w:val="6"/>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联合体牵头人名称（电子签章）：</w:t>
      </w:r>
    </w:p>
    <w:p w14:paraId="0BCAEA31">
      <w:pPr>
        <w:pStyle w:val="6"/>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法定代表人或者其委托代理人：</w:t>
      </w:r>
      <w:r>
        <w:rPr>
          <w:rFonts w:hint="eastAsia" w:ascii="宋体" w:hAnsi="宋体" w:cs="宋体"/>
          <w:color w:val="auto"/>
          <w:sz w:val="24"/>
          <w:highlight w:val="none"/>
        </w:rPr>
        <w:tab/>
      </w:r>
      <w:r>
        <w:rPr>
          <w:rFonts w:hint="eastAsia" w:ascii="宋体" w:hAnsi="宋体" w:cs="宋体"/>
          <w:color w:val="auto"/>
          <w:sz w:val="24"/>
          <w:highlight w:val="none"/>
        </w:rPr>
        <w:t>（签字或者电子签名）</w:t>
      </w:r>
    </w:p>
    <w:p w14:paraId="70F9F85C">
      <w:pPr>
        <w:pStyle w:val="6"/>
        <w:overflowPunct w:val="0"/>
        <w:spacing w:line="360" w:lineRule="auto"/>
        <w:ind w:firstLineChars="175"/>
        <w:contextualSpacing/>
        <w:rPr>
          <w:rFonts w:ascii="宋体" w:hAnsi="宋体" w:cs="宋体"/>
          <w:color w:val="auto"/>
          <w:sz w:val="24"/>
          <w:highlight w:val="none"/>
        </w:rPr>
      </w:pPr>
    </w:p>
    <w:p w14:paraId="7138A3B3">
      <w:pPr>
        <w:pStyle w:val="6"/>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联合体成员名称（盖公章或者电子签章）：</w:t>
      </w:r>
    </w:p>
    <w:p w14:paraId="5881B283">
      <w:pPr>
        <w:pStyle w:val="6"/>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法定代表人或者其委托代理人：</w:t>
      </w:r>
      <w:r>
        <w:rPr>
          <w:rFonts w:hint="eastAsia" w:ascii="宋体" w:hAnsi="宋体" w:cs="宋体"/>
          <w:color w:val="auto"/>
          <w:sz w:val="24"/>
          <w:highlight w:val="none"/>
        </w:rPr>
        <w:tab/>
      </w:r>
      <w:r>
        <w:rPr>
          <w:rFonts w:hint="eastAsia" w:ascii="宋体" w:hAnsi="宋体" w:cs="宋体"/>
          <w:color w:val="auto"/>
          <w:sz w:val="24"/>
          <w:highlight w:val="none"/>
        </w:rPr>
        <w:t>（签字或者电子签名）</w:t>
      </w:r>
    </w:p>
    <w:p w14:paraId="54BA791F">
      <w:pPr>
        <w:pStyle w:val="6"/>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w:t>
      </w:r>
    </w:p>
    <w:p w14:paraId="34B48C9A">
      <w:pPr>
        <w:pStyle w:val="6"/>
        <w:overflowPunct w:val="0"/>
        <w:spacing w:line="360" w:lineRule="auto"/>
        <w:ind w:firstLineChars="175"/>
        <w:contextualSpacing/>
        <w:rPr>
          <w:rFonts w:ascii="宋体" w:hAnsi="宋体" w:cs="宋体"/>
          <w:color w:val="auto"/>
          <w:sz w:val="24"/>
          <w:highlight w:val="none"/>
        </w:rPr>
      </w:pPr>
    </w:p>
    <w:p w14:paraId="5530B6EA">
      <w:pPr>
        <w:pStyle w:val="6"/>
        <w:overflowPunct w:val="0"/>
        <w:spacing w:line="360" w:lineRule="auto"/>
        <w:ind w:firstLineChars="175"/>
        <w:contextualSpacing/>
        <w:jc w:val="right"/>
        <w:rPr>
          <w:rFonts w:ascii="宋体" w:hAnsi="宋体" w:cs="宋体"/>
          <w:b/>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年</w:t>
      </w:r>
      <w:r>
        <w:rPr>
          <w:rFonts w:hint="eastAsia" w:ascii="宋体" w:hAnsi="宋体" w:cs="宋体"/>
          <w:color w:val="auto"/>
          <w:sz w:val="24"/>
          <w:highlight w:val="none"/>
        </w:rPr>
        <w:tab/>
      </w:r>
      <w:r>
        <w:rPr>
          <w:rFonts w:hint="eastAsia" w:ascii="宋体" w:hAnsi="宋体" w:cs="宋体"/>
          <w:color w:val="auto"/>
          <w:sz w:val="24"/>
          <w:highlight w:val="none"/>
        </w:rPr>
        <w:t>月</w:t>
      </w:r>
      <w:r>
        <w:rPr>
          <w:rFonts w:hint="eastAsia" w:ascii="宋体" w:hAnsi="宋体" w:cs="宋体"/>
          <w:color w:val="auto"/>
          <w:sz w:val="24"/>
          <w:highlight w:val="none"/>
        </w:rPr>
        <w:tab/>
      </w:r>
      <w:r>
        <w:rPr>
          <w:rFonts w:hint="eastAsia" w:ascii="宋体" w:hAnsi="宋体" w:cs="宋体"/>
          <w:color w:val="auto"/>
          <w:sz w:val="24"/>
          <w:highlight w:val="none"/>
        </w:rPr>
        <w:t>日</w:t>
      </w:r>
    </w:p>
    <w:p w14:paraId="5B487814">
      <w:pPr>
        <w:snapToGrid w:val="0"/>
        <w:spacing w:beforeLines="50" w:after="50"/>
        <w:jc w:val="left"/>
        <w:rPr>
          <w:rFonts w:ascii="宋体" w:hAnsi="宋体" w:cs="宋体"/>
          <w:b/>
          <w:color w:val="auto"/>
          <w:sz w:val="24"/>
          <w:highlight w:val="none"/>
        </w:rPr>
      </w:pPr>
    </w:p>
    <w:p w14:paraId="5028609D">
      <w:pPr>
        <w:snapToGrid w:val="0"/>
        <w:spacing w:beforeLines="50" w:after="50"/>
        <w:jc w:val="left"/>
        <w:rPr>
          <w:rFonts w:ascii="宋体" w:hAnsi="宋体" w:cs="宋体"/>
          <w:color w:val="auto"/>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2.中小企业声明函格式</w:t>
      </w:r>
    </w:p>
    <w:p w14:paraId="2CF7335B">
      <w:pPr>
        <w:rPr>
          <w:rFonts w:ascii="宋体" w:hAnsi="宋体" w:cs="宋体"/>
          <w:color w:val="auto"/>
          <w:highlight w:val="none"/>
        </w:rPr>
      </w:pPr>
    </w:p>
    <w:p w14:paraId="52A6B890">
      <w:pPr>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中小企业声明函（货物）</w:t>
      </w:r>
    </w:p>
    <w:p w14:paraId="6FF98B15">
      <w:pPr>
        <w:spacing w:before="2" w:line="500" w:lineRule="exact"/>
        <w:rPr>
          <w:rFonts w:ascii="宋体" w:hAnsi="宋体" w:cs="宋体"/>
          <w:b/>
          <w:bCs/>
          <w:color w:val="auto"/>
          <w:sz w:val="27"/>
          <w:szCs w:val="27"/>
          <w:highlight w:val="none"/>
        </w:rPr>
      </w:pPr>
    </w:p>
    <w:p w14:paraId="3C02328E">
      <w:pPr>
        <w:pStyle w:val="18"/>
        <w:spacing w:line="360" w:lineRule="auto"/>
        <w:ind w:left="-426" w:leftChars="-203" w:right="142" w:firstLine="480" w:firstLineChars="200"/>
        <w:contextualSpacing/>
        <w:rPr>
          <w:rFonts w:ascii="宋体" w:hAnsi="宋体" w:cs="宋体"/>
          <w:color w:val="auto"/>
          <w:kern w:val="24"/>
          <w:highlight w:val="none"/>
        </w:rPr>
      </w:pPr>
      <w:r>
        <w:rPr>
          <w:rFonts w:hint="eastAsia" w:ascii="宋体" w:hAnsi="宋体" w:cs="宋体"/>
          <w:color w:val="auto"/>
          <w:kern w:val="24"/>
          <w:highlight w:val="none"/>
        </w:rPr>
        <w:t>本公司（联合体）郑重声明，根据《政府采购促进中小企业发展管理办法》（财库﹝2020﹞46号）的规定，本公司（联合体）参加</w:t>
      </w:r>
      <w:r>
        <w:rPr>
          <w:rFonts w:hint="eastAsia" w:ascii="宋体" w:hAnsi="宋体" w:cs="宋体"/>
          <w:color w:val="auto"/>
          <w:kern w:val="24"/>
          <w:highlight w:val="none"/>
          <w:u w:val="single"/>
        </w:rPr>
        <w:t>（单位名称）</w:t>
      </w:r>
      <w:r>
        <w:rPr>
          <w:rFonts w:hint="eastAsia" w:ascii="宋体" w:hAnsi="宋体" w:cs="宋体"/>
          <w:color w:val="auto"/>
          <w:kern w:val="24"/>
          <w:highlight w:val="none"/>
        </w:rPr>
        <w:t>的</w:t>
      </w:r>
      <w:r>
        <w:rPr>
          <w:rFonts w:hint="eastAsia" w:ascii="宋体" w:hAnsi="宋体" w:cs="宋体"/>
          <w:color w:val="auto"/>
          <w:kern w:val="24"/>
          <w:highlight w:val="none"/>
          <w:u w:val="single"/>
        </w:rPr>
        <w:t>（项目名称）</w:t>
      </w:r>
      <w:r>
        <w:rPr>
          <w:rFonts w:hint="eastAsia" w:ascii="宋体" w:hAnsi="宋体" w:cs="宋体"/>
          <w:color w:val="auto"/>
          <w:kern w:val="24"/>
          <w:highlight w:val="none"/>
        </w:rPr>
        <w:t>采购活动，提供的货物全部由符合政策要求的中小企业制造。相关企业（含联合体中的中小企业、签订分包意向协议的中小企业）的具体情况如下：</w:t>
      </w:r>
    </w:p>
    <w:p w14:paraId="4A7DDCA3">
      <w:pPr>
        <w:tabs>
          <w:tab w:val="left" w:pos="1384"/>
          <w:tab w:val="left" w:pos="4562"/>
          <w:tab w:val="left" w:pos="6803"/>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1.</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7576C729">
      <w:pPr>
        <w:tabs>
          <w:tab w:val="left" w:pos="1065"/>
          <w:tab w:val="left" w:pos="6477"/>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2.</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46CE8121">
      <w:pPr>
        <w:pStyle w:val="18"/>
        <w:spacing w:line="360" w:lineRule="auto"/>
        <w:ind w:left="142" w:right="142"/>
        <w:contextualSpacing/>
        <w:rPr>
          <w:rFonts w:ascii="宋体" w:hAnsi="宋体" w:cs="宋体"/>
          <w:color w:val="auto"/>
          <w:kern w:val="24"/>
          <w:highlight w:val="none"/>
        </w:rPr>
      </w:pPr>
      <w:r>
        <w:rPr>
          <w:rFonts w:hint="eastAsia" w:ascii="宋体" w:hAnsi="宋体" w:cs="宋体"/>
          <w:color w:val="auto"/>
          <w:kern w:val="24"/>
          <w:highlight w:val="none"/>
        </w:rPr>
        <w:t xml:space="preserve">…… </w:t>
      </w:r>
    </w:p>
    <w:p w14:paraId="58CBB3AF">
      <w:pPr>
        <w:pStyle w:val="18"/>
        <w:spacing w:line="360" w:lineRule="auto"/>
        <w:ind w:left="-405" w:leftChars="-193" w:right="142" w:firstLine="453" w:firstLineChars="189"/>
        <w:contextualSpacing/>
        <w:rPr>
          <w:rFonts w:ascii="宋体" w:hAnsi="宋体" w:cs="宋体"/>
          <w:color w:val="auto"/>
          <w:kern w:val="24"/>
          <w:highlight w:val="none"/>
        </w:rPr>
      </w:pPr>
      <w:r>
        <w:rPr>
          <w:rFonts w:hint="eastAsia" w:ascii="宋体" w:hAnsi="宋体" w:cs="宋体"/>
          <w:color w:val="auto"/>
          <w:kern w:val="24"/>
          <w:highlight w:val="none"/>
        </w:rPr>
        <w:t>以上企业，不属于大企业的分支机构，不存在控股股东为大企业的情形，也不存在与大企业的负责人为同一人的情形。</w:t>
      </w:r>
    </w:p>
    <w:p w14:paraId="6045D6E3">
      <w:pPr>
        <w:pStyle w:val="18"/>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本企业对上述声明内容的真实性负责。如有虚假，将依法承担相应责任。</w:t>
      </w:r>
    </w:p>
    <w:p w14:paraId="155CC674">
      <w:pPr>
        <w:pStyle w:val="18"/>
        <w:spacing w:line="360" w:lineRule="auto"/>
        <w:ind w:left="3960" w:right="1808"/>
        <w:contextualSpacing/>
        <w:rPr>
          <w:rFonts w:ascii="宋体" w:hAnsi="宋体" w:cs="宋体"/>
          <w:color w:val="auto"/>
          <w:kern w:val="24"/>
          <w:highlight w:val="none"/>
        </w:rPr>
      </w:pPr>
    </w:p>
    <w:p w14:paraId="78106C4B">
      <w:pPr>
        <w:pStyle w:val="18"/>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 xml:space="preserve">企业名称（电子签章）： </w:t>
      </w:r>
    </w:p>
    <w:p w14:paraId="4E632E0A">
      <w:pPr>
        <w:pStyle w:val="18"/>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日期：</w:t>
      </w:r>
    </w:p>
    <w:p w14:paraId="19D660DE">
      <w:pPr>
        <w:pStyle w:val="18"/>
        <w:spacing w:line="360" w:lineRule="auto"/>
        <w:ind w:left="3960" w:right="1808"/>
        <w:contextualSpacing/>
        <w:rPr>
          <w:rFonts w:ascii="宋体" w:hAnsi="宋体" w:cs="宋体"/>
          <w:color w:val="auto"/>
          <w:kern w:val="24"/>
          <w:highlight w:val="none"/>
        </w:rPr>
      </w:pPr>
    </w:p>
    <w:p w14:paraId="175A4A05">
      <w:pPr>
        <w:pStyle w:val="18"/>
        <w:spacing w:line="360" w:lineRule="auto"/>
        <w:ind w:left="3960" w:right="1808"/>
        <w:contextualSpacing/>
        <w:rPr>
          <w:rFonts w:ascii="宋体" w:hAnsi="宋体" w:cs="宋体"/>
          <w:color w:val="auto"/>
          <w:kern w:val="24"/>
          <w:highlight w:val="none"/>
        </w:rPr>
      </w:pPr>
    </w:p>
    <w:p w14:paraId="55308B76">
      <w:pPr>
        <w:pStyle w:val="18"/>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注：享受《政府采购促进中小企业发展管理办法》（财库〔2020〕46号）规定的中小企业扶持政策的，采购人、采购代理机构应当随中标结果公开中标人的《中小企业声明函》。从业人员、营业收入、资产总额填报上一年度数据，无上一年度数据的新成立企业可不填报。</w:t>
      </w:r>
    </w:p>
    <w:p w14:paraId="339E3050">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3.残疾人福利性单位声明函格式</w:t>
      </w:r>
    </w:p>
    <w:p w14:paraId="598CD280">
      <w:pPr>
        <w:spacing w:line="588" w:lineRule="exact"/>
        <w:jc w:val="center"/>
        <w:rPr>
          <w:rFonts w:ascii="宋体" w:hAnsi="宋体" w:cs="宋体"/>
          <w:b/>
          <w:color w:val="auto"/>
          <w:spacing w:val="6"/>
          <w:sz w:val="32"/>
          <w:szCs w:val="32"/>
          <w:highlight w:val="none"/>
        </w:rPr>
      </w:pPr>
    </w:p>
    <w:p w14:paraId="5ABFF6DD">
      <w:pPr>
        <w:spacing w:line="588" w:lineRule="exact"/>
        <w:jc w:val="center"/>
        <w:rPr>
          <w:rFonts w:ascii="宋体" w:hAnsi="宋体" w:cs="宋体"/>
          <w:bCs/>
          <w:color w:val="auto"/>
          <w:spacing w:val="6"/>
          <w:sz w:val="44"/>
          <w:szCs w:val="44"/>
          <w:highlight w:val="none"/>
        </w:rPr>
      </w:pPr>
      <w:r>
        <w:rPr>
          <w:rFonts w:hint="eastAsia" w:ascii="宋体" w:hAnsi="宋体" w:cs="宋体"/>
          <w:bCs/>
          <w:color w:val="auto"/>
          <w:spacing w:val="6"/>
          <w:sz w:val="44"/>
          <w:szCs w:val="44"/>
          <w:highlight w:val="none"/>
        </w:rPr>
        <w:t>残疾人福利性单位声明函</w:t>
      </w:r>
    </w:p>
    <w:p w14:paraId="254C2462">
      <w:pPr>
        <w:spacing w:line="360" w:lineRule="auto"/>
        <w:contextualSpacing/>
        <w:rPr>
          <w:rFonts w:ascii="宋体" w:hAnsi="宋体" w:cs="宋体"/>
          <w:bCs/>
          <w:color w:val="auto"/>
          <w:spacing w:val="6"/>
          <w:sz w:val="30"/>
          <w:szCs w:val="30"/>
          <w:highlight w:val="none"/>
        </w:rPr>
      </w:pPr>
    </w:p>
    <w:p w14:paraId="29CB650A">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highlight w:val="none"/>
        </w:rPr>
        <w:t>疾人福利性单位制造的货物（不包括使用非残疾人福利性单位注册商标的货物）。</w:t>
      </w:r>
    </w:p>
    <w:p w14:paraId="4BABE1D7">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1D955728">
      <w:pPr>
        <w:spacing w:line="360" w:lineRule="auto"/>
        <w:ind w:firstLine="504" w:firstLineChars="200"/>
        <w:contextualSpacing/>
        <w:rPr>
          <w:rFonts w:ascii="宋体" w:hAnsi="宋体" w:cs="宋体"/>
          <w:color w:val="auto"/>
          <w:spacing w:val="6"/>
          <w:sz w:val="24"/>
          <w:highlight w:val="none"/>
        </w:rPr>
      </w:pPr>
    </w:p>
    <w:p w14:paraId="001D1D55">
      <w:pPr>
        <w:spacing w:line="360" w:lineRule="auto"/>
        <w:ind w:firstLine="504" w:firstLineChars="200"/>
        <w:contextualSpacing/>
        <w:rPr>
          <w:rFonts w:ascii="宋体" w:hAnsi="宋体" w:cs="宋体"/>
          <w:color w:val="auto"/>
          <w:spacing w:val="6"/>
          <w:sz w:val="24"/>
          <w:highlight w:val="none"/>
        </w:rPr>
      </w:pPr>
    </w:p>
    <w:p w14:paraId="4CAF790A">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单位名称（电子签章）：</w:t>
      </w:r>
    </w:p>
    <w:p w14:paraId="3522EEE1">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16F628E7">
      <w:pPr>
        <w:spacing w:line="360" w:lineRule="auto"/>
        <w:contextualSpacing/>
        <w:rPr>
          <w:rFonts w:ascii="宋体" w:hAnsi="宋体" w:cs="宋体"/>
          <w:color w:val="auto"/>
          <w:sz w:val="24"/>
          <w:highlight w:val="none"/>
        </w:rPr>
      </w:pPr>
    </w:p>
    <w:p w14:paraId="287C1862">
      <w:pPr>
        <w:spacing w:line="360" w:lineRule="auto"/>
        <w:contextualSpacing/>
        <w:rPr>
          <w:rFonts w:ascii="宋体" w:hAnsi="宋体" w:cs="宋体"/>
          <w:color w:val="auto"/>
          <w:sz w:val="24"/>
          <w:highlight w:val="none"/>
        </w:rPr>
      </w:pPr>
    </w:p>
    <w:p w14:paraId="272942BB">
      <w:pPr>
        <w:spacing w:line="360" w:lineRule="auto"/>
        <w:contextualSpacing/>
        <w:rPr>
          <w:rFonts w:ascii="宋体" w:hAnsi="宋体" w:cs="宋体"/>
          <w:color w:val="auto"/>
          <w:sz w:val="24"/>
          <w:highlight w:val="none"/>
        </w:rPr>
      </w:pPr>
    </w:p>
    <w:p w14:paraId="0096B5F4">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334DBCA8">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4.质疑函（格式）</w:t>
      </w:r>
    </w:p>
    <w:p w14:paraId="35776CCD">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质疑函（格式）</w:t>
      </w:r>
    </w:p>
    <w:p w14:paraId="110FDE3E">
      <w:pPr>
        <w:pStyle w:val="24"/>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69DEE98E">
      <w:pPr>
        <w:pStyle w:val="2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color w:val="auto"/>
          <w:sz w:val="24"/>
          <w:szCs w:val="24"/>
          <w:highlight w:val="none"/>
          <w:u w:val="single"/>
        </w:rPr>
        <w:t>　　　　　</w:t>
      </w:r>
    </w:p>
    <w:p w14:paraId="34CC89EC">
      <w:pPr>
        <w:pStyle w:val="2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041683D3">
      <w:pPr>
        <w:pStyle w:val="2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5DE3E643">
      <w:pPr>
        <w:pStyle w:val="2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color w:val="auto"/>
          <w:sz w:val="24"/>
          <w:szCs w:val="24"/>
          <w:highlight w:val="none"/>
          <w:u w:val="single"/>
        </w:rPr>
        <w:t>　　　　　</w:t>
      </w:r>
    </w:p>
    <w:p w14:paraId="25EBEF8C">
      <w:pPr>
        <w:pStyle w:val="2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25DFCB25">
      <w:pPr>
        <w:pStyle w:val="2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3C31DC6E">
      <w:pPr>
        <w:pStyle w:val="24"/>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3B2523A6">
      <w:pPr>
        <w:pStyle w:val="2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color w:val="auto"/>
          <w:sz w:val="24"/>
          <w:szCs w:val="24"/>
          <w:highlight w:val="none"/>
          <w:u w:val="single"/>
        </w:rPr>
        <w:t>　　　　　</w:t>
      </w:r>
    </w:p>
    <w:p w14:paraId="0CD8359D">
      <w:pPr>
        <w:pStyle w:val="2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color w:val="auto"/>
          <w:sz w:val="24"/>
          <w:szCs w:val="24"/>
          <w:highlight w:val="none"/>
          <w:u w:val="single"/>
        </w:rPr>
        <w:t>　　　　　</w:t>
      </w:r>
    </w:p>
    <w:p w14:paraId="0DE13C04">
      <w:pPr>
        <w:pStyle w:val="2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color w:val="auto"/>
          <w:sz w:val="24"/>
          <w:szCs w:val="24"/>
          <w:highlight w:val="none"/>
          <w:u w:val="single"/>
        </w:rPr>
        <w:t>　　　　　</w:t>
      </w:r>
    </w:p>
    <w:p w14:paraId="55E9E49F">
      <w:pPr>
        <w:pStyle w:val="2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w:t>
      </w:r>
      <w:r>
        <w:rPr>
          <w:rFonts w:hint="eastAsia" w:hAnsi="宋体" w:cs="宋体"/>
          <w:color w:val="auto"/>
          <w:sz w:val="24"/>
          <w:szCs w:val="24"/>
          <w:highlight w:val="none"/>
          <w:u w:val="single"/>
        </w:rPr>
        <w:t>　　　　　</w:t>
      </w:r>
    </w:p>
    <w:p w14:paraId="28974468">
      <w:pPr>
        <w:pStyle w:val="24"/>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□采购文件   采购文件获取日期：</w:t>
      </w:r>
    </w:p>
    <w:p w14:paraId="72C817E7">
      <w:pPr>
        <w:pStyle w:val="24"/>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 xml:space="preserve">□采购过程   </w:t>
      </w:r>
    </w:p>
    <w:p w14:paraId="1E1367AD">
      <w:pPr>
        <w:pStyle w:val="24"/>
        <w:spacing w:line="360" w:lineRule="auto"/>
        <w:ind w:left="25" w:leftChars="12" w:firstLine="352" w:firstLineChars="147"/>
        <w:rPr>
          <w:rFonts w:hAnsi="宋体" w:cs="宋体"/>
          <w:bCs/>
          <w:color w:val="auto"/>
          <w:sz w:val="24"/>
          <w:szCs w:val="24"/>
          <w:highlight w:val="none"/>
          <w:u w:val="single"/>
        </w:rPr>
      </w:pPr>
      <w:r>
        <w:rPr>
          <w:rFonts w:hint="eastAsia" w:hAnsi="宋体" w:cs="宋体"/>
          <w:color w:val="auto"/>
          <w:sz w:val="24"/>
          <w:szCs w:val="24"/>
          <w:highlight w:val="none"/>
        </w:rPr>
        <w:t xml:space="preserve">□采购结果   </w:t>
      </w:r>
    </w:p>
    <w:p w14:paraId="55C6A8A8">
      <w:pPr>
        <w:pStyle w:val="24"/>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03A79E48">
      <w:pPr>
        <w:pStyle w:val="2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质疑事项1：</w:t>
      </w:r>
    </w:p>
    <w:p w14:paraId="082D6BEC">
      <w:pPr>
        <w:pStyle w:val="2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事实依据：</w:t>
      </w:r>
    </w:p>
    <w:p w14:paraId="6164F814">
      <w:pPr>
        <w:pStyle w:val="2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法律依据：</w:t>
      </w:r>
    </w:p>
    <w:p w14:paraId="27A17943">
      <w:pPr>
        <w:pStyle w:val="2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质疑事项2</w:t>
      </w:r>
    </w:p>
    <w:p w14:paraId="60CBE8D3">
      <w:pPr>
        <w:pStyle w:val="2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w:t>
      </w:r>
    </w:p>
    <w:p w14:paraId="331A7C04">
      <w:pPr>
        <w:pStyle w:val="2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41A1DD4F">
      <w:pPr>
        <w:pStyle w:val="2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p>
    <w:p w14:paraId="74139ECE">
      <w:pPr>
        <w:pStyle w:val="24"/>
        <w:spacing w:line="360" w:lineRule="auto"/>
        <w:ind w:left="25" w:leftChars="12" w:firstLine="352" w:firstLineChars="147"/>
        <w:rPr>
          <w:rFonts w:hAnsi="宋体" w:cs="宋体"/>
          <w:color w:val="auto"/>
          <w:sz w:val="24"/>
          <w:szCs w:val="24"/>
          <w:highlight w:val="none"/>
        </w:rPr>
      </w:pPr>
    </w:p>
    <w:p w14:paraId="5694A7CA">
      <w:pPr>
        <w:pStyle w:val="2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0DD90179">
      <w:pPr>
        <w:pStyle w:val="24"/>
        <w:spacing w:line="360" w:lineRule="auto"/>
        <w:ind w:left="25" w:leftChars="12" w:firstLine="352" w:firstLineChars="147"/>
        <w:rPr>
          <w:rFonts w:hAnsi="宋体" w:cs="宋体"/>
          <w:color w:val="auto"/>
          <w:sz w:val="24"/>
          <w:szCs w:val="24"/>
          <w:highlight w:val="none"/>
        </w:rPr>
      </w:pPr>
    </w:p>
    <w:p w14:paraId="69AF1EF3">
      <w:pPr>
        <w:pStyle w:val="2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00A9BDEF">
      <w:pPr>
        <w:pStyle w:val="24"/>
        <w:snapToGrid w:val="0"/>
        <w:spacing w:line="360" w:lineRule="auto"/>
        <w:rPr>
          <w:rFonts w:hAnsi="宋体" w:cs="宋体"/>
          <w:b/>
          <w:color w:val="auto"/>
          <w:sz w:val="24"/>
          <w:szCs w:val="24"/>
          <w:highlight w:val="none"/>
        </w:rPr>
      </w:pPr>
    </w:p>
    <w:p w14:paraId="4C87984E">
      <w:pPr>
        <w:pStyle w:val="2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405F1358">
      <w:pPr>
        <w:pStyle w:val="24"/>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7FC744D1">
      <w:pPr>
        <w:pStyle w:val="2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EEEC633">
      <w:pPr>
        <w:pStyle w:val="2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4930B90A">
      <w:pPr>
        <w:pStyle w:val="2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497C1BC1">
      <w:pPr>
        <w:pStyle w:val="24"/>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085C986F">
      <w:pPr>
        <w:pStyle w:val="24"/>
        <w:snapToGrid w:val="0"/>
        <w:rPr>
          <w:rFonts w:hAnsi="宋体" w:cs="宋体"/>
          <w:b/>
          <w:color w:val="auto"/>
          <w:sz w:val="24"/>
          <w:szCs w:val="24"/>
          <w:highlight w:val="none"/>
        </w:rPr>
      </w:pPr>
    </w:p>
    <w:p w14:paraId="32E681A8">
      <w:pPr>
        <w:spacing w:line="360" w:lineRule="auto"/>
        <w:jc w:val="left"/>
        <w:rPr>
          <w:rFonts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color w:val="auto"/>
          <w:sz w:val="24"/>
          <w:highlight w:val="none"/>
        </w:rPr>
        <w:t>5.投诉书（格式）</w:t>
      </w:r>
    </w:p>
    <w:p w14:paraId="2B7319FA">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投诉书（格式）</w:t>
      </w:r>
    </w:p>
    <w:p w14:paraId="1C1E678D">
      <w:pPr>
        <w:pStyle w:val="24"/>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6E4E5A93">
      <w:pPr>
        <w:pStyle w:val="24"/>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投标人：</w:t>
      </w:r>
      <w:r>
        <w:rPr>
          <w:rFonts w:hint="eastAsia" w:hAnsi="宋体" w:cs="宋体"/>
          <w:color w:val="auto"/>
          <w:sz w:val="24"/>
          <w:szCs w:val="24"/>
          <w:highlight w:val="none"/>
          <w:u w:val="single"/>
        </w:rPr>
        <w:t>　　　　　</w:t>
      </w:r>
    </w:p>
    <w:p w14:paraId="1D87F521">
      <w:pPr>
        <w:pStyle w:val="24"/>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7B69B1D4">
      <w:pPr>
        <w:pStyle w:val="24"/>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color w:val="auto"/>
          <w:sz w:val="24"/>
          <w:szCs w:val="24"/>
          <w:highlight w:val="none"/>
          <w:u w:val="single"/>
        </w:rPr>
        <w:t>　　　　　</w:t>
      </w:r>
    </w:p>
    <w:p w14:paraId="5605EC16">
      <w:pPr>
        <w:pStyle w:val="24"/>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481351CA">
      <w:pPr>
        <w:pStyle w:val="24"/>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28564386">
      <w:pPr>
        <w:pStyle w:val="24"/>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p>
    <w:p w14:paraId="0B1545A2">
      <w:pPr>
        <w:pStyle w:val="24"/>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41985762">
      <w:pPr>
        <w:pStyle w:val="24"/>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被投诉人1：</w:t>
      </w:r>
      <w:r>
        <w:rPr>
          <w:rFonts w:hint="eastAsia" w:hAnsi="宋体" w:cs="宋体"/>
          <w:color w:val="auto"/>
          <w:sz w:val="24"/>
          <w:szCs w:val="24"/>
          <w:highlight w:val="none"/>
          <w:u w:val="single"/>
        </w:rPr>
        <w:t>　　　　　</w:t>
      </w:r>
    </w:p>
    <w:p w14:paraId="076CFD4F">
      <w:pPr>
        <w:pStyle w:val="24"/>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p>
    <w:p w14:paraId="269082B0">
      <w:pPr>
        <w:pStyle w:val="24"/>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26D9D663">
      <w:pPr>
        <w:pStyle w:val="24"/>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3E30A0FB">
      <w:pPr>
        <w:pStyle w:val="24"/>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被投诉人2：</w:t>
      </w:r>
      <w:r>
        <w:rPr>
          <w:rFonts w:hint="eastAsia" w:hAnsi="宋体" w:cs="宋体"/>
          <w:color w:val="auto"/>
          <w:sz w:val="24"/>
          <w:szCs w:val="24"/>
          <w:highlight w:val="none"/>
          <w:u w:val="single"/>
        </w:rPr>
        <w:t>　　　　　</w:t>
      </w:r>
    </w:p>
    <w:p w14:paraId="57DEDC52">
      <w:pPr>
        <w:pStyle w:val="24"/>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w:t>
      </w:r>
    </w:p>
    <w:p w14:paraId="7AD63BFE">
      <w:pPr>
        <w:pStyle w:val="24"/>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color w:val="auto"/>
          <w:sz w:val="24"/>
          <w:szCs w:val="24"/>
          <w:highlight w:val="none"/>
          <w:u w:val="single"/>
        </w:rPr>
        <w:t>　　　　　</w:t>
      </w:r>
    </w:p>
    <w:p w14:paraId="0A12EE02">
      <w:pPr>
        <w:pStyle w:val="24"/>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55C84019">
      <w:pPr>
        <w:pStyle w:val="24"/>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15C45E61">
      <w:pPr>
        <w:pStyle w:val="24"/>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37E51285">
      <w:pPr>
        <w:pStyle w:val="2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color w:val="auto"/>
          <w:sz w:val="24"/>
          <w:szCs w:val="24"/>
          <w:highlight w:val="none"/>
          <w:u w:val="single"/>
        </w:rPr>
        <w:t>　　　　　</w:t>
      </w:r>
    </w:p>
    <w:p w14:paraId="2C5F974E">
      <w:pPr>
        <w:pStyle w:val="2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color w:val="auto"/>
          <w:sz w:val="24"/>
          <w:szCs w:val="24"/>
          <w:highlight w:val="none"/>
          <w:u w:val="single"/>
        </w:rPr>
        <w:t>　　　　　</w:t>
      </w:r>
    </w:p>
    <w:p w14:paraId="4C243C65">
      <w:pPr>
        <w:pStyle w:val="24"/>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color w:val="auto"/>
          <w:sz w:val="24"/>
          <w:szCs w:val="24"/>
          <w:highlight w:val="none"/>
          <w:u w:val="single"/>
        </w:rPr>
        <w:t>　　　　　</w:t>
      </w:r>
    </w:p>
    <w:p w14:paraId="2FF9CB35">
      <w:pPr>
        <w:pStyle w:val="24"/>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color w:val="auto"/>
          <w:sz w:val="24"/>
          <w:szCs w:val="24"/>
          <w:highlight w:val="none"/>
          <w:u w:val="single"/>
        </w:rPr>
        <w:t>　　　　　</w:t>
      </w:r>
    </w:p>
    <w:p w14:paraId="2F8A425C">
      <w:pPr>
        <w:pStyle w:val="24"/>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采购文件公告：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 xml:space="preserve">      公告期限：</w:t>
      </w:r>
    </w:p>
    <w:p w14:paraId="1B893AC3">
      <w:pPr>
        <w:pStyle w:val="24"/>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 xml:space="preserve">是/否 </w:t>
      </w:r>
      <w:r>
        <w:rPr>
          <w:rFonts w:hint="eastAsia" w:hAnsi="宋体" w:cs="宋体"/>
          <w:bCs/>
          <w:color w:val="auto"/>
          <w:sz w:val="24"/>
          <w:szCs w:val="24"/>
          <w:highlight w:val="none"/>
        </w:rPr>
        <w:t xml:space="preserve">     公告期限：</w:t>
      </w:r>
    </w:p>
    <w:p w14:paraId="3289747F">
      <w:pPr>
        <w:pStyle w:val="24"/>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6BE19CC4">
      <w:pPr>
        <w:pStyle w:val="24"/>
        <w:spacing w:line="360" w:lineRule="auto"/>
        <w:ind w:left="25" w:leftChars="12" w:firstLine="480" w:firstLineChars="200"/>
        <w:rPr>
          <w:rFonts w:hAnsi="宋体" w:cs="宋体"/>
          <w:color w:val="auto"/>
          <w:sz w:val="24"/>
          <w:szCs w:val="24"/>
          <w:highlight w:val="none"/>
        </w:rPr>
      </w:pPr>
      <w:r>
        <w:rPr>
          <w:rFonts w:hint="eastAsia" w:hAnsi="宋体" w:cs="宋体"/>
          <w:color w:val="auto"/>
          <w:sz w:val="24"/>
          <w:szCs w:val="24"/>
          <w:highlight w:val="none"/>
        </w:rPr>
        <w:t>投诉人于年月日，向提出质疑，质疑事项为：</w:t>
      </w:r>
    </w:p>
    <w:p w14:paraId="4236D763">
      <w:pPr>
        <w:pStyle w:val="24"/>
        <w:spacing w:line="360" w:lineRule="auto"/>
        <w:ind w:firstLine="241"/>
        <w:rPr>
          <w:rFonts w:hAnsi="宋体" w:cs="宋体"/>
          <w:bCs/>
          <w:color w:val="auto"/>
          <w:sz w:val="24"/>
          <w:szCs w:val="24"/>
          <w:highlight w:val="none"/>
          <w:u w:val="single"/>
        </w:rPr>
      </w:pPr>
    </w:p>
    <w:p w14:paraId="6AC19BAE">
      <w:pPr>
        <w:pStyle w:val="24"/>
        <w:spacing w:line="360" w:lineRule="auto"/>
        <w:ind w:firstLine="241"/>
        <w:rPr>
          <w:rFonts w:hAnsi="宋体" w:cs="宋体"/>
          <w:bCs/>
          <w:color w:val="auto"/>
          <w:sz w:val="24"/>
          <w:szCs w:val="24"/>
          <w:highlight w:val="none"/>
          <w:u w:val="single"/>
        </w:rPr>
      </w:pPr>
    </w:p>
    <w:p w14:paraId="6082296F">
      <w:pPr>
        <w:pStyle w:val="24"/>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rPr>
        <w:t>年月日，</w:t>
      </w:r>
      <w:r>
        <w:rPr>
          <w:rFonts w:hint="eastAsia" w:hAnsi="宋体" w:cs="宋体"/>
          <w:bCs/>
          <w:color w:val="auto"/>
          <w:sz w:val="24"/>
          <w:szCs w:val="24"/>
          <w:highlight w:val="none"/>
        </w:rPr>
        <w:t xml:space="preserve">就质疑事项作出了答复/没有在法定期限内作出答复。                                                                                             </w:t>
      </w:r>
    </w:p>
    <w:p w14:paraId="24B0960B">
      <w:pPr>
        <w:pStyle w:val="24"/>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2AEBB196">
      <w:pPr>
        <w:pStyle w:val="24"/>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p>
    <w:p w14:paraId="10E5D7AD">
      <w:pPr>
        <w:pStyle w:val="24"/>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p>
    <w:p w14:paraId="082904C8">
      <w:pPr>
        <w:pStyle w:val="24"/>
        <w:spacing w:line="360" w:lineRule="auto"/>
        <w:ind w:left="25" w:leftChars="12" w:firstLine="472" w:firstLineChars="197"/>
        <w:rPr>
          <w:rFonts w:hAnsi="宋体" w:cs="宋体"/>
          <w:color w:val="auto"/>
          <w:sz w:val="24"/>
          <w:szCs w:val="24"/>
          <w:highlight w:val="none"/>
        </w:rPr>
      </w:pPr>
    </w:p>
    <w:p w14:paraId="06F2F22C">
      <w:pPr>
        <w:pStyle w:val="24"/>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p>
    <w:p w14:paraId="75809359">
      <w:pPr>
        <w:pStyle w:val="24"/>
        <w:spacing w:line="360" w:lineRule="auto"/>
        <w:ind w:left="25" w:leftChars="12" w:firstLine="352" w:firstLineChars="147"/>
        <w:rPr>
          <w:rFonts w:hAnsi="宋体" w:cs="宋体"/>
          <w:bCs/>
          <w:color w:val="auto"/>
          <w:sz w:val="24"/>
          <w:szCs w:val="24"/>
          <w:highlight w:val="none"/>
          <w:u w:val="single"/>
        </w:rPr>
      </w:pPr>
    </w:p>
    <w:p w14:paraId="322F9C76">
      <w:pPr>
        <w:pStyle w:val="24"/>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p>
    <w:p w14:paraId="4C7272E1">
      <w:pPr>
        <w:pStyle w:val="24"/>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7C421BF5">
      <w:pPr>
        <w:pStyle w:val="24"/>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794A32F8">
      <w:pPr>
        <w:pStyle w:val="2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p>
    <w:p w14:paraId="07FF0EF4">
      <w:pPr>
        <w:pStyle w:val="24"/>
        <w:spacing w:line="360" w:lineRule="auto"/>
        <w:ind w:left="25" w:leftChars="12" w:firstLine="352" w:firstLineChars="147"/>
        <w:rPr>
          <w:rFonts w:hAnsi="宋体" w:cs="宋体"/>
          <w:color w:val="auto"/>
          <w:sz w:val="24"/>
          <w:szCs w:val="24"/>
          <w:highlight w:val="none"/>
        </w:rPr>
      </w:pPr>
    </w:p>
    <w:p w14:paraId="28A7767B">
      <w:pPr>
        <w:pStyle w:val="2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4FE12E54">
      <w:pPr>
        <w:pStyle w:val="24"/>
        <w:spacing w:line="360" w:lineRule="auto"/>
        <w:ind w:left="25" w:leftChars="12" w:firstLine="352" w:firstLineChars="147"/>
        <w:rPr>
          <w:rFonts w:hAnsi="宋体" w:cs="宋体"/>
          <w:color w:val="auto"/>
          <w:sz w:val="24"/>
          <w:szCs w:val="24"/>
          <w:highlight w:val="none"/>
        </w:rPr>
      </w:pPr>
    </w:p>
    <w:p w14:paraId="2C05C90A">
      <w:pPr>
        <w:pStyle w:val="2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4333088F">
      <w:pPr>
        <w:pStyle w:val="24"/>
        <w:spacing w:line="360" w:lineRule="auto"/>
        <w:ind w:left="25" w:leftChars="12"/>
        <w:rPr>
          <w:rFonts w:hAnsi="宋体" w:cs="宋体"/>
          <w:b/>
          <w:color w:val="auto"/>
          <w:sz w:val="24"/>
          <w:szCs w:val="24"/>
          <w:highlight w:val="none"/>
        </w:rPr>
      </w:pPr>
      <w:r>
        <w:rPr>
          <w:rFonts w:hint="eastAsia" w:hAnsi="宋体" w:cs="宋体"/>
          <w:b/>
          <w:color w:val="auto"/>
          <w:sz w:val="24"/>
          <w:szCs w:val="24"/>
          <w:highlight w:val="none"/>
        </w:rPr>
        <w:t>说明：</w:t>
      </w:r>
    </w:p>
    <w:p w14:paraId="7B426B19">
      <w:pPr>
        <w:pStyle w:val="24"/>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4F70A18D">
      <w:pPr>
        <w:pStyle w:val="2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7D91208">
      <w:pPr>
        <w:pStyle w:val="2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4E53D746">
      <w:pPr>
        <w:pStyle w:val="2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461CB69C">
      <w:pPr>
        <w:pStyle w:val="2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3B8690C1">
      <w:pPr>
        <w:pStyle w:val="24"/>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902BC">
    <w:pPr>
      <w:pStyle w:val="30"/>
      <w:jc w:val="center"/>
    </w:pPr>
    <w:r>
      <w:fldChar w:fldCharType="begin"/>
    </w:r>
    <w:r>
      <w:instrText xml:space="preserve"> PAGE   \* MERGEFORMAT </w:instrText>
    </w:r>
    <w:r>
      <w:fldChar w:fldCharType="separate"/>
    </w:r>
    <w:r>
      <w:rPr>
        <w:lang w:val="zh-CN"/>
      </w:rPr>
      <w:t>77</w:t>
    </w:r>
    <w:r>
      <w:rPr>
        <w:lang w:val="zh-CN"/>
      </w:rPr>
      <w:fldChar w:fldCharType="end"/>
    </w:r>
  </w:p>
  <w:p w14:paraId="025C2FEE">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D635B">
    <w:pPr>
      <w:pStyle w:val="30"/>
      <w:framePr w:wrap="around" w:vAnchor="text" w:hAnchor="margin" w:xAlign="center" w:y="1"/>
      <w:rPr>
        <w:rStyle w:val="52"/>
      </w:rPr>
    </w:pPr>
    <w:r>
      <w:fldChar w:fldCharType="begin"/>
    </w:r>
    <w:r>
      <w:rPr>
        <w:rStyle w:val="52"/>
      </w:rPr>
      <w:instrText xml:space="preserve">PAGE  </w:instrText>
    </w:r>
    <w:r>
      <w:fldChar w:fldCharType="end"/>
    </w:r>
  </w:p>
  <w:p w14:paraId="1C4CD30B">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D4D9">
    <w:pPr>
      <w:pStyle w:val="30"/>
      <w:jc w:val="center"/>
    </w:pPr>
    <w:r>
      <w:fldChar w:fldCharType="begin"/>
    </w:r>
    <w:r>
      <w:instrText xml:space="preserve">PAGE   \* MERGEFORMAT</w:instrText>
    </w:r>
    <w:r>
      <w:fldChar w:fldCharType="separate"/>
    </w:r>
    <w:r>
      <w:rPr>
        <w:lang w:val="zh-CN"/>
      </w:rPr>
      <w:t>0</w:t>
    </w:r>
    <w:r>
      <w:rPr>
        <w:lang w:val="zh-CN"/>
      </w:rPr>
      <w:fldChar w:fldCharType="end"/>
    </w:r>
  </w:p>
  <w:p w14:paraId="46D47B72">
    <w:pPr>
      <w:pStyle w:val="30"/>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3DD7C">
    <w:pPr>
      <w:pStyle w:val="30"/>
      <w:jc w:val="center"/>
    </w:pPr>
    <w:r>
      <w:fldChar w:fldCharType="begin"/>
    </w:r>
    <w:r>
      <w:instrText xml:space="preserve"> PAGE   \* MERGEFORMAT </w:instrText>
    </w:r>
    <w:r>
      <w:fldChar w:fldCharType="separate"/>
    </w:r>
    <w:r>
      <w:rPr>
        <w:lang w:val="zh-CN"/>
      </w:rPr>
      <w:t>114</w:t>
    </w:r>
    <w:r>
      <w:rPr>
        <w:lang w:val="zh-CN"/>
      </w:rPr>
      <w:fldChar w:fldCharType="end"/>
    </w:r>
  </w:p>
  <w:p w14:paraId="098F2BEE">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10FF">
    <w:pPr>
      <w:pStyle w:val="30"/>
      <w:framePr w:wrap="around" w:vAnchor="text" w:hAnchor="margin" w:xAlign="center" w:y="1"/>
      <w:rPr>
        <w:rStyle w:val="52"/>
      </w:rPr>
    </w:pPr>
    <w:r>
      <w:fldChar w:fldCharType="begin"/>
    </w:r>
    <w:r>
      <w:rPr>
        <w:rStyle w:val="52"/>
      </w:rPr>
      <w:instrText xml:space="preserve">PAGE  </w:instrText>
    </w:r>
    <w:r>
      <w:fldChar w:fldCharType="end"/>
    </w:r>
  </w:p>
  <w:p w14:paraId="16C67464">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A899E">
    <w:pPr>
      <w:pStyle w:val="30"/>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3B3BE">
    <w:pPr>
      <w:pStyle w:val="32"/>
      <w:pBdr>
        <w:bottom w:val="none" w:color="auto" w:sz="0" w:space="0"/>
      </w:pBdr>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6230" cy="4782185"/>
          <wp:effectExtent l="0" t="0" r="13970" b="18415"/>
          <wp:wrapNone/>
          <wp:docPr id="4" name="WordPictureWatermark96546633"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96546633"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B0A7E">
    <w:pPr>
      <w:pStyle w:val="32"/>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6230" cy="4782185"/>
          <wp:effectExtent l="0" t="0" r="13970" b="18415"/>
          <wp:wrapNone/>
          <wp:docPr id="3" name="WordPictureWatermark96546632"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96546632"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FE1A6">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6230" cy="4782185"/>
          <wp:effectExtent l="0" t="0" r="13970" b="18415"/>
          <wp:wrapNone/>
          <wp:docPr id="1" name="WordPictureWatermark96546631"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96546631"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E2E73">
    <w:pPr>
      <w:pStyle w:val="32"/>
      <w:pBdr>
        <w:bottom w:val="none" w:color="auto" w:sz="0" w:space="0"/>
      </w:pBdr>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396230" cy="4782185"/>
          <wp:effectExtent l="0" t="0" r="13970" b="18415"/>
          <wp:wrapNone/>
          <wp:docPr id="7" name="WordPictureWatermark96546636"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96546636"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BE27A">
    <w:pPr>
      <w:pStyle w:val="32"/>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6230" cy="4782185"/>
          <wp:effectExtent l="0" t="0" r="13970" b="18415"/>
          <wp:wrapNone/>
          <wp:docPr id="6" name="WordPictureWatermark96546635"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96546635"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B7B17">
    <w:pPr>
      <w:pStyle w:val="32"/>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6230" cy="4782185"/>
          <wp:effectExtent l="0" t="0" r="13970" b="18415"/>
          <wp:wrapNone/>
          <wp:docPr id="5" name="WordPictureWatermark96546634"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96546634"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D9CE032"/>
    <w:multiLevelType w:val="singleLevel"/>
    <w:tmpl w:val="5D9CE032"/>
    <w:lvl w:ilvl="0" w:tentative="0">
      <w:start w:val="1"/>
      <w:numFmt w:val="chineseCounting"/>
      <w:suff w:val="nothing"/>
      <w:lvlText w:val="第%1条　"/>
      <w:lvlJc w:val="left"/>
      <w:rPr>
        <w:rFonts w:hint="eastAsia"/>
      </w:rPr>
    </w:lvl>
  </w:abstractNum>
  <w:abstractNum w:abstractNumId="4">
    <w:nsid w:val="5FABD14B"/>
    <w:multiLevelType w:val="singleLevel"/>
    <w:tmpl w:val="5FABD14B"/>
    <w:lvl w:ilvl="0" w:tentative="0">
      <w:start w:val="1"/>
      <w:numFmt w:val="decimal"/>
      <w:suff w:val="nothing"/>
      <w:lvlText w:val="（%1）"/>
      <w:lvlJc w:val="left"/>
    </w:lvl>
  </w:abstractNum>
  <w:abstractNum w:abstractNumId="5">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6">
    <w:nsid w:val="7E66D773"/>
    <w:multiLevelType w:val="singleLevel"/>
    <w:tmpl w:val="7E66D773"/>
    <w:lvl w:ilvl="0" w:tentative="0">
      <w:start w:val="1"/>
      <w:numFmt w:val="decimal"/>
      <w:lvlText w:val="%1."/>
      <w:lvlJc w:val="left"/>
      <w:pPr>
        <w:tabs>
          <w:tab w:val="left" w:pos="312"/>
        </w:tabs>
      </w:pPr>
    </w:lvl>
  </w:abstractNum>
  <w:num w:numId="1">
    <w:abstractNumId w:val="1"/>
  </w:num>
  <w:num w:numId="2">
    <w:abstractNumId w:val="0"/>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cyODMxYTE0ZTc0ZGU3Y2QwODc3MzYzN2Q1YmNiM2EifQ=="/>
  </w:docVars>
  <w:rsids>
    <w:rsidRoot w:val="00020F00"/>
    <w:rsid w:val="0000085D"/>
    <w:rsid w:val="00006992"/>
    <w:rsid w:val="00010DCE"/>
    <w:rsid w:val="0001215A"/>
    <w:rsid w:val="000132CA"/>
    <w:rsid w:val="00015B66"/>
    <w:rsid w:val="00015FCE"/>
    <w:rsid w:val="00020F00"/>
    <w:rsid w:val="00021F25"/>
    <w:rsid w:val="00023308"/>
    <w:rsid w:val="00027DBC"/>
    <w:rsid w:val="0003133C"/>
    <w:rsid w:val="000327B8"/>
    <w:rsid w:val="00033446"/>
    <w:rsid w:val="00033B41"/>
    <w:rsid w:val="00034752"/>
    <w:rsid w:val="000353E4"/>
    <w:rsid w:val="00035989"/>
    <w:rsid w:val="00036B9E"/>
    <w:rsid w:val="00040F42"/>
    <w:rsid w:val="00041E6B"/>
    <w:rsid w:val="00044A6B"/>
    <w:rsid w:val="00047682"/>
    <w:rsid w:val="00050200"/>
    <w:rsid w:val="0005021C"/>
    <w:rsid w:val="0005070D"/>
    <w:rsid w:val="000514D1"/>
    <w:rsid w:val="000528BD"/>
    <w:rsid w:val="00052CC8"/>
    <w:rsid w:val="00056C35"/>
    <w:rsid w:val="000574F6"/>
    <w:rsid w:val="000579FA"/>
    <w:rsid w:val="00060307"/>
    <w:rsid w:val="00063225"/>
    <w:rsid w:val="00063BFA"/>
    <w:rsid w:val="00070C84"/>
    <w:rsid w:val="00071E99"/>
    <w:rsid w:val="00072814"/>
    <w:rsid w:val="00072ABD"/>
    <w:rsid w:val="00080927"/>
    <w:rsid w:val="00087BFC"/>
    <w:rsid w:val="00087E08"/>
    <w:rsid w:val="00091E6C"/>
    <w:rsid w:val="00093253"/>
    <w:rsid w:val="00094BEA"/>
    <w:rsid w:val="00095FB5"/>
    <w:rsid w:val="000A0961"/>
    <w:rsid w:val="000A1E59"/>
    <w:rsid w:val="000A5B6E"/>
    <w:rsid w:val="000A63DC"/>
    <w:rsid w:val="000A69FD"/>
    <w:rsid w:val="000A7BFF"/>
    <w:rsid w:val="000C277E"/>
    <w:rsid w:val="000C2C36"/>
    <w:rsid w:val="000C4440"/>
    <w:rsid w:val="000C75D7"/>
    <w:rsid w:val="000D0251"/>
    <w:rsid w:val="000D48B9"/>
    <w:rsid w:val="000D5418"/>
    <w:rsid w:val="000D6326"/>
    <w:rsid w:val="000E02D5"/>
    <w:rsid w:val="000E098F"/>
    <w:rsid w:val="000E1703"/>
    <w:rsid w:val="000E177C"/>
    <w:rsid w:val="000E3E97"/>
    <w:rsid w:val="000E4D51"/>
    <w:rsid w:val="000E5771"/>
    <w:rsid w:val="000E61A4"/>
    <w:rsid w:val="000F29B5"/>
    <w:rsid w:val="000F3896"/>
    <w:rsid w:val="000F3EF2"/>
    <w:rsid w:val="000F6003"/>
    <w:rsid w:val="000F625A"/>
    <w:rsid w:val="000F7AED"/>
    <w:rsid w:val="00100162"/>
    <w:rsid w:val="001039D2"/>
    <w:rsid w:val="00103C69"/>
    <w:rsid w:val="00105357"/>
    <w:rsid w:val="0010758F"/>
    <w:rsid w:val="00111762"/>
    <w:rsid w:val="00111996"/>
    <w:rsid w:val="00112630"/>
    <w:rsid w:val="001137DD"/>
    <w:rsid w:val="00113980"/>
    <w:rsid w:val="001163B5"/>
    <w:rsid w:val="00120D55"/>
    <w:rsid w:val="001222C7"/>
    <w:rsid w:val="00127169"/>
    <w:rsid w:val="0013265A"/>
    <w:rsid w:val="00133278"/>
    <w:rsid w:val="00133E97"/>
    <w:rsid w:val="00141DA6"/>
    <w:rsid w:val="00141FC9"/>
    <w:rsid w:val="0014219C"/>
    <w:rsid w:val="001424B8"/>
    <w:rsid w:val="00143A9F"/>
    <w:rsid w:val="0015163C"/>
    <w:rsid w:val="001519A7"/>
    <w:rsid w:val="00152E9A"/>
    <w:rsid w:val="0015737C"/>
    <w:rsid w:val="00160ADF"/>
    <w:rsid w:val="001629C9"/>
    <w:rsid w:val="00164293"/>
    <w:rsid w:val="00164384"/>
    <w:rsid w:val="001660CD"/>
    <w:rsid w:val="001663CF"/>
    <w:rsid w:val="00177BD1"/>
    <w:rsid w:val="00180580"/>
    <w:rsid w:val="001869E2"/>
    <w:rsid w:val="0019018C"/>
    <w:rsid w:val="00190B0A"/>
    <w:rsid w:val="00190C47"/>
    <w:rsid w:val="00191030"/>
    <w:rsid w:val="00191420"/>
    <w:rsid w:val="00192B8A"/>
    <w:rsid w:val="001A108D"/>
    <w:rsid w:val="001A33FD"/>
    <w:rsid w:val="001A3C80"/>
    <w:rsid w:val="001A758D"/>
    <w:rsid w:val="001B0143"/>
    <w:rsid w:val="001B3624"/>
    <w:rsid w:val="001B3D35"/>
    <w:rsid w:val="001B7D14"/>
    <w:rsid w:val="001C0306"/>
    <w:rsid w:val="001C1E54"/>
    <w:rsid w:val="001C2C0F"/>
    <w:rsid w:val="001C2E55"/>
    <w:rsid w:val="001C3725"/>
    <w:rsid w:val="001C3BA8"/>
    <w:rsid w:val="001C41A3"/>
    <w:rsid w:val="001C61E4"/>
    <w:rsid w:val="001C6EC3"/>
    <w:rsid w:val="001D2553"/>
    <w:rsid w:val="001D2AA1"/>
    <w:rsid w:val="001D33BF"/>
    <w:rsid w:val="001E035E"/>
    <w:rsid w:val="001E0460"/>
    <w:rsid w:val="001E0A6B"/>
    <w:rsid w:val="001E0F94"/>
    <w:rsid w:val="001E1DDC"/>
    <w:rsid w:val="001E2B78"/>
    <w:rsid w:val="001E2D52"/>
    <w:rsid w:val="001E3255"/>
    <w:rsid w:val="001E41CB"/>
    <w:rsid w:val="001E4BA6"/>
    <w:rsid w:val="001E58F4"/>
    <w:rsid w:val="001F0380"/>
    <w:rsid w:val="001F0BFB"/>
    <w:rsid w:val="001F409D"/>
    <w:rsid w:val="001F5ACF"/>
    <w:rsid w:val="001F7C7D"/>
    <w:rsid w:val="00201942"/>
    <w:rsid w:val="00201C6D"/>
    <w:rsid w:val="00201E1C"/>
    <w:rsid w:val="00202426"/>
    <w:rsid w:val="00205421"/>
    <w:rsid w:val="002070B3"/>
    <w:rsid w:val="00213DEC"/>
    <w:rsid w:val="00213FD7"/>
    <w:rsid w:val="0021562B"/>
    <w:rsid w:val="00217530"/>
    <w:rsid w:val="00217891"/>
    <w:rsid w:val="00217A7A"/>
    <w:rsid w:val="002204FF"/>
    <w:rsid w:val="002220C2"/>
    <w:rsid w:val="00224446"/>
    <w:rsid w:val="00225AC8"/>
    <w:rsid w:val="00225B3B"/>
    <w:rsid w:val="00226E5C"/>
    <w:rsid w:val="0022787E"/>
    <w:rsid w:val="00227D6A"/>
    <w:rsid w:val="00230B60"/>
    <w:rsid w:val="002336CC"/>
    <w:rsid w:val="0023388A"/>
    <w:rsid w:val="002414D0"/>
    <w:rsid w:val="00241715"/>
    <w:rsid w:val="002425AA"/>
    <w:rsid w:val="00243C04"/>
    <w:rsid w:val="002464A4"/>
    <w:rsid w:val="002465F2"/>
    <w:rsid w:val="00246993"/>
    <w:rsid w:val="00246C53"/>
    <w:rsid w:val="002526EF"/>
    <w:rsid w:val="00252E9B"/>
    <w:rsid w:val="00253FC5"/>
    <w:rsid w:val="00254598"/>
    <w:rsid w:val="002554C8"/>
    <w:rsid w:val="00255656"/>
    <w:rsid w:val="002560BD"/>
    <w:rsid w:val="00260145"/>
    <w:rsid w:val="00265FA2"/>
    <w:rsid w:val="00267915"/>
    <w:rsid w:val="0027060D"/>
    <w:rsid w:val="00270C14"/>
    <w:rsid w:val="00271254"/>
    <w:rsid w:val="00271270"/>
    <w:rsid w:val="00272611"/>
    <w:rsid w:val="00274C3B"/>
    <w:rsid w:val="00276F4B"/>
    <w:rsid w:val="002776BC"/>
    <w:rsid w:val="00277C14"/>
    <w:rsid w:val="002806E7"/>
    <w:rsid w:val="00280A7B"/>
    <w:rsid w:val="00281DE5"/>
    <w:rsid w:val="0028309A"/>
    <w:rsid w:val="00284BE5"/>
    <w:rsid w:val="0028557F"/>
    <w:rsid w:val="00285B0C"/>
    <w:rsid w:val="002868B5"/>
    <w:rsid w:val="0028750A"/>
    <w:rsid w:val="00287535"/>
    <w:rsid w:val="00291BE9"/>
    <w:rsid w:val="002932B9"/>
    <w:rsid w:val="00296C17"/>
    <w:rsid w:val="002974BF"/>
    <w:rsid w:val="002A12AE"/>
    <w:rsid w:val="002A1A59"/>
    <w:rsid w:val="002A32CB"/>
    <w:rsid w:val="002A4B46"/>
    <w:rsid w:val="002A7670"/>
    <w:rsid w:val="002B295E"/>
    <w:rsid w:val="002B2E91"/>
    <w:rsid w:val="002B4042"/>
    <w:rsid w:val="002B524C"/>
    <w:rsid w:val="002B56EB"/>
    <w:rsid w:val="002B68EC"/>
    <w:rsid w:val="002C0EAE"/>
    <w:rsid w:val="002C1477"/>
    <w:rsid w:val="002C47D2"/>
    <w:rsid w:val="002C4912"/>
    <w:rsid w:val="002D033C"/>
    <w:rsid w:val="002D468B"/>
    <w:rsid w:val="002D758E"/>
    <w:rsid w:val="002D7F90"/>
    <w:rsid w:val="002E25B5"/>
    <w:rsid w:val="002E484B"/>
    <w:rsid w:val="002E7C69"/>
    <w:rsid w:val="002F1167"/>
    <w:rsid w:val="002F19EE"/>
    <w:rsid w:val="002F1F82"/>
    <w:rsid w:val="002F3360"/>
    <w:rsid w:val="002F4DD2"/>
    <w:rsid w:val="002F5172"/>
    <w:rsid w:val="002F5BCF"/>
    <w:rsid w:val="002F7114"/>
    <w:rsid w:val="0030133C"/>
    <w:rsid w:val="00301F2E"/>
    <w:rsid w:val="00304303"/>
    <w:rsid w:val="0030459B"/>
    <w:rsid w:val="00306458"/>
    <w:rsid w:val="003102B7"/>
    <w:rsid w:val="00313126"/>
    <w:rsid w:val="003158F6"/>
    <w:rsid w:val="00315A70"/>
    <w:rsid w:val="003166BB"/>
    <w:rsid w:val="00316826"/>
    <w:rsid w:val="00321CF6"/>
    <w:rsid w:val="00323A95"/>
    <w:rsid w:val="00327489"/>
    <w:rsid w:val="0033087B"/>
    <w:rsid w:val="003327CC"/>
    <w:rsid w:val="00333F85"/>
    <w:rsid w:val="00334114"/>
    <w:rsid w:val="00337929"/>
    <w:rsid w:val="00341A50"/>
    <w:rsid w:val="00346AA8"/>
    <w:rsid w:val="003479D4"/>
    <w:rsid w:val="00351E02"/>
    <w:rsid w:val="0035205B"/>
    <w:rsid w:val="00352BD6"/>
    <w:rsid w:val="00352C59"/>
    <w:rsid w:val="00352E50"/>
    <w:rsid w:val="00352FD8"/>
    <w:rsid w:val="00353B06"/>
    <w:rsid w:val="003564A4"/>
    <w:rsid w:val="0035659D"/>
    <w:rsid w:val="0035660C"/>
    <w:rsid w:val="00356C18"/>
    <w:rsid w:val="00364131"/>
    <w:rsid w:val="003647D9"/>
    <w:rsid w:val="00366125"/>
    <w:rsid w:val="00366FF2"/>
    <w:rsid w:val="00371E76"/>
    <w:rsid w:val="003729B7"/>
    <w:rsid w:val="003749B7"/>
    <w:rsid w:val="003752CA"/>
    <w:rsid w:val="003762F4"/>
    <w:rsid w:val="003763A4"/>
    <w:rsid w:val="00380273"/>
    <w:rsid w:val="00380528"/>
    <w:rsid w:val="003825AA"/>
    <w:rsid w:val="0038368A"/>
    <w:rsid w:val="00383EDC"/>
    <w:rsid w:val="0038496E"/>
    <w:rsid w:val="00385C8D"/>
    <w:rsid w:val="00387BFE"/>
    <w:rsid w:val="00387CB4"/>
    <w:rsid w:val="00392B7B"/>
    <w:rsid w:val="003947CB"/>
    <w:rsid w:val="003A015C"/>
    <w:rsid w:val="003A2D15"/>
    <w:rsid w:val="003A32F4"/>
    <w:rsid w:val="003A5203"/>
    <w:rsid w:val="003A7B59"/>
    <w:rsid w:val="003B156B"/>
    <w:rsid w:val="003B1A2A"/>
    <w:rsid w:val="003B207F"/>
    <w:rsid w:val="003B2979"/>
    <w:rsid w:val="003B41BB"/>
    <w:rsid w:val="003C1979"/>
    <w:rsid w:val="003C37DE"/>
    <w:rsid w:val="003C4AC1"/>
    <w:rsid w:val="003C5689"/>
    <w:rsid w:val="003C629F"/>
    <w:rsid w:val="003C633B"/>
    <w:rsid w:val="003C7104"/>
    <w:rsid w:val="003D045E"/>
    <w:rsid w:val="003D0534"/>
    <w:rsid w:val="003D3535"/>
    <w:rsid w:val="003D3C4F"/>
    <w:rsid w:val="003D3E61"/>
    <w:rsid w:val="003D47FE"/>
    <w:rsid w:val="003D7203"/>
    <w:rsid w:val="003E0CE2"/>
    <w:rsid w:val="003E2501"/>
    <w:rsid w:val="003E3706"/>
    <w:rsid w:val="003E6DCC"/>
    <w:rsid w:val="003E6E24"/>
    <w:rsid w:val="003F463C"/>
    <w:rsid w:val="003F4FCC"/>
    <w:rsid w:val="003F55EA"/>
    <w:rsid w:val="003F60F3"/>
    <w:rsid w:val="003F7DBC"/>
    <w:rsid w:val="004009F3"/>
    <w:rsid w:val="00401A2E"/>
    <w:rsid w:val="00401A4D"/>
    <w:rsid w:val="00403331"/>
    <w:rsid w:val="00404D5C"/>
    <w:rsid w:val="0040503B"/>
    <w:rsid w:val="004057A1"/>
    <w:rsid w:val="00405A90"/>
    <w:rsid w:val="004064E9"/>
    <w:rsid w:val="004066F2"/>
    <w:rsid w:val="004114A6"/>
    <w:rsid w:val="004120D9"/>
    <w:rsid w:val="00412262"/>
    <w:rsid w:val="0041257C"/>
    <w:rsid w:val="0041301D"/>
    <w:rsid w:val="00415B30"/>
    <w:rsid w:val="00416830"/>
    <w:rsid w:val="00416B33"/>
    <w:rsid w:val="004170FF"/>
    <w:rsid w:val="00417528"/>
    <w:rsid w:val="004245C0"/>
    <w:rsid w:val="00424B15"/>
    <w:rsid w:val="00424BD1"/>
    <w:rsid w:val="0043241E"/>
    <w:rsid w:val="00432B55"/>
    <w:rsid w:val="00436B8A"/>
    <w:rsid w:val="004420E7"/>
    <w:rsid w:val="00442C87"/>
    <w:rsid w:val="0044393D"/>
    <w:rsid w:val="0044412A"/>
    <w:rsid w:val="004450D0"/>
    <w:rsid w:val="0044686D"/>
    <w:rsid w:val="00450D4D"/>
    <w:rsid w:val="00451C52"/>
    <w:rsid w:val="00452648"/>
    <w:rsid w:val="00454CD8"/>
    <w:rsid w:val="0045582A"/>
    <w:rsid w:val="00455948"/>
    <w:rsid w:val="00457A5E"/>
    <w:rsid w:val="00460760"/>
    <w:rsid w:val="004607A8"/>
    <w:rsid w:val="00460C30"/>
    <w:rsid w:val="00460EE6"/>
    <w:rsid w:val="00463318"/>
    <w:rsid w:val="004645FD"/>
    <w:rsid w:val="00465C04"/>
    <w:rsid w:val="00466419"/>
    <w:rsid w:val="00466B2E"/>
    <w:rsid w:val="00466E27"/>
    <w:rsid w:val="00470A20"/>
    <w:rsid w:val="00471913"/>
    <w:rsid w:val="0047216E"/>
    <w:rsid w:val="0047230F"/>
    <w:rsid w:val="00472F70"/>
    <w:rsid w:val="004742BD"/>
    <w:rsid w:val="00475481"/>
    <w:rsid w:val="004818C0"/>
    <w:rsid w:val="00481F5D"/>
    <w:rsid w:val="00482050"/>
    <w:rsid w:val="00482946"/>
    <w:rsid w:val="00484E7B"/>
    <w:rsid w:val="004861BB"/>
    <w:rsid w:val="004863FD"/>
    <w:rsid w:val="0048721D"/>
    <w:rsid w:val="00492558"/>
    <w:rsid w:val="0049410C"/>
    <w:rsid w:val="00495CB0"/>
    <w:rsid w:val="004A081D"/>
    <w:rsid w:val="004A3E0C"/>
    <w:rsid w:val="004A3F6D"/>
    <w:rsid w:val="004A3FDF"/>
    <w:rsid w:val="004A4E35"/>
    <w:rsid w:val="004A65D5"/>
    <w:rsid w:val="004A6DF2"/>
    <w:rsid w:val="004A7498"/>
    <w:rsid w:val="004B0612"/>
    <w:rsid w:val="004B10BF"/>
    <w:rsid w:val="004B152A"/>
    <w:rsid w:val="004B3052"/>
    <w:rsid w:val="004B69E0"/>
    <w:rsid w:val="004C0162"/>
    <w:rsid w:val="004C1DCA"/>
    <w:rsid w:val="004C4CFB"/>
    <w:rsid w:val="004C628E"/>
    <w:rsid w:val="004D030E"/>
    <w:rsid w:val="004D2E1D"/>
    <w:rsid w:val="004D3259"/>
    <w:rsid w:val="004D3FC0"/>
    <w:rsid w:val="004D416F"/>
    <w:rsid w:val="004D6B37"/>
    <w:rsid w:val="004E2ED2"/>
    <w:rsid w:val="004E3FCA"/>
    <w:rsid w:val="004E444B"/>
    <w:rsid w:val="004E5E43"/>
    <w:rsid w:val="004E6117"/>
    <w:rsid w:val="004F01FD"/>
    <w:rsid w:val="004F0AC5"/>
    <w:rsid w:val="004F0D13"/>
    <w:rsid w:val="004F39D2"/>
    <w:rsid w:val="004F401E"/>
    <w:rsid w:val="004F608C"/>
    <w:rsid w:val="004F7DB4"/>
    <w:rsid w:val="00500A0A"/>
    <w:rsid w:val="00500A81"/>
    <w:rsid w:val="00503F12"/>
    <w:rsid w:val="00506FA9"/>
    <w:rsid w:val="005104FD"/>
    <w:rsid w:val="00511EAC"/>
    <w:rsid w:val="00512F6D"/>
    <w:rsid w:val="00513886"/>
    <w:rsid w:val="0051461C"/>
    <w:rsid w:val="00517F6F"/>
    <w:rsid w:val="005239D4"/>
    <w:rsid w:val="00523B45"/>
    <w:rsid w:val="00525767"/>
    <w:rsid w:val="005259CF"/>
    <w:rsid w:val="00525AA4"/>
    <w:rsid w:val="00530EA8"/>
    <w:rsid w:val="005320E5"/>
    <w:rsid w:val="00534C82"/>
    <w:rsid w:val="0053536E"/>
    <w:rsid w:val="00537958"/>
    <w:rsid w:val="00540C26"/>
    <w:rsid w:val="00542887"/>
    <w:rsid w:val="00545A18"/>
    <w:rsid w:val="005462B0"/>
    <w:rsid w:val="00547513"/>
    <w:rsid w:val="00550640"/>
    <w:rsid w:val="00551FDF"/>
    <w:rsid w:val="00553A4A"/>
    <w:rsid w:val="00553C26"/>
    <w:rsid w:val="0055453C"/>
    <w:rsid w:val="0055699B"/>
    <w:rsid w:val="00556C5F"/>
    <w:rsid w:val="005622CE"/>
    <w:rsid w:val="005625B0"/>
    <w:rsid w:val="005645B6"/>
    <w:rsid w:val="00564844"/>
    <w:rsid w:val="0056487F"/>
    <w:rsid w:val="005651BD"/>
    <w:rsid w:val="005663AC"/>
    <w:rsid w:val="00572214"/>
    <w:rsid w:val="005736B8"/>
    <w:rsid w:val="00573990"/>
    <w:rsid w:val="0057737E"/>
    <w:rsid w:val="00577408"/>
    <w:rsid w:val="00577479"/>
    <w:rsid w:val="0058151E"/>
    <w:rsid w:val="005822B6"/>
    <w:rsid w:val="00583AAE"/>
    <w:rsid w:val="0058555B"/>
    <w:rsid w:val="00585B66"/>
    <w:rsid w:val="00587846"/>
    <w:rsid w:val="0059071B"/>
    <w:rsid w:val="00590DBC"/>
    <w:rsid w:val="00590FAF"/>
    <w:rsid w:val="005914DB"/>
    <w:rsid w:val="00592690"/>
    <w:rsid w:val="00592A26"/>
    <w:rsid w:val="00593E48"/>
    <w:rsid w:val="005A0C23"/>
    <w:rsid w:val="005A2DCF"/>
    <w:rsid w:val="005A4BBA"/>
    <w:rsid w:val="005A4E33"/>
    <w:rsid w:val="005B0387"/>
    <w:rsid w:val="005B0AA2"/>
    <w:rsid w:val="005B2925"/>
    <w:rsid w:val="005B2C44"/>
    <w:rsid w:val="005B3FD6"/>
    <w:rsid w:val="005B6AF7"/>
    <w:rsid w:val="005C0211"/>
    <w:rsid w:val="005C0742"/>
    <w:rsid w:val="005C4679"/>
    <w:rsid w:val="005C5CFC"/>
    <w:rsid w:val="005C7DDF"/>
    <w:rsid w:val="005D0173"/>
    <w:rsid w:val="005D44B2"/>
    <w:rsid w:val="005D4A9B"/>
    <w:rsid w:val="005D5245"/>
    <w:rsid w:val="005D5EA7"/>
    <w:rsid w:val="005D74D8"/>
    <w:rsid w:val="005D7DCD"/>
    <w:rsid w:val="005D7DDC"/>
    <w:rsid w:val="005E17CF"/>
    <w:rsid w:val="005E1809"/>
    <w:rsid w:val="005E204B"/>
    <w:rsid w:val="005E3275"/>
    <w:rsid w:val="005E5EE9"/>
    <w:rsid w:val="005F1D27"/>
    <w:rsid w:val="005F231D"/>
    <w:rsid w:val="005F2890"/>
    <w:rsid w:val="005F2F88"/>
    <w:rsid w:val="005F3EF8"/>
    <w:rsid w:val="005F44B7"/>
    <w:rsid w:val="005F53E6"/>
    <w:rsid w:val="005F6B05"/>
    <w:rsid w:val="005F6C8A"/>
    <w:rsid w:val="005F75A7"/>
    <w:rsid w:val="005F7B62"/>
    <w:rsid w:val="006001E4"/>
    <w:rsid w:val="00602FBF"/>
    <w:rsid w:val="00603898"/>
    <w:rsid w:val="00604105"/>
    <w:rsid w:val="006053F7"/>
    <w:rsid w:val="00607CC4"/>
    <w:rsid w:val="006100D2"/>
    <w:rsid w:val="00610A28"/>
    <w:rsid w:val="006128D0"/>
    <w:rsid w:val="00613F99"/>
    <w:rsid w:val="00615673"/>
    <w:rsid w:val="00615972"/>
    <w:rsid w:val="0061687E"/>
    <w:rsid w:val="0062063C"/>
    <w:rsid w:val="00621153"/>
    <w:rsid w:val="00621CB7"/>
    <w:rsid w:val="00622D8A"/>
    <w:rsid w:val="0062323D"/>
    <w:rsid w:val="00623C55"/>
    <w:rsid w:val="00625812"/>
    <w:rsid w:val="00630220"/>
    <w:rsid w:val="006310EB"/>
    <w:rsid w:val="006313F3"/>
    <w:rsid w:val="006348BB"/>
    <w:rsid w:val="00635519"/>
    <w:rsid w:val="006363EF"/>
    <w:rsid w:val="00636416"/>
    <w:rsid w:val="006374BD"/>
    <w:rsid w:val="00640DBC"/>
    <w:rsid w:val="00643590"/>
    <w:rsid w:val="00646433"/>
    <w:rsid w:val="00651D62"/>
    <w:rsid w:val="006522FC"/>
    <w:rsid w:val="00652944"/>
    <w:rsid w:val="00654283"/>
    <w:rsid w:val="0065547E"/>
    <w:rsid w:val="00655BCB"/>
    <w:rsid w:val="00657BB4"/>
    <w:rsid w:val="006622D5"/>
    <w:rsid w:val="0066267A"/>
    <w:rsid w:val="0066447A"/>
    <w:rsid w:val="00666353"/>
    <w:rsid w:val="00670C2C"/>
    <w:rsid w:val="0067387D"/>
    <w:rsid w:val="00676258"/>
    <w:rsid w:val="0068003D"/>
    <w:rsid w:val="00681F9A"/>
    <w:rsid w:val="006828F8"/>
    <w:rsid w:val="00683C55"/>
    <w:rsid w:val="00684B8B"/>
    <w:rsid w:val="006856CA"/>
    <w:rsid w:val="00687BD4"/>
    <w:rsid w:val="006927BE"/>
    <w:rsid w:val="00694196"/>
    <w:rsid w:val="006952B2"/>
    <w:rsid w:val="00695F25"/>
    <w:rsid w:val="00696442"/>
    <w:rsid w:val="00696C05"/>
    <w:rsid w:val="006A0129"/>
    <w:rsid w:val="006A162E"/>
    <w:rsid w:val="006A2E08"/>
    <w:rsid w:val="006A49A6"/>
    <w:rsid w:val="006A4A82"/>
    <w:rsid w:val="006B4415"/>
    <w:rsid w:val="006B7965"/>
    <w:rsid w:val="006C1A41"/>
    <w:rsid w:val="006C1A8D"/>
    <w:rsid w:val="006C1AE5"/>
    <w:rsid w:val="006C3C17"/>
    <w:rsid w:val="006C690E"/>
    <w:rsid w:val="006C76FE"/>
    <w:rsid w:val="006D19EA"/>
    <w:rsid w:val="006D2F8B"/>
    <w:rsid w:val="006D3182"/>
    <w:rsid w:val="006D5A39"/>
    <w:rsid w:val="006D6A33"/>
    <w:rsid w:val="006E34EA"/>
    <w:rsid w:val="006E3D89"/>
    <w:rsid w:val="006E657A"/>
    <w:rsid w:val="006E6711"/>
    <w:rsid w:val="006F0C90"/>
    <w:rsid w:val="006F1628"/>
    <w:rsid w:val="006F625E"/>
    <w:rsid w:val="007046FB"/>
    <w:rsid w:val="00704D13"/>
    <w:rsid w:val="007054B1"/>
    <w:rsid w:val="007079A6"/>
    <w:rsid w:val="00707F41"/>
    <w:rsid w:val="00711A7B"/>
    <w:rsid w:val="007142FD"/>
    <w:rsid w:val="0071636D"/>
    <w:rsid w:val="007163D5"/>
    <w:rsid w:val="007166B0"/>
    <w:rsid w:val="00717972"/>
    <w:rsid w:val="00720481"/>
    <w:rsid w:val="00721574"/>
    <w:rsid w:val="0072234C"/>
    <w:rsid w:val="00724530"/>
    <w:rsid w:val="00727097"/>
    <w:rsid w:val="00727976"/>
    <w:rsid w:val="00730E3D"/>
    <w:rsid w:val="00733221"/>
    <w:rsid w:val="0073377D"/>
    <w:rsid w:val="00734C28"/>
    <w:rsid w:val="00737852"/>
    <w:rsid w:val="00737CB9"/>
    <w:rsid w:val="007406FD"/>
    <w:rsid w:val="00745A9A"/>
    <w:rsid w:val="00746921"/>
    <w:rsid w:val="007475D6"/>
    <w:rsid w:val="00750C8D"/>
    <w:rsid w:val="007518A3"/>
    <w:rsid w:val="00752101"/>
    <w:rsid w:val="00752ED9"/>
    <w:rsid w:val="007532DD"/>
    <w:rsid w:val="00755548"/>
    <w:rsid w:val="00755867"/>
    <w:rsid w:val="007558FE"/>
    <w:rsid w:val="00756394"/>
    <w:rsid w:val="00756542"/>
    <w:rsid w:val="00757C10"/>
    <w:rsid w:val="00760693"/>
    <w:rsid w:val="00762896"/>
    <w:rsid w:val="00762B4A"/>
    <w:rsid w:val="0076545F"/>
    <w:rsid w:val="00767E6E"/>
    <w:rsid w:val="00770ADA"/>
    <w:rsid w:val="0077301F"/>
    <w:rsid w:val="007735FA"/>
    <w:rsid w:val="00773C03"/>
    <w:rsid w:val="00774C34"/>
    <w:rsid w:val="007750A3"/>
    <w:rsid w:val="00776A3F"/>
    <w:rsid w:val="00776BE2"/>
    <w:rsid w:val="007770D0"/>
    <w:rsid w:val="00780099"/>
    <w:rsid w:val="007802E6"/>
    <w:rsid w:val="007818B5"/>
    <w:rsid w:val="0078202F"/>
    <w:rsid w:val="007836C2"/>
    <w:rsid w:val="00790071"/>
    <w:rsid w:val="00791B02"/>
    <w:rsid w:val="0079306F"/>
    <w:rsid w:val="00793546"/>
    <w:rsid w:val="00793FEA"/>
    <w:rsid w:val="00794807"/>
    <w:rsid w:val="0079575B"/>
    <w:rsid w:val="0079733D"/>
    <w:rsid w:val="007A2349"/>
    <w:rsid w:val="007A2FB7"/>
    <w:rsid w:val="007A4178"/>
    <w:rsid w:val="007A5050"/>
    <w:rsid w:val="007A59AA"/>
    <w:rsid w:val="007A602D"/>
    <w:rsid w:val="007A6BBA"/>
    <w:rsid w:val="007A7CC7"/>
    <w:rsid w:val="007B0CF6"/>
    <w:rsid w:val="007B2519"/>
    <w:rsid w:val="007B36A8"/>
    <w:rsid w:val="007B3A10"/>
    <w:rsid w:val="007B4FF9"/>
    <w:rsid w:val="007C04A2"/>
    <w:rsid w:val="007C1104"/>
    <w:rsid w:val="007C15DE"/>
    <w:rsid w:val="007C4685"/>
    <w:rsid w:val="007C4D66"/>
    <w:rsid w:val="007C51BD"/>
    <w:rsid w:val="007C58C6"/>
    <w:rsid w:val="007C5D1D"/>
    <w:rsid w:val="007C790B"/>
    <w:rsid w:val="007D1C33"/>
    <w:rsid w:val="007D2E1E"/>
    <w:rsid w:val="007D4CD4"/>
    <w:rsid w:val="007D5490"/>
    <w:rsid w:val="007D56FB"/>
    <w:rsid w:val="007D725E"/>
    <w:rsid w:val="007D7E23"/>
    <w:rsid w:val="007E3885"/>
    <w:rsid w:val="007E53F4"/>
    <w:rsid w:val="007E7832"/>
    <w:rsid w:val="007F1FD2"/>
    <w:rsid w:val="007F5670"/>
    <w:rsid w:val="007F5AF4"/>
    <w:rsid w:val="007F671C"/>
    <w:rsid w:val="00800546"/>
    <w:rsid w:val="0080111A"/>
    <w:rsid w:val="00801E5F"/>
    <w:rsid w:val="008023EE"/>
    <w:rsid w:val="00802446"/>
    <w:rsid w:val="0080328C"/>
    <w:rsid w:val="00803F48"/>
    <w:rsid w:val="00804520"/>
    <w:rsid w:val="00804F0D"/>
    <w:rsid w:val="00805A64"/>
    <w:rsid w:val="00805E5B"/>
    <w:rsid w:val="00805F2A"/>
    <w:rsid w:val="00807728"/>
    <w:rsid w:val="008117F7"/>
    <w:rsid w:val="00813FCD"/>
    <w:rsid w:val="00815C12"/>
    <w:rsid w:val="00816FCD"/>
    <w:rsid w:val="0082290A"/>
    <w:rsid w:val="008246D8"/>
    <w:rsid w:val="00825BFE"/>
    <w:rsid w:val="00826A24"/>
    <w:rsid w:val="0083161F"/>
    <w:rsid w:val="008354DA"/>
    <w:rsid w:val="008374A5"/>
    <w:rsid w:val="00837F59"/>
    <w:rsid w:val="008419D4"/>
    <w:rsid w:val="00846176"/>
    <w:rsid w:val="00846959"/>
    <w:rsid w:val="00846D58"/>
    <w:rsid w:val="00847112"/>
    <w:rsid w:val="00850A76"/>
    <w:rsid w:val="008518E9"/>
    <w:rsid w:val="00851F77"/>
    <w:rsid w:val="00853CF1"/>
    <w:rsid w:val="00853F90"/>
    <w:rsid w:val="00854287"/>
    <w:rsid w:val="00854CD7"/>
    <w:rsid w:val="008560DC"/>
    <w:rsid w:val="008608CE"/>
    <w:rsid w:val="00863FA0"/>
    <w:rsid w:val="008642AD"/>
    <w:rsid w:val="00864767"/>
    <w:rsid w:val="008658C1"/>
    <w:rsid w:val="00871420"/>
    <w:rsid w:val="0087284F"/>
    <w:rsid w:val="00873B39"/>
    <w:rsid w:val="00874F0A"/>
    <w:rsid w:val="0087537F"/>
    <w:rsid w:val="00875790"/>
    <w:rsid w:val="0088274C"/>
    <w:rsid w:val="0088553F"/>
    <w:rsid w:val="0088566E"/>
    <w:rsid w:val="00887AE8"/>
    <w:rsid w:val="00890A44"/>
    <w:rsid w:val="008952B1"/>
    <w:rsid w:val="00895D42"/>
    <w:rsid w:val="008A092E"/>
    <w:rsid w:val="008A0A21"/>
    <w:rsid w:val="008A0A2B"/>
    <w:rsid w:val="008A1271"/>
    <w:rsid w:val="008A139B"/>
    <w:rsid w:val="008A19CC"/>
    <w:rsid w:val="008A34A5"/>
    <w:rsid w:val="008A65A0"/>
    <w:rsid w:val="008B0AE4"/>
    <w:rsid w:val="008B386D"/>
    <w:rsid w:val="008B419D"/>
    <w:rsid w:val="008B49BE"/>
    <w:rsid w:val="008B5E1A"/>
    <w:rsid w:val="008C01CC"/>
    <w:rsid w:val="008C0841"/>
    <w:rsid w:val="008C320E"/>
    <w:rsid w:val="008C39B7"/>
    <w:rsid w:val="008C41BA"/>
    <w:rsid w:val="008C4745"/>
    <w:rsid w:val="008C4853"/>
    <w:rsid w:val="008C6CE3"/>
    <w:rsid w:val="008C70A4"/>
    <w:rsid w:val="008D61F0"/>
    <w:rsid w:val="008D6230"/>
    <w:rsid w:val="008E0BC0"/>
    <w:rsid w:val="008E0D93"/>
    <w:rsid w:val="008E1730"/>
    <w:rsid w:val="008E396D"/>
    <w:rsid w:val="008E5D9B"/>
    <w:rsid w:val="008E6BBD"/>
    <w:rsid w:val="008F1A37"/>
    <w:rsid w:val="008F1C7A"/>
    <w:rsid w:val="008F451C"/>
    <w:rsid w:val="008F68A8"/>
    <w:rsid w:val="009002D9"/>
    <w:rsid w:val="0090030F"/>
    <w:rsid w:val="00901117"/>
    <w:rsid w:val="00901F02"/>
    <w:rsid w:val="00901FAF"/>
    <w:rsid w:val="00903821"/>
    <w:rsid w:val="00903E8B"/>
    <w:rsid w:val="00904039"/>
    <w:rsid w:val="00906B23"/>
    <w:rsid w:val="009076DA"/>
    <w:rsid w:val="00907A72"/>
    <w:rsid w:val="00907FC8"/>
    <w:rsid w:val="00912121"/>
    <w:rsid w:val="00912206"/>
    <w:rsid w:val="009130B6"/>
    <w:rsid w:val="009137DE"/>
    <w:rsid w:val="0091551B"/>
    <w:rsid w:val="0091583A"/>
    <w:rsid w:val="00915DBE"/>
    <w:rsid w:val="00916271"/>
    <w:rsid w:val="00921ECE"/>
    <w:rsid w:val="00922188"/>
    <w:rsid w:val="00923524"/>
    <w:rsid w:val="00924DE2"/>
    <w:rsid w:val="00925B65"/>
    <w:rsid w:val="0092697C"/>
    <w:rsid w:val="00927437"/>
    <w:rsid w:val="00927CEA"/>
    <w:rsid w:val="0093183D"/>
    <w:rsid w:val="009324BB"/>
    <w:rsid w:val="0093345B"/>
    <w:rsid w:val="009365FC"/>
    <w:rsid w:val="009373A8"/>
    <w:rsid w:val="0094046D"/>
    <w:rsid w:val="009404DF"/>
    <w:rsid w:val="009425C8"/>
    <w:rsid w:val="009457D8"/>
    <w:rsid w:val="00951493"/>
    <w:rsid w:val="009517BB"/>
    <w:rsid w:val="00953B67"/>
    <w:rsid w:val="009552B5"/>
    <w:rsid w:val="00955DCE"/>
    <w:rsid w:val="00957384"/>
    <w:rsid w:val="009573D8"/>
    <w:rsid w:val="00957E28"/>
    <w:rsid w:val="00961749"/>
    <w:rsid w:val="00962015"/>
    <w:rsid w:val="00973168"/>
    <w:rsid w:val="00974DF1"/>
    <w:rsid w:val="00981B72"/>
    <w:rsid w:val="009845EA"/>
    <w:rsid w:val="00984CC4"/>
    <w:rsid w:val="00986494"/>
    <w:rsid w:val="00990067"/>
    <w:rsid w:val="0099202B"/>
    <w:rsid w:val="00992DE9"/>
    <w:rsid w:val="009941A7"/>
    <w:rsid w:val="00994284"/>
    <w:rsid w:val="009A3960"/>
    <w:rsid w:val="009A3A59"/>
    <w:rsid w:val="009A45A8"/>
    <w:rsid w:val="009B13B5"/>
    <w:rsid w:val="009B2101"/>
    <w:rsid w:val="009B3489"/>
    <w:rsid w:val="009B55B3"/>
    <w:rsid w:val="009B620F"/>
    <w:rsid w:val="009B6850"/>
    <w:rsid w:val="009B6E58"/>
    <w:rsid w:val="009B6E7D"/>
    <w:rsid w:val="009B73FD"/>
    <w:rsid w:val="009B7A8F"/>
    <w:rsid w:val="009C0EA9"/>
    <w:rsid w:val="009C3F3C"/>
    <w:rsid w:val="009C56AE"/>
    <w:rsid w:val="009C5841"/>
    <w:rsid w:val="009C6617"/>
    <w:rsid w:val="009C7D1E"/>
    <w:rsid w:val="009D4A4F"/>
    <w:rsid w:val="009D56DA"/>
    <w:rsid w:val="009E3F57"/>
    <w:rsid w:val="009E4836"/>
    <w:rsid w:val="009E4BDC"/>
    <w:rsid w:val="009E7F2B"/>
    <w:rsid w:val="009F1690"/>
    <w:rsid w:val="009F1EAD"/>
    <w:rsid w:val="009F37F6"/>
    <w:rsid w:val="009F425E"/>
    <w:rsid w:val="009F64A7"/>
    <w:rsid w:val="009F6559"/>
    <w:rsid w:val="009F734C"/>
    <w:rsid w:val="00A02076"/>
    <w:rsid w:val="00A023C8"/>
    <w:rsid w:val="00A02514"/>
    <w:rsid w:val="00A0420D"/>
    <w:rsid w:val="00A04629"/>
    <w:rsid w:val="00A05D8A"/>
    <w:rsid w:val="00A07C88"/>
    <w:rsid w:val="00A117BD"/>
    <w:rsid w:val="00A11CFA"/>
    <w:rsid w:val="00A1241B"/>
    <w:rsid w:val="00A12961"/>
    <w:rsid w:val="00A12CA4"/>
    <w:rsid w:val="00A138AE"/>
    <w:rsid w:val="00A13C40"/>
    <w:rsid w:val="00A142C3"/>
    <w:rsid w:val="00A14CD2"/>
    <w:rsid w:val="00A16817"/>
    <w:rsid w:val="00A21D38"/>
    <w:rsid w:val="00A225E2"/>
    <w:rsid w:val="00A22B96"/>
    <w:rsid w:val="00A24EC8"/>
    <w:rsid w:val="00A27D0B"/>
    <w:rsid w:val="00A31012"/>
    <w:rsid w:val="00A33FDF"/>
    <w:rsid w:val="00A34E30"/>
    <w:rsid w:val="00A3582D"/>
    <w:rsid w:val="00A35A46"/>
    <w:rsid w:val="00A35CCD"/>
    <w:rsid w:val="00A37807"/>
    <w:rsid w:val="00A4051A"/>
    <w:rsid w:val="00A42E4E"/>
    <w:rsid w:val="00A45060"/>
    <w:rsid w:val="00A456B5"/>
    <w:rsid w:val="00A45F5F"/>
    <w:rsid w:val="00A46AE6"/>
    <w:rsid w:val="00A4765F"/>
    <w:rsid w:val="00A47FE7"/>
    <w:rsid w:val="00A51CC8"/>
    <w:rsid w:val="00A55E24"/>
    <w:rsid w:val="00A562C1"/>
    <w:rsid w:val="00A576CB"/>
    <w:rsid w:val="00A617AF"/>
    <w:rsid w:val="00A61B65"/>
    <w:rsid w:val="00A62967"/>
    <w:rsid w:val="00A638A7"/>
    <w:rsid w:val="00A63947"/>
    <w:rsid w:val="00A6462A"/>
    <w:rsid w:val="00A64861"/>
    <w:rsid w:val="00A65855"/>
    <w:rsid w:val="00A658A4"/>
    <w:rsid w:val="00A65F03"/>
    <w:rsid w:val="00A666B1"/>
    <w:rsid w:val="00A71C4A"/>
    <w:rsid w:val="00A72E9B"/>
    <w:rsid w:val="00A757EB"/>
    <w:rsid w:val="00A759C2"/>
    <w:rsid w:val="00A76022"/>
    <w:rsid w:val="00A85C54"/>
    <w:rsid w:val="00A87139"/>
    <w:rsid w:val="00A90A7A"/>
    <w:rsid w:val="00A91E23"/>
    <w:rsid w:val="00A92724"/>
    <w:rsid w:val="00A927F9"/>
    <w:rsid w:val="00A92C8F"/>
    <w:rsid w:val="00A92F8C"/>
    <w:rsid w:val="00A95E23"/>
    <w:rsid w:val="00AA2F00"/>
    <w:rsid w:val="00AA3273"/>
    <w:rsid w:val="00AA3D6A"/>
    <w:rsid w:val="00AA4349"/>
    <w:rsid w:val="00AA5266"/>
    <w:rsid w:val="00AA5C73"/>
    <w:rsid w:val="00AB28AC"/>
    <w:rsid w:val="00AB4015"/>
    <w:rsid w:val="00AB422A"/>
    <w:rsid w:val="00AC13BE"/>
    <w:rsid w:val="00AC314D"/>
    <w:rsid w:val="00AD0DCD"/>
    <w:rsid w:val="00AD167E"/>
    <w:rsid w:val="00AD5B97"/>
    <w:rsid w:val="00AD6D51"/>
    <w:rsid w:val="00AE02EE"/>
    <w:rsid w:val="00AE28C9"/>
    <w:rsid w:val="00AE4AC6"/>
    <w:rsid w:val="00AE506F"/>
    <w:rsid w:val="00AE5141"/>
    <w:rsid w:val="00AE7119"/>
    <w:rsid w:val="00AF0435"/>
    <w:rsid w:val="00AF4012"/>
    <w:rsid w:val="00AF46B2"/>
    <w:rsid w:val="00AF55B6"/>
    <w:rsid w:val="00AF5602"/>
    <w:rsid w:val="00AF5768"/>
    <w:rsid w:val="00B02A5A"/>
    <w:rsid w:val="00B10C19"/>
    <w:rsid w:val="00B16A84"/>
    <w:rsid w:val="00B16E4B"/>
    <w:rsid w:val="00B1770A"/>
    <w:rsid w:val="00B27A1F"/>
    <w:rsid w:val="00B31898"/>
    <w:rsid w:val="00B32265"/>
    <w:rsid w:val="00B3614C"/>
    <w:rsid w:val="00B37238"/>
    <w:rsid w:val="00B378C5"/>
    <w:rsid w:val="00B4035F"/>
    <w:rsid w:val="00B40FE4"/>
    <w:rsid w:val="00B447F2"/>
    <w:rsid w:val="00B44D86"/>
    <w:rsid w:val="00B47B47"/>
    <w:rsid w:val="00B51149"/>
    <w:rsid w:val="00B52D3C"/>
    <w:rsid w:val="00B54004"/>
    <w:rsid w:val="00B54646"/>
    <w:rsid w:val="00B55E93"/>
    <w:rsid w:val="00B62626"/>
    <w:rsid w:val="00B6394D"/>
    <w:rsid w:val="00B71C81"/>
    <w:rsid w:val="00B72B8D"/>
    <w:rsid w:val="00B72DAA"/>
    <w:rsid w:val="00B747A6"/>
    <w:rsid w:val="00B82FA4"/>
    <w:rsid w:val="00B8541F"/>
    <w:rsid w:val="00B86F8C"/>
    <w:rsid w:val="00B87258"/>
    <w:rsid w:val="00B8751A"/>
    <w:rsid w:val="00B90035"/>
    <w:rsid w:val="00B905F1"/>
    <w:rsid w:val="00B9416D"/>
    <w:rsid w:val="00B9542F"/>
    <w:rsid w:val="00B96475"/>
    <w:rsid w:val="00BA311B"/>
    <w:rsid w:val="00BA3A97"/>
    <w:rsid w:val="00BA5121"/>
    <w:rsid w:val="00BA62AC"/>
    <w:rsid w:val="00BB216D"/>
    <w:rsid w:val="00BB2F6A"/>
    <w:rsid w:val="00BB2FA9"/>
    <w:rsid w:val="00BB396C"/>
    <w:rsid w:val="00BB40A6"/>
    <w:rsid w:val="00BB4804"/>
    <w:rsid w:val="00BB4F18"/>
    <w:rsid w:val="00BB54B7"/>
    <w:rsid w:val="00BB62A8"/>
    <w:rsid w:val="00BC05AC"/>
    <w:rsid w:val="00BC3993"/>
    <w:rsid w:val="00BC424D"/>
    <w:rsid w:val="00BD4AAD"/>
    <w:rsid w:val="00BD7444"/>
    <w:rsid w:val="00BE08D4"/>
    <w:rsid w:val="00BE1AF5"/>
    <w:rsid w:val="00BE1B6D"/>
    <w:rsid w:val="00BE4184"/>
    <w:rsid w:val="00BE469F"/>
    <w:rsid w:val="00BE58A0"/>
    <w:rsid w:val="00BE5A21"/>
    <w:rsid w:val="00BE746B"/>
    <w:rsid w:val="00BE7DEE"/>
    <w:rsid w:val="00BF02E1"/>
    <w:rsid w:val="00BF1929"/>
    <w:rsid w:val="00BF3DD0"/>
    <w:rsid w:val="00BF4B68"/>
    <w:rsid w:val="00BF5C31"/>
    <w:rsid w:val="00BF696E"/>
    <w:rsid w:val="00BF6FFF"/>
    <w:rsid w:val="00C00DB6"/>
    <w:rsid w:val="00C014E8"/>
    <w:rsid w:val="00C01E63"/>
    <w:rsid w:val="00C02CA6"/>
    <w:rsid w:val="00C03421"/>
    <w:rsid w:val="00C036DA"/>
    <w:rsid w:val="00C039E0"/>
    <w:rsid w:val="00C042B1"/>
    <w:rsid w:val="00C0542E"/>
    <w:rsid w:val="00C05CD7"/>
    <w:rsid w:val="00C06218"/>
    <w:rsid w:val="00C07EC6"/>
    <w:rsid w:val="00C118F5"/>
    <w:rsid w:val="00C136DD"/>
    <w:rsid w:val="00C23D63"/>
    <w:rsid w:val="00C26BCF"/>
    <w:rsid w:val="00C276E8"/>
    <w:rsid w:val="00C33F3A"/>
    <w:rsid w:val="00C34B52"/>
    <w:rsid w:val="00C34CD7"/>
    <w:rsid w:val="00C36413"/>
    <w:rsid w:val="00C3681E"/>
    <w:rsid w:val="00C42F86"/>
    <w:rsid w:val="00C43C5D"/>
    <w:rsid w:val="00C47A4A"/>
    <w:rsid w:val="00C51156"/>
    <w:rsid w:val="00C5152D"/>
    <w:rsid w:val="00C5198C"/>
    <w:rsid w:val="00C53AD3"/>
    <w:rsid w:val="00C56D87"/>
    <w:rsid w:val="00C574D8"/>
    <w:rsid w:val="00C607F8"/>
    <w:rsid w:val="00C6551F"/>
    <w:rsid w:val="00C65DAC"/>
    <w:rsid w:val="00C664AD"/>
    <w:rsid w:val="00C72DDD"/>
    <w:rsid w:val="00C7457C"/>
    <w:rsid w:val="00C74E9D"/>
    <w:rsid w:val="00C74EC8"/>
    <w:rsid w:val="00C760F3"/>
    <w:rsid w:val="00C76823"/>
    <w:rsid w:val="00C82523"/>
    <w:rsid w:val="00C83214"/>
    <w:rsid w:val="00C83D1A"/>
    <w:rsid w:val="00C927F1"/>
    <w:rsid w:val="00C930AB"/>
    <w:rsid w:val="00C947C9"/>
    <w:rsid w:val="00C95856"/>
    <w:rsid w:val="00C96128"/>
    <w:rsid w:val="00C97E67"/>
    <w:rsid w:val="00CA0552"/>
    <w:rsid w:val="00CA36CB"/>
    <w:rsid w:val="00CA3E1D"/>
    <w:rsid w:val="00CA508A"/>
    <w:rsid w:val="00CA5817"/>
    <w:rsid w:val="00CA613C"/>
    <w:rsid w:val="00CB00A4"/>
    <w:rsid w:val="00CB1189"/>
    <w:rsid w:val="00CB1649"/>
    <w:rsid w:val="00CB29D5"/>
    <w:rsid w:val="00CB46B3"/>
    <w:rsid w:val="00CB7B2E"/>
    <w:rsid w:val="00CC0B70"/>
    <w:rsid w:val="00CC1E85"/>
    <w:rsid w:val="00CC30F7"/>
    <w:rsid w:val="00CC3211"/>
    <w:rsid w:val="00CC38C8"/>
    <w:rsid w:val="00CD01D3"/>
    <w:rsid w:val="00CD74A6"/>
    <w:rsid w:val="00CD79A1"/>
    <w:rsid w:val="00CE4DC8"/>
    <w:rsid w:val="00CE6308"/>
    <w:rsid w:val="00CE7975"/>
    <w:rsid w:val="00CF0E93"/>
    <w:rsid w:val="00CF23C5"/>
    <w:rsid w:val="00CF6073"/>
    <w:rsid w:val="00CF6327"/>
    <w:rsid w:val="00CF7303"/>
    <w:rsid w:val="00CF7979"/>
    <w:rsid w:val="00CF7C03"/>
    <w:rsid w:val="00D03DC4"/>
    <w:rsid w:val="00D04BD2"/>
    <w:rsid w:val="00D05DD5"/>
    <w:rsid w:val="00D06304"/>
    <w:rsid w:val="00D07E2D"/>
    <w:rsid w:val="00D1130B"/>
    <w:rsid w:val="00D11A9A"/>
    <w:rsid w:val="00D158FC"/>
    <w:rsid w:val="00D20CCC"/>
    <w:rsid w:val="00D21B02"/>
    <w:rsid w:val="00D22467"/>
    <w:rsid w:val="00D24653"/>
    <w:rsid w:val="00D25CE8"/>
    <w:rsid w:val="00D276B3"/>
    <w:rsid w:val="00D30254"/>
    <w:rsid w:val="00D316B7"/>
    <w:rsid w:val="00D33A34"/>
    <w:rsid w:val="00D34227"/>
    <w:rsid w:val="00D3620C"/>
    <w:rsid w:val="00D3705F"/>
    <w:rsid w:val="00D40A62"/>
    <w:rsid w:val="00D427F0"/>
    <w:rsid w:val="00D44680"/>
    <w:rsid w:val="00D45A2F"/>
    <w:rsid w:val="00D51D5E"/>
    <w:rsid w:val="00D54D84"/>
    <w:rsid w:val="00D5544D"/>
    <w:rsid w:val="00D55503"/>
    <w:rsid w:val="00D6249A"/>
    <w:rsid w:val="00D66EB9"/>
    <w:rsid w:val="00D670C6"/>
    <w:rsid w:val="00D70763"/>
    <w:rsid w:val="00D71277"/>
    <w:rsid w:val="00D71555"/>
    <w:rsid w:val="00D72155"/>
    <w:rsid w:val="00D74D94"/>
    <w:rsid w:val="00D775EE"/>
    <w:rsid w:val="00D81150"/>
    <w:rsid w:val="00D82E2D"/>
    <w:rsid w:val="00D832E5"/>
    <w:rsid w:val="00D858B6"/>
    <w:rsid w:val="00D85C50"/>
    <w:rsid w:val="00D85E10"/>
    <w:rsid w:val="00D85E81"/>
    <w:rsid w:val="00D9557F"/>
    <w:rsid w:val="00D972C4"/>
    <w:rsid w:val="00D9750B"/>
    <w:rsid w:val="00D97610"/>
    <w:rsid w:val="00D9781A"/>
    <w:rsid w:val="00DA174B"/>
    <w:rsid w:val="00DA2776"/>
    <w:rsid w:val="00DA2F12"/>
    <w:rsid w:val="00DA2FDA"/>
    <w:rsid w:val="00DB0259"/>
    <w:rsid w:val="00DB0529"/>
    <w:rsid w:val="00DB193C"/>
    <w:rsid w:val="00DB4111"/>
    <w:rsid w:val="00DB45E4"/>
    <w:rsid w:val="00DB561B"/>
    <w:rsid w:val="00DB7DFD"/>
    <w:rsid w:val="00DC7B32"/>
    <w:rsid w:val="00DD0136"/>
    <w:rsid w:val="00DD01CE"/>
    <w:rsid w:val="00DD2C52"/>
    <w:rsid w:val="00DD42B6"/>
    <w:rsid w:val="00DD4F14"/>
    <w:rsid w:val="00DD53BA"/>
    <w:rsid w:val="00DD7223"/>
    <w:rsid w:val="00DD7362"/>
    <w:rsid w:val="00DD788B"/>
    <w:rsid w:val="00DE0C89"/>
    <w:rsid w:val="00DE10E7"/>
    <w:rsid w:val="00DE1A90"/>
    <w:rsid w:val="00DE217A"/>
    <w:rsid w:val="00DE253F"/>
    <w:rsid w:val="00DE4E8F"/>
    <w:rsid w:val="00DE7445"/>
    <w:rsid w:val="00DF04EE"/>
    <w:rsid w:val="00DF1115"/>
    <w:rsid w:val="00DF1EA8"/>
    <w:rsid w:val="00DF2C6B"/>
    <w:rsid w:val="00DF2CAC"/>
    <w:rsid w:val="00DF75D3"/>
    <w:rsid w:val="00E02D5E"/>
    <w:rsid w:val="00E04C70"/>
    <w:rsid w:val="00E0567F"/>
    <w:rsid w:val="00E0626B"/>
    <w:rsid w:val="00E1182F"/>
    <w:rsid w:val="00E126A3"/>
    <w:rsid w:val="00E155BD"/>
    <w:rsid w:val="00E16F4C"/>
    <w:rsid w:val="00E16FEB"/>
    <w:rsid w:val="00E1736F"/>
    <w:rsid w:val="00E2070D"/>
    <w:rsid w:val="00E23758"/>
    <w:rsid w:val="00E238A1"/>
    <w:rsid w:val="00E2602A"/>
    <w:rsid w:val="00E26BB6"/>
    <w:rsid w:val="00E30FF0"/>
    <w:rsid w:val="00E32733"/>
    <w:rsid w:val="00E32F65"/>
    <w:rsid w:val="00E36B48"/>
    <w:rsid w:val="00E40A60"/>
    <w:rsid w:val="00E430E9"/>
    <w:rsid w:val="00E4325F"/>
    <w:rsid w:val="00E47CCC"/>
    <w:rsid w:val="00E50E2C"/>
    <w:rsid w:val="00E51C43"/>
    <w:rsid w:val="00E52ABE"/>
    <w:rsid w:val="00E60088"/>
    <w:rsid w:val="00E64072"/>
    <w:rsid w:val="00E64A44"/>
    <w:rsid w:val="00E6627D"/>
    <w:rsid w:val="00E6741F"/>
    <w:rsid w:val="00E67A1A"/>
    <w:rsid w:val="00E771F3"/>
    <w:rsid w:val="00E779E7"/>
    <w:rsid w:val="00E77B17"/>
    <w:rsid w:val="00E81313"/>
    <w:rsid w:val="00E81B31"/>
    <w:rsid w:val="00E832A8"/>
    <w:rsid w:val="00E873D1"/>
    <w:rsid w:val="00E87C36"/>
    <w:rsid w:val="00E900C5"/>
    <w:rsid w:val="00E90A01"/>
    <w:rsid w:val="00E948E6"/>
    <w:rsid w:val="00E9666A"/>
    <w:rsid w:val="00E97135"/>
    <w:rsid w:val="00EA1C86"/>
    <w:rsid w:val="00EA2CB4"/>
    <w:rsid w:val="00EA54FD"/>
    <w:rsid w:val="00EB01B2"/>
    <w:rsid w:val="00EB01FB"/>
    <w:rsid w:val="00EB0261"/>
    <w:rsid w:val="00EB4776"/>
    <w:rsid w:val="00EB4C40"/>
    <w:rsid w:val="00EB74BB"/>
    <w:rsid w:val="00EC16B4"/>
    <w:rsid w:val="00EC1E28"/>
    <w:rsid w:val="00EC2415"/>
    <w:rsid w:val="00EC34E7"/>
    <w:rsid w:val="00EC42BD"/>
    <w:rsid w:val="00EC5ED0"/>
    <w:rsid w:val="00EC63AE"/>
    <w:rsid w:val="00EC6C21"/>
    <w:rsid w:val="00EC7658"/>
    <w:rsid w:val="00ED0593"/>
    <w:rsid w:val="00ED4D13"/>
    <w:rsid w:val="00EE0E49"/>
    <w:rsid w:val="00EE1169"/>
    <w:rsid w:val="00EE5615"/>
    <w:rsid w:val="00EF1B3C"/>
    <w:rsid w:val="00EF3454"/>
    <w:rsid w:val="00EF5559"/>
    <w:rsid w:val="00EF64B1"/>
    <w:rsid w:val="00EF7B0D"/>
    <w:rsid w:val="00F007C9"/>
    <w:rsid w:val="00F009DB"/>
    <w:rsid w:val="00F02762"/>
    <w:rsid w:val="00F041D5"/>
    <w:rsid w:val="00F043F4"/>
    <w:rsid w:val="00F05770"/>
    <w:rsid w:val="00F120B7"/>
    <w:rsid w:val="00F14B76"/>
    <w:rsid w:val="00F244B7"/>
    <w:rsid w:val="00F31C57"/>
    <w:rsid w:val="00F36674"/>
    <w:rsid w:val="00F402B5"/>
    <w:rsid w:val="00F40959"/>
    <w:rsid w:val="00F40B12"/>
    <w:rsid w:val="00F40F93"/>
    <w:rsid w:val="00F43B88"/>
    <w:rsid w:val="00F442EF"/>
    <w:rsid w:val="00F47D7C"/>
    <w:rsid w:val="00F50010"/>
    <w:rsid w:val="00F506D1"/>
    <w:rsid w:val="00F51045"/>
    <w:rsid w:val="00F5404F"/>
    <w:rsid w:val="00F54A7F"/>
    <w:rsid w:val="00F55D50"/>
    <w:rsid w:val="00F57D77"/>
    <w:rsid w:val="00F604D8"/>
    <w:rsid w:val="00F62B70"/>
    <w:rsid w:val="00F651C1"/>
    <w:rsid w:val="00F67CE7"/>
    <w:rsid w:val="00F70643"/>
    <w:rsid w:val="00F70707"/>
    <w:rsid w:val="00F717E7"/>
    <w:rsid w:val="00F7395A"/>
    <w:rsid w:val="00F74997"/>
    <w:rsid w:val="00F762C7"/>
    <w:rsid w:val="00F76C86"/>
    <w:rsid w:val="00F77918"/>
    <w:rsid w:val="00F77A44"/>
    <w:rsid w:val="00F8058C"/>
    <w:rsid w:val="00F8077A"/>
    <w:rsid w:val="00F818BB"/>
    <w:rsid w:val="00F81A8C"/>
    <w:rsid w:val="00F82039"/>
    <w:rsid w:val="00F8283E"/>
    <w:rsid w:val="00F85470"/>
    <w:rsid w:val="00F86412"/>
    <w:rsid w:val="00F87E31"/>
    <w:rsid w:val="00F9594B"/>
    <w:rsid w:val="00F9598B"/>
    <w:rsid w:val="00F97844"/>
    <w:rsid w:val="00FA52F1"/>
    <w:rsid w:val="00FA617F"/>
    <w:rsid w:val="00FA7280"/>
    <w:rsid w:val="00FB0F48"/>
    <w:rsid w:val="00FB1CB7"/>
    <w:rsid w:val="00FB2377"/>
    <w:rsid w:val="00FB2A4D"/>
    <w:rsid w:val="00FB2BE6"/>
    <w:rsid w:val="00FB37B5"/>
    <w:rsid w:val="00FB4052"/>
    <w:rsid w:val="00FB446C"/>
    <w:rsid w:val="00FB7DB8"/>
    <w:rsid w:val="00FC1158"/>
    <w:rsid w:val="00FC1203"/>
    <w:rsid w:val="00FC4947"/>
    <w:rsid w:val="00FC4A0A"/>
    <w:rsid w:val="00FC5050"/>
    <w:rsid w:val="00FC675A"/>
    <w:rsid w:val="00FC68A3"/>
    <w:rsid w:val="00FD0B54"/>
    <w:rsid w:val="00FD15A4"/>
    <w:rsid w:val="00FD6403"/>
    <w:rsid w:val="00FE1340"/>
    <w:rsid w:val="00FE3E7B"/>
    <w:rsid w:val="00FE435C"/>
    <w:rsid w:val="00FE7CC5"/>
    <w:rsid w:val="00FF2782"/>
    <w:rsid w:val="00FF295A"/>
    <w:rsid w:val="00FF2A6F"/>
    <w:rsid w:val="00FF3FCD"/>
    <w:rsid w:val="00FF4C02"/>
    <w:rsid w:val="00FF5B50"/>
    <w:rsid w:val="00FF5EF9"/>
    <w:rsid w:val="00FF6B9B"/>
    <w:rsid w:val="00FF6F0A"/>
    <w:rsid w:val="00FF729B"/>
    <w:rsid w:val="010E70F1"/>
    <w:rsid w:val="0129403A"/>
    <w:rsid w:val="01826A17"/>
    <w:rsid w:val="01B77866"/>
    <w:rsid w:val="01DC2959"/>
    <w:rsid w:val="025837A5"/>
    <w:rsid w:val="03CB0F7B"/>
    <w:rsid w:val="04FF11CA"/>
    <w:rsid w:val="05921EE8"/>
    <w:rsid w:val="05F11169"/>
    <w:rsid w:val="06527826"/>
    <w:rsid w:val="06556C41"/>
    <w:rsid w:val="06707908"/>
    <w:rsid w:val="06A718B6"/>
    <w:rsid w:val="07346F7A"/>
    <w:rsid w:val="0736768B"/>
    <w:rsid w:val="075860A1"/>
    <w:rsid w:val="07F341CA"/>
    <w:rsid w:val="0858117E"/>
    <w:rsid w:val="086A32AC"/>
    <w:rsid w:val="089247D2"/>
    <w:rsid w:val="08A22C7C"/>
    <w:rsid w:val="097C6801"/>
    <w:rsid w:val="09CC7F17"/>
    <w:rsid w:val="09FC2CA4"/>
    <w:rsid w:val="0A14667A"/>
    <w:rsid w:val="0A462BC7"/>
    <w:rsid w:val="0A663F6C"/>
    <w:rsid w:val="0AD1239D"/>
    <w:rsid w:val="0B1F4989"/>
    <w:rsid w:val="0B2F58BB"/>
    <w:rsid w:val="0B626F71"/>
    <w:rsid w:val="0B7F5D75"/>
    <w:rsid w:val="0BA56541"/>
    <w:rsid w:val="0BE845BB"/>
    <w:rsid w:val="0BE934DD"/>
    <w:rsid w:val="0C186B74"/>
    <w:rsid w:val="0C6C1935"/>
    <w:rsid w:val="0C6C62F9"/>
    <w:rsid w:val="0CDE5118"/>
    <w:rsid w:val="0CE106DB"/>
    <w:rsid w:val="0CF663AE"/>
    <w:rsid w:val="0D2B61B4"/>
    <w:rsid w:val="0D6B4803"/>
    <w:rsid w:val="0D942D77"/>
    <w:rsid w:val="0D9D1AE5"/>
    <w:rsid w:val="0DAC6A6E"/>
    <w:rsid w:val="0DFB64F3"/>
    <w:rsid w:val="0DFE49A3"/>
    <w:rsid w:val="0E11418C"/>
    <w:rsid w:val="0E1A7E28"/>
    <w:rsid w:val="0E4A05AE"/>
    <w:rsid w:val="0E63372C"/>
    <w:rsid w:val="0E652AC5"/>
    <w:rsid w:val="0E682A23"/>
    <w:rsid w:val="0EFD76DC"/>
    <w:rsid w:val="0F7D6A6F"/>
    <w:rsid w:val="0FBE6C35"/>
    <w:rsid w:val="0FD216B3"/>
    <w:rsid w:val="0FF52AA9"/>
    <w:rsid w:val="0FF8315F"/>
    <w:rsid w:val="10112315"/>
    <w:rsid w:val="103112F5"/>
    <w:rsid w:val="104D01F0"/>
    <w:rsid w:val="10732363"/>
    <w:rsid w:val="10937656"/>
    <w:rsid w:val="10DB414B"/>
    <w:rsid w:val="10EA1EE2"/>
    <w:rsid w:val="110A251D"/>
    <w:rsid w:val="111E393A"/>
    <w:rsid w:val="115A6B37"/>
    <w:rsid w:val="11666897"/>
    <w:rsid w:val="123A0C48"/>
    <w:rsid w:val="12483364"/>
    <w:rsid w:val="128F4AEF"/>
    <w:rsid w:val="12A433B1"/>
    <w:rsid w:val="12BB58E4"/>
    <w:rsid w:val="12E75B94"/>
    <w:rsid w:val="13563DAA"/>
    <w:rsid w:val="136F1C20"/>
    <w:rsid w:val="13877D68"/>
    <w:rsid w:val="139F3BE4"/>
    <w:rsid w:val="13D3452B"/>
    <w:rsid w:val="140774AD"/>
    <w:rsid w:val="1517701E"/>
    <w:rsid w:val="15CC66A1"/>
    <w:rsid w:val="163E57AE"/>
    <w:rsid w:val="164976AB"/>
    <w:rsid w:val="16505C99"/>
    <w:rsid w:val="167F4558"/>
    <w:rsid w:val="16AF4771"/>
    <w:rsid w:val="16BA0495"/>
    <w:rsid w:val="16D34E8F"/>
    <w:rsid w:val="1734382F"/>
    <w:rsid w:val="17B9223F"/>
    <w:rsid w:val="17BE19D3"/>
    <w:rsid w:val="17D1198B"/>
    <w:rsid w:val="18067E8E"/>
    <w:rsid w:val="18176DF0"/>
    <w:rsid w:val="182C5C1D"/>
    <w:rsid w:val="186758E2"/>
    <w:rsid w:val="18720C84"/>
    <w:rsid w:val="19EF7AF9"/>
    <w:rsid w:val="1B0B13D3"/>
    <w:rsid w:val="1B304838"/>
    <w:rsid w:val="1B495A57"/>
    <w:rsid w:val="1B803B6F"/>
    <w:rsid w:val="1B9746C1"/>
    <w:rsid w:val="1BC9403A"/>
    <w:rsid w:val="1C050957"/>
    <w:rsid w:val="1C487D99"/>
    <w:rsid w:val="1C4955DC"/>
    <w:rsid w:val="1C4C100A"/>
    <w:rsid w:val="1C5847A3"/>
    <w:rsid w:val="1C5C30AE"/>
    <w:rsid w:val="1C7D3C0B"/>
    <w:rsid w:val="1C8C6544"/>
    <w:rsid w:val="1C9920A6"/>
    <w:rsid w:val="1CB05C33"/>
    <w:rsid w:val="1D914C03"/>
    <w:rsid w:val="1DD51824"/>
    <w:rsid w:val="1DEE08FE"/>
    <w:rsid w:val="1E786D7F"/>
    <w:rsid w:val="1EC47882"/>
    <w:rsid w:val="1ECE4BF1"/>
    <w:rsid w:val="1F5F3A9B"/>
    <w:rsid w:val="1F856AAA"/>
    <w:rsid w:val="1FA3607E"/>
    <w:rsid w:val="1FBD6951"/>
    <w:rsid w:val="1FD24B33"/>
    <w:rsid w:val="1FF22B62"/>
    <w:rsid w:val="20303E66"/>
    <w:rsid w:val="20BF43BB"/>
    <w:rsid w:val="20F25A2B"/>
    <w:rsid w:val="20F66299"/>
    <w:rsid w:val="20F85F56"/>
    <w:rsid w:val="21433208"/>
    <w:rsid w:val="218755AB"/>
    <w:rsid w:val="21E6657A"/>
    <w:rsid w:val="22010E3A"/>
    <w:rsid w:val="223942B3"/>
    <w:rsid w:val="223C6316"/>
    <w:rsid w:val="2296771B"/>
    <w:rsid w:val="22BE060B"/>
    <w:rsid w:val="22F02729"/>
    <w:rsid w:val="22F4507B"/>
    <w:rsid w:val="232B2612"/>
    <w:rsid w:val="233012E3"/>
    <w:rsid w:val="23FB1E25"/>
    <w:rsid w:val="244D325D"/>
    <w:rsid w:val="24A15EE2"/>
    <w:rsid w:val="24AB715F"/>
    <w:rsid w:val="24B97925"/>
    <w:rsid w:val="24D03CD9"/>
    <w:rsid w:val="24FB6FE0"/>
    <w:rsid w:val="251E084D"/>
    <w:rsid w:val="255B1D92"/>
    <w:rsid w:val="25A14E0E"/>
    <w:rsid w:val="25AE3087"/>
    <w:rsid w:val="25AF7C37"/>
    <w:rsid w:val="25CF468D"/>
    <w:rsid w:val="25F81110"/>
    <w:rsid w:val="25FA35BC"/>
    <w:rsid w:val="26583EBF"/>
    <w:rsid w:val="26A7706F"/>
    <w:rsid w:val="26F34F21"/>
    <w:rsid w:val="270D0F81"/>
    <w:rsid w:val="27117D71"/>
    <w:rsid w:val="27167136"/>
    <w:rsid w:val="278D7C5E"/>
    <w:rsid w:val="2797417A"/>
    <w:rsid w:val="27CC07A7"/>
    <w:rsid w:val="27CD66D3"/>
    <w:rsid w:val="2816238B"/>
    <w:rsid w:val="28181576"/>
    <w:rsid w:val="282854BD"/>
    <w:rsid w:val="28530E0E"/>
    <w:rsid w:val="28810F26"/>
    <w:rsid w:val="289447B6"/>
    <w:rsid w:val="289D21F4"/>
    <w:rsid w:val="289F15C5"/>
    <w:rsid w:val="28E868B0"/>
    <w:rsid w:val="290C1785"/>
    <w:rsid w:val="29553F04"/>
    <w:rsid w:val="29B2271B"/>
    <w:rsid w:val="29D0210E"/>
    <w:rsid w:val="29D67050"/>
    <w:rsid w:val="29D82521"/>
    <w:rsid w:val="29EB7B9D"/>
    <w:rsid w:val="29F714A0"/>
    <w:rsid w:val="2A5F6759"/>
    <w:rsid w:val="2A8E16D9"/>
    <w:rsid w:val="2A9475EB"/>
    <w:rsid w:val="2A9665C1"/>
    <w:rsid w:val="2ACA1805"/>
    <w:rsid w:val="2B2D4A4E"/>
    <w:rsid w:val="2B5050CE"/>
    <w:rsid w:val="2B5E540C"/>
    <w:rsid w:val="2B726905"/>
    <w:rsid w:val="2B867023"/>
    <w:rsid w:val="2C66290D"/>
    <w:rsid w:val="2CDB453F"/>
    <w:rsid w:val="2DA76D39"/>
    <w:rsid w:val="2DED6CD6"/>
    <w:rsid w:val="2E0B03C5"/>
    <w:rsid w:val="2E4E753A"/>
    <w:rsid w:val="2E9F12BE"/>
    <w:rsid w:val="2EA14510"/>
    <w:rsid w:val="2EA27D06"/>
    <w:rsid w:val="2EBA7481"/>
    <w:rsid w:val="2EBD6BCB"/>
    <w:rsid w:val="2EC025F4"/>
    <w:rsid w:val="2EC67693"/>
    <w:rsid w:val="2EF069F5"/>
    <w:rsid w:val="2F294338"/>
    <w:rsid w:val="2F302D5E"/>
    <w:rsid w:val="2F4862FA"/>
    <w:rsid w:val="2F5E1492"/>
    <w:rsid w:val="2F6C2EA4"/>
    <w:rsid w:val="2F77273B"/>
    <w:rsid w:val="2F9A46C5"/>
    <w:rsid w:val="2FD90D3F"/>
    <w:rsid w:val="2FF65D56"/>
    <w:rsid w:val="316239A1"/>
    <w:rsid w:val="316B15CD"/>
    <w:rsid w:val="32142976"/>
    <w:rsid w:val="3216448E"/>
    <w:rsid w:val="32AB6A4F"/>
    <w:rsid w:val="32C31F24"/>
    <w:rsid w:val="32FD7572"/>
    <w:rsid w:val="339F7A0C"/>
    <w:rsid w:val="33B3141F"/>
    <w:rsid w:val="33C42C0A"/>
    <w:rsid w:val="341C3E29"/>
    <w:rsid w:val="342463B4"/>
    <w:rsid w:val="346E6803"/>
    <w:rsid w:val="347100A1"/>
    <w:rsid w:val="348222AE"/>
    <w:rsid w:val="348A4CBF"/>
    <w:rsid w:val="34A477BF"/>
    <w:rsid w:val="35635963"/>
    <w:rsid w:val="35753BC1"/>
    <w:rsid w:val="35B5609F"/>
    <w:rsid w:val="35CB5AD6"/>
    <w:rsid w:val="35E13AD9"/>
    <w:rsid w:val="36316394"/>
    <w:rsid w:val="36E71A96"/>
    <w:rsid w:val="36EE262B"/>
    <w:rsid w:val="37313B18"/>
    <w:rsid w:val="3748158D"/>
    <w:rsid w:val="375D3FE4"/>
    <w:rsid w:val="376932B2"/>
    <w:rsid w:val="379F3EED"/>
    <w:rsid w:val="37AB1B1C"/>
    <w:rsid w:val="37E9704B"/>
    <w:rsid w:val="383C2774"/>
    <w:rsid w:val="3845264E"/>
    <w:rsid w:val="38C34BC3"/>
    <w:rsid w:val="38CD161E"/>
    <w:rsid w:val="38D2636E"/>
    <w:rsid w:val="39095129"/>
    <w:rsid w:val="392F0000"/>
    <w:rsid w:val="395343DC"/>
    <w:rsid w:val="395D1F82"/>
    <w:rsid w:val="397D4EE4"/>
    <w:rsid w:val="399049A3"/>
    <w:rsid w:val="399A6DBB"/>
    <w:rsid w:val="39EC2D56"/>
    <w:rsid w:val="3A00548E"/>
    <w:rsid w:val="3AAB46ED"/>
    <w:rsid w:val="3AC60BDB"/>
    <w:rsid w:val="3AD067E5"/>
    <w:rsid w:val="3AD97E6F"/>
    <w:rsid w:val="3AEC19EF"/>
    <w:rsid w:val="3B1A3241"/>
    <w:rsid w:val="3B493953"/>
    <w:rsid w:val="3B60266D"/>
    <w:rsid w:val="3B7364AD"/>
    <w:rsid w:val="3B847179"/>
    <w:rsid w:val="3B991666"/>
    <w:rsid w:val="3BB6736F"/>
    <w:rsid w:val="3BD57167"/>
    <w:rsid w:val="3C037EF5"/>
    <w:rsid w:val="3C4D4F50"/>
    <w:rsid w:val="3CE9395D"/>
    <w:rsid w:val="3D077723"/>
    <w:rsid w:val="3D453E79"/>
    <w:rsid w:val="3D8A3020"/>
    <w:rsid w:val="3DE11AA5"/>
    <w:rsid w:val="3E646581"/>
    <w:rsid w:val="3E825552"/>
    <w:rsid w:val="3E8517C5"/>
    <w:rsid w:val="3EB61701"/>
    <w:rsid w:val="3EBA6451"/>
    <w:rsid w:val="3ECA545B"/>
    <w:rsid w:val="3F566811"/>
    <w:rsid w:val="3F6E1604"/>
    <w:rsid w:val="3F995B77"/>
    <w:rsid w:val="3FD05D64"/>
    <w:rsid w:val="401455C3"/>
    <w:rsid w:val="405B4D28"/>
    <w:rsid w:val="4094294D"/>
    <w:rsid w:val="40A3733C"/>
    <w:rsid w:val="411029F0"/>
    <w:rsid w:val="421656C4"/>
    <w:rsid w:val="42193252"/>
    <w:rsid w:val="42277EF7"/>
    <w:rsid w:val="42411CEA"/>
    <w:rsid w:val="425C0A3B"/>
    <w:rsid w:val="426B76F0"/>
    <w:rsid w:val="42A96C58"/>
    <w:rsid w:val="432431A4"/>
    <w:rsid w:val="43B46EA6"/>
    <w:rsid w:val="43E16008"/>
    <w:rsid w:val="43F0701E"/>
    <w:rsid w:val="43F55B48"/>
    <w:rsid w:val="4410037A"/>
    <w:rsid w:val="44136A7F"/>
    <w:rsid w:val="44426641"/>
    <w:rsid w:val="44633262"/>
    <w:rsid w:val="448B4867"/>
    <w:rsid w:val="44D53D34"/>
    <w:rsid w:val="44F92940"/>
    <w:rsid w:val="4501063B"/>
    <w:rsid w:val="45132AAF"/>
    <w:rsid w:val="451F649D"/>
    <w:rsid w:val="455D4E4D"/>
    <w:rsid w:val="45BE6EBE"/>
    <w:rsid w:val="465346DC"/>
    <w:rsid w:val="46CD03D6"/>
    <w:rsid w:val="47001852"/>
    <w:rsid w:val="47131AAE"/>
    <w:rsid w:val="478236DD"/>
    <w:rsid w:val="47A948D0"/>
    <w:rsid w:val="47B65A57"/>
    <w:rsid w:val="47DB01D8"/>
    <w:rsid w:val="47EA6BCA"/>
    <w:rsid w:val="480F755D"/>
    <w:rsid w:val="48194880"/>
    <w:rsid w:val="48D12A65"/>
    <w:rsid w:val="48E94252"/>
    <w:rsid w:val="48FB15B1"/>
    <w:rsid w:val="492E1C8A"/>
    <w:rsid w:val="49C13E32"/>
    <w:rsid w:val="4A193EF2"/>
    <w:rsid w:val="4A5C41EE"/>
    <w:rsid w:val="4A6B59BD"/>
    <w:rsid w:val="4A911DE8"/>
    <w:rsid w:val="4AB20618"/>
    <w:rsid w:val="4AC44A5C"/>
    <w:rsid w:val="4AEC09FB"/>
    <w:rsid w:val="4B3D1D4B"/>
    <w:rsid w:val="4B841AD9"/>
    <w:rsid w:val="4BF9040A"/>
    <w:rsid w:val="4C0B61D0"/>
    <w:rsid w:val="4CBC4A0C"/>
    <w:rsid w:val="4D021D86"/>
    <w:rsid w:val="4D041B29"/>
    <w:rsid w:val="4D1D0B56"/>
    <w:rsid w:val="4D216D20"/>
    <w:rsid w:val="4D4B13F3"/>
    <w:rsid w:val="4D6B7D84"/>
    <w:rsid w:val="4D743336"/>
    <w:rsid w:val="4D761F49"/>
    <w:rsid w:val="4DB536B0"/>
    <w:rsid w:val="4E031D7A"/>
    <w:rsid w:val="4E3C3FC8"/>
    <w:rsid w:val="4E524648"/>
    <w:rsid w:val="4E873E5B"/>
    <w:rsid w:val="4EB4266F"/>
    <w:rsid w:val="4EC13713"/>
    <w:rsid w:val="4F477F24"/>
    <w:rsid w:val="4F506DD9"/>
    <w:rsid w:val="4F7B372A"/>
    <w:rsid w:val="50492ED6"/>
    <w:rsid w:val="50594E5E"/>
    <w:rsid w:val="50AA427B"/>
    <w:rsid w:val="50E27D28"/>
    <w:rsid w:val="50F30CAD"/>
    <w:rsid w:val="51733EAB"/>
    <w:rsid w:val="51A26F77"/>
    <w:rsid w:val="51A70A0A"/>
    <w:rsid w:val="51BD44CE"/>
    <w:rsid w:val="51BE5C1E"/>
    <w:rsid w:val="51CB640B"/>
    <w:rsid w:val="51E1029C"/>
    <w:rsid w:val="522B1A1A"/>
    <w:rsid w:val="524B2DC8"/>
    <w:rsid w:val="52952D55"/>
    <w:rsid w:val="52AF2B74"/>
    <w:rsid w:val="52D11EE3"/>
    <w:rsid w:val="530110AB"/>
    <w:rsid w:val="531D551D"/>
    <w:rsid w:val="53413B53"/>
    <w:rsid w:val="534E1882"/>
    <w:rsid w:val="53E478AF"/>
    <w:rsid w:val="541128AF"/>
    <w:rsid w:val="543563F0"/>
    <w:rsid w:val="5488245D"/>
    <w:rsid w:val="54D6640B"/>
    <w:rsid w:val="551E1D72"/>
    <w:rsid w:val="556E388B"/>
    <w:rsid w:val="55806D8B"/>
    <w:rsid w:val="55D77168"/>
    <w:rsid w:val="560C77D2"/>
    <w:rsid w:val="56142BD0"/>
    <w:rsid w:val="56867584"/>
    <w:rsid w:val="56F05B65"/>
    <w:rsid w:val="572D5C52"/>
    <w:rsid w:val="57473B22"/>
    <w:rsid w:val="575D4AEE"/>
    <w:rsid w:val="57736AB0"/>
    <w:rsid w:val="57C07912"/>
    <w:rsid w:val="584720E0"/>
    <w:rsid w:val="585A0885"/>
    <w:rsid w:val="58D27FB8"/>
    <w:rsid w:val="58F9524E"/>
    <w:rsid w:val="59A3777C"/>
    <w:rsid w:val="59DB7BE7"/>
    <w:rsid w:val="5A352FBE"/>
    <w:rsid w:val="5A390534"/>
    <w:rsid w:val="5A4A63D7"/>
    <w:rsid w:val="5A715E56"/>
    <w:rsid w:val="5A9B04D6"/>
    <w:rsid w:val="5B6F4A8B"/>
    <w:rsid w:val="5BF74EC7"/>
    <w:rsid w:val="5C1F50E4"/>
    <w:rsid w:val="5C205BA2"/>
    <w:rsid w:val="5CC96302"/>
    <w:rsid w:val="5CF93B2D"/>
    <w:rsid w:val="5D83037A"/>
    <w:rsid w:val="5DA90013"/>
    <w:rsid w:val="5DB9023F"/>
    <w:rsid w:val="5DED7EE9"/>
    <w:rsid w:val="5DFF6F42"/>
    <w:rsid w:val="5E297715"/>
    <w:rsid w:val="5E4443F8"/>
    <w:rsid w:val="5EBB21E3"/>
    <w:rsid w:val="5ED811C0"/>
    <w:rsid w:val="5EFE78C9"/>
    <w:rsid w:val="5F04319F"/>
    <w:rsid w:val="5F230C6E"/>
    <w:rsid w:val="5F6D55CC"/>
    <w:rsid w:val="5F8C1EAA"/>
    <w:rsid w:val="5FE559CD"/>
    <w:rsid w:val="5FEB71DA"/>
    <w:rsid w:val="60562F44"/>
    <w:rsid w:val="606E3D0C"/>
    <w:rsid w:val="607A491A"/>
    <w:rsid w:val="60932FCA"/>
    <w:rsid w:val="60D9470F"/>
    <w:rsid w:val="612049BB"/>
    <w:rsid w:val="614F614E"/>
    <w:rsid w:val="6151253D"/>
    <w:rsid w:val="615841C4"/>
    <w:rsid w:val="615978D1"/>
    <w:rsid w:val="615C785F"/>
    <w:rsid w:val="61B16610"/>
    <w:rsid w:val="61CD3451"/>
    <w:rsid w:val="61DD2A6C"/>
    <w:rsid w:val="61E6479E"/>
    <w:rsid w:val="62614A02"/>
    <w:rsid w:val="62625805"/>
    <w:rsid w:val="62AC1A0A"/>
    <w:rsid w:val="631E68A0"/>
    <w:rsid w:val="632C0E54"/>
    <w:rsid w:val="639F1C85"/>
    <w:rsid w:val="6411743B"/>
    <w:rsid w:val="642C15E5"/>
    <w:rsid w:val="64301C12"/>
    <w:rsid w:val="649829A9"/>
    <w:rsid w:val="64C42F83"/>
    <w:rsid w:val="64EB67CE"/>
    <w:rsid w:val="658729D1"/>
    <w:rsid w:val="65D21085"/>
    <w:rsid w:val="6639016F"/>
    <w:rsid w:val="66392D9A"/>
    <w:rsid w:val="6663635F"/>
    <w:rsid w:val="66754F1F"/>
    <w:rsid w:val="66993F11"/>
    <w:rsid w:val="66B772E6"/>
    <w:rsid w:val="66CE13EF"/>
    <w:rsid w:val="66DB4D83"/>
    <w:rsid w:val="67346614"/>
    <w:rsid w:val="674120F2"/>
    <w:rsid w:val="674E7C3D"/>
    <w:rsid w:val="678C7A88"/>
    <w:rsid w:val="67BD6B7E"/>
    <w:rsid w:val="67EB2EF9"/>
    <w:rsid w:val="688C2BE0"/>
    <w:rsid w:val="688D6550"/>
    <w:rsid w:val="68994EF5"/>
    <w:rsid w:val="68EF29E6"/>
    <w:rsid w:val="690D50F9"/>
    <w:rsid w:val="697C498C"/>
    <w:rsid w:val="69927E5F"/>
    <w:rsid w:val="69D0221D"/>
    <w:rsid w:val="6A4242B5"/>
    <w:rsid w:val="6A8272FB"/>
    <w:rsid w:val="6A912B8B"/>
    <w:rsid w:val="6AF44665"/>
    <w:rsid w:val="6B1D6721"/>
    <w:rsid w:val="6B6E08BB"/>
    <w:rsid w:val="6B710969"/>
    <w:rsid w:val="6B9E135C"/>
    <w:rsid w:val="6BDA5FDD"/>
    <w:rsid w:val="6CCF3B4B"/>
    <w:rsid w:val="6D427557"/>
    <w:rsid w:val="6D6C470B"/>
    <w:rsid w:val="6D7018D3"/>
    <w:rsid w:val="6D724E66"/>
    <w:rsid w:val="6E027D32"/>
    <w:rsid w:val="6E331948"/>
    <w:rsid w:val="6E533D98"/>
    <w:rsid w:val="6E5B0E2F"/>
    <w:rsid w:val="6E5C35A4"/>
    <w:rsid w:val="6ED352FB"/>
    <w:rsid w:val="6F154861"/>
    <w:rsid w:val="6F8B1310"/>
    <w:rsid w:val="6FAE2A7D"/>
    <w:rsid w:val="6FAF5830"/>
    <w:rsid w:val="6FEA732C"/>
    <w:rsid w:val="701D4BDE"/>
    <w:rsid w:val="70204F9A"/>
    <w:rsid w:val="70897BFE"/>
    <w:rsid w:val="70911BAC"/>
    <w:rsid w:val="70A02736"/>
    <w:rsid w:val="70B43760"/>
    <w:rsid w:val="70C108B5"/>
    <w:rsid w:val="70DD3A4C"/>
    <w:rsid w:val="716E429D"/>
    <w:rsid w:val="71701401"/>
    <w:rsid w:val="718129CA"/>
    <w:rsid w:val="71C0365F"/>
    <w:rsid w:val="71C1201B"/>
    <w:rsid w:val="71C32FA0"/>
    <w:rsid w:val="71E865E8"/>
    <w:rsid w:val="722153EB"/>
    <w:rsid w:val="723247C9"/>
    <w:rsid w:val="72801E0E"/>
    <w:rsid w:val="728D72D4"/>
    <w:rsid w:val="72F6424D"/>
    <w:rsid w:val="72FF004B"/>
    <w:rsid w:val="734168B5"/>
    <w:rsid w:val="7351143E"/>
    <w:rsid w:val="73591E51"/>
    <w:rsid w:val="7379604F"/>
    <w:rsid w:val="73CD213F"/>
    <w:rsid w:val="73D94D40"/>
    <w:rsid w:val="74205BD2"/>
    <w:rsid w:val="74671F38"/>
    <w:rsid w:val="747B1BB4"/>
    <w:rsid w:val="74B3090C"/>
    <w:rsid w:val="74B72AE2"/>
    <w:rsid w:val="750000AA"/>
    <w:rsid w:val="75A62A4E"/>
    <w:rsid w:val="75D01109"/>
    <w:rsid w:val="75D61CF2"/>
    <w:rsid w:val="760342F6"/>
    <w:rsid w:val="76054C7B"/>
    <w:rsid w:val="766460CF"/>
    <w:rsid w:val="766E5C13"/>
    <w:rsid w:val="76D33CC8"/>
    <w:rsid w:val="76DE134D"/>
    <w:rsid w:val="76F33ECC"/>
    <w:rsid w:val="772876AC"/>
    <w:rsid w:val="773418AC"/>
    <w:rsid w:val="77B25FEB"/>
    <w:rsid w:val="77BC77E7"/>
    <w:rsid w:val="77C979EF"/>
    <w:rsid w:val="780266F5"/>
    <w:rsid w:val="78203E33"/>
    <w:rsid w:val="78590CF3"/>
    <w:rsid w:val="788B576D"/>
    <w:rsid w:val="78AD0549"/>
    <w:rsid w:val="78E81443"/>
    <w:rsid w:val="79137054"/>
    <w:rsid w:val="795F234F"/>
    <w:rsid w:val="796A0C20"/>
    <w:rsid w:val="79721340"/>
    <w:rsid w:val="79AD7538"/>
    <w:rsid w:val="79B078F9"/>
    <w:rsid w:val="79D00993"/>
    <w:rsid w:val="79DB3109"/>
    <w:rsid w:val="7A0E68EE"/>
    <w:rsid w:val="7AC23EDC"/>
    <w:rsid w:val="7ACA6D89"/>
    <w:rsid w:val="7AF35895"/>
    <w:rsid w:val="7B2173E8"/>
    <w:rsid w:val="7B336A83"/>
    <w:rsid w:val="7B3F069E"/>
    <w:rsid w:val="7B9D6653"/>
    <w:rsid w:val="7BCB4C79"/>
    <w:rsid w:val="7BD42F30"/>
    <w:rsid w:val="7C806757"/>
    <w:rsid w:val="7CC44922"/>
    <w:rsid w:val="7D8379F3"/>
    <w:rsid w:val="7D8A547F"/>
    <w:rsid w:val="7D9879F5"/>
    <w:rsid w:val="7DBD71A6"/>
    <w:rsid w:val="7DC336AA"/>
    <w:rsid w:val="7E050960"/>
    <w:rsid w:val="7EBA56AC"/>
    <w:rsid w:val="7EC04E5E"/>
    <w:rsid w:val="7F0F03A1"/>
    <w:rsid w:val="7F1955B0"/>
    <w:rsid w:val="7F3217A8"/>
    <w:rsid w:val="7F7818B1"/>
    <w:rsid w:val="7F952167"/>
    <w:rsid w:val="7FCA06E4"/>
    <w:rsid w:val="7FDD1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0"/>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1"/>
    <w:qFormat/>
    <w:uiPriority w:val="0"/>
    <w:pPr>
      <w:keepNext/>
      <w:keepLines/>
      <w:spacing w:before="260" w:after="260" w:line="416" w:lineRule="auto"/>
      <w:outlineLvl w:val="2"/>
    </w:pPr>
    <w:rPr>
      <w:b/>
      <w:bCs/>
      <w:kern w:val="0"/>
      <w:sz w:val="32"/>
      <w:szCs w:val="32"/>
    </w:rPr>
  </w:style>
  <w:style w:type="paragraph" w:styleId="5">
    <w:name w:val="heading 5"/>
    <w:basedOn w:val="1"/>
    <w:next w:val="6"/>
    <w:link w:val="62"/>
    <w:qFormat/>
    <w:uiPriority w:val="0"/>
    <w:pPr>
      <w:keepNext/>
      <w:keepLines/>
      <w:numPr>
        <w:ilvl w:val="4"/>
        <w:numId w:val="1"/>
      </w:numPr>
      <w:spacing w:before="280" w:after="290" w:line="376" w:lineRule="auto"/>
      <w:outlineLvl w:val="4"/>
    </w:pPr>
    <w:rPr>
      <w:b/>
      <w:sz w:val="28"/>
    </w:rPr>
  </w:style>
  <w:style w:type="paragraph" w:styleId="7">
    <w:name w:val="heading 6"/>
    <w:basedOn w:val="1"/>
    <w:next w:val="6"/>
    <w:link w:val="63"/>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6"/>
    <w:link w:val="64"/>
    <w:qFormat/>
    <w:uiPriority w:val="0"/>
    <w:pPr>
      <w:keepNext/>
      <w:keepLines/>
      <w:numPr>
        <w:ilvl w:val="6"/>
        <w:numId w:val="1"/>
      </w:numPr>
      <w:spacing w:before="240" w:after="64" w:line="320" w:lineRule="auto"/>
      <w:outlineLvl w:val="6"/>
    </w:pPr>
    <w:rPr>
      <w:b/>
      <w:sz w:val="24"/>
    </w:rPr>
  </w:style>
  <w:style w:type="paragraph" w:styleId="9">
    <w:name w:val="heading 8"/>
    <w:basedOn w:val="1"/>
    <w:next w:val="6"/>
    <w:link w:val="65"/>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6"/>
    <w:link w:val="66"/>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1">
    <w:name w:val="toc 7"/>
    <w:basedOn w:val="1"/>
    <w:next w:val="1"/>
    <w:unhideWhenUsed/>
    <w:qFormat/>
    <w:uiPriority w:val="39"/>
    <w:pPr>
      <w:ind w:left="2520" w:leftChars="1200"/>
    </w:pPr>
    <w:rPr>
      <w:rFonts w:ascii="Calibri" w:hAnsi="Calibri"/>
      <w:szCs w:val="22"/>
    </w:rPr>
  </w:style>
  <w:style w:type="paragraph" w:styleId="12">
    <w:name w:val="index 8"/>
    <w:basedOn w:val="1"/>
    <w:next w:val="1"/>
    <w:qFormat/>
    <w:uiPriority w:val="0"/>
    <w:pPr>
      <w:spacing w:line="400" w:lineRule="exact"/>
      <w:ind w:left="2940" w:firstLine="1044" w:firstLineChars="200"/>
      <w:jc w:val="left"/>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7"/>
    <w:unhideWhenUsed/>
    <w:qFormat/>
    <w:uiPriority w:val="0"/>
    <w:pPr>
      <w:shd w:val="clear" w:color="auto" w:fill="000080"/>
    </w:pPr>
    <w:rPr>
      <w:rFonts w:hint="eastAsia" w:ascii="宋体" w:hAnsi="宋体"/>
      <w:kern w:val="0"/>
      <w:sz w:val="20"/>
      <w:szCs w:val="20"/>
    </w:rPr>
  </w:style>
  <w:style w:type="paragraph" w:styleId="16">
    <w:name w:val="annotation text"/>
    <w:basedOn w:val="1"/>
    <w:link w:val="68"/>
    <w:unhideWhenUsed/>
    <w:qFormat/>
    <w:uiPriority w:val="0"/>
    <w:pPr>
      <w:jc w:val="left"/>
    </w:pPr>
  </w:style>
  <w:style w:type="paragraph" w:styleId="17">
    <w:name w:val="Body Text 3"/>
    <w:basedOn w:val="1"/>
    <w:link w:val="69"/>
    <w:qFormat/>
    <w:uiPriority w:val="0"/>
    <w:pPr>
      <w:spacing w:line="500" w:lineRule="exact"/>
    </w:pPr>
    <w:rPr>
      <w:b/>
      <w:bCs/>
      <w:kern w:val="0"/>
      <w:sz w:val="24"/>
    </w:rPr>
  </w:style>
  <w:style w:type="paragraph" w:styleId="18">
    <w:name w:val="Body Text"/>
    <w:basedOn w:val="1"/>
    <w:next w:val="1"/>
    <w:link w:val="70"/>
    <w:qFormat/>
    <w:uiPriority w:val="0"/>
    <w:pPr>
      <w:spacing w:line="380" w:lineRule="exact"/>
    </w:pPr>
    <w:rPr>
      <w:kern w:val="0"/>
      <w:sz w:val="24"/>
    </w:rPr>
  </w:style>
  <w:style w:type="paragraph" w:styleId="19">
    <w:name w:val="Body Text Indent"/>
    <w:basedOn w:val="1"/>
    <w:link w:val="71"/>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ind w:left="840" w:leftChars="400"/>
    </w:pPr>
    <w:rPr>
      <w:rFonts w:ascii="Calibri" w:hAnsi="Calibri"/>
      <w:szCs w:val="22"/>
    </w:rPr>
  </w:style>
  <w:style w:type="paragraph" w:styleId="24">
    <w:name w:val="Plain Text"/>
    <w:basedOn w:val="1"/>
    <w:next w:val="12"/>
    <w:link w:val="72"/>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73"/>
    <w:qFormat/>
    <w:uiPriority w:val="0"/>
    <w:pPr>
      <w:ind w:left="100" w:leftChars="2500"/>
    </w:pPr>
    <w:rPr>
      <w:rFonts w:ascii="宋体" w:hAnsi="Courier New"/>
      <w:kern w:val="0"/>
      <w:sz w:val="20"/>
      <w:szCs w:val="21"/>
    </w:rPr>
  </w:style>
  <w:style w:type="paragraph" w:styleId="27">
    <w:name w:val="Body Text Indent 2"/>
    <w:basedOn w:val="1"/>
    <w:link w:val="74"/>
    <w:qFormat/>
    <w:uiPriority w:val="0"/>
    <w:pPr>
      <w:ind w:firstLine="630"/>
    </w:pPr>
    <w:rPr>
      <w:kern w:val="0"/>
      <w:sz w:val="32"/>
      <w:szCs w:val="20"/>
    </w:rPr>
  </w:style>
  <w:style w:type="paragraph" w:styleId="28">
    <w:name w:val="endnote text"/>
    <w:basedOn w:val="1"/>
    <w:link w:val="75"/>
    <w:unhideWhenUsed/>
    <w:qFormat/>
    <w:uiPriority w:val="99"/>
    <w:pPr>
      <w:snapToGrid w:val="0"/>
      <w:jc w:val="left"/>
    </w:pPr>
  </w:style>
  <w:style w:type="paragraph" w:styleId="29">
    <w:name w:val="Balloon Text"/>
    <w:basedOn w:val="1"/>
    <w:link w:val="76"/>
    <w:semiHidden/>
    <w:qFormat/>
    <w:uiPriority w:val="0"/>
    <w:rPr>
      <w:kern w:val="0"/>
      <w:sz w:val="18"/>
      <w:szCs w:val="18"/>
    </w:rPr>
  </w:style>
  <w:style w:type="paragraph" w:styleId="30">
    <w:name w:val="footer"/>
    <w:basedOn w:val="1"/>
    <w:link w:val="77"/>
    <w:unhideWhenUsed/>
    <w:qFormat/>
    <w:uiPriority w:val="99"/>
    <w:pPr>
      <w:tabs>
        <w:tab w:val="center" w:pos="4153"/>
        <w:tab w:val="right" w:pos="8306"/>
      </w:tabs>
      <w:snapToGrid w:val="0"/>
      <w:jc w:val="left"/>
    </w:pPr>
    <w:rPr>
      <w:kern w:val="0"/>
      <w:sz w:val="18"/>
      <w:szCs w:val="18"/>
    </w:rPr>
  </w:style>
  <w:style w:type="paragraph" w:styleId="31">
    <w:name w:val="envelope return"/>
    <w:basedOn w:val="1"/>
    <w:qFormat/>
    <w:uiPriority w:val="0"/>
    <w:pPr>
      <w:snapToGrid w:val="0"/>
    </w:pPr>
    <w:rPr>
      <w:rFonts w:ascii="Arial" w:hAnsi="Arial"/>
    </w:rPr>
  </w:style>
  <w:style w:type="paragraph" w:styleId="32">
    <w:name w:val="header"/>
    <w:basedOn w:val="1"/>
    <w:link w:val="78"/>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List"/>
    <w:basedOn w:val="1"/>
    <w:qFormat/>
    <w:uiPriority w:val="0"/>
    <w:pPr>
      <w:ind w:left="200" w:hanging="200" w:hangingChars="200"/>
    </w:pPr>
    <w:rPr>
      <w:sz w:val="28"/>
    </w:rPr>
  </w:style>
  <w:style w:type="paragraph" w:styleId="36">
    <w:name w:val="footnote text"/>
    <w:basedOn w:val="1"/>
    <w:link w:val="79"/>
    <w:unhideWhenUsed/>
    <w:qFormat/>
    <w:uiPriority w:val="99"/>
    <w:pPr>
      <w:snapToGrid w:val="0"/>
      <w:jc w:val="left"/>
    </w:pPr>
    <w:rPr>
      <w:sz w:val="18"/>
      <w:szCs w:val="1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80"/>
    <w:qFormat/>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81"/>
    <w:qFormat/>
    <w:uiPriority w:val="0"/>
    <w:pPr>
      <w:spacing w:after="120" w:line="480" w:lineRule="auto"/>
    </w:pPr>
    <w:rPr>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spacing w:line="400" w:lineRule="exact"/>
      <w:ind w:firstLine="420" w:firstLineChars="200"/>
    </w:pPr>
    <w:rPr>
      <w:rFonts w:ascii="宋体" w:hAnsi="Courier New"/>
      <w:b/>
      <w:szCs w:val="20"/>
    </w:rPr>
  </w:style>
  <w:style w:type="paragraph" w:styleId="44">
    <w:name w:val="Title"/>
    <w:basedOn w:val="1"/>
    <w:next w:val="1"/>
    <w:link w:val="82"/>
    <w:qFormat/>
    <w:uiPriority w:val="10"/>
    <w:pPr>
      <w:spacing w:before="240" w:after="60"/>
      <w:jc w:val="center"/>
      <w:outlineLvl w:val="0"/>
    </w:pPr>
    <w:rPr>
      <w:rFonts w:ascii="Cambria" w:hAnsi="Cambria"/>
      <w:b/>
      <w:bCs/>
      <w:sz w:val="32"/>
      <w:szCs w:val="32"/>
    </w:rPr>
  </w:style>
  <w:style w:type="paragraph" w:styleId="45">
    <w:name w:val="annotation subject"/>
    <w:basedOn w:val="16"/>
    <w:next w:val="16"/>
    <w:link w:val="83"/>
    <w:unhideWhenUsed/>
    <w:qFormat/>
    <w:uiPriority w:val="99"/>
    <w:rPr>
      <w:b/>
      <w:bCs/>
    </w:rPr>
  </w:style>
  <w:style w:type="paragraph" w:styleId="46">
    <w:name w:val="Body Text First Indent 2"/>
    <w:basedOn w:val="19"/>
    <w:next w:val="1"/>
    <w:unhideWhenUsed/>
    <w:qFormat/>
    <w:uiPriority w:val="0"/>
    <w:pPr>
      <w:ind w:firstLine="420" w:firstLineChars="2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endnote reference"/>
    <w:unhideWhenUsed/>
    <w:qFormat/>
    <w:uiPriority w:val="99"/>
    <w:rPr>
      <w:vertAlign w:val="superscript"/>
    </w:rPr>
  </w:style>
  <w:style w:type="character" w:styleId="52">
    <w:name w:val="page number"/>
    <w:qFormat/>
    <w:uiPriority w:val="0"/>
  </w:style>
  <w:style w:type="character" w:styleId="53">
    <w:name w:val="FollowedHyperlink"/>
    <w:qFormat/>
    <w:uiPriority w:val="0"/>
    <w:rPr>
      <w:color w:val="800080"/>
      <w:u w:val="single"/>
    </w:rPr>
  </w:style>
  <w:style w:type="character" w:styleId="54">
    <w:name w:val="Hyperlink"/>
    <w:qFormat/>
    <w:uiPriority w:val="99"/>
    <w:rPr>
      <w:color w:val="0000FF"/>
      <w:u w:val="single"/>
    </w:rPr>
  </w:style>
  <w:style w:type="character" w:styleId="55">
    <w:name w:val="annotation reference"/>
    <w:unhideWhenUsed/>
    <w:qFormat/>
    <w:uiPriority w:val="0"/>
    <w:rPr>
      <w:sz w:val="21"/>
      <w:szCs w:val="21"/>
    </w:rPr>
  </w:style>
  <w:style w:type="character" w:styleId="56">
    <w:name w:val="footnote reference"/>
    <w:unhideWhenUsed/>
    <w:qFormat/>
    <w:uiPriority w:val="99"/>
    <w:rPr>
      <w:vertAlign w:val="superscript"/>
    </w:rPr>
  </w:style>
  <w:style w:type="paragraph" w:customStyle="1" w:styleId="57">
    <w:name w:val="首行缩进"/>
    <w:basedOn w:val="1"/>
    <w:qFormat/>
    <w:uiPriority w:val="0"/>
    <w:pPr>
      <w:ind w:firstLine="480" w:firstLineChars="200"/>
    </w:pPr>
  </w:style>
  <w:style w:type="paragraph" w:customStyle="1" w:styleId="5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59">
    <w:name w:val="标题 1 Char1"/>
    <w:link w:val="2"/>
    <w:qFormat/>
    <w:uiPriority w:val="0"/>
    <w:rPr>
      <w:rFonts w:ascii="Times New Roman" w:hAnsi="Times New Roman" w:eastAsia="宋体" w:cs="Times New Roman"/>
      <w:b/>
      <w:bCs/>
      <w:kern w:val="44"/>
      <w:sz w:val="44"/>
      <w:szCs w:val="44"/>
    </w:rPr>
  </w:style>
  <w:style w:type="character" w:customStyle="1" w:styleId="60">
    <w:name w:val="标题 2 Char1"/>
    <w:link w:val="3"/>
    <w:qFormat/>
    <w:uiPriority w:val="0"/>
    <w:rPr>
      <w:rFonts w:ascii="Arial" w:hAnsi="Arial" w:eastAsia="黑体" w:cs="Times New Roman"/>
      <w:b/>
      <w:bCs/>
      <w:sz w:val="32"/>
      <w:szCs w:val="32"/>
    </w:rPr>
  </w:style>
  <w:style w:type="character" w:customStyle="1" w:styleId="61">
    <w:name w:val="标题 3 Char1"/>
    <w:link w:val="4"/>
    <w:qFormat/>
    <w:uiPriority w:val="0"/>
    <w:rPr>
      <w:rFonts w:ascii="Times New Roman" w:hAnsi="Times New Roman" w:eastAsia="宋体" w:cs="Times New Roman"/>
      <w:b/>
      <w:bCs/>
      <w:sz w:val="32"/>
      <w:szCs w:val="32"/>
    </w:rPr>
  </w:style>
  <w:style w:type="character" w:customStyle="1" w:styleId="62">
    <w:name w:val="标题 5 Char2"/>
    <w:link w:val="5"/>
    <w:qFormat/>
    <w:uiPriority w:val="0"/>
    <w:rPr>
      <w:b/>
      <w:kern w:val="2"/>
      <w:sz w:val="28"/>
      <w:szCs w:val="24"/>
    </w:rPr>
  </w:style>
  <w:style w:type="character" w:customStyle="1" w:styleId="63">
    <w:name w:val="标题 6 Char1"/>
    <w:link w:val="7"/>
    <w:qFormat/>
    <w:uiPriority w:val="0"/>
    <w:rPr>
      <w:rFonts w:ascii="Arial" w:hAnsi="Arial" w:eastAsia="黑体"/>
      <w:b/>
      <w:kern w:val="2"/>
      <w:sz w:val="24"/>
      <w:szCs w:val="24"/>
    </w:rPr>
  </w:style>
  <w:style w:type="character" w:customStyle="1" w:styleId="64">
    <w:name w:val="标题 7 Char1"/>
    <w:link w:val="8"/>
    <w:qFormat/>
    <w:uiPriority w:val="0"/>
    <w:rPr>
      <w:rFonts w:ascii="Times New Roman" w:hAnsi="Times New Roman"/>
      <w:b/>
      <w:kern w:val="2"/>
      <w:sz w:val="24"/>
      <w:szCs w:val="24"/>
    </w:rPr>
  </w:style>
  <w:style w:type="character" w:customStyle="1" w:styleId="65">
    <w:name w:val="标题 8 Char1"/>
    <w:link w:val="9"/>
    <w:qFormat/>
    <w:uiPriority w:val="0"/>
    <w:rPr>
      <w:rFonts w:ascii="Arial" w:hAnsi="Arial" w:eastAsia="黑体"/>
      <w:kern w:val="2"/>
      <w:sz w:val="24"/>
      <w:szCs w:val="24"/>
    </w:rPr>
  </w:style>
  <w:style w:type="character" w:customStyle="1" w:styleId="66">
    <w:name w:val="标题 9 Char1"/>
    <w:link w:val="10"/>
    <w:qFormat/>
    <w:uiPriority w:val="0"/>
    <w:rPr>
      <w:rFonts w:ascii="Arial" w:hAnsi="Arial" w:eastAsia="黑体"/>
      <w:kern w:val="2"/>
      <w:sz w:val="21"/>
      <w:szCs w:val="24"/>
    </w:rPr>
  </w:style>
  <w:style w:type="character" w:customStyle="1" w:styleId="67">
    <w:name w:val="文档结构图 Char1"/>
    <w:link w:val="15"/>
    <w:qFormat/>
    <w:uiPriority w:val="0"/>
    <w:rPr>
      <w:rFonts w:hint="eastAsia" w:ascii="宋体" w:hAnsi="宋体" w:eastAsia="宋体" w:cs="宋体"/>
    </w:rPr>
  </w:style>
  <w:style w:type="character" w:customStyle="1" w:styleId="68">
    <w:name w:val="批注文字 Char3"/>
    <w:link w:val="16"/>
    <w:qFormat/>
    <w:uiPriority w:val="0"/>
    <w:rPr>
      <w:rFonts w:ascii="Times New Roman" w:hAnsi="Times New Roman"/>
      <w:kern w:val="2"/>
      <w:sz w:val="21"/>
      <w:szCs w:val="24"/>
    </w:rPr>
  </w:style>
  <w:style w:type="character" w:customStyle="1" w:styleId="69">
    <w:name w:val="正文文本 3 Char1"/>
    <w:link w:val="17"/>
    <w:qFormat/>
    <w:uiPriority w:val="0"/>
    <w:rPr>
      <w:rFonts w:ascii="Times New Roman" w:hAnsi="Times New Roman" w:eastAsia="宋体" w:cs="Times New Roman"/>
      <w:b/>
      <w:bCs/>
      <w:sz w:val="24"/>
      <w:szCs w:val="24"/>
    </w:rPr>
  </w:style>
  <w:style w:type="character" w:customStyle="1" w:styleId="70">
    <w:name w:val="正文文本 Char2"/>
    <w:link w:val="18"/>
    <w:qFormat/>
    <w:uiPriority w:val="0"/>
    <w:rPr>
      <w:rFonts w:ascii="Times New Roman" w:hAnsi="Times New Roman" w:eastAsia="宋体" w:cs="Times New Roman"/>
      <w:sz w:val="24"/>
      <w:szCs w:val="24"/>
    </w:rPr>
  </w:style>
  <w:style w:type="character" w:customStyle="1" w:styleId="71">
    <w:name w:val="正文文本缩进 Char1"/>
    <w:link w:val="19"/>
    <w:qFormat/>
    <w:uiPriority w:val="0"/>
    <w:rPr>
      <w:rFonts w:ascii="仿宋_GB2312" w:hAnsi="Times New Roman" w:eastAsia="仿宋_GB2312" w:cs="Times New Roman"/>
      <w:sz w:val="32"/>
      <w:szCs w:val="20"/>
    </w:rPr>
  </w:style>
  <w:style w:type="character" w:customStyle="1" w:styleId="72">
    <w:name w:val="纯文本 Char3"/>
    <w:link w:val="24"/>
    <w:qFormat/>
    <w:uiPriority w:val="0"/>
    <w:rPr>
      <w:rFonts w:ascii="宋体" w:hAnsi="Courier New" w:eastAsia="宋体" w:cs="Courier New"/>
      <w:szCs w:val="21"/>
    </w:rPr>
  </w:style>
  <w:style w:type="character" w:customStyle="1" w:styleId="73">
    <w:name w:val="日期 Char1"/>
    <w:link w:val="26"/>
    <w:qFormat/>
    <w:uiPriority w:val="0"/>
    <w:rPr>
      <w:rFonts w:ascii="宋体" w:hAnsi="Courier New" w:eastAsia="宋体" w:cs="Courier New"/>
      <w:szCs w:val="21"/>
    </w:rPr>
  </w:style>
  <w:style w:type="character" w:customStyle="1" w:styleId="74">
    <w:name w:val="正文文本缩进 2 Char1"/>
    <w:link w:val="27"/>
    <w:qFormat/>
    <w:uiPriority w:val="0"/>
    <w:rPr>
      <w:rFonts w:ascii="Times New Roman" w:hAnsi="Times New Roman" w:eastAsia="宋体" w:cs="Times New Roman"/>
      <w:sz w:val="32"/>
      <w:szCs w:val="20"/>
    </w:rPr>
  </w:style>
  <w:style w:type="character" w:customStyle="1" w:styleId="75">
    <w:name w:val="尾注文本 Char1"/>
    <w:link w:val="28"/>
    <w:qFormat/>
    <w:uiPriority w:val="99"/>
    <w:rPr>
      <w:rFonts w:ascii="Times New Roman" w:hAnsi="Times New Roman"/>
      <w:kern w:val="2"/>
      <w:sz w:val="21"/>
      <w:szCs w:val="24"/>
    </w:rPr>
  </w:style>
  <w:style w:type="character" w:customStyle="1" w:styleId="76">
    <w:name w:val="批注框文本 Char1"/>
    <w:link w:val="29"/>
    <w:semiHidden/>
    <w:qFormat/>
    <w:uiPriority w:val="0"/>
    <w:rPr>
      <w:rFonts w:ascii="Times New Roman" w:hAnsi="Times New Roman" w:eastAsia="宋体" w:cs="Times New Roman"/>
      <w:sz w:val="18"/>
      <w:szCs w:val="18"/>
    </w:rPr>
  </w:style>
  <w:style w:type="character" w:customStyle="1" w:styleId="77">
    <w:name w:val="页脚 Char1"/>
    <w:link w:val="30"/>
    <w:qFormat/>
    <w:uiPriority w:val="99"/>
    <w:rPr>
      <w:sz w:val="18"/>
      <w:szCs w:val="18"/>
    </w:rPr>
  </w:style>
  <w:style w:type="character" w:customStyle="1" w:styleId="78">
    <w:name w:val="页眉 Char1"/>
    <w:link w:val="32"/>
    <w:qFormat/>
    <w:uiPriority w:val="99"/>
    <w:rPr>
      <w:rFonts w:ascii="Times New Roman" w:hAnsi="Times New Roman"/>
      <w:kern w:val="2"/>
      <w:sz w:val="18"/>
      <w:szCs w:val="18"/>
    </w:rPr>
  </w:style>
  <w:style w:type="character" w:customStyle="1" w:styleId="79">
    <w:name w:val="脚注文本 Char1"/>
    <w:link w:val="36"/>
    <w:qFormat/>
    <w:uiPriority w:val="99"/>
    <w:rPr>
      <w:rFonts w:ascii="Times New Roman" w:hAnsi="Times New Roman"/>
      <w:kern w:val="2"/>
      <w:sz w:val="18"/>
      <w:szCs w:val="18"/>
    </w:rPr>
  </w:style>
  <w:style w:type="character" w:customStyle="1" w:styleId="80">
    <w:name w:val="正文文本缩进 3 Char1"/>
    <w:link w:val="38"/>
    <w:qFormat/>
    <w:uiPriority w:val="0"/>
    <w:rPr>
      <w:rFonts w:ascii="Times New Roman" w:hAnsi="Times New Roman" w:eastAsia="宋体" w:cs="Times New Roman"/>
      <w:sz w:val="16"/>
      <w:szCs w:val="16"/>
    </w:rPr>
  </w:style>
  <w:style w:type="character" w:customStyle="1" w:styleId="81">
    <w:name w:val="正文文本 2 Char1"/>
    <w:link w:val="41"/>
    <w:qFormat/>
    <w:uiPriority w:val="0"/>
    <w:rPr>
      <w:rFonts w:ascii="Times New Roman" w:hAnsi="Times New Roman" w:eastAsia="宋体" w:cs="Times New Roman"/>
      <w:szCs w:val="24"/>
    </w:rPr>
  </w:style>
  <w:style w:type="character" w:customStyle="1" w:styleId="82">
    <w:name w:val="标题 Char1"/>
    <w:link w:val="44"/>
    <w:qFormat/>
    <w:uiPriority w:val="10"/>
    <w:rPr>
      <w:rFonts w:ascii="Cambria" w:hAnsi="Cambria" w:cs="Times New Roman"/>
      <w:b/>
      <w:bCs/>
      <w:kern w:val="2"/>
      <w:sz w:val="32"/>
      <w:szCs w:val="32"/>
    </w:rPr>
  </w:style>
  <w:style w:type="character" w:customStyle="1" w:styleId="83">
    <w:name w:val="批注主题 Char1"/>
    <w:link w:val="45"/>
    <w:qFormat/>
    <w:uiPriority w:val="99"/>
    <w:rPr>
      <w:rFonts w:ascii="Times New Roman" w:hAnsi="Times New Roman"/>
      <w:b/>
      <w:bCs/>
      <w:kern w:val="2"/>
      <w:sz w:val="21"/>
      <w:szCs w:val="24"/>
    </w:rPr>
  </w:style>
  <w:style w:type="character" w:customStyle="1" w:styleId="84">
    <w:name w:val="font11"/>
    <w:qFormat/>
    <w:uiPriority w:val="0"/>
    <w:rPr>
      <w:rFonts w:hint="eastAsia" w:ascii="宋体" w:hAnsi="宋体" w:eastAsia="宋体" w:cs="宋体"/>
      <w:color w:val="000000"/>
      <w:sz w:val="20"/>
      <w:szCs w:val="20"/>
      <w:u w:val="none"/>
    </w:rPr>
  </w:style>
  <w:style w:type="character" w:customStyle="1" w:styleId="85">
    <w:name w:val="批注文字 字符1"/>
    <w:qFormat/>
    <w:uiPriority w:val="0"/>
    <w:rPr>
      <w:rFonts w:ascii="Times New Roman" w:hAnsi="Times New Roman"/>
      <w:kern w:val="2"/>
      <w:sz w:val="21"/>
      <w:szCs w:val="24"/>
    </w:rPr>
  </w:style>
  <w:style w:type="character" w:customStyle="1" w:styleId="86">
    <w:name w:val="标题 2 字符"/>
    <w:qFormat/>
    <w:uiPriority w:val="0"/>
    <w:rPr>
      <w:rFonts w:ascii="Arial" w:hAnsi="Arial" w:eastAsia="黑体" w:cs="Times New Roman"/>
      <w:b/>
      <w:bCs/>
      <w:sz w:val="32"/>
      <w:szCs w:val="32"/>
    </w:rPr>
  </w:style>
  <w:style w:type="character" w:customStyle="1" w:styleId="8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8">
    <w:name w:val="批注文字 Char1"/>
    <w:semiHidden/>
    <w:qFormat/>
    <w:locked/>
    <w:uiPriority w:val="0"/>
    <w:rPr>
      <w:rFonts w:ascii="Times New Roman" w:hAnsi="Times New Roman"/>
      <w:kern w:val="2"/>
      <w:sz w:val="21"/>
      <w:szCs w:val="24"/>
    </w:rPr>
  </w:style>
  <w:style w:type="character" w:customStyle="1" w:styleId="89">
    <w:name w:val="页眉 字符"/>
    <w:qFormat/>
    <w:uiPriority w:val="99"/>
    <w:rPr>
      <w:rFonts w:ascii="Times New Roman" w:hAnsi="Times New Roman"/>
      <w:kern w:val="2"/>
      <w:sz w:val="18"/>
      <w:szCs w:val="18"/>
    </w:rPr>
  </w:style>
  <w:style w:type="character" w:customStyle="1" w:styleId="90">
    <w:name w:val="apple-style-span"/>
    <w:qFormat/>
    <w:uiPriority w:val="0"/>
  </w:style>
  <w:style w:type="character" w:customStyle="1" w:styleId="91">
    <w:name w:val="尾注文本 字符"/>
    <w:qFormat/>
    <w:uiPriority w:val="99"/>
    <w:rPr>
      <w:rFonts w:ascii="Times New Roman" w:hAnsi="Times New Roman"/>
      <w:kern w:val="2"/>
      <w:sz w:val="21"/>
      <w:szCs w:val="24"/>
    </w:rPr>
  </w:style>
  <w:style w:type="character" w:customStyle="1" w:styleId="92">
    <w:name w:val="正文文本缩进 字符"/>
    <w:qFormat/>
    <w:uiPriority w:val="0"/>
    <w:rPr>
      <w:rFonts w:ascii="仿宋_GB2312" w:hAnsi="Times New Roman" w:eastAsia="仿宋_GB2312" w:cs="Times New Roman"/>
      <w:sz w:val="32"/>
      <w:szCs w:val="20"/>
    </w:rPr>
  </w:style>
  <w:style w:type="character" w:customStyle="1" w:styleId="93">
    <w:name w:val="普通文字 Char Char2"/>
    <w:qFormat/>
    <w:uiPriority w:val="0"/>
    <w:rPr>
      <w:rFonts w:ascii="宋体" w:hAnsi="Courier New" w:eastAsia="宋体"/>
      <w:kern w:val="2"/>
      <w:sz w:val="21"/>
      <w:lang w:val="en-US" w:eastAsia="zh-CN" w:bidi="ar-SA"/>
    </w:rPr>
  </w:style>
  <w:style w:type="character" w:customStyle="1" w:styleId="94">
    <w:name w:val="正文文本缩进 3 字符"/>
    <w:qFormat/>
    <w:uiPriority w:val="0"/>
    <w:rPr>
      <w:rFonts w:ascii="Times New Roman" w:hAnsi="Times New Roman" w:eastAsia="宋体" w:cs="Times New Roman"/>
      <w:sz w:val="16"/>
      <w:szCs w:val="16"/>
    </w:rPr>
  </w:style>
  <w:style w:type="character" w:customStyle="1" w:styleId="95">
    <w:name w:val="font21"/>
    <w:basedOn w:val="49"/>
    <w:qFormat/>
    <w:uiPriority w:val="0"/>
    <w:rPr>
      <w:rFonts w:hint="eastAsia" w:ascii="宋体" w:hAnsi="宋体" w:eastAsia="宋体" w:cs="宋体"/>
      <w:color w:val="FF0000"/>
      <w:sz w:val="20"/>
      <w:szCs w:val="20"/>
      <w:u w:val="none"/>
    </w:rPr>
  </w:style>
  <w:style w:type="character" w:customStyle="1" w:styleId="96">
    <w:name w:val="页脚 字符"/>
    <w:qFormat/>
    <w:uiPriority w:val="99"/>
  </w:style>
  <w:style w:type="character" w:customStyle="1" w:styleId="97">
    <w:name w:val="标题 7 字符"/>
    <w:qFormat/>
    <w:uiPriority w:val="0"/>
    <w:rPr>
      <w:rFonts w:ascii="Times New Roman" w:hAnsi="Times New Roman"/>
      <w:b/>
      <w:kern w:val="2"/>
      <w:sz w:val="24"/>
      <w:szCs w:val="24"/>
    </w:rPr>
  </w:style>
  <w:style w:type="character" w:customStyle="1" w:styleId="98">
    <w:name w:val="标题 3 字符"/>
    <w:qFormat/>
    <w:uiPriority w:val="0"/>
    <w:rPr>
      <w:rFonts w:ascii="Times New Roman" w:hAnsi="Times New Roman" w:eastAsia="宋体" w:cs="Times New Roman"/>
      <w:b/>
      <w:bCs/>
      <w:sz w:val="32"/>
      <w:szCs w:val="32"/>
    </w:rPr>
  </w:style>
  <w:style w:type="character" w:customStyle="1" w:styleId="99">
    <w:name w:val="正文文本缩进 字符1"/>
    <w:qFormat/>
    <w:uiPriority w:val="0"/>
    <w:rPr>
      <w:rFonts w:ascii="仿宋_GB2312" w:hAnsi="Times New Roman" w:eastAsia="仿宋_GB2312" w:cs="Times New Roman"/>
      <w:sz w:val="32"/>
      <w:szCs w:val="20"/>
    </w:rPr>
  </w:style>
  <w:style w:type="character" w:customStyle="1" w:styleId="100">
    <w:name w:val="批注文字 字符"/>
    <w:qFormat/>
    <w:uiPriority w:val="0"/>
    <w:rPr>
      <w:rFonts w:ascii="Times New Roman" w:hAnsi="Times New Roman"/>
      <w:kern w:val="2"/>
      <w:sz w:val="21"/>
      <w:szCs w:val="24"/>
    </w:rPr>
  </w:style>
  <w:style w:type="character" w:customStyle="1" w:styleId="101">
    <w:name w:val="标题 8 字符"/>
    <w:qFormat/>
    <w:uiPriority w:val="0"/>
    <w:rPr>
      <w:rFonts w:ascii="Arial" w:hAnsi="Arial" w:eastAsia="黑体"/>
      <w:kern w:val="2"/>
      <w:sz w:val="24"/>
      <w:szCs w:val="24"/>
    </w:rPr>
  </w:style>
  <w:style w:type="character" w:customStyle="1" w:styleId="102">
    <w:name w:val="UserStyle_9"/>
    <w:link w:val="103"/>
    <w:qFormat/>
    <w:locked/>
    <w:uiPriority w:val="0"/>
    <w:rPr>
      <w:kern w:val="2"/>
      <w:sz w:val="21"/>
      <w:szCs w:val="24"/>
    </w:rPr>
  </w:style>
  <w:style w:type="paragraph" w:customStyle="1" w:styleId="103">
    <w:name w:val="AnnotationText"/>
    <w:basedOn w:val="1"/>
    <w:link w:val="102"/>
    <w:qFormat/>
    <w:uiPriority w:val="0"/>
    <w:pPr>
      <w:widowControl/>
      <w:jc w:val="left"/>
    </w:pPr>
  </w:style>
  <w:style w:type="character" w:customStyle="1" w:styleId="104">
    <w:name w:val="textcontents"/>
    <w:qFormat/>
    <w:uiPriority w:val="0"/>
  </w:style>
  <w:style w:type="character" w:customStyle="1" w:styleId="105">
    <w:name w:val="批注框文本 字符"/>
    <w:semiHidden/>
    <w:qFormat/>
    <w:uiPriority w:val="0"/>
    <w:rPr>
      <w:rFonts w:ascii="Times New Roman" w:hAnsi="Times New Roman" w:eastAsia="宋体" w:cs="Times New Roman"/>
      <w:sz w:val="18"/>
      <w:szCs w:val="18"/>
    </w:rPr>
  </w:style>
  <w:style w:type="character" w:customStyle="1" w:styleId="106">
    <w:name w:val="批注文字 Char"/>
    <w:qFormat/>
    <w:uiPriority w:val="0"/>
    <w:rPr>
      <w:rFonts w:ascii="Times New Roman" w:hAnsi="Times New Roman"/>
      <w:kern w:val="2"/>
      <w:sz w:val="21"/>
      <w:szCs w:val="24"/>
    </w:rPr>
  </w:style>
  <w:style w:type="character" w:customStyle="1" w:styleId="107">
    <w:name w:val="纯文本 字符"/>
    <w:qFormat/>
    <w:uiPriority w:val="0"/>
    <w:rPr>
      <w:rFonts w:ascii="宋体" w:hAnsi="Courier New" w:eastAsia="宋体" w:cs="Courier New"/>
      <w:szCs w:val="21"/>
    </w:rPr>
  </w:style>
  <w:style w:type="character" w:customStyle="1" w:styleId="108">
    <w:name w:val="正文文本 2 字符"/>
    <w:qFormat/>
    <w:uiPriority w:val="0"/>
    <w:rPr>
      <w:rFonts w:ascii="Times New Roman" w:hAnsi="Times New Roman" w:eastAsia="宋体" w:cs="Times New Roman"/>
      <w:szCs w:val="24"/>
    </w:rPr>
  </w:style>
  <w:style w:type="character" w:customStyle="1" w:styleId="109">
    <w:name w:val="标题 6 字符"/>
    <w:qFormat/>
    <w:uiPriority w:val="0"/>
    <w:rPr>
      <w:rFonts w:ascii="Arial" w:hAnsi="Arial" w:eastAsia="黑体"/>
      <w:b/>
      <w:kern w:val="2"/>
      <w:sz w:val="24"/>
      <w:szCs w:val="24"/>
    </w:rPr>
  </w:style>
  <w:style w:type="character" w:customStyle="1" w:styleId="110">
    <w:name w:val="批注主题 字符"/>
    <w:qFormat/>
    <w:uiPriority w:val="99"/>
    <w:rPr>
      <w:rFonts w:ascii="Times New Roman" w:hAnsi="Times New Roman"/>
      <w:b/>
      <w:bCs/>
      <w:kern w:val="2"/>
      <w:sz w:val="21"/>
      <w:szCs w:val="24"/>
    </w:rPr>
  </w:style>
  <w:style w:type="character" w:customStyle="1" w:styleId="111">
    <w:name w:val="正文2 Char Char"/>
    <w:link w:val="112"/>
    <w:qFormat/>
    <w:uiPriority w:val="0"/>
    <w:rPr>
      <w:kern w:val="2"/>
      <w:sz w:val="24"/>
    </w:rPr>
  </w:style>
  <w:style w:type="paragraph" w:customStyle="1" w:styleId="112">
    <w:name w:val="正文2"/>
    <w:basedOn w:val="1"/>
    <w:link w:val="111"/>
    <w:qFormat/>
    <w:uiPriority w:val="0"/>
    <w:pPr>
      <w:adjustRightInd w:val="0"/>
      <w:spacing w:before="156" w:line="360" w:lineRule="auto"/>
      <w:ind w:firstLine="510" w:firstLineChars="200"/>
    </w:pPr>
    <w:rPr>
      <w:sz w:val="24"/>
      <w:szCs w:val="20"/>
    </w:rPr>
  </w:style>
  <w:style w:type="character" w:customStyle="1" w:styleId="113">
    <w:name w:val="脚注文本 字符"/>
    <w:qFormat/>
    <w:uiPriority w:val="99"/>
    <w:rPr>
      <w:rFonts w:ascii="Times New Roman" w:hAnsi="Times New Roman"/>
      <w:kern w:val="2"/>
      <w:sz w:val="18"/>
      <w:szCs w:val="18"/>
    </w:rPr>
  </w:style>
  <w:style w:type="character" w:customStyle="1" w:styleId="114">
    <w:name w:val="纯文本 Char"/>
    <w:qFormat/>
    <w:uiPriority w:val="0"/>
    <w:rPr>
      <w:rFonts w:ascii="宋体" w:hAnsi="Courier New" w:eastAsia="宋体"/>
      <w:kern w:val="2"/>
      <w:sz w:val="21"/>
      <w:lang w:val="en-US" w:eastAsia="zh-CN" w:bidi="ar-SA"/>
    </w:rPr>
  </w:style>
  <w:style w:type="character" w:customStyle="1" w:styleId="115">
    <w:name w:val="页脚 字符1"/>
    <w:qFormat/>
    <w:uiPriority w:val="99"/>
    <w:rPr>
      <w:sz w:val="18"/>
      <w:szCs w:val="18"/>
    </w:rPr>
  </w:style>
  <w:style w:type="character" w:customStyle="1" w:styleId="116">
    <w:name w:val="font31"/>
    <w:qFormat/>
    <w:uiPriority w:val="0"/>
    <w:rPr>
      <w:rFonts w:hint="eastAsia" w:ascii="宋体" w:hAnsi="宋体" w:eastAsia="宋体" w:cs="宋体"/>
      <w:color w:val="FF0000"/>
      <w:sz w:val="20"/>
      <w:szCs w:val="20"/>
      <w:u w:val="none"/>
    </w:rPr>
  </w:style>
  <w:style w:type="character" w:customStyle="1" w:styleId="117">
    <w:name w:val="正文文本 Char1"/>
    <w:qFormat/>
    <w:locked/>
    <w:uiPriority w:val="0"/>
    <w:rPr>
      <w:sz w:val="24"/>
      <w:szCs w:val="24"/>
    </w:rPr>
  </w:style>
  <w:style w:type="character" w:customStyle="1" w:styleId="118">
    <w:name w:val="标题 5 Char"/>
    <w:qFormat/>
    <w:uiPriority w:val="0"/>
    <w:rPr>
      <w:b/>
      <w:kern w:val="2"/>
      <w:sz w:val="28"/>
      <w:szCs w:val="24"/>
    </w:rPr>
  </w:style>
  <w:style w:type="character" w:customStyle="1" w:styleId="119">
    <w:name w:val="标题 字符"/>
    <w:qFormat/>
    <w:uiPriority w:val="10"/>
    <w:rPr>
      <w:rFonts w:ascii="Cambria" w:hAnsi="Cambria" w:cs="Times New Roman"/>
      <w:b/>
      <w:bCs/>
      <w:kern w:val="2"/>
      <w:sz w:val="32"/>
      <w:szCs w:val="32"/>
    </w:rPr>
  </w:style>
  <w:style w:type="character" w:customStyle="1" w:styleId="120">
    <w:name w:val="标题 1 字符1"/>
    <w:qFormat/>
    <w:uiPriority w:val="0"/>
    <w:rPr>
      <w:rFonts w:ascii="Times New Roman" w:hAnsi="Times New Roman" w:eastAsia="宋体" w:cs="Times New Roman"/>
      <w:b/>
      <w:bCs/>
      <w:kern w:val="44"/>
      <w:sz w:val="44"/>
      <w:szCs w:val="44"/>
    </w:rPr>
  </w:style>
  <w:style w:type="character" w:customStyle="1" w:styleId="121">
    <w:name w:val="批注文字 字符2"/>
    <w:qFormat/>
    <w:uiPriority w:val="0"/>
    <w:rPr>
      <w:rFonts w:ascii="Times New Roman" w:hAnsi="Times New Roman"/>
      <w:kern w:val="2"/>
      <w:sz w:val="21"/>
      <w:szCs w:val="24"/>
    </w:rPr>
  </w:style>
  <w:style w:type="character" w:customStyle="1" w:styleId="122">
    <w:name w:val="正文文本 3 字符"/>
    <w:qFormat/>
    <w:uiPriority w:val="0"/>
    <w:rPr>
      <w:rFonts w:ascii="Times New Roman" w:hAnsi="Times New Roman" w:eastAsia="宋体" w:cs="Times New Roman"/>
      <w:b/>
      <w:bCs/>
      <w:sz w:val="24"/>
      <w:szCs w:val="24"/>
    </w:rPr>
  </w:style>
  <w:style w:type="character" w:customStyle="1" w:styleId="123">
    <w:name w:val="纯文本 字符1"/>
    <w:qFormat/>
    <w:uiPriority w:val="0"/>
    <w:rPr>
      <w:rFonts w:ascii="宋体" w:hAnsi="Courier New"/>
    </w:rPr>
  </w:style>
  <w:style w:type="character" w:customStyle="1" w:styleId="124">
    <w:name w:val="headline-content4"/>
    <w:qFormat/>
    <w:uiPriority w:val="0"/>
  </w:style>
  <w:style w:type="character" w:customStyle="1" w:styleId="125">
    <w:name w:val="正文文本缩进 2 字符"/>
    <w:qFormat/>
    <w:uiPriority w:val="0"/>
    <w:rPr>
      <w:rFonts w:ascii="Times New Roman" w:hAnsi="Times New Roman" w:eastAsia="宋体" w:cs="Times New Roman"/>
      <w:sz w:val="32"/>
      <w:szCs w:val="20"/>
    </w:rPr>
  </w:style>
  <w:style w:type="character" w:customStyle="1" w:styleId="126">
    <w:name w:val="标题 1 字符"/>
    <w:qFormat/>
    <w:uiPriority w:val="9"/>
    <w:rPr>
      <w:rFonts w:ascii="Times New Roman" w:hAnsi="Times New Roman" w:eastAsia="宋体" w:cs="Times New Roman"/>
      <w:b/>
      <w:bCs/>
      <w:kern w:val="44"/>
      <w:sz w:val="44"/>
      <w:szCs w:val="44"/>
    </w:rPr>
  </w:style>
  <w:style w:type="character" w:customStyle="1" w:styleId="127">
    <w:name w:val="文档结构图 字符"/>
    <w:qFormat/>
    <w:uiPriority w:val="0"/>
    <w:rPr>
      <w:rFonts w:hint="eastAsia" w:ascii="宋体" w:hAnsi="宋体" w:eastAsia="宋体" w:cs="宋体"/>
    </w:rPr>
  </w:style>
  <w:style w:type="character" w:customStyle="1" w:styleId="128">
    <w:name w:val="case31"/>
    <w:qFormat/>
    <w:uiPriority w:val="0"/>
    <w:rPr>
      <w:rFonts w:hint="default"/>
      <w:sz w:val="21"/>
      <w:szCs w:val="21"/>
    </w:rPr>
  </w:style>
  <w:style w:type="character" w:customStyle="1" w:styleId="129">
    <w:name w:val="纯文本 字符2"/>
    <w:qFormat/>
    <w:uiPriority w:val="0"/>
    <w:rPr>
      <w:rFonts w:ascii="宋体" w:hAnsi="Courier New" w:eastAsia="宋体" w:cs="Courier New"/>
      <w:szCs w:val="21"/>
    </w:rPr>
  </w:style>
  <w:style w:type="character" w:customStyle="1" w:styleId="130">
    <w:name w:val="NormalCharacter"/>
    <w:qFormat/>
    <w:uiPriority w:val="0"/>
  </w:style>
  <w:style w:type="character" w:customStyle="1" w:styleId="131">
    <w:name w:val="日期 字符"/>
    <w:qFormat/>
    <w:uiPriority w:val="0"/>
    <w:rPr>
      <w:rFonts w:ascii="宋体" w:hAnsi="Courier New" w:eastAsia="宋体" w:cs="Courier New"/>
      <w:szCs w:val="21"/>
    </w:rPr>
  </w:style>
  <w:style w:type="character" w:customStyle="1" w:styleId="132">
    <w:name w:val="正文文本 字符"/>
    <w:qFormat/>
    <w:uiPriority w:val="99"/>
    <w:rPr>
      <w:rFonts w:ascii="Times New Roman" w:hAnsi="Times New Roman" w:eastAsia="宋体" w:cs="Times New Roman"/>
      <w:sz w:val="24"/>
      <w:szCs w:val="24"/>
    </w:rPr>
  </w:style>
  <w:style w:type="character" w:customStyle="1" w:styleId="133">
    <w:name w:val="标题 5 字符"/>
    <w:qFormat/>
    <w:uiPriority w:val="0"/>
    <w:rPr>
      <w:b/>
      <w:kern w:val="2"/>
      <w:sz w:val="28"/>
      <w:szCs w:val="24"/>
    </w:rPr>
  </w:style>
  <w:style w:type="character" w:customStyle="1" w:styleId="134">
    <w:name w:val="标题 9 字符"/>
    <w:qFormat/>
    <w:uiPriority w:val="0"/>
    <w:rPr>
      <w:rFonts w:ascii="Arial" w:hAnsi="Arial" w:eastAsia="黑体"/>
      <w:kern w:val="2"/>
      <w:sz w:val="21"/>
      <w:szCs w:val="24"/>
    </w:rPr>
  </w:style>
  <w:style w:type="paragraph" w:customStyle="1" w:styleId="135">
    <w:name w:val="Table Paragraph"/>
    <w:basedOn w:val="1"/>
    <w:qFormat/>
    <w:uiPriority w:val="1"/>
    <w:pPr>
      <w:jc w:val="left"/>
    </w:pPr>
    <w:rPr>
      <w:rFonts w:ascii="Calibri" w:hAnsi="Calibri"/>
      <w:kern w:val="0"/>
      <w:sz w:val="22"/>
      <w:szCs w:val="22"/>
      <w:lang w:eastAsia="en-US"/>
    </w:rPr>
  </w:style>
  <w:style w:type="paragraph" w:customStyle="1" w:styleId="13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37">
    <w:name w:val="样式 首行缩进:  2 字符"/>
    <w:basedOn w:val="1"/>
    <w:qFormat/>
    <w:uiPriority w:val="0"/>
    <w:pPr>
      <w:spacing w:line="400" w:lineRule="exact"/>
      <w:ind w:firstLine="200" w:firstLineChars="200"/>
    </w:pPr>
    <w:rPr>
      <w:rFonts w:cs="宋体"/>
      <w:sz w:val="24"/>
    </w:rPr>
  </w:style>
  <w:style w:type="paragraph" w:styleId="138">
    <w:name w:val="List Paragraph"/>
    <w:basedOn w:val="1"/>
    <w:qFormat/>
    <w:uiPriority w:val="34"/>
    <w:pPr>
      <w:ind w:firstLine="420" w:firstLineChars="200"/>
    </w:pPr>
  </w:style>
  <w:style w:type="paragraph" w:customStyle="1" w:styleId="13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0">
    <w:name w:val="正文段"/>
    <w:basedOn w:val="1"/>
    <w:qFormat/>
    <w:uiPriority w:val="0"/>
    <w:pPr>
      <w:widowControl/>
      <w:snapToGrid w:val="0"/>
      <w:spacing w:afterLines="50"/>
      <w:ind w:firstLine="200" w:firstLineChars="200"/>
    </w:pPr>
    <w:rPr>
      <w:kern w:val="0"/>
      <w:sz w:val="24"/>
      <w:szCs w:val="20"/>
    </w:rPr>
  </w:style>
  <w:style w:type="paragraph" w:customStyle="1" w:styleId="141">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42">
    <w:name w:val="正文正"/>
    <w:basedOn w:val="1"/>
    <w:qFormat/>
    <w:uiPriority w:val="99"/>
    <w:pPr>
      <w:spacing w:line="560" w:lineRule="exact"/>
      <w:ind w:firstLine="561"/>
    </w:pPr>
    <w:rPr>
      <w:rFonts w:eastAsia="仿宋_GB2312"/>
      <w:sz w:val="28"/>
    </w:rPr>
  </w:style>
  <w:style w:type="paragraph" w:customStyle="1" w:styleId="14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44">
    <w:name w:val="默认段落字体 Para Char Char Char Char Char Char Char Char Char1 Char Char Char Char"/>
    <w:basedOn w:val="1"/>
    <w:qFormat/>
    <w:uiPriority w:val="0"/>
    <w:rPr>
      <w:rFonts w:ascii="Tahoma" w:hAnsi="Tahoma"/>
      <w:sz w:val="24"/>
      <w:szCs w:val="20"/>
    </w:rPr>
  </w:style>
  <w:style w:type="paragraph" w:customStyle="1" w:styleId="145">
    <w:name w:val="表格"/>
    <w:basedOn w:val="1"/>
    <w:qFormat/>
    <w:uiPriority w:val="0"/>
    <w:pPr>
      <w:spacing w:line="400" w:lineRule="exact"/>
    </w:pPr>
    <w:rPr>
      <w:sz w:val="24"/>
    </w:rPr>
  </w:style>
  <w:style w:type="paragraph" w:customStyle="1" w:styleId="146">
    <w:name w:val="纯文本1"/>
    <w:basedOn w:val="1"/>
    <w:qFormat/>
    <w:uiPriority w:val="0"/>
    <w:rPr>
      <w:rFonts w:ascii="宋体" w:hAnsi="Courier New" w:cs="Century"/>
      <w:szCs w:val="21"/>
    </w:rPr>
  </w:style>
  <w:style w:type="paragraph" w:customStyle="1" w:styleId="14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8">
    <w:name w:val="Char1"/>
    <w:basedOn w:val="1"/>
    <w:qFormat/>
    <w:uiPriority w:val="0"/>
    <w:rPr>
      <w:szCs w:val="21"/>
    </w:rPr>
  </w:style>
  <w:style w:type="paragraph" w:customStyle="1" w:styleId="149">
    <w:name w:val="正文首行缩进两字符"/>
    <w:basedOn w:val="1"/>
    <w:qFormat/>
    <w:uiPriority w:val="0"/>
    <w:pPr>
      <w:spacing w:line="360" w:lineRule="auto"/>
      <w:ind w:firstLine="200" w:firstLineChars="200"/>
    </w:pPr>
  </w:style>
  <w:style w:type="paragraph" w:customStyle="1" w:styleId="15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51">
    <w:name w:val="_Style 60"/>
    <w:basedOn w:val="1"/>
    <w:next w:val="138"/>
    <w:qFormat/>
    <w:uiPriority w:val="99"/>
    <w:pPr>
      <w:ind w:firstLine="420" w:firstLineChars="200"/>
    </w:pPr>
  </w:style>
  <w:style w:type="table" w:customStyle="1" w:styleId="152">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customStyle="1" w:styleId="153">
    <w:name w:val="_Style 129"/>
    <w:basedOn w:val="1"/>
    <w:next w:val="138"/>
    <w:qFormat/>
    <w:uiPriority w:val="99"/>
    <w:pPr>
      <w:ind w:firstLine="420" w:firstLineChars="200"/>
    </w:pPr>
  </w:style>
  <w:style w:type="character" w:customStyle="1" w:styleId="154">
    <w:name w:val="纯文本 Char1"/>
    <w:qFormat/>
    <w:locked/>
    <w:uiPriority w:val="0"/>
    <w:rPr>
      <w:rFonts w:ascii="宋体" w:hAnsi="Courier New" w:cs="Courier New"/>
      <w:szCs w:val="21"/>
    </w:rPr>
  </w:style>
  <w:style w:type="character" w:customStyle="1" w:styleId="155">
    <w:name w:val="正文文本 Char"/>
    <w:qFormat/>
    <w:uiPriority w:val="0"/>
    <w:rPr>
      <w:rFonts w:ascii="Times New Roman" w:hAnsi="Times New Roman" w:eastAsia="宋体" w:cs="Times New Roman"/>
      <w:sz w:val="24"/>
      <w:szCs w:val="24"/>
    </w:rPr>
  </w:style>
  <w:style w:type="character" w:customStyle="1" w:styleId="156">
    <w:name w:val="标题 1 Char"/>
    <w:qFormat/>
    <w:uiPriority w:val="9"/>
    <w:rPr>
      <w:rFonts w:ascii="Times New Roman" w:hAnsi="Times New Roman" w:eastAsia="宋体" w:cs="Times New Roman"/>
      <w:b/>
      <w:bCs/>
      <w:kern w:val="44"/>
      <w:sz w:val="44"/>
      <w:szCs w:val="44"/>
    </w:rPr>
  </w:style>
  <w:style w:type="character" w:customStyle="1" w:styleId="157">
    <w:name w:val="标题 2 Char"/>
    <w:qFormat/>
    <w:uiPriority w:val="0"/>
    <w:rPr>
      <w:rFonts w:ascii="Arial" w:hAnsi="Arial" w:eastAsia="黑体" w:cs="Times New Roman"/>
      <w:b/>
      <w:bCs/>
      <w:sz w:val="32"/>
      <w:szCs w:val="32"/>
    </w:rPr>
  </w:style>
  <w:style w:type="character" w:customStyle="1" w:styleId="158">
    <w:name w:val="标题 3 Char"/>
    <w:qFormat/>
    <w:uiPriority w:val="0"/>
    <w:rPr>
      <w:rFonts w:ascii="Times New Roman" w:hAnsi="Times New Roman" w:eastAsia="宋体" w:cs="Times New Roman"/>
      <w:b/>
      <w:bCs/>
      <w:sz w:val="32"/>
      <w:szCs w:val="32"/>
    </w:rPr>
  </w:style>
  <w:style w:type="character" w:customStyle="1" w:styleId="159">
    <w:name w:val="标题 5 Char1"/>
    <w:qFormat/>
    <w:uiPriority w:val="0"/>
    <w:rPr>
      <w:b/>
      <w:kern w:val="2"/>
      <w:sz w:val="28"/>
      <w:szCs w:val="24"/>
    </w:rPr>
  </w:style>
  <w:style w:type="character" w:customStyle="1" w:styleId="160">
    <w:name w:val="标题 6 Char"/>
    <w:qFormat/>
    <w:uiPriority w:val="0"/>
    <w:rPr>
      <w:rFonts w:ascii="Arial" w:hAnsi="Arial" w:eastAsia="黑体"/>
      <w:b/>
      <w:kern w:val="2"/>
      <w:sz w:val="24"/>
      <w:szCs w:val="24"/>
    </w:rPr>
  </w:style>
  <w:style w:type="character" w:customStyle="1" w:styleId="161">
    <w:name w:val="标题 7 Char"/>
    <w:qFormat/>
    <w:uiPriority w:val="0"/>
    <w:rPr>
      <w:rFonts w:ascii="Times New Roman" w:hAnsi="Times New Roman"/>
      <w:b/>
      <w:kern w:val="2"/>
      <w:sz w:val="24"/>
      <w:szCs w:val="24"/>
    </w:rPr>
  </w:style>
  <w:style w:type="character" w:customStyle="1" w:styleId="162">
    <w:name w:val="标题 8 Char"/>
    <w:qFormat/>
    <w:uiPriority w:val="0"/>
    <w:rPr>
      <w:rFonts w:ascii="Arial" w:hAnsi="Arial" w:eastAsia="黑体"/>
      <w:kern w:val="2"/>
      <w:sz w:val="24"/>
      <w:szCs w:val="24"/>
    </w:rPr>
  </w:style>
  <w:style w:type="character" w:customStyle="1" w:styleId="163">
    <w:name w:val="标题 9 Char"/>
    <w:qFormat/>
    <w:uiPriority w:val="0"/>
    <w:rPr>
      <w:rFonts w:ascii="Arial" w:hAnsi="Arial" w:eastAsia="黑体"/>
      <w:kern w:val="2"/>
      <w:sz w:val="21"/>
      <w:szCs w:val="24"/>
    </w:rPr>
  </w:style>
  <w:style w:type="paragraph" w:customStyle="1" w:styleId="164">
    <w:name w:val="_Style 161"/>
    <w:basedOn w:val="1"/>
    <w:next w:val="138"/>
    <w:qFormat/>
    <w:uiPriority w:val="99"/>
    <w:pPr>
      <w:ind w:firstLine="420" w:firstLineChars="200"/>
    </w:pPr>
  </w:style>
  <w:style w:type="character" w:customStyle="1" w:styleId="165">
    <w:name w:val="文档结构图 Char"/>
    <w:qFormat/>
    <w:uiPriority w:val="0"/>
    <w:rPr>
      <w:rFonts w:hint="eastAsia" w:ascii="宋体" w:hAnsi="宋体" w:eastAsia="宋体" w:cs="宋体"/>
    </w:rPr>
  </w:style>
  <w:style w:type="character" w:customStyle="1" w:styleId="166">
    <w:name w:val="批注文字 Char2"/>
    <w:qFormat/>
    <w:uiPriority w:val="0"/>
    <w:rPr>
      <w:rFonts w:ascii="Times New Roman" w:hAnsi="Times New Roman"/>
      <w:kern w:val="2"/>
      <w:sz w:val="21"/>
      <w:szCs w:val="24"/>
    </w:rPr>
  </w:style>
  <w:style w:type="character" w:customStyle="1" w:styleId="167">
    <w:name w:val="正文文本 3 Char"/>
    <w:qFormat/>
    <w:uiPriority w:val="0"/>
    <w:rPr>
      <w:rFonts w:ascii="Times New Roman" w:hAnsi="Times New Roman" w:eastAsia="宋体" w:cs="Times New Roman"/>
      <w:b/>
      <w:bCs/>
      <w:sz w:val="24"/>
      <w:szCs w:val="24"/>
    </w:rPr>
  </w:style>
  <w:style w:type="character" w:customStyle="1" w:styleId="168">
    <w:name w:val="正文文本缩进 Char"/>
    <w:qFormat/>
    <w:uiPriority w:val="0"/>
    <w:rPr>
      <w:rFonts w:ascii="仿宋_GB2312" w:hAnsi="Times New Roman" w:eastAsia="仿宋_GB2312" w:cs="Times New Roman"/>
      <w:sz w:val="32"/>
      <w:szCs w:val="20"/>
    </w:rPr>
  </w:style>
  <w:style w:type="character" w:customStyle="1" w:styleId="169">
    <w:name w:val="纯文本 Char2"/>
    <w:qFormat/>
    <w:uiPriority w:val="0"/>
    <w:rPr>
      <w:rFonts w:ascii="宋体" w:hAnsi="Courier New" w:eastAsia="宋体" w:cs="Courier New"/>
      <w:szCs w:val="21"/>
    </w:rPr>
  </w:style>
  <w:style w:type="character" w:customStyle="1" w:styleId="170">
    <w:name w:val="日期 Char"/>
    <w:qFormat/>
    <w:uiPriority w:val="0"/>
    <w:rPr>
      <w:rFonts w:ascii="宋体" w:hAnsi="Courier New" w:eastAsia="宋体" w:cs="Courier New"/>
      <w:szCs w:val="21"/>
    </w:rPr>
  </w:style>
  <w:style w:type="character" w:customStyle="1" w:styleId="171">
    <w:name w:val="正文文本缩进 2 Char"/>
    <w:qFormat/>
    <w:uiPriority w:val="0"/>
    <w:rPr>
      <w:rFonts w:ascii="Times New Roman" w:hAnsi="Times New Roman" w:eastAsia="宋体" w:cs="Times New Roman"/>
      <w:sz w:val="32"/>
      <w:szCs w:val="20"/>
    </w:rPr>
  </w:style>
  <w:style w:type="character" w:customStyle="1" w:styleId="172">
    <w:name w:val="尾注文本 Char"/>
    <w:qFormat/>
    <w:uiPriority w:val="99"/>
    <w:rPr>
      <w:rFonts w:ascii="Times New Roman" w:hAnsi="Times New Roman"/>
      <w:kern w:val="2"/>
      <w:sz w:val="21"/>
      <w:szCs w:val="24"/>
    </w:rPr>
  </w:style>
  <w:style w:type="character" w:customStyle="1" w:styleId="173">
    <w:name w:val="批注框文本 Char"/>
    <w:semiHidden/>
    <w:qFormat/>
    <w:uiPriority w:val="0"/>
    <w:rPr>
      <w:rFonts w:ascii="Times New Roman" w:hAnsi="Times New Roman" w:eastAsia="宋体" w:cs="Times New Roman"/>
      <w:sz w:val="18"/>
      <w:szCs w:val="18"/>
    </w:rPr>
  </w:style>
  <w:style w:type="character" w:customStyle="1" w:styleId="174">
    <w:name w:val="页脚 Char"/>
    <w:qFormat/>
    <w:uiPriority w:val="99"/>
    <w:rPr>
      <w:sz w:val="18"/>
      <w:szCs w:val="18"/>
    </w:rPr>
  </w:style>
  <w:style w:type="character" w:customStyle="1" w:styleId="175">
    <w:name w:val="页眉 Char"/>
    <w:qFormat/>
    <w:uiPriority w:val="99"/>
    <w:rPr>
      <w:rFonts w:ascii="Times New Roman" w:hAnsi="Times New Roman"/>
      <w:kern w:val="2"/>
      <w:sz w:val="18"/>
      <w:szCs w:val="18"/>
    </w:rPr>
  </w:style>
  <w:style w:type="character" w:customStyle="1" w:styleId="176">
    <w:name w:val="脚注文本 Char"/>
    <w:qFormat/>
    <w:uiPriority w:val="99"/>
    <w:rPr>
      <w:rFonts w:ascii="Times New Roman" w:hAnsi="Times New Roman"/>
      <w:kern w:val="2"/>
      <w:sz w:val="18"/>
      <w:szCs w:val="18"/>
    </w:rPr>
  </w:style>
  <w:style w:type="character" w:customStyle="1" w:styleId="177">
    <w:name w:val="正文文本缩进 3 Char"/>
    <w:qFormat/>
    <w:uiPriority w:val="0"/>
    <w:rPr>
      <w:rFonts w:ascii="Times New Roman" w:hAnsi="Times New Roman" w:eastAsia="宋体" w:cs="Times New Roman"/>
      <w:sz w:val="16"/>
      <w:szCs w:val="16"/>
    </w:rPr>
  </w:style>
  <w:style w:type="character" w:customStyle="1" w:styleId="178">
    <w:name w:val="正文文本 2 Char"/>
    <w:qFormat/>
    <w:uiPriority w:val="0"/>
    <w:rPr>
      <w:rFonts w:ascii="Times New Roman" w:hAnsi="Times New Roman" w:eastAsia="宋体" w:cs="Times New Roman"/>
      <w:szCs w:val="24"/>
    </w:rPr>
  </w:style>
  <w:style w:type="character" w:customStyle="1" w:styleId="179">
    <w:name w:val="标题 Char"/>
    <w:qFormat/>
    <w:uiPriority w:val="10"/>
    <w:rPr>
      <w:rFonts w:ascii="Cambria" w:hAnsi="Cambria" w:cs="Times New Roman"/>
      <w:b/>
      <w:bCs/>
      <w:kern w:val="2"/>
      <w:sz w:val="32"/>
      <w:szCs w:val="32"/>
    </w:rPr>
  </w:style>
  <w:style w:type="character" w:customStyle="1" w:styleId="180">
    <w:name w:val="批注主题 Char"/>
    <w:qFormat/>
    <w:uiPriority w:val="99"/>
    <w:rPr>
      <w:rFonts w:ascii="Times New Roman" w:hAnsi="Times New Roman"/>
      <w:b/>
      <w:bCs/>
      <w:kern w:val="2"/>
      <w:sz w:val="21"/>
      <w:szCs w:val="24"/>
    </w:rPr>
  </w:style>
  <w:style w:type="character" w:customStyle="1" w:styleId="181">
    <w:name w:val="vxe-cell--label"/>
    <w:basedOn w:val="49"/>
    <w:qFormat/>
    <w:uiPriority w:val="0"/>
  </w:style>
  <w:style w:type="character" w:customStyle="1" w:styleId="182">
    <w:name w:val="未处理的提及1"/>
    <w:basedOn w:val="49"/>
    <w:semiHidden/>
    <w:unhideWhenUsed/>
    <w:qFormat/>
    <w:uiPriority w:val="99"/>
    <w:rPr>
      <w:color w:val="605E5C"/>
      <w:shd w:val="clear" w:color="auto" w:fill="E1DFDD"/>
    </w:rPr>
  </w:style>
  <w:style w:type="character" w:customStyle="1" w:styleId="183">
    <w:name w:val="样式1 Char"/>
    <w:link w:val="184"/>
    <w:qFormat/>
    <w:uiPriority w:val="0"/>
    <w:rPr>
      <w:rFonts w:ascii="宋体" w:hAnsi="宋体"/>
      <w:b/>
      <w:kern w:val="2"/>
      <w:sz w:val="24"/>
    </w:rPr>
  </w:style>
  <w:style w:type="paragraph" w:customStyle="1" w:styleId="184">
    <w:name w:val="样式1"/>
    <w:basedOn w:val="1"/>
    <w:link w:val="183"/>
    <w:qFormat/>
    <w:uiPriority w:val="0"/>
    <w:pPr>
      <w:spacing w:before="120" w:after="120" w:line="300" w:lineRule="auto"/>
    </w:pPr>
    <w:rPr>
      <w:rFonts w:ascii="宋体" w:hAnsi="宋体"/>
      <w:b/>
      <w:sz w:val="24"/>
      <w:szCs w:val="20"/>
    </w:rPr>
  </w:style>
  <w:style w:type="paragraph" w:customStyle="1" w:styleId="185">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file:///C:\Users\Administrator\AppData\Roaming\Tencent\Users\84332323\QQ\WinTemp\RichOle\IBTSMDNQID2EUB%25252525252525252525252525252525252525252525252525252525252525252525252525252525252525252525252525252525252525252525252525252525252525252525252525252525252525252525252525252525252525252525252525252525252525257b1%25252525252525252525252525252525252525252525252525252525252525252525252525252525252525252525252525252525252525252525252525252525252525252525252525252525252525252525252525252525252525252525252525252525252525255d6~PD(5.png" TargetMode="External"/><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116</Pages>
  <Words>12322</Words>
  <Characters>13360</Characters>
  <Lines>535</Lines>
  <Paragraphs>150</Paragraphs>
  <TotalTime>9</TotalTime>
  <ScaleCrop>false</ScaleCrop>
  <LinksUpToDate>false</LinksUpToDate>
  <CharactersWithSpaces>13411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2023-11-20T11:04:00Z</dcterms:created>
  <dc:creator>番茄花园</dc:creator>
  <cp:lastModifiedBy>Administrator</cp:lastModifiedBy>
  <cp:lastPrinted>2024-11-25T06:20:00Z</cp:lastPrinted>
  <dcterms:modified xsi:type="dcterms:W3CDTF">2024-12-11T07:10:36Z</dcterms:modified>
  <dc:title>公开招标采购文件范本</dc:title>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241CEF953B43477CAE28C500ABB7E405_13</vt:lpwstr>
  </property>
</Properties>
</file>