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7B07E">
      <w:pPr>
        <w:spacing w:line="720" w:lineRule="exact"/>
        <w:ind w:firstLine="1201"/>
        <w:jc w:val="center"/>
        <w:rPr>
          <w:rFonts w:ascii="华文新魏" w:eastAsia="华文新魏"/>
          <w:b/>
          <w:bCs/>
          <w:color w:val="auto"/>
          <w:kern w:val="0"/>
          <w:sz w:val="60"/>
          <w:szCs w:val="60"/>
          <w:highlight w:val="none"/>
        </w:rPr>
      </w:pPr>
      <w:bookmarkStart w:id="0" w:name="_Toc82016587"/>
    </w:p>
    <w:p w14:paraId="067779A7">
      <w:pPr>
        <w:spacing w:line="720" w:lineRule="exact"/>
        <w:ind w:firstLine="198" w:firstLineChars="33"/>
        <w:jc w:val="center"/>
        <w:rPr>
          <w:rFonts w:ascii="文鼎中隶简" w:eastAsia="文鼎中隶简"/>
          <w:color w:val="auto"/>
          <w:kern w:val="0"/>
          <w:sz w:val="60"/>
          <w:szCs w:val="60"/>
          <w:highlight w:val="none"/>
        </w:rPr>
      </w:pPr>
      <w:r>
        <w:rPr>
          <w:rFonts w:hint="eastAsia" w:ascii="华文新魏" w:eastAsia="华文新魏"/>
          <w:b/>
          <w:bCs/>
          <w:color w:val="auto"/>
          <w:kern w:val="0"/>
          <w:sz w:val="60"/>
          <w:szCs w:val="60"/>
          <w:highlight w:val="none"/>
        </w:rPr>
        <w:t>云之龙咨询集团有限公司</w:t>
      </w:r>
    </w:p>
    <w:p w14:paraId="5E3E3E47">
      <w:pPr>
        <w:spacing w:line="720" w:lineRule="exact"/>
        <w:ind w:firstLine="1040"/>
        <w:jc w:val="center"/>
        <w:rPr>
          <w:rFonts w:ascii="文鼎中隶简" w:eastAsia="文鼎中隶简"/>
          <w:color w:val="auto"/>
          <w:kern w:val="0"/>
          <w:sz w:val="52"/>
          <w:highlight w:val="none"/>
        </w:rPr>
      </w:pPr>
      <w:r>
        <w:rPr>
          <w:rFonts w:ascii="文鼎中隶简" w:eastAsia="文鼎中隶简"/>
          <w:color w:val="auto"/>
          <w:kern w:val="0"/>
          <w:sz w:val="52"/>
          <w:highlight w:val="none"/>
        </w:rPr>
        <w:cr/>
      </w:r>
      <w:bookmarkStart w:id="43" w:name="_GoBack"/>
      <w:bookmarkEnd w:id="43"/>
    </w:p>
    <w:p w14:paraId="45CFA075">
      <w:pPr>
        <w:spacing w:line="1000" w:lineRule="exact"/>
        <w:ind w:firstLine="1440"/>
        <w:jc w:val="center"/>
        <w:rPr>
          <w:rFonts w:ascii="楷体_GB2312" w:eastAsia="楷体_GB2312"/>
          <w:b/>
          <w:color w:val="auto"/>
          <w:kern w:val="0"/>
          <w:sz w:val="84"/>
          <w:szCs w:val="84"/>
          <w:highlight w:val="none"/>
        </w:rPr>
      </w:pPr>
      <w:r>
        <w:rPr>
          <w:rFonts w:hint="eastAsia"/>
          <w:color w:val="auto"/>
          <w:kern w:val="0"/>
          <w:sz w:val="72"/>
          <w:highlight w:val="none"/>
        </w:rPr>
        <w:cr/>
      </w:r>
      <w:r>
        <w:rPr>
          <w:rFonts w:hint="eastAsia" w:ascii="楷体_GB2312" w:eastAsia="楷体_GB2312"/>
          <w:b/>
          <w:color w:val="auto"/>
          <w:kern w:val="0"/>
          <w:sz w:val="84"/>
          <w:szCs w:val="84"/>
          <w:highlight w:val="none"/>
        </w:rPr>
        <w:t>竞争性磋商文件</w:t>
      </w:r>
      <w:r>
        <w:rPr>
          <w:rFonts w:hint="eastAsia" w:ascii="楷体_GB2312" w:eastAsia="楷体_GB2312"/>
          <w:b/>
          <w:color w:val="auto"/>
          <w:kern w:val="0"/>
          <w:sz w:val="84"/>
          <w:szCs w:val="84"/>
          <w:highlight w:val="none"/>
        </w:rPr>
        <w:cr/>
      </w:r>
      <w:r>
        <w:rPr>
          <w:rFonts w:hint="eastAsia" w:ascii="楷体_GB2312" w:eastAsia="楷体_GB2312"/>
          <w:b/>
          <w:color w:val="auto"/>
          <w:kern w:val="0"/>
          <w:sz w:val="84"/>
          <w:szCs w:val="84"/>
          <w:highlight w:val="none"/>
        </w:rPr>
        <w:cr/>
      </w:r>
    </w:p>
    <w:p w14:paraId="5436DE88">
      <w:pPr>
        <w:pStyle w:val="26"/>
        <w:ind w:firstLine="4560" w:firstLineChars="1900"/>
        <w:rPr>
          <w:color w:val="auto"/>
          <w:kern w:val="0"/>
          <w:highlight w:val="none"/>
        </w:rPr>
      </w:pPr>
    </w:p>
    <w:p w14:paraId="3C1957B2">
      <w:pPr>
        <w:ind w:left="2871" w:leftChars="527" w:hanging="1606" w:hangingChars="500"/>
        <w:rPr>
          <w:rFonts w:hint="eastAsia" w:ascii="宋体" w:hAnsi="宋体" w:cs="宋体"/>
          <w:b/>
          <w:bCs/>
          <w:color w:val="auto"/>
          <w:kern w:val="0"/>
          <w:sz w:val="32"/>
          <w:highlight w:val="none"/>
        </w:rPr>
      </w:pPr>
    </w:p>
    <w:p w14:paraId="6C493B3F">
      <w:pPr>
        <w:ind w:left="2871" w:leftChars="527" w:hanging="1606" w:hangingChars="500"/>
        <w:rPr>
          <w:rFonts w:hint="eastAsia" w:ascii="宋体" w:hAnsi="宋体" w:cs="宋体"/>
          <w:b/>
          <w:bCs/>
          <w:color w:val="auto"/>
          <w:kern w:val="0"/>
          <w:sz w:val="32"/>
          <w:highlight w:val="none"/>
        </w:rPr>
      </w:pPr>
      <w:r>
        <w:rPr>
          <w:rFonts w:hint="eastAsia" w:ascii="宋体" w:hAnsi="宋体" w:cs="宋体"/>
          <w:b/>
          <w:bCs/>
          <w:color w:val="auto"/>
          <w:kern w:val="0"/>
          <w:sz w:val="32"/>
          <w:highlight w:val="none"/>
        </w:rPr>
        <w:t>项目名称：桂林市生态环境执法监测服务</w:t>
      </w:r>
    </w:p>
    <w:p w14:paraId="55A8C572">
      <w:pPr>
        <w:ind w:left="2871" w:leftChars="527" w:hanging="1606" w:hangingChars="500"/>
        <w:rPr>
          <w:rFonts w:hint="eastAsia" w:ascii="宋体" w:hAnsi="宋体" w:cs="宋体"/>
          <w:b/>
          <w:bCs/>
          <w:color w:val="auto"/>
          <w:kern w:val="0"/>
          <w:sz w:val="32"/>
          <w:highlight w:val="none"/>
        </w:rPr>
      </w:pPr>
      <w:r>
        <w:rPr>
          <w:rFonts w:hint="eastAsia" w:ascii="宋体" w:hAnsi="宋体" w:cs="宋体"/>
          <w:b/>
          <w:bCs/>
          <w:color w:val="auto"/>
          <w:kern w:val="0"/>
          <w:sz w:val="32"/>
          <w:highlight w:val="none"/>
        </w:rPr>
        <w:t>项目编号：GLZC2025-C3-990140-YZLZ</w:t>
      </w:r>
    </w:p>
    <w:p w14:paraId="115FF8C4">
      <w:pPr>
        <w:ind w:left="-2" w:leftChars="-1" w:firstLine="720" w:firstLineChars="300"/>
        <w:rPr>
          <w:rFonts w:hint="eastAsia" w:ascii="宋体" w:hAnsi="宋体" w:cs="宋体"/>
          <w:color w:val="auto"/>
          <w:kern w:val="0"/>
          <w:highlight w:val="none"/>
        </w:rPr>
      </w:pPr>
    </w:p>
    <w:p w14:paraId="187C810E">
      <w:pPr>
        <w:ind w:firstLine="1446" w:firstLineChars="450"/>
        <w:jc w:val="center"/>
        <w:rPr>
          <w:rFonts w:hint="eastAsia" w:ascii="宋体" w:hAnsi="宋体" w:cs="宋体"/>
          <w:b/>
          <w:bCs/>
          <w:color w:val="auto"/>
          <w:kern w:val="0"/>
          <w:sz w:val="32"/>
          <w:highlight w:val="none"/>
        </w:rPr>
      </w:pPr>
    </w:p>
    <w:p w14:paraId="24C287ED">
      <w:pPr>
        <w:ind w:firstLine="1446" w:firstLineChars="450"/>
        <w:jc w:val="center"/>
        <w:rPr>
          <w:rFonts w:hint="eastAsia" w:ascii="宋体" w:hAnsi="宋体" w:cs="宋体"/>
          <w:b/>
          <w:bCs/>
          <w:color w:val="auto"/>
          <w:kern w:val="0"/>
          <w:sz w:val="32"/>
          <w:highlight w:val="none"/>
        </w:rPr>
      </w:pPr>
    </w:p>
    <w:p w14:paraId="45B467B3">
      <w:pPr>
        <w:ind w:firstLine="643"/>
        <w:jc w:val="center"/>
        <w:rPr>
          <w:rFonts w:hint="eastAsia" w:ascii="宋体" w:hAnsi="宋体" w:cs="宋体"/>
          <w:b/>
          <w:bCs/>
          <w:color w:val="auto"/>
          <w:kern w:val="0"/>
          <w:sz w:val="32"/>
          <w:highlight w:val="none"/>
        </w:rPr>
      </w:pPr>
      <w:r>
        <w:rPr>
          <w:rFonts w:hint="eastAsia" w:ascii="宋体" w:hAnsi="宋体" w:cs="宋体"/>
          <w:b/>
          <w:bCs/>
          <w:color w:val="auto"/>
          <w:kern w:val="0"/>
          <w:sz w:val="32"/>
          <w:highlight w:val="none"/>
        </w:rPr>
        <w:t>采购代理机构：云之龙咨询集团有限公司</w:t>
      </w:r>
    </w:p>
    <w:p w14:paraId="34B81E1F">
      <w:pPr>
        <w:ind w:firstLine="643"/>
        <w:jc w:val="center"/>
        <w:rPr>
          <w:rFonts w:hint="eastAsia" w:ascii="宋体" w:hAnsi="宋体" w:cs="宋体"/>
          <w:b/>
          <w:bCs/>
          <w:color w:val="auto"/>
          <w:kern w:val="0"/>
          <w:sz w:val="32"/>
          <w:highlight w:val="none"/>
        </w:rPr>
      </w:pPr>
      <w:r>
        <w:rPr>
          <w:rFonts w:hint="eastAsia" w:ascii="宋体" w:hAnsi="宋体" w:cs="宋体"/>
          <w:b/>
          <w:bCs/>
          <w:color w:val="auto"/>
          <w:kern w:val="0"/>
          <w:sz w:val="32"/>
          <w:highlight w:val="none"/>
        </w:rPr>
        <w:t xml:space="preserve"> 2025年4月25日</w:t>
      </w:r>
    </w:p>
    <w:p w14:paraId="584A48E5">
      <w:pPr>
        <w:pStyle w:val="26"/>
        <w:spacing w:line="420" w:lineRule="exact"/>
        <w:rPr>
          <w:rFonts w:hint="eastAsia" w:hAnsi="宋体" w:cs="宋体"/>
          <w:color w:val="auto"/>
          <w:kern w:val="0"/>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pgNumType w:start="0"/>
          <w:cols w:space="720" w:num="1"/>
          <w:titlePg/>
          <w:docGrid w:linePitch="331" w:charSpace="0"/>
        </w:sectPr>
      </w:pPr>
    </w:p>
    <w:p w14:paraId="3960FC51">
      <w:pPr>
        <w:pStyle w:val="26"/>
        <w:spacing w:line="420" w:lineRule="exact"/>
        <w:jc w:val="center"/>
        <w:rPr>
          <w:rFonts w:hint="eastAsia" w:hAnsi="宋体" w:cs="宋体"/>
          <w:b/>
          <w:bCs/>
          <w:color w:val="auto"/>
          <w:kern w:val="0"/>
          <w:sz w:val="44"/>
          <w:highlight w:val="none"/>
        </w:rPr>
      </w:pPr>
      <w:r>
        <w:rPr>
          <w:rFonts w:hint="eastAsia" w:hAnsi="宋体" w:cs="宋体"/>
          <w:b/>
          <w:bCs/>
          <w:color w:val="auto"/>
          <w:kern w:val="0"/>
          <w:sz w:val="44"/>
          <w:highlight w:val="none"/>
        </w:rPr>
        <w:t>目     录</w:t>
      </w:r>
    </w:p>
    <w:p w14:paraId="6DAE6E43">
      <w:pPr>
        <w:pStyle w:val="26"/>
        <w:tabs>
          <w:tab w:val="left" w:pos="8860"/>
          <w:tab w:val="left" w:pos="9140"/>
        </w:tabs>
        <w:rPr>
          <w:rFonts w:hint="eastAsia" w:hAnsi="宋体" w:cs="宋体"/>
          <w:color w:val="auto"/>
          <w:kern w:val="0"/>
          <w:sz w:val="32"/>
          <w:highlight w:val="none"/>
        </w:rPr>
      </w:pPr>
    </w:p>
    <w:p w14:paraId="5411EA92">
      <w:pPr>
        <w:pStyle w:val="37"/>
        <w:ind w:left="480"/>
        <w:rPr>
          <w:rFonts w:hint="eastAsia" w:hAnsi="宋体"/>
          <w:color w:val="auto"/>
          <w:kern w:val="0"/>
          <w:highlight w:val="none"/>
        </w:rPr>
      </w:pPr>
    </w:p>
    <w:p w14:paraId="7707FC6C">
      <w:pPr>
        <w:pStyle w:val="37"/>
        <w:ind w:left="480"/>
        <w:rPr>
          <w:rStyle w:val="52"/>
          <w:rFonts w:hint="eastAsia" w:ascii="宋体" w:hAnsi="宋体" w:cs="宋体"/>
          <w:b/>
          <w:color w:val="auto"/>
          <w:kern w:val="0"/>
          <w:sz w:val="32"/>
          <w:szCs w:val="32"/>
          <w:highlight w:val="none"/>
        </w:rPr>
      </w:pPr>
      <w:r>
        <w:rPr>
          <w:rFonts w:hAnsi="宋体"/>
          <w:color w:val="auto"/>
          <w:kern w:val="0"/>
          <w:highlight w:val="none"/>
        </w:rPr>
        <w:fldChar w:fldCharType="begin"/>
      </w:r>
      <w:r>
        <w:rPr>
          <w:rFonts w:hAnsi="宋体"/>
          <w:color w:val="auto"/>
          <w:kern w:val="0"/>
          <w:highlight w:val="none"/>
        </w:rPr>
        <w:instrText xml:space="preserve"> </w:instrText>
      </w:r>
      <w:r>
        <w:rPr>
          <w:rFonts w:hint="eastAsia" w:hAnsi="宋体"/>
          <w:color w:val="auto"/>
          <w:kern w:val="0"/>
          <w:highlight w:val="none"/>
        </w:rPr>
        <w:instrText xml:space="preserve">TOC \o "1-3" \h \z \u</w:instrText>
      </w:r>
      <w:r>
        <w:rPr>
          <w:rFonts w:hAnsi="宋体"/>
          <w:color w:val="auto"/>
          <w:kern w:val="0"/>
          <w:highlight w:val="none"/>
        </w:rPr>
        <w:instrText xml:space="preserve"> </w:instrText>
      </w:r>
      <w:r>
        <w:rPr>
          <w:rFonts w:hAnsi="宋体"/>
          <w:color w:val="auto"/>
          <w:kern w:val="0"/>
          <w:highlight w:val="none"/>
        </w:rPr>
        <w:fldChar w:fldCharType="separate"/>
      </w:r>
      <w:r>
        <w:rPr>
          <w:color w:val="auto"/>
          <w:highlight w:val="none"/>
        </w:rPr>
        <w:fldChar w:fldCharType="begin"/>
      </w:r>
      <w:r>
        <w:rPr>
          <w:color w:val="auto"/>
          <w:highlight w:val="none"/>
        </w:rPr>
        <w:instrText xml:space="preserve"> HYPERLINK \l "_Toc82016584" </w:instrText>
      </w:r>
      <w:r>
        <w:rPr>
          <w:color w:val="auto"/>
          <w:highlight w:val="none"/>
        </w:rPr>
        <w:fldChar w:fldCharType="separate"/>
      </w:r>
      <w:r>
        <w:rPr>
          <w:rStyle w:val="52"/>
          <w:rFonts w:hint="eastAsia" w:ascii="宋体" w:hAnsi="宋体" w:cs="宋体"/>
          <w:b/>
          <w:color w:val="auto"/>
          <w:kern w:val="0"/>
          <w:sz w:val="32"/>
          <w:szCs w:val="32"/>
          <w:highlight w:val="none"/>
        </w:rPr>
        <w:t>第一章 竞争性磋商公告</w:t>
      </w:r>
      <w:r>
        <w:rPr>
          <w:rStyle w:val="52"/>
          <w:rFonts w:ascii="宋体" w:hAnsi="宋体" w:cs="宋体"/>
          <w:b/>
          <w:color w:val="auto"/>
          <w:kern w:val="0"/>
          <w:sz w:val="32"/>
          <w:szCs w:val="32"/>
          <w:highlight w:val="none"/>
        </w:rPr>
        <w:t>………………………………</w:t>
      </w:r>
      <w:r>
        <w:rPr>
          <w:rStyle w:val="52"/>
          <w:rFonts w:hint="eastAsia" w:ascii="宋体" w:hAnsi="宋体" w:cs="宋体"/>
          <w:b/>
          <w:color w:val="auto"/>
          <w:kern w:val="0"/>
          <w:sz w:val="32"/>
          <w:szCs w:val="32"/>
          <w:highlight w:val="none"/>
        </w:rPr>
        <w:t>2</w:t>
      </w:r>
      <w:r>
        <w:rPr>
          <w:rStyle w:val="52"/>
          <w:rFonts w:hint="eastAsia" w:ascii="宋体" w:hAnsi="宋体" w:cs="宋体"/>
          <w:b/>
          <w:color w:val="auto"/>
          <w:kern w:val="0"/>
          <w:sz w:val="32"/>
          <w:szCs w:val="32"/>
          <w:highlight w:val="none"/>
        </w:rPr>
        <w:fldChar w:fldCharType="end"/>
      </w:r>
    </w:p>
    <w:p w14:paraId="77C94790">
      <w:pPr>
        <w:pStyle w:val="37"/>
        <w:ind w:left="480"/>
        <w:rPr>
          <w:rStyle w:val="52"/>
          <w:rFonts w:hint="eastAsia" w:ascii="宋体" w:hAnsi="宋体" w:cs="宋体"/>
          <w:b/>
          <w:color w:val="auto"/>
          <w:kern w:val="0"/>
          <w:sz w:val="32"/>
          <w:szCs w:val="32"/>
          <w:highlight w:val="none"/>
        </w:rPr>
      </w:pPr>
      <w:r>
        <w:rPr>
          <w:color w:val="auto"/>
          <w:highlight w:val="none"/>
        </w:rPr>
        <w:fldChar w:fldCharType="begin"/>
      </w:r>
      <w:r>
        <w:rPr>
          <w:color w:val="auto"/>
          <w:highlight w:val="none"/>
        </w:rPr>
        <w:instrText xml:space="preserve"> HYPERLINK \l "_Toc82016586" </w:instrText>
      </w:r>
      <w:r>
        <w:rPr>
          <w:color w:val="auto"/>
          <w:highlight w:val="none"/>
        </w:rPr>
        <w:fldChar w:fldCharType="separate"/>
      </w:r>
      <w:r>
        <w:rPr>
          <w:rStyle w:val="52"/>
          <w:rFonts w:hint="eastAsia" w:ascii="宋体" w:hAnsi="宋体" w:cs="宋体"/>
          <w:b/>
          <w:color w:val="auto"/>
          <w:kern w:val="0"/>
          <w:sz w:val="32"/>
          <w:szCs w:val="32"/>
          <w:highlight w:val="none"/>
        </w:rPr>
        <w:t>第二章 供应商须知</w:t>
      </w:r>
      <w:r>
        <w:rPr>
          <w:rStyle w:val="52"/>
          <w:rFonts w:ascii="宋体" w:hAnsi="宋体" w:cs="宋体"/>
          <w:b/>
          <w:color w:val="auto"/>
          <w:kern w:val="0"/>
          <w:sz w:val="32"/>
          <w:szCs w:val="32"/>
          <w:highlight w:val="none"/>
        </w:rPr>
        <w:t>……………………………………</w:t>
      </w:r>
      <w:r>
        <w:rPr>
          <w:rStyle w:val="52"/>
          <w:rFonts w:hint="eastAsia" w:ascii="宋体" w:hAnsi="宋体" w:cs="宋体"/>
          <w:b/>
          <w:color w:val="auto"/>
          <w:kern w:val="0"/>
          <w:sz w:val="32"/>
          <w:szCs w:val="32"/>
          <w:highlight w:val="none"/>
        </w:rPr>
        <w:t>6</w:t>
      </w:r>
      <w:r>
        <w:rPr>
          <w:rStyle w:val="52"/>
          <w:rFonts w:hint="eastAsia" w:ascii="宋体" w:hAnsi="宋体" w:cs="宋体"/>
          <w:b/>
          <w:color w:val="auto"/>
          <w:kern w:val="0"/>
          <w:sz w:val="32"/>
          <w:szCs w:val="32"/>
          <w:highlight w:val="none"/>
        </w:rPr>
        <w:fldChar w:fldCharType="end"/>
      </w:r>
    </w:p>
    <w:p w14:paraId="66A671D2">
      <w:pPr>
        <w:pStyle w:val="37"/>
        <w:ind w:left="480"/>
        <w:rPr>
          <w:rStyle w:val="52"/>
          <w:rFonts w:hint="eastAsia" w:ascii="宋体" w:hAnsi="宋体" w:cs="宋体"/>
          <w:b/>
          <w:color w:val="auto"/>
          <w:kern w:val="0"/>
          <w:sz w:val="32"/>
          <w:szCs w:val="32"/>
          <w:highlight w:val="none"/>
        </w:rPr>
      </w:pPr>
      <w:r>
        <w:rPr>
          <w:color w:val="auto"/>
          <w:highlight w:val="none"/>
        </w:rPr>
        <w:fldChar w:fldCharType="begin"/>
      </w:r>
      <w:r>
        <w:rPr>
          <w:color w:val="auto"/>
          <w:highlight w:val="none"/>
        </w:rPr>
        <w:instrText xml:space="preserve"> HYPERLINK \l "_Toc82016587" </w:instrText>
      </w:r>
      <w:r>
        <w:rPr>
          <w:color w:val="auto"/>
          <w:highlight w:val="none"/>
        </w:rPr>
        <w:fldChar w:fldCharType="separate"/>
      </w:r>
      <w:r>
        <w:rPr>
          <w:rStyle w:val="52"/>
          <w:rFonts w:hint="eastAsia" w:ascii="宋体" w:hAnsi="宋体" w:cs="宋体"/>
          <w:b/>
          <w:color w:val="auto"/>
          <w:kern w:val="0"/>
          <w:sz w:val="32"/>
          <w:szCs w:val="32"/>
          <w:highlight w:val="none"/>
        </w:rPr>
        <w:t>第三章</w:t>
      </w:r>
      <w:r>
        <w:rPr>
          <w:rStyle w:val="52"/>
          <w:rFonts w:ascii="宋体" w:hAnsi="宋体" w:cs="宋体"/>
          <w:b/>
          <w:color w:val="auto"/>
          <w:kern w:val="0"/>
          <w:sz w:val="32"/>
          <w:szCs w:val="32"/>
          <w:highlight w:val="none"/>
        </w:rPr>
        <w:t xml:space="preserve"> </w:t>
      </w:r>
      <w:r>
        <w:rPr>
          <w:rStyle w:val="52"/>
          <w:rFonts w:hint="eastAsia" w:ascii="宋体" w:hAnsi="宋体" w:cs="宋体"/>
          <w:b/>
          <w:color w:val="auto"/>
          <w:kern w:val="0"/>
          <w:sz w:val="32"/>
          <w:szCs w:val="32"/>
          <w:highlight w:val="none"/>
        </w:rPr>
        <w:t>采购需求</w:t>
      </w:r>
      <w:r>
        <w:rPr>
          <w:rStyle w:val="52"/>
          <w:rFonts w:ascii="宋体" w:hAnsi="宋体" w:cs="宋体"/>
          <w:b/>
          <w:color w:val="auto"/>
          <w:kern w:val="0"/>
          <w:sz w:val="32"/>
          <w:szCs w:val="32"/>
          <w:highlight w:val="none"/>
        </w:rPr>
        <w:t>………………………………………</w:t>
      </w:r>
      <w:r>
        <w:rPr>
          <w:rStyle w:val="52"/>
          <w:rFonts w:hint="eastAsia" w:ascii="宋体" w:hAnsi="宋体" w:cs="宋体"/>
          <w:b/>
          <w:color w:val="auto"/>
          <w:kern w:val="0"/>
          <w:sz w:val="32"/>
          <w:szCs w:val="32"/>
          <w:highlight w:val="none"/>
        </w:rPr>
        <w:t>3</w:t>
      </w:r>
      <w:r>
        <w:rPr>
          <w:rStyle w:val="52"/>
          <w:rFonts w:hint="eastAsia" w:ascii="宋体" w:hAnsi="宋体" w:cs="宋体"/>
          <w:b/>
          <w:color w:val="auto"/>
          <w:kern w:val="0"/>
          <w:sz w:val="32"/>
          <w:szCs w:val="32"/>
          <w:highlight w:val="none"/>
        </w:rPr>
        <w:fldChar w:fldCharType="end"/>
      </w:r>
      <w:r>
        <w:rPr>
          <w:rFonts w:hint="eastAsia" w:ascii="宋体" w:hAnsi="宋体" w:cs="宋体"/>
          <w:b/>
          <w:color w:val="auto"/>
          <w:kern w:val="0"/>
          <w:sz w:val="32"/>
          <w:szCs w:val="32"/>
          <w:highlight w:val="none"/>
        </w:rPr>
        <w:t>0</w:t>
      </w:r>
    </w:p>
    <w:p w14:paraId="509D69B0">
      <w:pPr>
        <w:pStyle w:val="37"/>
        <w:ind w:left="480"/>
        <w:rPr>
          <w:rStyle w:val="52"/>
          <w:rFonts w:hint="eastAsia" w:ascii="宋体" w:hAnsi="宋体" w:cs="宋体"/>
          <w:color w:val="auto"/>
          <w:kern w:val="0"/>
          <w:sz w:val="32"/>
          <w:szCs w:val="32"/>
          <w:highlight w:val="none"/>
        </w:rPr>
      </w:pPr>
      <w:r>
        <w:rPr>
          <w:color w:val="auto"/>
          <w:highlight w:val="none"/>
        </w:rPr>
        <w:fldChar w:fldCharType="begin"/>
      </w:r>
      <w:r>
        <w:rPr>
          <w:color w:val="auto"/>
          <w:highlight w:val="none"/>
        </w:rPr>
        <w:instrText xml:space="preserve"> HYPERLINK \l "_Toc82016588" </w:instrText>
      </w:r>
      <w:r>
        <w:rPr>
          <w:color w:val="auto"/>
          <w:highlight w:val="none"/>
        </w:rPr>
        <w:fldChar w:fldCharType="separate"/>
      </w:r>
      <w:r>
        <w:rPr>
          <w:rStyle w:val="52"/>
          <w:rFonts w:hint="eastAsia" w:ascii="宋体" w:hAnsi="宋体" w:cs="宋体"/>
          <w:b/>
          <w:color w:val="auto"/>
          <w:kern w:val="0"/>
          <w:sz w:val="32"/>
          <w:szCs w:val="32"/>
          <w:highlight w:val="none"/>
        </w:rPr>
        <w:t>第四章 评审办法</w:t>
      </w:r>
      <w:r>
        <w:rPr>
          <w:rStyle w:val="52"/>
          <w:rFonts w:ascii="宋体" w:hAnsi="宋体" w:cs="宋体"/>
          <w:b/>
          <w:color w:val="auto"/>
          <w:kern w:val="0"/>
          <w:sz w:val="32"/>
          <w:szCs w:val="32"/>
          <w:highlight w:val="none"/>
        </w:rPr>
        <w:t>………………………………………</w:t>
      </w:r>
      <w:r>
        <w:rPr>
          <w:rStyle w:val="52"/>
          <w:rFonts w:ascii="宋体" w:hAnsi="宋体" w:cs="宋体"/>
          <w:b/>
          <w:color w:val="auto"/>
          <w:kern w:val="0"/>
          <w:sz w:val="32"/>
          <w:szCs w:val="32"/>
          <w:highlight w:val="none"/>
        </w:rPr>
        <w:fldChar w:fldCharType="end"/>
      </w:r>
      <w:r>
        <w:rPr>
          <w:rStyle w:val="52"/>
          <w:rFonts w:hint="eastAsia" w:ascii="宋体" w:hAnsi="宋体" w:cs="宋体"/>
          <w:b/>
          <w:color w:val="auto"/>
          <w:kern w:val="0"/>
          <w:sz w:val="32"/>
          <w:szCs w:val="32"/>
          <w:highlight w:val="none"/>
        </w:rPr>
        <w:t>55</w:t>
      </w:r>
    </w:p>
    <w:p w14:paraId="4C29B2B3">
      <w:pPr>
        <w:pStyle w:val="37"/>
        <w:ind w:left="480"/>
        <w:rPr>
          <w:rStyle w:val="52"/>
          <w:rFonts w:hint="eastAsia" w:ascii="宋体" w:hAnsi="宋体" w:cs="宋体"/>
          <w:b/>
          <w:color w:val="auto"/>
          <w:kern w:val="0"/>
          <w:sz w:val="32"/>
          <w:szCs w:val="32"/>
          <w:highlight w:val="none"/>
        </w:rPr>
      </w:pPr>
      <w:r>
        <w:rPr>
          <w:color w:val="auto"/>
          <w:highlight w:val="none"/>
        </w:rPr>
        <w:fldChar w:fldCharType="begin"/>
      </w:r>
      <w:r>
        <w:rPr>
          <w:color w:val="auto"/>
          <w:highlight w:val="none"/>
        </w:rPr>
        <w:instrText xml:space="preserve"> HYPERLINK \l "_Toc82016592" </w:instrText>
      </w:r>
      <w:r>
        <w:rPr>
          <w:color w:val="auto"/>
          <w:highlight w:val="none"/>
        </w:rPr>
        <w:fldChar w:fldCharType="separate"/>
      </w:r>
      <w:r>
        <w:rPr>
          <w:rStyle w:val="52"/>
          <w:rFonts w:hint="eastAsia" w:ascii="宋体" w:hAnsi="宋体" w:cs="宋体"/>
          <w:b/>
          <w:color w:val="auto"/>
          <w:kern w:val="0"/>
          <w:sz w:val="32"/>
          <w:szCs w:val="32"/>
          <w:highlight w:val="none"/>
        </w:rPr>
        <w:t>第五章</w:t>
      </w:r>
      <w:r>
        <w:rPr>
          <w:rStyle w:val="52"/>
          <w:rFonts w:ascii="宋体" w:hAnsi="宋体" w:cs="宋体"/>
          <w:b/>
          <w:color w:val="auto"/>
          <w:kern w:val="0"/>
          <w:sz w:val="32"/>
          <w:szCs w:val="32"/>
          <w:highlight w:val="none"/>
        </w:rPr>
        <w:t xml:space="preserve"> </w:t>
      </w:r>
      <w:r>
        <w:rPr>
          <w:rStyle w:val="52"/>
          <w:rFonts w:hint="eastAsia" w:ascii="宋体" w:hAnsi="宋体" w:cs="宋体"/>
          <w:b/>
          <w:color w:val="auto"/>
          <w:kern w:val="0"/>
          <w:sz w:val="32"/>
          <w:szCs w:val="32"/>
          <w:highlight w:val="none"/>
        </w:rPr>
        <w:t>政府采购合同（合同主要条款及格式）</w:t>
      </w:r>
      <w:r>
        <w:rPr>
          <w:rStyle w:val="52"/>
          <w:rFonts w:ascii="宋体" w:hAnsi="宋体" w:cs="宋体"/>
          <w:b/>
          <w:color w:val="auto"/>
          <w:kern w:val="0"/>
          <w:sz w:val="32"/>
          <w:szCs w:val="32"/>
          <w:highlight w:val="none"/>
        </w:rPr>
        <w:t>……</w:t>
      </w:r>
      <w:r>
        <w:rPr>
          <w:rStyle w:val="52"/>
          <w:rFonts w:ascii="宋体" w:hAnsi="宋体" w:cs="宋体"/>
          <w:b/>
          <w:color w:val="auto"/>
          <w:kern w:val="0"/>
          <w:sz w:val="32"/>
          <w:szCs w:val="32"/>
          <w:highlight w:val="none"/>
        </w:rPr>
        <w:fldChar w:fldCharType="end"/>
      </w:r>
      <w:r>
        <w:rPr>
          <w:rFonts w:hint="eastAsia" w:ascii="宋体" w:hAnsi="宋体" w:cs="宋体"/>
          <w:b/>
          <w:color w:val="auto"/>
          <w:kern w:val="0"/>
          <w:sz w:val="32"/>
          <w:szCs w:val="32"/>
          <w:highlight w:val="none"/>
        </w:rPr>
        <w:t>58</w:t>
      </w:r>
    </w:p>
    <w:p w14:paraId="47613763">
      <w:pPr>
        <w:pStyle w:val="37"/>
        <w:ind w:left="480"/>
        <w:rPr>
          <w:rStyle w:val="52"/>
          <w:rFonts w:hint="eastAsia" w:ascii="宋体" w:hAnsi="宋体" w:cs="宋体"/>
          <w:b/>
          <w:color w:val="auto"/>
          <w:kern w:val="0"/>
          <w:sz w:val="32"/>
          <w:szCs w:val="32"/>
          <w:highlight w:val="none"/>
          <w:u w:val="none"/>
        </w:rPr>
      </w:pPr>
      <w:r>
        <w:rPr>
          <w:color w:val="auto"/>
          <w:highlight w:val="none"/>
        </w:rPr>
        <w:fldChar w:fldCharType="begin"/>
      </w:r>
      <w:r>
        <w:rPr>
          <w:color w:val="auto"/>
          <w:highlight w:val="none"/>
        </w:rPr>
        <w:instrText xml:space="preserve"> HYPERLINK \l "_Toc82016593" </w:instrText>
      </w:r>
      <w:r>
        <w:rPr>
          <w:color w:val="auto"/>
          <w:highlight w:val="none"/>
        </w:rPr>
        <w:fldChar w:fldCharType="separate"/>
      </w:r>
      <w:r>
        <w:rPr>
          <w:rStyle w:val="52"/>
          <w:rFonts w:hint="eastAsia" w:ascii="宋体" w:hAnsi="宋体" w:cs="宋体"/>
          <w:b/>
          <w:color w:val="auto"/>
          <w:kern w:val="0"/>
          <w:sz w:val="32"/>
          <w:szCs w:val="32"/>
          <w:highlight w:val="none"/>
        </w:rPr>
        <w:t>第六章</w:t>
      </w:r>
      <w:r>
        <w:rPr>
          <w:rStyle w:val="52"/>
          <w:rFonts w:ascii="宋体" w:hAnsi="宋体" w:cs="宋体"/>
          <w:b/>
          <w:color w:val="auto"/>
          <w:kern w:val="0"/>
          <w:sz w:val="32"/>
          <w:szCs w:val="32"/>
          <w:highlight w:val="none"/>
        </w:rPr>
        <w:t xml:space="preserve"> </w:t>
      </w:r>
      <w:r>
        <w:rPr>
          <w:rStyle w:val="52"/>
          <w:rFonts w:hint="eastAsia" w:ascii="宋体" w:hAnsi="宋体" w:cs="宋体"/>
          <w:b/>
          <w:color w:val="auto"/>
          <w:kern w:val="0"/>
          <w:sz w:val="32"/>
          <w:szCs w:val="32"/>
          <w:highlight w:val="none"/>
        </w:rPr>
        <w:t>响应文件（格式）</w:t>
      </w:r>
      <w:r>
        <w:rPr>
          <w:rStyle w:val="52"/>
          <w:rFonts w:ascii="宋体" w:hAnsi="宋体" w:cs="宋体"/>
          <w:b/>
          <w:color w:val="auto"/>
          <w:kern w:val="0"/>
          <w:sz w:val="32"/>
          <w:szCs w:val="32"/>
          <w:highlight w:val="none"/>
        </w:rPr>
        <w:t>……………………………</w:t>
      </w:r>
      <w:r>
        <w:rPr>
          <w:rStyle w:val="52"/>
          <w:rFonts w:ascii="宋体" w:hAnsi="宋体" w:cs="宋体"/>
          <w:b/>
          <w:color w:val="auto"/>
          <w:kern w:val="0"/>
          <w:sz w:val="32"/>
          <w:szCs w:val="32"/>
          <w:highlight w:val="none"/>
        </w:rPr>
        <w:fldChar w:fldCharType="end"/>
      </w:r>
      <w:r>
        <w:rPr>
          <w:rFonts w:hint="eastAsia" w:ascii="宋体" w:hAnsi="宋体" w:cs="宋体"/>
          <w:b/>
          <w:color w:val="auto"/>
          <w:kern w:val="0"/>
          <w:sz w:val="32"/>
          <w:szCs w:val="32"/>
          <w:highlight w:val="none"/>
        </w:rPr>
        <w:t>67</w:t>
      </w:r>
    </w:p>
    <w:p w14:paraId="3E250EEF">
      <w:pPr>
        <w:pStyle w:val="25"/>
        <w:tabs>
          <w:tab w:val="right" w:leader="dot" w:pos="9288"/>
        </w:tabs>
        <w:ind w:left="960"/>
        <w:rPr>
          <w:color w:val="auto"/>
          <w:highlight w:val="none"/>
        </w:rPr>
      </w:pPr>
    </w:p>
    <w:p w14:paraId="0959DDF6">
      <w:pPr>
        <w:pStyle w:val="26"/>
        <w:tabs>
          <w:tab w:val="left" w:pos="8860"/>
          <w:tab w:val="left" w:pos="9140"/>
        </w:tabs>
        <w:spacing w:line="520" w:lineRule="exact"/>
        <w:rPr>
          <w:rFonts w:hint="eastAsia" w:hAnsi="宋体" w:cs="宋体"/>
          <w:color w:val="auto"/>
          <w:kern w:val="0"/>
          <w:sz w:val="32"/>
          <w:highlight w:val="none"/>
        </w:rPr>
      </w:pPr>
      <w:r>
        <w:rPr>
          <w:rFonts w:hAnsi="宋体" w:cs="宋体"/>
          <w:color w:val="auto"/>
          <w:kern w:val="0"/>
          <w:sz w:val="32"/>
          <w:highlight w:val="none"/>
        </w:rPr>
        <w:fldChar w:fldCharType="end"/>
      </w:r>
    </w:p>
    <w:p w14:paraId="1E60BF73">
      <w:pPr>
        <w:pStyle w:val="26"/>
        <w:tabs>
          <w:tab w:val="left" w:pos="8860"/>
          <w:tab w:val="left" w:pos="9140"/>
        </w:tabs>
        <w:spacing w:line="520" w:lineRule="exact"/>
        <w:ind w:firstLine="737"/>
        <w:rPr>
          <w:rFonts w:hint="eastAsia" w:hAnsi="宋体" w:cs="宋体"/>
          <w:color w:val="auto"/>
          <w:kern w:val="0"/>
          <w:szCs w:val="21"/>
          <w:highlight w:val="none"/>
        </w:rPr>
      </w:pPr>
      <w:r>
        <w:rPr>
          <w:rFonts w:hint="eastAsia" w:hAnsi="宋体" w:cs="宋体"/>
          <w:color w:val="auto"/>
          <w:kern w:val="0"/>
          <w:szCs w:val="21"/>
          <w:highlight w:val="none"/>
        </w:rPr>
        <w:t xml:space="preserve"> </w:t>
      </w:r>
    </w:p>
    <w:p w14:paraId="6978F7B2">
      <w:pPr>
        <w:ind w:firstLine="3120" w:firstLineChars="1300"/>
        <w:rPr>
          <w:color w:val="auto"/>
          <w:kern w:val="0"/>
          <w:szCs w:val="21"/>
          <w:highlight w:val="none"/>
        </w:rPr>
      </w:pPr>
    </w:p>
    <w:p w14:paraId="2366B0EC">
      <w:pPr>
        <w:ind w:firstLine="3120" w:firstLineChars="1300"/>
        <w:rPr>
          <w:color w:val="auto"/>
          <w:kern w:val="0"/>
          <w:szCs w:val="21"/>
          <w:highlight w:val="none"/>
        </w:rPr>
      </w:pPr>
    </w:p>
    <w:p w14:paraId="587176C2">
      <w:pPr>
        <w:ind w:firstLine="3120" w:firstLineChars="1300"/>
        <w:rPr>
          <w:color w:val="auto"/>
          <w:kern w:val="0"/>
          <w:szCs w:val="21"/>
          <w:highlight w:val="none"/>
        </w:rPr>
      </w:pPr>
    </w:p>
    <w:p w14:paraId="4261A0EC">
      <w:pPr>
        <w:ind w:firstLine="3120" w:firstLineChars="1300"/>
        <w:rPr>
          <w:color w:val="auto"/>
          <w:kern w:val="0"/>
          <w:szCs w:val="21"/>
          <w:highlight w:val="none"/>
        </w:rPr>
      </w:pPr>
    </w:p>
    <w:p w14:paraId="6B37361B">
      <w:pPr>
        <w:ind w:firstLine="3120" w:firstLineChars="1300"/>
        <w:rPr>
          <w:color w:val="auto"/>
          <w:kern w:val="0"/>
          <w:szCs w:val="21"/>
          <w:highlight w:val="none"/>
        </w:rPr>
      </w:pPr>
    </w:p>
    <w:p w14:paraId="7879D14A">
      <w:pPr>
        <w:ind w:firstLine="3120" w:firstLineChars="1300"/>
        <w:rPr>
          <w:color w:val="auto"/>
          <w:kern w:val="0"/>
          <w:szCs w:val="21"/>
          <w:highlight w:val="none"/>
        </w:rPr>
      </w:pPr>
    </w:p>
    <w:p w14:paraId="15546999">
      <w:pPr>
        <w:ind w:firstLine="3120" w:firstLineChars="1300"/>
        <w:rPr>
          <w:color w:val="auto"/>
          <w:kern w:val="0"/>
          <w:szCs w:val="21"/>
          <w:highlight w:val="none"/>
        </w:rPr>
      </w:pPr>
    </w:p>
    <w:p w14:paraId="73A191BA">
      <w:pPr>
        <w:ind w:firstLine="3120" w:firstLineChars="1300"/>
        <w:rPr>
          <w:color w:val="auto"/>
          <w:kern w:val="0"/>
          <w:szCs w:val="21"/>
          <w:highlight w:val="none"/>
        </w:rPr>
      </w:pPr>
    </w:p>
    <w:p w14:paraId="40B04010">
      <w:pPr>
        <w:ind w:firstLine="3120" w:firstLineChars="1300"/>
        <w:rPr>
          <w:color w:val="auto"/>
          <w:kern w:val="0"/>
          <w:szCs w:val="21"/>
          <w:highlight w:val="none"/>
        </w:rPr>
      </w:pPr>
    </w:p>
    <w:p w14:paraId="75B97B61">
      <w:pPr>
        <w:ind w:firstLine="3120" w:firstLineChars="1300"/>
        <w:rPr>
          <w:color w:val="auto"/>
          <w:kern w:val="0"/>
          <w:szCs w:val="21"/>
          <w:highlight w:val="none"/>
        </w:rPr>
      </w:pPr>
    </w:p>
    <w:p w14:paraId="4BE7E4AE">
      <w:pPr>
        <w:ind w:firstLine="3120" w:firstLineChars="1300"/>
        <w:rPr>
          <w:color w:val="auto"/>
          <w:kern w:val="0"/>
          <w:szCs w:val="21"/>
          <w:highlight w:val="none"/>
        </w:rPr>
      </w:pPr>
    </w:p>
    <w:p w14:paraId="39C8A420">
      <w:pPr>
        <w:ind w:firstLine="3120" w:firstLineChars="1300"/>
        <w:rPr>
          <w:color w:val="auto"/>
          <w:kern w:val="0"/>
          <w:szCs w:val="21"/>
          <w:highlight w:val="none"/>
        </w:rPr>
      </w:pPr>
    </w:p>
    <w:p w14:paraId="318A283C">
      <w:pPr>
        <w:ind w:firstLine="3120" w:firstLineChars="1300"/>
        <w:rPr>
          <w:color w:val="auto"/>
          <w:kern w:val="0"/>
          <w:szCs w:val="21"/>
          <w:highlight w:val="none"/>
        </w:rPr>
      </w:pPr>
    </w:p>
    <w:p w14:paraId="66ADBA06">
      <w:pPr>
        <w:ind w:firstLine="3120" w:firstLineChars="1300"/>
        <w:rPr>
          <w:color w:val="auto"/>
          <w:kern w:val="0"/>
          <w:szCs w:val="21"/>
          <w:highlight w:val="none"/>
        </w:rPr>
      </w:pPr>
    </w:p>
    <w:p w14:paraId="68AA657F">
      <w:pPr>
        <w:pStyle w:val="18"/>
        <w:rPr>
          <w:rFonts w:hint="eastAsia"/>
          <w:color w:val="auto"/>
          <w:highlight w:val="none"/>
        </w:rPr>
      </w:pPr>
    </w:p>
    <w:p w14:paraId="1A30D5A3">
      <w:pPr>
        <w:pStyle w:val="19"/>
        <w:rPr>
          <w:color w:val="auto"/>
          <w:highlight w:val="none"/>
        </w:rPr>
      </w:pPr>
    </w:p>
    <w:p w14:paraId="4032091B">
      <w:pPr>
        <w:ind w:firstLine="3120" w:firstLineChars="1300"/>
        <w:rPr>
          <w:color w:val="auto"/>
          <w:kern w:val="0"/>
          <w:szCs w:val="21"/>
          <w:highlight w:val="none"/>
        </w:rPr>
      </w:pPr>
    </w:p>
    <w:p w14:paraId="35F35650">
      <w:pPr>
        <w:pStyle w:val="18"/>
        <w:ind w:left="0"/>
        <w:rPr>
          <w:rFonts w:hint="eastAsia"/>
          <w:color w:val="auto"/>
          <w:highlight w:val="none"/>
          <w:lang w:val="en-US"/>
        </w:rPr>
      </w:pPr>
    </w:p>
    <w:p w14:paraId="265B18A4">
      <w:pPr>
        <w:numPr>
          <w:ilvl w:val="0"/>
          <w:numId w:val="2"/>
        </w:numPr>
        <w:tabs>
          <w:tab w:val="left" w:pos="1080"/>
        </w:tabs>
        <w:spacing w:line="480" w:lineRule="exact"/>
        <w:ind w:left="1077" w:hanging="1077" w:firstLineChars="0"/>
        <w:jc w:val="center"/>
        <w:outlineLvl w:val="1"/>
        <w:rPr>
          <w:rFonts w:hint="eastAsia" w:ascii="宋体" w:hAnsi="宋体" w:cs="宋体"/>
          <w:b/>
          <w:color w:val="auto"/>
          <w:kern w:val="0"/>
          <w:sz w:val="32"/>
          <w:szCs w:val="32"/>
          <w:highlight w:val="none"/>
        </w:rPr>
      </w:pPr>
      <w:bookmarkStart w:id="1" w:name="_Toc82016584"/>
      <w:bookmarkStart w:id="2" w:name="_Toc44405619"/>
      <w:bookmarkStart w:id="3" w:name="_Toc44229878"/>
      <w:r>
        <w:rPr>
          <w:rFonts w:hint="eastAsia" w:ascii="宋体" w:hAnsi="宋体" w:cs="宋体"/>
          <w:b/>
          <w:color w:val="auto"/>
          <w:kern w:val="0"/>
          <w:sz w:val="32"/>
          <w:szCs w:val="32"/>
          <w:highlight w:val="none"/>
        </w:rPr>
        <w:t>竞争性磋商公告</w:t>
      </w:r>
      <w:bookmarkEnd w:id="1"/>
    </w:p>
    <w:p w14:paraId="4FE4F9A2">
      <w:pPr>
        <w:spacing w:line="320" w:lineRule="exact"/>
        <w:ind w:firstLine="0" w:firstLineChars="0"/>
        <w:rPr>
          <w:rFonts w:hint="eastAsia" w:ascii="宋体" w:hAnsi="宋体" w:cs="宋体"/>
          <w:color w:val="auto"/>
          <w:sz w:val="21"/>
          <w:szCs w:val="24"/>
          <w:highlight w:val="none"/>
        </w:rPr>
      </w:pPr>
    </w:p>
    <w:p w14:paraId="5C3617CC">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cs="宋体"/>
          <w:color w:val="auto"/>
          <w:sz w:val="21"/>
          <w:szCs w:val="24"/>
          <w:highlight w:val="none"/>
        </w:rPr>
      </w:pPr>
      <w:bookmarkStart w:id="4" w:name="_Hlk37430271"/>
      <w:r>
        <w:rPr>
          <w:rFonts w:hint="eastAsia" w:ascii="宋体" w:hAnsi="宋体" w:cs="宋体"/>
          <w:color w:val="auto"/>
          <w:sz w:val="21"/>
          <w:szCs w:val="24"/>
          <w:highlight w:val="none"/>
        </w:rPr>
        <w:t>项目概况</w:t>
      </w:r>
    </w:p>
    <w:p w14:paraId="5C7209B1">
      <w:pPr>
        <w:pBdr>
          <w:top w:val="single" w:color="auto" w:sz="4" w:space="1"/>
          <w:left w:val="single" w:color="auto" w:sz="4" w:space="4"/>
          <w:bottom w:val="single" w:color="auto" w:sz="4" w:space="1"/>
          <w:right w:val="single" w:color="auto" w:sz="4" w:space="4"/>
        </w:pBdr>
        <w:wordWrap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桂林市生态环境执法监测服务的潜在供应商应在广西政府采购云平台（www.gcy.zfcg.gxzf.gov.cn）获取竞争性磋商文件，并于</w:t>
      </w:r>
      <w:r>
        <w:rPr>
          <w:rFonts w:hint="eastAsia" w:ascii="宋体" w:hAnsi="宋体" w:cs="宋体"/>
          <w:color w:val="auto"/>
          <w:sz w:val="21"/>
          <w:szCs w:val="24"/>
          <w:highlight w:val="none"/>
          <w:lang w:eastAsia="zh-CN"/>
        </w:rPr>
        <w:t>2025年5月8日</w:t>
      </w:r>
      <w:r>
        <w:rPr>
          <w:rFonts w:hint="eastAsia" w:ascii="宋体" w:hAnsi="宋体" w:cs="宋体"/>
          <w:color w:val="auto"/>
          <w:sz w:val="21"/>
          <w:szCs w:val="24"/>
          <w:highlight w:val="none"/>
        </w:rPr>
        <w:t>上午9时30分（北京时间）前提交响应文件。</w:t>
      </w:r>
    </w:p>
    <w:bookmarkEnd w:id="4"/>
    <w:p w14:paraId="121A570F">
      <w:pPr>
        <w:keepNext/>
        <w:keepLines/>
        <w:spacing w:before="260" w:after="260" w:line="400" w:lineRule="exact"/>
        <w:ind w:firstLine="422"/>
        <w:outlineLvl w:val="1"/>
        <w:rPr>
          <w:rFonts w:hint="eastAsia" w:ascii="宋体" w:hAnsi="宋体" w:cs="宋体"/>
          <w:b/>
          <w:color w:val="auto"/>
          <w:sz w:val="21"/>
          <w:szCs w:val="21"/>
          <w:highlight w:val="none"/>
        </w:rPr>
      </w:pPr>
      <w:bookmarkStart w:id="5" w:name="_Toc82016585"/>
      <w:bookmarkStart w:id="6" w:name="_Toc35393798"/>
      <w:bookmarkStart w:id="7" w:name="_Toc28359089"/>
      <w:bookmarkStart w:id="8" w:name="_Toc28359012"/>
      <w:bookmarkStart w:id="9" w:name="_Toc35393629"/>
      <w:r>
        <w:rPr>
          <w:rFonts w:hint="eastAsia" w:ascii="宋体" w:hAnsi="宋体" w:cs="宋体"/>
          <w:b/>
          <w:color w:val="auto"/>
          <w:sz w:val="21"/>
          <w:szCs w:val="21"/>
          <w:highlight w:val="none"/>
        </w:rPr>
        <w:t>一、项目基本情况</w:t>
      </w:r>
      <w:bookmarkEnd w:id="5"/>
      <w:bookmarkEnd w:id="6"/>
      <w:bookmarkEnd w:id="7"/>
      <w:bookmarkEnd w:id="8"/>
      <w:bookmarkEnd w:id="9"/>
    </w:p>
    <w:p w14:paraId="7427E576">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项目编号：GLZC2025-C3-990140-YZLZ（代理编号：YZLGL2025-C3-007-GLZC） </w:t>
      </w:r>
    </w:p>
    <w:p w14:paraId="013B9424">
      <w:pPr>
        <w:spacing w:line="360" w:lineRule="exact"/>
        <w:ind w:firstLine="42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4"/>
          <w:highlight w:val="none"/>
        </w:rPr>
        <w:t>桂林市生态环境执法监测服务</w:t>
      </w:r>
    </w:p>
    <w:p w14:paraId="0C0C419C">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采购方式：竞争性磋商</w:t>
      </w:r>
    </w:p>
    <w:p w14:paraId="1F68E078">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预算金额（元）：2400000.00</w:t>
      </w:r>
    </w:p>
    <w:p w14:paraId="7CEEC763">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采购需求：</w:t>
      </w:r>
    </w:p>
    <w:p w14:paraId="00F2CB03">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分标1：</w:t>
      </w:r>
    </w:p>
    <w:p w14:paraId="28F0102D">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标项名称：桂林市生态环境执法监测服务（资源县、全州县、兴安县、灌阳县）。</w:t>
      </w:r>
    </w:p>
    <w:p w14:paraId="5276603A">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645F06F4">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预算金额（元）：6</w:t>
      </w:r>
      <w:r>
        <w:rPr>
          <w:rFonts w:hint="eastAsia" w:ascii="宋体" w:hAnsi="宋体" w:cs="宋体"/>
          <w:color w:val="auto"/>
          <w:sz w:val="21"/>
          <w:szCs w:val="21"/>
          <w:highlight w:val="none"/>
        </w:rPr>
        <w:t>00000.00。</w:t>
      </w:r>
    </w:p>
    <w:p w14:paraId="2CF6B514">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桂林市生态环境执法监测服务（资源县、全州县、兴安县、灌阳县）1项；服务区域：原则上在广西桂林市资源县、全州县、兴安县、灌阳县内采购人指定地点。如采购人因工作安排需要供应商在广西桂林市其他区域提供监测服务的，供应商应无条件服从采购人安排（不可抗力因素等特殊情况并经采购人同意除外）。供应商在服务区域范围内提供以下服务：区域内日常监督检查、查处环境违法行为、各项环保专项执法检查、交叉帮扶检查、信访投诉案件调查及其他执法检查工作等需要开展的执法监测，具体内容详见竞争性磋商文件。</w:t>
      </w:r>
    </w:p>
    <w:p w14:paraId="690F8FBF">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最高限价（如有）：无。</w:t>
      </w:r>
    </w:p>
    <w:p w14:paraId="5F1E3BA3">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合同履行期限：自合同签订之日起3年。</w:t>
      </w:r>
    </w:p>
    <w:p w14:paraId="2F4C9B92">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本项目（否）接受联合体参与磋商</w:t>
      </w:r>
      <w:bookmarkStart w:id="10" w:name="_Toc28359090"/>
      <w:bookmarkStart w:id="11" w:name="_Toc28359013"/>
      <w:bookmarkStart w:id="12" w:name="_Toc35393799"/>
      <w:bookmarkStart w:id="13" w:name="_Toc35393630"/>
      <w:r>
        <w:rPr>
          <w:rFonts w:hint="eastAsia" w:ascii="宋体" w:hAnsi="宋体" w:cs="宋体"/>
          <w:color w:val="auto"/>
          <w:sz w:val="21"/>
          <w:szCs w:val="24"/>
          <w:highlight w:val="none"/>
        </w:rPr>
        <w:t>。</w:t>
      </w:r>
    </w:p>
    <w:p w14:paraId="7F50840A">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分标2：</w:t>
      </w:r>
    </w:p>
    <w:p w14:paraId="2B1EF537">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标项名称：桂林市生态环境执法监测服务（灵川县、叠彩区、秀峰区、七星区）。</w:t>
      </w:r>
    </w:p>
    <w:p w14:paraId="0ABC60B9">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1E9EAD9A">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预算金额（元）：6</w:t>
      </w:r>
      <w:r>
        <w:rPr>
          <w:rFonts w:hint="eastAsia" w:ascii="宋体" w:hAnsi="宋体" w:cs="宋体"/>
          <w:color w:val="auto"/>
          <w:sz w:val="21"/>
          <w:szCs w:val="21"/>
          <w:highlight w:val="none"/>
        </w:rPr>
        <w:t>00000.00。</w:t>
      </w:r>
    </w:p>
    <w:p w14:paraId="10F4D239">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桂林市生态环境执法监测服务（灵川县、叠彩区、秀峰区、七星区）1项；服务区域：原则上在广西桂林市灵川县、叠彩区、秀峰区、七星区内采购人指定地点。如采购人因工作安排需要供应商在广西桂林市其他区域提供监测服务的，供应商应无条件服从采购人安排（不可抗力因素等特殊情况并经采购人同意除外）。供应商在服务区域范围内提供以下服务：区域内日常监督检查、查处环境违法行为、各项环保专项执法检查、交叉帮扶检查、信访投诉案件调查及其他执法检查工作等需要开展的执法监测，具体内容详见竞争性磋商文件。</w:t>
      </w:r>
    </w:p>
    <w:p w14:paraId="182D9BB7">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最高限价（如有）：无。</w:t>
      </w:r>
    </w:p>
    <w:p w14:paraId="20204BE2">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合同履行期限（服务期限）：自合同签订之日起3年。</w:t>
      </w:r>
    </w:p>
    <w:p w14:paraId="624727FF">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本项目（否）接受联合体参与磋商</w:t>
      </w:r>
    </w:p>
    <w:p w14:paraId="0B02731E">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分标3：</w:t>
      </w:r>
    </w:p>
    <w:p w14:paraId="1AEFAACE">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标项名称：桂林市生态环境执法监测服务（象山区、雁山区、临桂区、永福县、龙胜各族自治县）。</w:t>
      </w:r>
    </w:p>
    <w:p w14:paraId="29D5D5C6">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4E02B4C0">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预算金额（元）：6</w:t>
      </w:r>
      <w:r>
        <w:rPr>
          <w:rFonts w:hint="eastAsia" w:ascii="宋体" w:hAnsi="宋体" w:cs="宋体"/>
          <w:color w:val="auto"/>
          <w:sz w:val="21"/>
          <w:szCs w:val="21"/>
          <w:highlight w:val="none"/>
        </w:rPr>
        <w:t>00000.00。</w:t>
      </w:r>
    </w:p>
    <w:p w14:paraId="78D9EDF7">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桂林市生态环境执法监测服务（象山区、雁山区、临桂区、永福县、龙胜各族自治县）1项；服务区域：原则上在广西桂林市象山区、雁山区、临桂区、永福县、龙胜各族自治县内采购人指定地点。如采购人因工作安排需要供应商在广西桂林市其他区域提供监测服务的，供应商应无条件服从采购人安排（不可抗力因素等特殊情况并经采购人同意除外）。供应商在服务区域范围内提供以下服务：区域内日常监督检查、查处环境违法行为、各项环保专项执法检查、交叉帮扶检查、信访投诉案件调查及其他执法检查工作等需要开展的执法监测，具体内容详见竞争性磋商文件。</w:t>
      </w:r>
    </w:p>
    <w:p w14:paraId="3C675AA9">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最高限价（如有）：无。</w:t>
      </w:r>
    </w:p>
    <w:p w14:paraId="03C4E89B">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合同履行期限（服务期限）：自合同签订之日起3年。</w:t>
      </w:r>
    </w:p>
    <w:p w14:paraId="61AA9451">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本项目（否）接受联合体参与磋商。</w:t>
      </w:r>
    </w:p>
    <w:p w14:paraId="294F7F6E">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分标4：</w:t>
      </w:r>
    </w:p>
    <w:p w14:paraId="49281996">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标项名称：桂林市生态环境执法监测服务（阳朔县、平乐县、荔浦市、恭城瑶族自治县）。</w:t>
      </w:r>
    </w:p>
    <w:p w14:paraId="4DD47B3B">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25E66481">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预算金额（元）：6</w:t>
      </w:r>
      <w:r>
        <w:rPr>
          <w:rFonts w:hint="eastAsia" w:ascii="宋体" w:hAnsi="宋体" w:cs="宋体"/>
          <w:color w:val="auto"/>
          <w:sz w:val="21"/>
          <w:szCs w:val="21"/>
          <w:highlight w:val="none"/>
        </w:rPr>
        <w:t>00000.00。</w:t>
      </w:r>
    </w:p>
    <w:p w14:paraId="211C3302">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桂林市生态环境执法监测服务（阳朔县、平乐县、荔浦市、恭城瑶族自治县）1项；服务区域：原则上在广西桂林市阳朔县、平乐县、荔浦市、恭城瑶族自治县内采购人指定地点。如采购人因工作安排需要供应商在广西桂林市其他区域提供监测服务的，供应商应无条件服从采购人安排（不可抗力因素等特殊情况并经采购人同意除外）。供应商在服务区域范围内提供以下服务：区域内日常监督检查、查处环境违法行为、各项环保专项执法检查、交叉帮扶检查、信访投诉案件调查及其他执法检查工作等需要开展的执法监测，具体内容详见竞争性磋商文件。</w:t>
      </w:r>
    </w:p>
    <w:p w14:paraId="69DCA149">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最高限价（如有）：无。</w:t>
      </w:r>
    </w:p>
    <w:p w14:paraId="2ADECDE7">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合同履行期限（服务期限）：自合同签订之日起3年。</w:t>
      </w:r>
    </w:p>
    <w:p w14:paraId="489C5B53">
      <w:pPr>
        <w:adjustRightInd w:val="0"/>
        <w:snapToGrid w:val="0"/>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本项目（否）接受联合体参与磋商。</w:t>
      </w:r>
    </w:p>
    <w:p w14:paraId="2E3F1960">
      <w:pPr>
        <w:spacing w:line="40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bookmarkEnd w:id="10"/>
      <w:bookmarkEnd w:id="11"/>
      <w:bookmarkEnd w:id="12"/>
      <w:bookmarkEnd w:id="13"/>
    </w:p>
    <w:p w14:paraId="3E8FF194">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FC03750">
      <w:pPr>
        <w:spacing w:line="360" w:lineRule="exact"/>
        <w:ind w:firstLine="420"/>
        <w:rPr>
          <w:color w:val="auto"/>
          <w:sz w:val="21"/>
          <w:szCs w:val="24"/>
          <w:highlight w:val="none"/>
        </w:rPr>
      </w:pPr>
      <w:bookmarkStart w:id="14" w:name="_Toc28359091"/>
      <w:bookmarkStart w:id="15" w:name="_Toc28359014"/>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637B7603">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3.本项目的特定资格</w:t>
      </w:r>
      <w:r>
        <w:rPr>
          <w:rFonts w:hint="eastAsia" w:ascii="宋体" w:hAnsi="宋体" w:cs="宋体"/>
          <w:color w:val="auto"/>
          <w:kern w:val="0"/>
          <w:sz w:val="21"/>
          <w:szCs w:val="21"/>
          <w:highlight w:val="none"/>
        </w:rPr>
        <w:t>要求：供应商必须具有检验检测机构资质（检测能力范围至少包含：水和废水、环境空气和废气、土壤、固体废物、噪声排放等类别）。</w:t>
      </w:r>
    </w:p>
    <w:p w14:paraId="21D2483A">
      <w:pPr>
        <w:spacing w:line="360" w:lineRule="exact"/>
        <w:ind w:firstLine="422"/>
        <w:rPr>
          <w:rFonts w:hint="eastAsia" w:ascii="宋体" w:hAnsi="宋体" w:cs="宋体"/>
          <w:b/>
          <w:bCs/>
          <w:color w:val="auto"/>
          <w:sz w:val="21"/>
          <w:szCs w:val="21"/>
          <w:highlight w:val="none"/>
        </w:rPr>
      </w:pPr>
      <w:bookmarkStart w:id="16" w:name="_Toc35393631"/>
      <w:bookmarkStart w:id="17" w:name="_Toc35393800"/>
      <w:r>
        <w:rPr>
          <w:rFonts w:hint="eastAsia" w:ascii="宋体" w:hAnsi="宋体" w:cs="宋体"/>
          <w:b/>
          <w:bCs/>
          <w:color w:val="auto"/>
          <w:sz w:val="21"/>
          <w:szCs w:val="21"/>
          <w:highlight w:val="none"/>
        </w:rPr>
        <w:t>三、获取采购文件</w:t>
      </w:r>
      <w:bookmarkEnd w:id="14"/>
      <w:bookmarkEnd w:id="15"/>
      <w:bookmarkEnd w:id="16"/>
      <w:bookmarkEnd w:id="17"/>
    </w:p>
    <w:p w14:paraId="2D21E503">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时间：2025年4月25日至</w:t>
      </w:r>
      <w:r>
        <w:rPr>
          <w:rFonts w:hint="eastAsia" w:ascii="宋体" w:hAnsi="宋体" w:cs="宋体"/>
          <w:color w:val="auto"/>
          <w:sz w:val="21"/>
          <w:szCs w:val="21"/>
          <w:highlight w:val="none"/>
          <w:lang w:eastAsia="zh-CN"/>
        </w:rPr>
        <w:t>2025年5月8日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11：59</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4DAE3A40">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4"/>
          <w:highlight w:val="none"/>
        </w:rPr>
        <w:t>广西政府采购云平台（www.gcy.zfcg.gxzf.gov.cn）。</w:t>
      </w:r>
    </w:p>
    <w:p w14:paraId="22B35166">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rPr>
        <w:t>广西政府采购云平台（www.gcy.zfcg.gxzf.gov.cn）免费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76D0EA1">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bookmarkStart w:id="18" w:name="_Toc28359092"/>
      <w:bookmarkStart w:id="19" w:name="_Toc35393632"/>
      <w:bookmarkStart w:id="20" w:name="_Toc35393801"/>
      <w:bookmarkStart w:id="21" w:name="_Toc28359015"/>
    </w:p>
    <w:p w14:paraId="5D4F72C0">
      <w:pPr>
        <w:spacing w:line="360" w:lineRule="exact"/>
        <w:ind w:firstLine="422"/>
        <w:rPr>
          <w:rFonts w:hint="eastAsia"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18"/>
      <w:bookmarkEnd w:id="19"/>
      <w:bookmarkEnd w:id="20"/>
      <w:bookmarkEnd w:id="21"/>
    </w:p>
    <w:p w14:paraId="552E0F37">
      <w:pPr>
        <w:spacing w:line="360" w:lineRule="exact"/>
        <w:ind w:firstLine="420"/>
        <w:rPr>
          <w:rFonts w:hint="eastAsia"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4"/>
          <w:highlight w:val="none"/>
          <w:u w:val="single"/>
          <w:lang w:eastAsia="zh-CN"/>
        </w:rPr>
        <w:t>2025年5月8日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30A0DE1">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2" w:name="_Toc35393802"/>
      <w:bookmarkStart w:id="23" w:name="_Toc28359093"/>
      <w:bookmarkStart w:id="24" w:name="_Toc35393633"/>
      <w:bookmarkStart w:id="25" w:name="_Toc28359016"/>
      <w:r>
        <w:rPr>
          <w:rFonts w:hint="eastAsia" w:ascii="宋体" w:hAnsi="宋体" w:cs="宋体"/>
          <w:color w:val="auto"/>
          <w:sz w:val="21"/>
          <w:szCs w:val="21"/>
          <w:highlight w:val="none"/>
        </w:rPr>
        <w:t>登录广西政府采购云平台在线提交。</w:t>
      </w:r>
    </w:p>
    <w:p w14:paraId="621F280E">
      <w:pPr>
        <w:spacing w:line="360" w:lineRule="exact"/>
        <w:ind w:firstLine="422"/>
        <w:rPr>
          <w:rFonts w:hint="eastAsia"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2"/>
      <w:bookmarkEnd w:id="23"/>
      <w:bookmarkEnd w:id="24"/>
      <w:bookmarkEnd w:id="25"/>
    </w:p>
    <w:p w14:paraId="515A9981">
      <w:pPr>
        <w:spacing w:line="360" w:lineRule="exact"/>
        <w:ind w:firstLine="42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4"/>
          <w:highlight w:val="none"/>
          <w:u w:val="single"/>
          <w:lang w:eastAsia="zh-CN"/>
        </w:rPr>
        <w:t>2025年5月8日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255D1E4">
      <w:pPr>
        <w:spacing w:line="360" w:lineRule="exact"/>
        <w:ind w:left="240" w:leftChars="100"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6" w:name="_Toc28359017"/>
      <w:bookmarkStart w:id="27" w:name="_Toc28359094"/>
      <w:bookmarkStart w:id="28" w:name="_Toc35393803"/>
      <w:bookmarkStart w:id="29" w:name="_Toc35393634"/>
      <w:r>
        <w:rPr>
          <w:rFonts w:hint="eastAsia" w:ascii="宋体" w:hAnsi="宋体" w:cs="宋体"/>
          <w:color w:val="auto"/>
          <w:sz w:val="21"/>
          <w:szCs w:val="21"/>
          <w:highlight w:val="none"/>
        </w:rPr>
        <w:t>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在线解密开启。</w:t>
      </w:r>
    </w:p>
    <w:p w14:paraId="0C0AAC55">
      <w:pPr>
        <w:spacing w:line="360" w:lineRule="exact"/>
        <w:ind w:left="240" w:leftChars="100" w:firstLine="211" w:firstLineChars="100"/>
        <w:rPr>
          <w:rFonts w:hint="eastAsia"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6"/>
      <w:bookmarkEnd w:id="27"/>
      <w:bookmarkEnd w:id="28"/>
      <w:bookmarkEnd w:id="29"/>
    </w:p>
    <w:p w14:paraId="7EF944D4">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30" w:name="_Toc35393804"/>
      <w:bookmarkStart w:id="31" w:name="_Toc35393635"/>
    </w:p>
    <w:p w14:paraId="539B4352">
      <w:pPr>
        <w:numPr>
          <w:ilvl w:val="0"/>
          <w:numId w:val="3"/>
        </w:numPr>
        <w:spacing w:line="360" w:lineRule="exact"/>
        <w:ind w:firstLine="422" w:firstLine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0"/>
      <w:bookmarkEnd w:id="31"/>
    </w:p>
    <w:p w14:paraId="03295F67">
      <w:pPr>
        <w:spacing w:line="360" w:lineRule="exact"/>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4B97CD76">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22265384">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491EAE82">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55946258">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69094024">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4E91669C">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2F7D9BD5">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6A69ED4C">
      <w:pPr>
        <w:spacing w:line="360" w:lineRule="exact"/>
        <w:ind w:firstLine="420"/>
        <w:rPr>
          <w:rFonts w:hint="eastAsia" w:ascii="宋体" w:hAnsi="宋体" w:cs="宋体"/>
          <w:color w:val="auto"/>
          <w:sz w:val="21"/>
          <w:szCs w:val="21"/>
          <w:highlight w:val="none"/>
        </w:rPr>
      </w:pPr>
      <w:bookmarkStart w:id="32" w:name="_Toc35393636"/>
      <w:bookmarkStart w:id="33" w:name="_Toc35393805"/>
      <w:bookmarkStart w:id="34" w:name="_Toc28359095"/>
      <w:bookmarkStart w:id="35" w:name="_Toc28359018"/>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561B31B2">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BE7B19">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E330A">
      <w:pPr>
        <w:spacing w:line="360" w:lineRule="exact"/>
        <w:ind w:left="480" w:leftChars="2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电子竞标相关事宜</w:t>
      </w:r>
    </w:p>
    <w:p w14:paraId="7D2F61CF">
      <w:pPr>
        <w:adjustRightInd w:val="0"/>
        <w:snapToGrid w:val="0"/>
        <w:spacing w:line="360" w:lineRule="exact"/>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6A3B9D3F">
      <w:pPr>
        <w:adjustRightInd w:val="0"/>
        <w:snapToGrid w:val="0"/>
        <w:spacing w:line="360" w:lineRule="exact"/>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（2）电子竞标具体操作流程参考《政府采购项目电子交易管理操作指南－供应商》（详见桂林市政府采购网—采购资讯—重要通知）；如遇平台技术问题详询95763或0771-3381253。</w:t>
      </w:r>
    </w:p>
    <w:p w14:paraId="7B8784ED">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 “供应商须知”。</w:t>
      </w:r>
    </w:p>
    <w:p w14:paraId="792B6ECA">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5.</w:t>
      </w:r>
      <w:r>
        <w:rPr>
          <w:rFonts w:hint="eastAsia" w:ascii="宋体" w:hAnsi="宋体" w:cs="宋体"/>
          <w:color w:val="auto"/>
          <w:kern w:val="0"/>
          <w:sz w:val="21"/>
          <w:szCs w:val="21"/>
          <w:highlight w:val="none"/>
        </w:rPr>
        <w:t xml:space="preserve"> 采购代理服务费：本项目各分标采购代理服务费各按玖仟元整（¥9000.00）收取，由各分标成交供应商于成交公告发出之日起5个工作日内向采购代理机构一次性支付，否则，其不利后果由成交供应商承担。</w:t>
      </w:r>
    </w:p>
    <w:p w14:paraId="3BEFFA47">
      <w:pPr>
        <w:spacing w:line="360" w:lineRule="exact"/>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2"/>
      <w:bookmarkEnd w:id="33"/>
      <w:bookmarkEnd w:id="34"/>
      <w:bookmarkEnd w:id="35"/>
    </w:p>
    <w:p w14:paraId="5FE6AF3F">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1.采购人信息</w:t>
      </w:r>
    </w:p>
    <w:p w14:paraId="692BFF76">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名    称：桂林市生态环境局</w:t>
      </w:r>
    </w:p>
    <w:p w14:paraId="0B97686E">
      <w:pPr>
        <w:spacing w:line="360" w:lineRule="exact"/>
        <w:ind w:firstLine="420"/>
        <w:rPr>
          <w:rFonts w:ascii="宋体" w:cs="宋体"/>
          <w:color w:val="auto"/>
          <w:sz w:val="21"/>
          <w:szCs w:val="24"/>
          <w:highlight w:val="none"/>
        </w:rPr>
      </w:pPr>
      <w:r>
        <w:rPr>
          <w:rFonts w:hint="eastAsia" w:ascii="宋体" w:hAnsi="宋体" w:cs="宋体"/>
          <w:color w:val="auto"/>
          <w:sz w:val="21"/>
          <w:szCs w:val="24"/>
          <w:highlight w:val="none"/>
        </w:rPr>
        <w:t>地</w:t>
      </w:r>
      <w:r>
        <w:rPr>
          <w:rFonts w:ascii="宋体" w:hAnsi="宋体" w:cs="宋体"/>
          <w:color w:val="auto"/>
          <w:sz w:val="21"/>
          <w:szCs w:val="24"/>
          <w:highlight w:val="none"/>
        </w:rPr>
        <w:t xml:space="preserve">    </w:t>
      </w:r>
      <w:r>
        <w:rPr>
          <w:rFonts w:hint="eastAsia" w:ascii="宋体" w:hAnsi="宋体" w:cs="宋体"/>
          <w:color w:val="auto"/>
          <w:sz w:val="21"/>
          <w:szCs w:val="24"/>
          <w:highlight w:val="none"/>
        </w:rPr>
        <w:t>址：广西桂林市临桂区人民路与万福路交叉口鼎晟大厦附楼</w:t>
      </w:r>
    </w:p>
    <w:p w14:paraId="16C38B86">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 xml:space="preserve">联系方式：李晓  </w:t>
      </w:r>
      <w:r>
        <w:rPr>
          <w:rFonts w:ascii="宋体" w:hAnsi="宋体" w:cs="宋体"/>
          <w:color w:val="auto"/>
          <w:sz w:val="21"/>
          <w:szCs w:val="24"/>
          <w:highlight w:val="none"/>
        </w:rPr>
        <w:t>0773-</w:t>
      </w:r>
      <w:r>
        <w:rPr>
          <w:rFonts w:hint="eastAsia" w:ascii="宋体" w:hAnsi="宋体" w:cs="宋体"/>
          <w:color w:val="auto"/>
          <w:sz w:val="21"/>
          <w:szCs w:val="24"/>
          <w:highlight w:val="none"/>
        </w:rPr>
        <w:t xml:space="preserve">3812672 </w:t>
      </w:r>
    </w:p>
    <w:p w14:paraId="7D42D3AC">
      <w:pPr>
        <w:spacing w:line="360" w:lineRule="exact"/>
        <w:ind w:firstLine="420"/>
        <w:jc w:val="left"/>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2.采购代理机构信息</w:t>
      </w:r>
    </w:p>
    <w:p w14:paraId="7508CBFC">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名    称：云之龙咨询集团有限公司</w:t>
      </w:r>
    </w:p>
    <w:p w14:paraId="5EF0409A">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地　　址：广西桂林市临桂区西城北路2号耀辉•美好家园2幢12层1号房</w:t>
      </w:r>
    </w:p>
    <w:p w14:paraId="7C21531E">
      <w:pPr>
        <w:spacing w:line="360" w:lineRule="exact"/>
        <w:ind w:firstLine="420"/>
        <w:rPr>
          <w:rFonts w:hint="eastAsia" w:ascii="宋体" w:hAnsi="宋体" w:cs="宋体"/>
          <w:color w:val="auto"/>
          <w:sz w:val="21"/>
          <w:szCs w:val="20"/>
          <w:highlight w:val="none"/>
        </w:rPr>
      </w:pPr>
      <w:r>
        <w:rPr>
          <w:rFonts w:hint="eastAsia" w:ascii="宋体" w:hAnsi="宋体" w:cs="宋体"/>
          <w:color w:val="auto"/>
          <w:sz w:val="21"/>
          <w:szCs w:val="20"/>
          <w:highlight w:val="none"/>
        </w:rPr>
        <w:t>项目联系人：</w:t>
      </w:r>
      <w:r>
        <w:rPr>
          <w:rFonts w:hint="eastAsia" w:ascii="宋体" w:hAnsi="宋体" w:cs="宋体"/>
          <w:color w:val="auto"/>
          <w:sz w:val="21"/>
          <w:szCs w:val="24"/>
          <w:highlight w:val="none"/>
        </w:rPr>
        <w:t>李贞</w:t>
      </w:r>
    </w:p>
    <w:p w14:paraId="31678ED5">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 xml:space="preserve">联系方式：0773-2887388、2887399 </w:t>
      </w:r>
    </w:p>
    <w:p w14:paraId="64511C30">
      <w:pPr>
        <w:spacing w:line="40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　</w:t>
      </w:r>
    </w:p>
    <w:p w14:paraId="0A59544D">
      <w:pPr>
        <w:spacing w:line="400" w:lineRule="exact"/>
        <w:ind w:firstLine="420"/>
        <w:rPr>
          <w:rFonts w:hint="eastAsia" w:ascii="宋体" w:hAnsi="宋体" w:cs="宋体"/>
          <w:color w:val="auto"/>
          <w:sz w:val="21"/>
          <w:szCs w:val="24"/>
          <w:highlight w:val="none"/>
        </w:rPr>
      </w:pPr>
    </w:p>
    <w:p w14:paraId="4C4F3B39">
      <w:pPr>
        <w:spacing w:line="400" w:lineRule="exact"/>
        <w:ind w:firstLine="420"/>
        <w:rPr>
          <w:rFonts w:hint="eastAsia" w:ascii="宋体" w:hAnsi="宋体" w:cs="宋体"/>
          <w:color w:val="auto"/>
          <w:sz w:val="21"/>
          <w:szCs w:val="24"/>
          <w:highlight w:val="none"/>
        </w:rPr>
      </w:pPr>
    </w:p>
    <w:p w14:paraId="1789F5E0">
      <w:pPr>
        <w:spacing w:line="400" w:lineRule="exact"/>
        <w:ind w:firstLine="420"/>
        <w:rPr>
          <w:rFonts w:hint="eastAsia" w:ascii="宋体" w:hAnsi="宋体" w:cs="宋体"/>
          <w:color w:val="auto"/>
          <w:sz w:val="21"/>
          <w:szCs w:val="24"/>
          <w:highlight w:val="none"/>
        </w:rPr>
      </w:pPr>
    </w:p>
    <w:p w14:paraId="68B2A3F9">
      <w:pPr>
        <w:spacing w:line="400" w:lineRule="exact"/>
        <w:ind w:firstLine="420"/>
        <w:rPr>
          <w:rFonts w:hint="eastAsia" w:ascii="宋体" w:hAnsi="宋体" w:cs="宋体"/>
          <w:color w:val="auto"/>
          <w:sz w:val="21"/>
          <w:szCs w:val="24"/>
          <w:highlight w:val="none"/>
        </w:rPr>
      </w:pPr>
    </w:p>
    <w:p w14:paraId="7899D619">
      <w:pPr>
        <w:spacing w:line="400" w:lineRule="exact"/>
        <w:ind w:firstLine="420"/>
        <w:rPr>
          <w:rFonts w:hint="eastAsia" w:ascii="宋体" w:hAnsi="宋体" w:cs="宋体"/>
          <w:color w:val="auto"/>
          <w:sz w:val="21"/>
          <w:szCs w:val="24"/>
          <w:highlight w:val="none"/>
        </w:rPr>
      </w:pPr>
    </w:p>
    <w:p w14:paraId="6E3FF014">
      <w:pPr>
        <w:spacing w:line="400" w:lineRule="exact"/>
        <w:ind w:firstLine="420"/>
        <w:rPr>
          <w:rFonts w:hint="eastAsia" w:ascii="宋体" w:hAnsi="宋体" w:cs="宋体"/>
          <w:color w:val="auto"/>
          <w:sz w:val="21"/>
          <w:szCs w:val="24"/>
          <w:highlight w:val="none"/>
        </w:rPr>
      </w:pPr>
    </w:p>
    <w:p w14:paraId="0CD2549B">
      <w:pPr>
        <w:spacing w:line="400" w:lineRule="exact"/>
        <w:ind w:firstLine="420"/>
        <w:rPr>
          <w:rFonts w:hint="eastAsia" w:ascii="宋体" w:hAnsi="宋体" w:cs="宋体"/>
          <w:color w:val="auto"/>
          <w:sz w:val="21"/>
          <w:szCs w:val="24"/>
          <w:highlight w:val="none"/>
        </w:rPr>
      </w:pPr>
    </w:p>
    <w:p w14:paraId="4226994A">
      <w:pPr>
        <w:spacing w:line="400" w:lineRule="exact"/>
        <w:ind w:firstLine="420"/>
        <w:rPr>
          <w:rFonts w:hint="eastAsia" w:ascii="宋体" w:hAnsi="宋体" w:cs="宋体"/>
          <w:color w:val="auto"/>
          <w:sz w:val="21"/>
          <w:szCs w:val="24"/>
          <w:highlight w:val="none"/>
        </w:rPr>
      </w:pPr>
    </w:p>
    <w:p w14:paraId="6255CFF4">
      <w:pPr>
        <w:spacing w:line="400" w:lineRule="exact"/>
        <w:ind w:firstLine="420"/>
        <w:rPr>
          <w:rFonts w:hint="eastAsia" w:ascii="宋体" w:hAnsi="宋体" w:cs="宋体"/>
          <w:color w:val="auto"/>
          <w:sz w:val="21"/>
          <w:szCs w:val="24"/>
          <w:highlight w:val="none"/>
        </w:rPr>
      </w:pPr>
    </w:p>
    <w:p w14:paraId="0F09E458">
      <w:pPr>
        <w:spacing w:line="400" w:lineRule="exact"/>
        <w:ind w:firstLine="420"/>
        <w:rPr>
          <w:rFonts w:hint="eastAsia" w:ascii="宋体" w:hAnsi="宋体" w:cs="宋体"/>
          <w:color w:val="auto"/>
          <w:sz w:val="21"/>
          <w:szCs w:val="24"/>
          <w:highlight w:val="none"/>
        </w:rPr>
      </w:pPr>
    </w:p>
    <w:p w14:paraId="36D5EF51">
      <w:pPr>
        <w:spacing w:line="400" w:lineRule="exact"/>
        <w:ind w:firstLine="420"/>
        <w:rPr>
          <w:rFonts w:hint="eastAsia" w:ascii="宋体" w:hAnsi="宋体" w:cs="宋体"/>
          <w:color w:val="auto"/>
          <w:sz w:val="21"/>
          <w:szCs w:val="24"/>
          <w:highlight w:val="none"/>
        </w:rPr>
      </w:pPr>
    </w:p>
    <w:p w14:paraId="32128B98">
      <w:pPr>
        <w:spacing w:line="400" w:lineRule="exact"/>
        <w:ind w:firstLine="420"/>
        <w:rPr>
          <w:rFonts w:hint="eastAsia" w:ascii="宋体" w:hAnsi="宋体" w:cs="宋体"/>
          <w:color w:val="auto"/>
          <w:sz w:val="21"/>
          <w:szCs w:val="24"/>
          <w:highlight w:val="none"/>
        </w:rPr>
      </w:pPr>
    </w:p>
    <w:bookmarkEnd w:id="2"/>
    <w:bookmarkEnd w:id="3"/>
    <w:p w14:paraId="322072CD">
      <w:pPr>
        <w:numPr>
          <w:ilvl w:val="0"/>
          <w:numId w:val="4"/>
        </w:numPr>
        <w:spacing w:line="360" w:lineRule="exact"/>
        <w:ind w:left="1077" w:hanging="1077" w:firstLineChars="0"/>
        <w:jc w:val="center"/>
        <w:outlineLvl w:val="1"/>
        <w:rPr>
          <w:rFonts w:hint="eastAsia" w:ascii="宋体" w:hAnsi="宋体" w:cs="宋体"/>
          <w:b/>
          <w:color w:val="auto"/>
          <w:kern w:val="0"/>
          <w:sz w:val="32"/>
          <w:szCs w:val="32"/>
          <w:highlight w:val="none"/>
        </w:rPr>
      </w:pPr>
      <w:bookmarkStart w:id="36" w:name="_Toc82016586"/>
      <w:r>
        <w:rPr>
          <w:rFonts w:hint="eastAsia" w:ascii="宋体" w:hAnsi="宋体" w:cs="宋体"/>
          <w:b/>
          <w:color w:val="auto"/>
          <w:kern w:val="0"/>
          <w:sz w:val="32"/>
          <w:szCs w:val="32"/>
          <w:highlight w:val="none"/>
        </w:rPr>
        <w:t>供应商须知</w:t>
      </w:r>
      <w:bookmarkEnd w:id="36"/>
    </w:p>
    <w:p w14:paraId="16957738">
      <w:pPr>
        <w:tabs>
          <w:tab w:val="left" w:pos="1065"/>
          <w:tab w:val="center" w:pos="4411"/>
        </w:tabs>
        <w:spacing w:line="360" w:lineRule="exact"/>
        <w:ind w:firstLine="3132" w:firstLineChars="1300"/>
        <w:rPr>
          <w:rFonts w:hint="eastAsia"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48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1D972DB">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423" w:type="pct"/>
            <w:vAlign w:val="center"/>
          </w:tcPr>
          <w:p w14:paraId="53689DE3">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750" w:type="pct"/>
            <w:vAlign w:val="center"/>
          </w:tcPr>
          <w:p w14:paraId="4262F863">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3417" w:type="pct"/>
            <w:vAlign w:val="center"/>
          </w:tcPr>
          <w:p w14:paraId="5CB37D9B">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2F4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3016F647">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423" w:type="pct"/>
            <w:vAlign w:val="center"/>
          </w:tcPr>
          <w:p w14:paraId="45C924E2">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750" w:type="pct"/>
            <w:vAlign w:val="center"/>
          </w:tcPr>
          <w:p w14:paraId="3C521FE0">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3417" w:type="pct"/>
            <w:vAlign w:val="center"/>
          </w:tcPr>
          <w:p w14:paraId="75F44CC0">
            <w:pPr>
              <w:spacing w:line="360" w:lineRule="exact"/>
              <w:ind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rPr>
              <w:t>桂林市生态环境执法监测服务</w:t>
            </w:r>
          </w:p>
          <w:p w14:paraId="31F2B1F0">
            <w:pPr>
              <w:spacing w:line="360" w:lineRule="exact"/>
              <w:ind w:firstLine="0" w:firstLineChars="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GLZC2025-C3-990140-YZLZ</w:t>
            </w:r>
          </w:p>
          <w:p w14:paraId="2CCC88F0">
            <w:pPr>
              <w:spacing w:line="360" w:lineRule="exact"/>
              <w:ind w:firstLine="0" w:firstLineChars="0"/>
              <w:jc w:val="left"/>
              <w:rPr>
                <w:rFonts w:hint="eastAsia" w:ascii="宋体" w:hAnsi="宋体" w:cs="宋体"/>
                <w:color w:val="auto"/>
                <w:kern w:val="0"/>
                <w:sz w:val="21"/>
                <w:szCs w:val="24"/>
                <w:highlight w:val="none"/>
              </w:rPr>
            </w:pPr>
            <w:r>
              <w:rPr>
                <w:rFonts w:hint="eastAsia" w:ascii="宋体" w:hAnsi="宋体" w:cs="宋体"/>
                <w:color w:val="auto"/>
                <w:sz w:val="21"/>
                <w:szCs w:val="21"/>
                <w:highlight w:val="none"/>
              </w:rPr>
              <w:t>代理编号：YZLGL2025-C3-007-GLZC</w:t>
            </w:r>
          </w:p>
        </w:tc>
      </w:tr>
      <w:tr w14:paraId="614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C38F766">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423" w:type="pct"/>
            <w:vAlign w:val="center"/>
          </w:tcPr>
          <w:p w14:paraId="44330A7A">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50" w:type="pct"/>
            <w:vAlign w:val="center"/>
          </w:tcPr>
          <w:p w14:paraId="55A2EB34">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3417" w:type="pct"/>
            <w:vAlign w:val="center"/>
          </w:tcPr>
          <w:p w14:paraId="28AF3986">
            <w:pPr>
              <w:spacing w:line="36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B3E0805">
            <w:pPr>
              <w:spacing w:line="36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5453F1A">
            <w:pPr>
              <w:spacing w:line="360" w:lineRule="exact"/>
              <w:ind w:firstLine="0" w:firstLineChars="0"/>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kern w:val="0"/>
                <w:sz w:val="21"/>
                <w:szCs w:val="21"/>
                <w:highlight w:val="none"/>
              </w:rPr>
              <w:t>供应商必须具有检验检测机构资质（检测能力范围至少包含：水和废水、环境空气和废气、土壤、固体废物、噪声排放等类别）</w:t>
            </w:r>
            <w:r>
              <w:rPr>
                <w:rFonts w:hint="eastAsia" w:ascii="宋体" w:hAnsi="宋体" w:cs="宋体"/>
                <w:color w:val="auto"/>
                <w:sz w:val="21"/>
                <w:szCs w:val="21"/>
                <w:highlight w:val="none"/>
              </w:rPr>
              <w:t>。</w:t>
            </w:r>
          </w:p>
        </w:tc>
      </w:tr>
      <w:tr w14:paraId="1457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AFA7463">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423" w:type="pct"/>
            <w:vAlign w:val="center"/>
          </w:tcPr>
          <w:p w14:paraId="54554230">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750" w:type="pct"/>
            <w:vAlign w:val="center"/>
          </w:tcPr>
          <w:p w14:paraId="150044DE">
            <w:pPr>
              <w:spacing w:line="320" w:lineRule="exact"/>
              <w:ind w:firstLine="0" w:firstLineChars="0"/>
              <w:jc w:val="center"/>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3417" w:type="pct"/>
            <w:vAlign w:val="center"/>
          </w:tcPr>
          <w:p w14:paraId="72DBBC46">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bCs/>
                <w:color w:val="auto"/>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767E477E">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4.2电子竞标具体操作流程参考《政府采购项目电子交易管理操作指南－供应商》（详见桂林市政府采购网—采购资讯—重要通知）；如遇平台技术问题详询95763或0771-3381253。</w:t>
            </w:r>
          </w:p>
          <w:p w14:paraId="2F377F08">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46F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346D38">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423" w:type="pct"/>
            <w:vAlign w:val="center"/>
          </w:tcPr>
          <w:p w14:paraId="13A0D16B">
            <w:pPr>
              <w:spacing w:line="340" w:lineRule="exact"/>
              <w:ind w:firstLine="0" w:firstLineChars="0"/>
              <w:jc w:val="center"/>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750" w:type="pct"/>
            <w:vAlign w:val="center"/>
          </w:tcPr>
          <w:p w14:paraId="5A15A1E9">
            <w:pPr>
              <w:spacing w:line="320" w:lineRule="exact"/>
              <w:ind w:firstLine="0" w:firstLineChars="0"/>
              <w:jc w:val="center"/>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采购预算金额、磋商报价及结算方式</w:t>
            </w:r>
          </w:p>
        </w:tc>
        <w:tc>
          <w:tcPr>
            <w:tcW w:w="3417" w:type="pct"/>
            <w:vAlign w:val="center"/>
          </w:tcPr>
          <w:p w14:paraId="062713B6">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13.1采购预算金额：本项目采购预算金额为人民币贰佰肆拾万元整（¥2400000.00）【其中：分标1：陆拾万元整（¥600000.00）；分标2：陆拾万元整（¥600000.00）；分标3：陆拾万元整（¥600000.00）；分标4：陆拾万元整（¥600000.00）】。</w:t>
            </w:r>
          </w:p>
          <w:p w14:paraId="3FA47927">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13.2磋商报价</w:t>
            </w:r>
          </w:p>
          <w:p w14:paraId="16CE3910">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（1）基准价：本项目各分标以《关于重新核定环境监测收费标准的函》（桂价费字〔2004〕301号）的收费标准作为基准价【如《关于重新核定环境监测收费标准的函》（桂价费字〔2004〕301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54E86341">
            <w:pPr>
              <w:spacing w:line="360" w:lineRule="exact"/>
              <w:ind w:firstLine="0" w:firstLineChars="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本项目磋商报价采用综合折扣率报价方式（以%表示，最多精确到小数点后两位）。供应商必须就“采购需求”中所竞分标的所有服务内容作完整唯一综合折扣率报价。供应商所竞分标的报价必须≤80%，否则，响应文件按分标作无效处理。 </w:t>
            </w:r>
          </w:p>
          <w:p w14:paraId="1968CCD3">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供应商磋商报价应包含完成“采购需求”中所竞分标所列所有服务内容产生的所有成本【包含但不限于供应商完成本项目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3D4C7AE2">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13.3结算办法</w:t>
            </w:r>
          </w:p>
          <w:p w14:paraId="614D92A2">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（1）采购人根据成交供应商实际发生的服务工作量进行结算，即：结算金额=∑【实际发生的服务工作量×基准价×成交综合折扣率】。</w:t>
            </w:r>
          </w:p>
          <w:p w14:paraId="214F9003">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注：其中∑表示将各类相应服务工作量结算后的金额进行相加汇总。</w:t>
            </w:r>
          </w:p>
          <w:p w14:paraId="0DC981B4">
            <w:pPr>
              <w:spacing w:line="360" w:lineRule="exact"/>
              <w:ind w:firstLine="0" w:firstLineChars="0"/>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（2）各分标的结算金额不得超出相应分标的采购预算金额。</w:t>
            </w:r>
          </w:p>
        </w:tc>
      </w:tr>
      <w:tr w14:paraId="0C04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261E749">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23" w:type="pct"/>
            <w:vAlign w:val="center"/>
          </w:tcPr>
          <w:p w14:paraId="4FD4CFC4">
            <w:pPr>
              <w:spacing w:line="340" w:lineRule="exact"/>
              <w:ind w:firstLine="0" w:firstLineChars="0"/>
              <w:jc w:val="center"/>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750" w:type="pct"/>
            <w:vAlign w:val="center"/>
          </w:tcPr>
          <w:p w14:paraId="44D0318C">
            <w:pPr>
              <w:spacing w:line="320" w:lineRule="exact"/>
              <w:ind w:firstLine="0" w:firstLineChars="0"/>
              <w:jc w:val="center"/>
              <w:rPr>
                <w:rFonts w:hint="eastAsia"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3417" w:type="pct"/>
            <w:vAlign w:val="center"/>
          </w:tcPr>
          <w:p w14:paraId="0588912B">
            <w:pPr>
              <w:tabs>
                <w:tab w:val="left" w:pos="1305"/>
              </w:tabs>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自响应文件提交截止时间之日起90天，有效期不足的响应文件将被拒绝。 </w:t>
            </w:r>
          </w:p>
        </w:tc>
      </w:tr>
      <w:tr w14:paraId="03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8EBF85A">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423" w:type="pct"/>
            <w:vAlign w:val="center"/>
          </w:tcPr>
          <w:p w14:paraId="6CDA4321">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750" w:type="pct"/>
            <w:vAlign w:val="center"/>
          </w:tcPr>
          <w:p w14:paraId="68425086">
            <w:pPr>
              <w:spacing w:line="320" w:lineRule="exact"/>
              <w:ind w:firstLine="0" w:firstLineChars="0"/>
              <w:jc w:val="center"/>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3417" w:type="pct"/>
            <w:vAlign w:val="center"/>
          </w:tcPr>
          <w:p w14:paraId="01C5AE25">
            <w:pPr>
              <w:spacing w:line="360" w:lineRule="exact"/>
              <w:ind w:firstLine="0" w:firstLineChars="0"/>
              <w:jc w:val="left"/>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p>
          <w:p w14:paraId="4AE9C30A">
            <w:pPr>
              <w:spacing w:line="360" w:lineRule="exact"/>
              <w:ind w:firstLine="0" w:firstLineChars="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15.2供应商下载或获取竞争性磋商文件后，登录“</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”，按照本磋商文件</w:t>
            </w:r>
            <w:r>
              <w:rPr>
                <w:rFonts w:hint="eastAsia" w:ascii="宋体" w:hAnsi="宋体" w:cs="宋体"/>
                <w:color w:val="auto"/>
                <w:sz w:val="21"/>
                <w:szCs w:val="21"/>
                <w:highlight w:val="none"/>
              </w:rPr>
              <w:t>规定的响应文件格式、顺序</w:t>
            </w:r>
            <w:r>
              <w:rPr>
                <w:rFonts w:hint="eastAsia" w:ascii="宋体" w:hAnsi="宋体" w:cs="宋体"/>
                <w:bCs/>
                <w:color w:val="auto"/>
                <w:sz w:val="21"/>
                <w:szCs w:val="21"/>
                <w:highlight w:val="none"/>
              </w:rPr>
              <w:t>以及</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的要求，通过“</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”编制电子响应文件。</w:t>
            </w:r>
          </w:p>
          <w:p w14:paraId="4F9E9055">
            <w:pPr>
              <w:spacing w:line="360" w:lineRule="exact"/>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15.3</w:t>
            </w:r>
            <w:r>
              <w:rPr>
                <w:rFonts w:hint="eastAsia"/>
                <w:color w:val="auto"/>
                <w:sz w:val="21"/>
                <w:szCs w:val="24"/>
                <w:highlight w:val="none"/>
              </w:rPr>
              <w:t>供应商</w:t>
            </w:r>
            <w:r>
              <w:rPr>
                <w:color w:val="auto"/>
                <w:sz w:val="21"/>
                <w:szCs w:val="24"/>
                <w:highlight w:val="none"/>
              </w:rPr>
              <w:t>应按“</w:t>
            </w:r>
            <w:r>
              <w:rPr>
                <w:rFonts w:hint="eastAsia" w:ascii="宋体" w:hAnsi="宋体" w:cs="宋体"/>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0131AC">
            <w:pPr>
              <w:spacing w:line="360" w:lineRule="exact"/>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6947AC42">
            <w:pPr>
              <w:spacing w:line="360" w:lineRule="exact"/>
              <w:ind w:firstLine="0" w:firstLineChars="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15.5供应商编制、生成电子响应文件后应当</w:t>
            </w:r>
            <w:r>
              <w:rPr>
                <w:rFonts w:hint="eastAsia" w:ascii="宋体" w:hAnsi="宋体" w:cs="宋体"/>
                <w:bCs/>
                <w:color w:val="auto"/>
                <w:sz w:val="21"/>
                <w:szCs w:val="21"/>
                <w:highlight w:val="none"/>
              </w:rPr>
              <w:t>加密响应文件。供应商未按规定编制并加密的响应文件，</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将予以拒收。</w:t>
            </w:r>
          </w:p>
        </w:tc>
      </w:tr>
      <w:tr w14:paraId="00BE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9F3C8BA">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423" w:type="pct"/>
            <w:vAlign w:val="center"/>
          </w:tcPr>
          <w:p w14:paraId="4312528B">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750" w:type="pct"/>
            <w:vAlign w:val="center"/>
          </w:tcPr>
          <w:p w14:paraId="062D60EC">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3417" w:type="pct"/>
            <w:vAlign w:val="center"/>
          </w:tcPr>
          <w:p w14:paraId="10E624EE">
            <w:pPr>
              <w:spacing w:line="360" w:lineRule="exact"/>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58B3002">
            <w:pPr>
              <w:spacing w:line="360" w:lineRule="exact"/>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8DAA7F7">
            <w:pPr>
              <w:spacing w:line="360" w:lineRule="exact"/>
              <w:ind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293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7DB2108">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423" w:type="pct"/>
            <w:vAlign w:val="center"/>
          </w:tcPr>
          <w:p w14:paraId="23B8BD5D">
            <w:pPr>
              <w:spacing w:line="3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750" w:type="pct"/>
            <w:vAlign w:val="center"/>
          </w:tcPr>
          <w:p w14:paraId="5A9870FE">
            <w:pPr>
              <w:spacing w:line="32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3417" w:type="pct"/>
            <w:vAlign w:val="center"/>
          </w:tcPr>
          <w:p w14:paraId="48D33C31">
            <w:pPr>
              <w:spacing w:line="360" w:lineRule="exact"/>
              <w:ind w:firstLine="0" w:firstLineChars="0"/>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2025年5月8日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52E40F6">
            <w:pPr>
              <w:spacing w:line="36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85C46EC">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0CFD70D7">
            <w:pPr>
              <w:tabs>
                <w:tab w:val="left" w:pos="1305"/>
              </w:tabs>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5B9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53251FD">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423" w:type="pct"/>
            <w:vAlign w:val="center"/>
          </w:tcPr>
          <w:p w14:paraId="26C2F544">
            <w:pPr>
              <w:spacing w:line="3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750" w:type="pct"/>
            <w:vAlign w:val="center"/>
          </w:tcPr>
          <w:p w14:paraId="127BC0E2">
            <w:pPr>
              <w:spacing w:line="32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3417" w:type="pct"/>
            <w:vAlign w:val="center"/>
          </w:tcPr>
          <w:p w14:paraId="35747025">
            <w:pPr>
              <w:tabs>
                <w:tab w:val="left" w:pos="1305"/>
              </w:tabs>
              <w:spacing w:line="360" w:lineRule="exact"/>
              <w:ind w:firstLine="0" w:firstLineChars="0"/>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guilinyl@vip.sina.com）</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257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6D06482">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23" w:type="pct"/>
            <w:vAlign w:val="center"/>
          </w:tcPr>
          <w:p w14:paraId="2F2EA92A">
            <w:pPr>
              <w:spacing w:line="340" w:lineRule="exact"/>
              <w:ind w:firstLine="105" w:firstLineChars="50"/>
              <w:jc w:val="center"/>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750" w:type="pct"/>
            <w:vAlign w:val="center"/>
          </w:tcPr>
          <w:p w14:paraId="28D474E2">
            <w:pPr>
              <w:spacing w:line="32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3417" w:type="pct"/>
            <w:vAlign w:val="center"/>
          </w:tcPr>
          <w:p w14:paraId="0A91A646">
            <w:pPr>
              <w:pStyle w:val="16"/>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tc>
      </w:tr>
      <w:tr w14:paraId="15E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C9AA45">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423" w:type="pct"/>
            <w:vAlign w:val="center"/>
          </w:tcPr>
          <w:p w14:paraId="19CEB4F6">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750" w:type="pct"/>
            <w:vAlign w:val="center"/>
          </w:tcPr>
          <w:p w14:paraId="22CF6D2A">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3417" w:type="pct"/>
          </w:tcPr>
          <w:p w14:paraId="7164594B">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2EFA431C">
            <w:pPr>
              <w:spacing w:line="360" w:lineRule="exact"/>
              <w:ind w:firstLine="0" w:firstLineChars="0"/>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04D5CDB">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w:t>
            </w:r>
            <w:r>
              <w:rPr>
                <w:rFonts w:hint="eastAsia" w:ascii="宋体" w:hAnsi="宋体" w:cs="宋体"/>
                <w:bCs/>
                <w:color w:val="auto"/>
                <w:spacing w:val="-4"/>
                <w:sz w:val="21"/>
                <w:szCs w:val="21"/>
                <w:highlight w:val="none"/>
              </w:rPr>
              <w:t>人参加磋商。请供应商实时登录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等候在线磋商。</w:t>
            </w:r>
          </w:p>
          <w:p w14:paraId="6575B3EE">
            <w:pPr>
              <w:spacing w:line="360" w:lineRule="exact"/>
              <w:ind w:firstLine="0" w:firstLineChars="0"/>
              <w:rPr>
                <w:rFonts w:hint="eastAsia"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在线解密开启。</w:t>
            </w:r>
          </w:p>
        </w:tc>
      </w:tr>
      <w:tr w14:paraId="37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65731834">
            <w:pPr>
              <w:spacing w:line="340" w:lineRule="exact"/>
              <w:ind w:firstLine="0" w:firstLineChars="0"/>
              <w:jc w:val="center"/>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423" w:type="pct"/>
            <w:vAlign w:val="center"/>
          </w:tcPr>
          <w:p w14:paraId="47900AF6">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750" w:type="pct"/>
            <w:vAlign w:val="center"/>
          </w:tcPr>
          <w:p w14:paraId="6CC55A5C">
            <w:pPr>
              <w:spacing w:line="320" w:lineRule="exact"/>
              <w:ind w:left="34" w:leftChars="14"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3417" w:type="pct"/>
            <w:vAlign w:val="center"/>
          </w:tcPr>
          <w:p w14:paraId="40E429C2">
            <w:pPr>
              <w:spacing w:line="36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10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1745A8">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423" w:type="pct"/>
            <w:vAlign w:val="center"/>
          </w:tcPr>
          <w:p w14:paraId="27E83FF5">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750" w:type="pct"/>
            <w:vAlign w:val="center"/>
          </w:tcPr>
          <w:p w14:paraId="48492308">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3417" w:type="pct"/>
            <w:vAlign w:val="center"/>
          </w:tcPr>
          <w:p w14:paraId="772BAF48">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84ED800">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（1）查询渠道：“信用中国”网站（www.creditchina.gov.cn）、中国政府采购网（www.ccgp.gov.cn）等；</w:t>
            </w:r>
          </w:p>
          <w:p w14:paraId="747C3AE3">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（2）查询截止时间：成交通知书发出前；</w:t>
            </w:r>
          </w:p>
          <w:p w14:paraId="72DC049E">
            <w:pPr>
              <w:spacing w:line="360" w:lineRule="exact"/>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（3）信用信息查询记录和证据留存方式：在查询网站中直接打印查询记录，打印材料作为采购活动资料保存；</w:t>
            </w:r>
          </w:p>
          <w:p w14:paraId="4B99BF5E">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bCs/>
                <w:color w:val="auto"/>
                <w:sz w:val="21"/>
                <w:szCs w:val="21"/>
                <w:highlight w:val="none"/>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704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E1273D3">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423" w:type="pct"/>
            <w:vAlign w:val="center"/>
          </w:tcPr>
          <w:p w14:paraId="0867B2AD">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750" w:type="pct"/>
            <w:vAlign w:val="center"/>
          </w:tcPr>
          <w:p w14:paraId="422C92F7">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3E695E6">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3417" w:type="pct"/>
          </w:tcPr>
          <w:p w14:paraId="6DE88ABD">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57CC6CC">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C0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F026F51">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423" w:type="pct"/>
            <w:vAlign w:val="center"/>
          </w:tcPr>
          <w:p w14:paraId="5AB708FE">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28.1</w:t>
            </w:r>
          </w:p>
        </w:tc>
        <w:tc>
          <w:tcPr>
            <w:tcW w:w="750" w:type="pct"/>
            <w:vAlign w:val="center"/>
          </w:tcPr>
          <w:p w14:paraId="43E21FE7">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履约保证金</w:t>
            </w:r>
          </w:p>
        </w:tc>
        <w:tc>
          <w:tcPr>
            <w:tcW w:w="3417" w:type="pct"/>
            <w:vAlign w:val="center"/>
          </w:tcPr>
          <w:p w14:paraId="61DF8FFD">
            <w:pPr>
              <w:spacing w:line="360" w:lineRule="exact"/>
              <w:ind w:firstLine="0" w:firstLineChars="0"/>
              <w:rPr>
                <w:rFonts w:hint="eastAsia" w:ascii="宋体" w:hAnsi="宋体" w:cs="宋体"/>
                <w:b/>
                <w:color w:val="auto"/>
                <w:sz w:val="21"/>
                <w:szCs w:val="21"/>
                <w:highlight w:val="none"/>
              </w:rPr>
            </w:pPr>
            <w:r>
              <w:rPr>
                <w:rFonts w:hint="eastAsia" w:ascii="宋体" w:hAnsi="宋体" w:cs="宋体"/>
                <w:color w:val="auto"/>
                <w:kern w:val="0"/>
                <w:sz w:val="21"/>
                <w:szCs w:val="21"/>
                <w:highlight w:val="none"/>
              </w:rPr>
              <w:t>本项目每个分标履约保证金金额各按壹万元整（¥10000.00）收取（若成交供应商为小微企业的，则免收履约保证金）。成交供应商在成交通知书发出之日起8个工作日内且必须在与采购人签订合同前将履约保证金以支票、汇票、本票或者金融机构、担保机构出具的保函（含电子保函）等非现金形式提交至采购人指定账户。</w:t>
            </w:r>
          </w:p>
        </w:tc>
      </w:tr>
      <w:tr w14:paraId="37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ABAFFFD">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423" w:type="pct"/>
            <w:vAlign w:val="center"/>
          </w:tcPr>
          <w:p w14:paraId="4CD0C13C">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750" w:type="pct"/>
            <w:vAlign w:val="center"/>
          </w:tcPr>
          <w:p w14:paraId="6F029279">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3417" w:type="pct"/>
            <w:vAlign w:val="center"/>
          </w:tcPr>
          <w:p w14:paraId="160F0AB2">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677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8CAD596">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423" w:type="pct"/>
            <w:vAlign w:val="center"/>
          </w:tcPr>
          <w:p w14:paraId="62934654">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750" w:type="pct"/>
            <w:vAlign w:val="center"/>
          </w:tcPr>
          <w:p w14:paraId="604879DC">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合同公告</w:t>
            </w:r>
          </w:p>
        </w:tc>
        <w:tc>
          <w:tcPr>
            <w:tcW w:w="3417" w:type="pct"/>
            <w:vAlign w:val="center"/>
          </w:tcPr>
          <w:p w14:paraId="4D2211EF">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政府采购合同双方自签订之日起2个工作日内在省级以上人民政府财政部门指定媒体上公告。</w:t>
            </w:r>
          </w:p>
        </w:tc>
      </w:tr>
      <w:tr w14:paraId="4BB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0D57879">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423" w:type="pct"/>
            <w:vAlign w:val="center"/>
          </w:tcPr>
          <w:p w14:paraId="61C085A7">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750" w:type="pct"/>
            <w:vAlign w:val="center"/>
          </w:tcPr>
          <w:p w14:paraId="77E045C8">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3417" w:type="pct"/>
          </w:tcPr>
          <w:p w14:paraId="18D576AE">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本项目每个分标采购代理服务费各按玖仟元整（¥9000.00）收取，由各分标成交供应商于成交公告发出之日起5个工作日内向采购代理机构一次性支付，否则，其不利后果由成交供应商承担。</w:t>
            </w:r>
          </w:p>
        </w:tc>
      </w:tr>
      <w:tr w14:paraId="68E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F0469A">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423" w:type="pct"/>
            <w:vAlign w:val="center"/>
          </w:tcPr>
          <w:p w14:paraId="591C82D2">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750" w:type="pct"/>
            <w:vAlign w:val="center"/>
          </w:tcPr>
          <w:p w14:paraId="2B3EF4F1">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3417" w:type="pct"/>
          </w:tcPr>
          <w:p w14:paraId="7949B27B">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F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95AD9F">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423" w:type="pct"/>
            <w:vAlign w:val="center"/>
          </w:tcPr>
          <w:p w14:paraId="1DF11477">
            <w:pPr>
              <w:spacing w:line="3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750" w:type="pct"/>
            <w:vAlign w:val="center"/>
          </w:tcPr>
          <w:p w14:paraId="1E2FAE2F">
            <w:pPr>
              <w:spacing w:line="32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3417" w:type="pct"/>
            <w:vAlign w:val="center"/>
          </w:tcPr>
          <w:p w14:paraId="37515AF1">
            <w:pPr>
              <w:spacing w:line="36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桂林市财政局    联系电话：0773-2829504</w:t>
            </w:r>
          </w:p>
        </w:tc>
      </w:tr>
    </w:tbl>
    <w:p w14:paraId="452B6855">
      <w:pPr>
        <w:spacing w:line="380" w:lineRule="exact"/>
        <w:ind w:firstLine="0" w:firstLineChars="0"/>
        <w:jc w:val="center"/>
        <w:rPr>
          <w:rFonts w:hint="eastAsia" w:ascii="宋体" w:hAnsi="宋体" w:cs="宋体"/>
          <w:b/>
          <w:color w:val="auto"/>
          <w:kern w:val="0"/>
          <w:sz w:val="28"/>
          <w:szCs w:val="28"/>
          <w:highlight w:val="none"/>
        </w:rPr>
      </w:pPr>
    </w:p>
    <w:p w14:paraId="21E54AC1">
      <w:pPr>
        <w:spacing w:line="380" w:lineRule="exact"/>
        <w:ind w:firstLine="0" w:firstLineChars="0"/>
        <w:jc w:val="center"/>
        <w:rPr>
          <w:rFonts w:hint="eastAsia" w:ascii="宋体" w:hAnsi="宋体" w:cs="宋体"/>
          <w:b/>
          <w:color w:val="auto"/>
          <w:kern w:val="0"/>
          <w:sz w:val="28"/>
          <w:szCs w:val="28"/>
          <w:highlight w:val="none"/>
        </w:rPr>
      </w:pPr>
    </w:p>
    <w:p w14:paraId="40762949">
      <w:pPr>
        <w:spacing w:line="380" w:lineRule="exact"/>
        <w:ind w:firstLine="0" w:firstLineChars="0"/>
        <w:jc w:val="center"/>
        <w:rPr>
          <w:rFonts w:hint="eastAsia" w:ascii="宋体" w:hAnsi="宋体" w:cs="宋体"/>
          <w:b/>
          <w:color w:val="auto"/>
          <w:kern w:val="0"/>
          <w:sz w:val="28"/>
          <w:szCs w:val="28"/>
          <w:highlight w:val="none"/>
        </w:rPr>
      </w:pPr>
    </w:p>
    <w:p w14:paraId="6E518FF0">
      <w:pPr>
        <w:spacing w:line="380" w:lineRule="exact"/>
        <w:ind w:firstLine="0" w:firstLineChars="0"/>
        <w:jc w:val="center"/>
        <w:rPr>
          <w:rFonts w:hint="eastAsia" w:ascii="宋体" w:hAnsi="宋体" w:cs="宋体"/>
          <w:b/>
          <w:color w:val="auto"/>
          <w:kern w:val="0"/>
          <w:sz w:val="28"/>
          <w:szCs w:val="28"/>
          <w:highlight w:val="none"/>
        </w:rPr>
      </w:pPr>
    </w:p>
    <w:p w14:paraId="2EBC1ECB">
      <w:pPr>
        <w:spacing w:line="380" w:lineRule="exact"/>
        <w:ind w:firstLine="0" w:firstLineChars="0"/>
        <w:jc w:val="center"/>
        <w:rPr>
          <w:rFonts w:hint="eastAsia" w:ascii="宋体" w:hAnsi="宋体" w:cs="宋体"/>
          <w:b/>
          <w:color w:val="auto"/>
          <w:kern w:val="0"/>
          <w:sz w:val="28"/>
          <w:szCs w:val="28"/>
          <w:highlight w:val="none"/>
        </w:rPr>
      </w:pPr>
    </w:p>
    <w:p w14:paraId="7DB983CC">
      <w:pPr>
        <w:spacing w:line="380" w:lineRule="exact"/>
        <w:ind w:firstLine="0" w:firstLineChars="0"/>
        <w:jc w:val="center"/>
        <w:rPr>
          <w:rFonts w:hint="eastAsia" w:ascii="宋体" w:hAnsi="宋体" w:cs="宋体"/>
          <w:b/>
          <w:color w:val="auto"/>
          <w:kern w:val="0"/>
          <w:sz w:val="28"/>
          <w:szCs w:val="28"/>
          <w:highlight w:val="none"/>
        </w:rPr>
      </w:pPr>
    </w:p>
    <w:p w14:paraId="3B1A114D">
      <w:pPr>
        <w:spacing w:line="380" w:lineRule="exact"/>
        <w:ind w:firstLine="0" w:firstLineChars="0"/>
        <w:jc w:val="center"/>
        <w:rPr>
          <w:rFonts w:hint="eastAsia" w:ascii="宋体" w:hAnsi="宋体" w:cs="宋体"/>
          <w:b/>
          <w:color w:val="auto"/>
          <w:kern w:val="0"/>
          <w:sz w:val="28"/>
          <w:szCs w:val="28"/>
          <w:highlight w:val="none"/>
        </w:rPr>
      </w:pPr>
    </w:p>
    <w:p w14:paraId="3459283C">
      <w:pPr>
        <w:spacing w:line="380" w:lineRule="exact"/>
        <w:ind w:firstLine="0" w:firstLineChars="0"/>
        <w:jc w:val="center"/>
        <w:rPr>
          <w:rFonts w:hint="eastAsia" w:ascii="宋体" w:hAnsi="宋体" w:cs="宋体"/>
          <w:b/>
          <w:color w:val="auto"/>
          <w:kern w:val="0"/>
          <w:sz w:val="28"/>
          <w:szCs w:val="28"/>
          <w:highlight w:val="none"/>
        </w:rPr>
      </w:pPr>
    </w:p>
    <w:p w14:paraId="2B40BA78">
      <w:pPr>
        <w:spacing w:line="380" w:lineRule="exact"/>
        <w:ind w:firstLine="0" w:firstLineChars="0"/>
        <w:jc w:val="center"/>
        <w:rPr>
          <w:rFonts w:hint="eastAsia" w:ascii="宋体" w:hAnsi="宋体" w:cs="宋体"/>
          <w:b/>
          <w:color w:val="auto"/>
          <w:kern w:val="0"/>
          <w:sz w:val="28"/>
          <w:szCs w:val="28"/>
          <w:highlight w:val="none"/>
        </w:rPr>
      </w:pPr>
    </w:p>
    <w:p w14:paraId="5DA29766">
      <w:pPr>
        <w:spacing w:line="380" w:lineRule="exact"/>
        <w:ind w:firstLine="0" w:firstLineChars="0"/>
        <w:jc w:val="center"/>
        <w:rPr>
          <w:rFonts w:hint="eastAsia" w:ascii="宋体" w:hAnsi="宋体" w:cs="宋体"/>
          <w:b/>
          <w:color w:val="auto"/>
          <w:kern w:val="0"/>
          <w:sz w:val="28"/>
          <w:szCs w:val="28"/>
          <w:highlight w:val="none"/>
        </w:rPr>
      </w:pPr>
    </w:p>
    <w:p w14:paraId="626FBDB5">
      <w:pPr>
        <w:spacing w:line="380" w:lineRule="exact"/>
        <w:ind w:firstLine="0" w:firstLineChars="0"/>
        <w:jc w:val="center"/>
        <w:rPr>
          <w:rFonts w:hint="eastAsia" w:ascii="宋体" w:hAnsi="宋体" w:cs="宋体"/>
          <w:b/>
          <w:color w:val="auto"/>
          <w:kern w:val="0"/>
          <w:sz w:val="28"/>
          <w:szCs w:val="28"/>
          <w:highlight w:val="none"/>
        </w:rPr>
      </w:pPr>
    </w:p>
    <w:p w14:paraId="1CD24148">
      <w:pPr>
        <w:spacing w:line="380" w:lineRule="exact"/>
        <w:ind w:firstLine="0" w:firstLineChars="0"/>
        <w:jc w:val="center"/>
        <w:rPr>
          <w:rFonts w:hint="eastAsia" w:ascii="宋体" w:hAnsi="宋体" w:cs="宋体"/>
          <w:b/>
          <w:color w:val="auto"/>
          <w:kern w:val="0"/>
          <w:sz w:val="28"/>
          <w:szCs w:val="28"/>
          <w:highlight w:val="none"/>
        </w:rPr>
      </w:pPr>
    </w:p>
    <w:p w14:paraId="5FDC05C8">
      <w:pPr>
        <w:spacing w:line="380" w:lineRule="exact"/>
        <w:ind w:firstLine="0" w:firstLineChars="0"/>
        <w:jc w:val="center"/>
        <w:rPr>
          <w:rFonts w:hint="eastAsia" w:ascii="宋体" w:hAnsi="宋体" w:cs="宋体"/>
          <w:b/>
          <w:color w:val="auto"/>
          <w:kern w:val="0"/>
          <w:sz w:val="28"/>
          <w:szCs w:val="28"/>
          <w:highlight w:val="none"/>
        </w:rPr>
      </w:pPr>
    </w:p>
    <w:p w14:paraId="12094BD3">
      <w:pPr>
        <w:spacing w:line="380" w:lineRule="exact"/>
        <w:ind w:firstLine="0" w:firstLineChars="0"/>
        <w:jc w:val="center"/>
        <w:rPr>
          <w:rFonts w:hint="eastAsia" w:ascii="宋体" w:hAnsi="宋体" w:cs="宋体"/>
          <w:b/>
          <w:color w:val="auto"/>
          <w:kern w:val="0"/>
          <w:sz w:val="28"/>
          <w:szCs w:val="28"/>
          <w:highlight w:val="none"/>
        </w:rPr>
      </w:pPr>
    </w:p>
    <w:p w14:paraId="5F455D33">
      <w:pPr>
        <w:spacing w:line="380" w:lineRule="exact"/>
        <w:ind w:firstLine="0" w:firstLineChars="0"/>
        <w:jc w:val="center"/>
        <w:rPr>
          <w:rFonts w:hint="eastAsia" w:ascii="宋体" w:hAnsi="宋体" w:cs="宋体"/>
          <w:b/>
          <w:color w:val="auto"/>
          <w:kern w:val="0"/>
          <w:sz w:val="28"/>
          <w:szCs w:val="28"/>
          <w:highlight w:val="none"/>
        </w:rPr>
      </w:pPr>
    </w:p>
    <w:p w14:paraId="608AF8F8">
      <w:pPr>
        <w:spacing w:line="380" w:lineRule="exact"/>
        <w:ind w:firstLine="0" w:firstLineChars="0"/>
        <w:jc w:val="center"/>
        <w:rPr>
          <w:rFonts w:hint="eastAsia" w:ascii="宋体" w:hAnsi="宋体" w:cs="宋体"/>
          <w:b/>
          <w:color w:val="auto"/>
          <w:kern w:val="0"/>
          <w:sz w:val="28"/>
          <w:szCs w:val="28"/>
          <w:highlight w:val="none"/>
        </w:rPr>
      </w:pPr>
    </w:p>
    <w:p w14:paraId="0BA74EC8">
      <w:pPr>
        <w:spacing w:line="380" w:lineRule="exact"/>
        <w:ind w:firstLine="0" w:firstLineChars="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3DAAB35E">
      <w:pPr>
        <w:spacing w:line="380" w:lineRule="exact"/>
        <w:ind w:firstLine="413" w:firstLineChars="196"/>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79181756">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 项目名称及项目编号：</w:t>
      </w:r>
    </w:p>
    <w:p w14:paraId="03950995">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rPr>
        <w:t>桂林市生态环境执法监测服务</w:t>
      </w:r>
    </w:p>
    <w:p w14:paraId="187E01E2">
      <w:pPr>
        <w:spacing w:line="380" w:lineRule="exact"/>
        <w:ind w:firstLine="435" w:firstLineChars="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：GLZC2025-C3-990140-YZLZ</w:t>
      </w:r>
    </w:p>
    <w:p w14:paraId="3282F927">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代理编号：YZLGL2025-C3-007-GLZC</w:t>
      </w:r>
      <w:r>
        <w:rPr>
          <w:rFonts w:hint="eastAsia" w:ascii="宋体" w:hAnsi="宋体" w:cs="宋体"/>
          <w:color w:val="auto"/>
          <w:kern w:val="0"/>
          <w:sz w:val="21"/>
          <w:szCs w:val="21"/>
          <w:highlight w:val="none"/>
        </w:rPr>
        <w:t xml:space="preserve"> </w:t>
      </w:r>
    </w:p>
    <w:p w14:paraId="18EED154">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42A3A803">
      <w:pPr>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06E86BE1">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6FD1D455">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hint="eastAsia" w:hAnsi="宋体"/>
          <w:color w:val="auto"/>
          <w:sz w:val="21"/>
          <w:highlight w:val="none"/>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02DFA86">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54956DE8">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2.4“服务”：系指按磋商文件规定，供应商须承担的</w:t>
      </w:r>
      <w:r>
        <w:rPr>
          <w:rFonts w:hint="eastAsia" w:ascii="宋体" w:hAnsi="宋体" w:cs="宋体"/>
          <w:color w:val="auto"/>
          <w:sz w:val="21"/>
          <w:szCs w:val="24"/>
          <w:highlight w:val="none"/>
        </w:rPr>
        <w:t>桂林市生态环境执法监测服务</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以及本项目采购标的涉及的其他类似的义务。</w:t>
      </w:r>
    </w:p>
    <w:p w14:paraId="41F70923">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“项目”：系指供应商按磋商文件规定向采购人提供的货物和服务。</w:t>
      </w:r>
    </w:p>
    <w:p w14:paraId="299F6C83">
      <w:pPr>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“书面形式”：包括信函、传真、电报等。</w:t>
      </w:r>
    </w:p>
    <w:p w14:paraId="5EF883B7">
      <w:pPr>
        <w:adjustRightInd w:val="0"/>
        <w:snapToGrid w:val="0"/>
        <w:spacing w:line="380" w:lineRule="exact"/>
        <w:ind w:firstLine="482"/>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4D1B833">
      <w:pPr>
        <w:adjustRightInd w:val="0"/>
        <w:snapToGrid w:val="0"/>
        <w:spacing w:line="380" w:lineRule="exact"/>
        <w:ind w:firstLine="482"/>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2.8实质性要求：“采购需求”中标注“▲”项的条款、磋商文件中要求“必须提供”的条款以及标明不满足及响应无效的条款均属于实质性要求。如有任意一项实质性要求负偏离的，响应文件按无效处理。</w:t>
      </w:r>
    </w:p>
    <w:p w14:paraId="3CB4908A">
      <w:pPr>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23BE9732">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75522AEA">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0F9C5F58">
      <w:pPr>
        <w:spacing w:line="360" w:lineRule="exact"/>
        <w:ind w:firstLine="420"/>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kern w:val="0"/>
          <w:sz w:val="21"/>
          <w:szCs w:val="21"/>
          <w:highlight w:val="none"/>
        </w:rPr>
        <w:t>供应商必须具有检验检测机构资质（检测能力范围至少包含：水和废水、环境空气和废气、土壤、固体废物、噪声排放等类别）</w:t>
      </w:r>
      <w:r>
        <w:rPr>
          <w:rFonts w:hint="eastAsia" w:ascii="宋体" w:hAnsi="宋体" w:cs="宋体"/>
          <w:color w:val="auto"/>
          <w:sz w:val="21"/>
          <w:szCs w:val="21"/>
          <w:highlight w:val="none"/>
        </w:rPr>
        <w:t>。</w:t>
      </w:r>
    </w:p>
    <w:p w14:paraId="73BFFDA1">
      <w:pPr>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67A83B7A">
      <w:pPr>
        <w:tabs>
          <w:tab w:val="left" w:pos="1635"/>
        </w:tabs>
        <w:spacing w:line="36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color w:val="auto"/>
          <w:kern w:val="0"/>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color w:val="auto"/>
          <w:kern w:val="0"/>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CA证书）。因供应商未做好相关准备工作等自身原因导致无法参加本项目电子竞标或竞标失败的，造成的一切后果，由供应商自行承担。</w:t>
      </w:r>
    </w:p>
    <w:p w14:paraId="1EEB20DA">
      <w:pPr>
        <w:tabs>
          <w:tab w:val="left" w:pos="1635"/>
        </w:tabs>
        <w:spacing w:line="36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highlight w:val="none"/>
        </w:rPr>
        <w:t>或0771-3381253</w:t>
      </w:r>
      <w:r>
        <w:rPr>
          <w:rFonts w:hint="eastAsia" w:ascii="宋体" w:hAnsi="宋体" w:cs="宋体"/>
          <w:color w:val="auto"/>
          <w:kern w:val="0"/>
          <w:sz w:val="21"/>
          <w:szCs w:val="21"/>
          <w:highlight w:val="none"/>
        </w:rPr>
        <w:t>。</w:t>
      </w:r>
    </w:p>
    <w:p w14:paraId="6B0A6FFD">
      <w:pPr>
        <w:tabs>
          <w:tab w:val="left" w:pos="1635"/>
        </w:tabs>
        <w:spacing w:line="36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622CC155">
      <w:pPr>
        <w:tabs>
          <w:tab w:val="left" w:pos="1635"/>
        </w:tabs>
        <w:spacing w:line="36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59F0EA20">
      <w:pPr>
        <w:snapToGrid w:val="0"/>
        <w:spacing w:line="360" w:lineRule="exact"/>
        <w:ind w:firstLine="420"/>
        <w:jc w:val="left"/>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本项目不接受联合体参与磋商。</w:t>
      </w:r>
    </w:p>
    <w:p w14:paraId="203DD90C">
      <w:pPr>
        <w:tabs>
          <w:tab w:val="left" w:pos="2190"/>
        </w:tabs>
        <w:spacing w:line="360" w:lineRule="exact"/>
        <w:ind w:firstLine="413" w:firstLineChars="196"/>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1B8A7BA6">
      <w:pPr>
        <w:tabs>
          <w:tab w:val="left" w:pos="2190"/>
        </w:tabs>
        <w:spacing w:line="360" w:lineRule="exact"/>
        <w:ind w:firstLine="43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125AD31E">
      <w:pPr>
        <w:tabs>
          <w:tab w:val="left" w:pos="2190"/>
        </w:tabs>
        <w:spacing w:line="360" w:lineRule="exact"/>
        <w:ind w:firstLine="43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DBA175C">
      <w:pPr>
        <w:tabs>
          <w:tab w:val="left" w:pos="2190"/>
        </w:tabs>
        <w:spacing w:line="380" w:lineRule="exact"/>
        <w:ind w:firstLine="43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1BCFFBC">
      <w:pPr>
        <w:tabs>
          <w:tab w:val="left" w:pos="2190"/>
        </w:tabs>
        <w:spacing w:line="380" w:lineRule="exact"/>
        <w:ind w:firstLine="43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660DD8ED">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4D62432E">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5E6CBC5E">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027C6083">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47BBA81C">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3158DBF8">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4E38F51C">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1106E729">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468422E4">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供应商为自然人的，应当由本人签字；供应商为法人或者其他组织的，应当由法定代表人、主要负责人，或者其授权代表签字或者盖章，并加盖公章。</w:t>
      </w:r>
    </w:p>
    <w:p w14:paraId="3BD3C3E2">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15CBB3E2">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质疑联系部门及联系方式：云之龙咨询集团有限公司桂林分公司，联系人：李贞，联系电话：0773-2887388、2887399。通讯地址：</w:t>
      </w:r>
      <w:r>
        <w:rPr>
          <w:rFonts w:hint="eastAsia" w:ascii="宋体" w:hAnsi="宋体" w:cs="宋体"/>
          <w:color w:val="auto"/>
          <w:kern w:val="0"/>
          <w:sz w:val="21"/>
          <w:szCs w:val="24"/>
          <w:highlight w:val="none"/>
        </w:rPr>
        <w:t>广西桂林市临桂区西城北路2号耀辉•美好家园2幢12层1号房</w:t>
      </w:r>
      <w:r>
        <w:rPr>
          <w:rFonts w:hint="eastAsia" w:ascii="宋体" w:hAnsi="宋体" w:cs="宋体"/>
          <w:color w:val="auto"/>
          <w:kern w:val="0"/>
          <w:sz w:val="21"/>
          <w:szCs w:val="21"/>
          <w:highlight w:val="none"/>
        </w:rPr>
        <w:t>云之龙咨询集团有限公司。</w:t>
      </w:r>
    </w:p>
    <w:p w14:paraId="4D47744D">
      <w:pPr>
        <w:tabs>
          <w:tab w:val="left" w:pos="2190"/>
        </w:tabs>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26A5A1AB">
      <w:pPr>
        <w:tabs>
          <w:tab w:val="left" w:pos="2190"/>
        </w:tabs>
        <w:spacing w:line="380" w:lineRule="exact"/>
        <w:ind w:firstLine="43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 本项目不允许转包。</w:t>
      </w:r>
    </w:p>
    <w:p w14:paraId="0867794C">
      <w:pPr>
        <w:spacing w:line="40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7.2 未经采购人同意，本项目各分标均不允许分包。</w:t>
      </w:r>
    </w:p>
    <w:p w14:paraId="46AA8E0A">
      <w:pPr>
        <w:tabs>
          <w:tab w:val="left" w:pos="1635"/>
        </w:tabs>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440F733A">
      <w:pPr>
        <w:tabs>
          <w:tab w:val="left" w:pos="1635"/>
        </w:tabs>
        <w:spacing w:line="380" w:lineRule="exact"/>
        <w:ind w:firstLine="435" w:firstLineChars="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关联供应商不得参加同一合同项下政府采购活动，否则响应文件将被视为无效：</w:t>
      </w:r>
    </w:p>
    <w:p w14:paraId="41AB348B">
      <w:pPr>
        <w:tabs>
          <w:tab w:val="left" w:pos="1635"/>
        </w:tabs>
        <w:spacing w:line="38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（1）单位负责人为同一人或者存在直接控股、管理关系的不同供应商，不得参加同一合同项下的政府采购活动。</w:t>
      </w:r>
    </w:p>
    <w:p w14:paraId="005AABFB">
      <w:pPr>
        <w:tabs>
          <w:tab w:val="left" w:pos="1635"/>
        </w:tabs>
        <w:spacing w:line="380" w:lineRule="exact"/>
        <w:ind w:firstLine="435" w:firstLineChars="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（2）为采购项目提供整体设计、规范编制或者项目管理、监理、检测等服务的供应商，不得再参加该采购项目的其他采购活动。</w:t>
      </w:r>
    </w:p>
    <w:p w14:paraId="4E3030D4">
      <w:pPr>
        <w:tabs>
          <w:tab w:val="left" w:pos="2190"/>
        </w:tabs>
        <w:spacing w:line="380" w:lineRule="exact"/>
        <w:ind w:firstLine="435" w:firstLineChars="0"/>
        <w:jc w:val="center"/>
        <w:rPr>
          <w:rFonts w:hint="eastAsia" w:ascii="宋体" w:hAnsi="宋体" w:cs="宋体"/>
          <w:b/>
          <w:color w:val="auto"/>
          <w:kern w:val="0"/>
          <w:sz w:val="28"/>
          <w:szCs w:val="28"/>
          <w:highlight w:val="none"/>
        </w:rPr>
      </w:pPr>
    </w:p>
    <w:p w14:paraId="491D2AE8">
      <w:pPr>
        <w:tabs>
          <w:tab w:val="left" w:pos="2190"/>
        </w:tabs>
        <w:spacing w:line="380" w:lineRule="exact"/>
        <w:ind w:firstLine="435" w:firstLineChars="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3828A9C9">
      <w:pPr>
        <w:tabs>
          <w:tab w:val="left" w:pos="2190"/>
        </w:tabs>
        <w:spacing w:line="380" w:lineRule="exact"/>
        <w:ind w:firstLine="437"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60F08EDE">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76FEDC5">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37AD1F1C">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（3）采购需求；</w:t>
      </w:r>
    </w:p>
    <w:p w14:paraId="1163F99E">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7374B583">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5A515CB9">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44542885">
      <w:pPr>
        <w:tabs>
          <w:tab w:val="left" w:pos="2190"/>
        </w:tabs>
        <w:spacing w:line="380" w:lineRule="exact"/>
        <w:ind w:firstLine="437"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482CD4A6">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三个工作日前在本项目竞争性磋商公告发布的同一媒体上发布更正公告，不足三个工作日的，应当顺延首次响应文件提交截止时间。</w:t>
      </w:r>
    </w:p>
    <w:p w14:paraId="72A1A65E">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758300B">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759718C4">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00116A53">
      <w:pPr>
        <w:tabs>
          <w:tab w:val="left" w:pos="2190"/>
        </w:tabs>
        <w:spacing w:line="380" w:lineRule="exact"/>
        <w:ind w:firstLine="437"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72D9DD63">
      <w:pPr>
        <w:tabs>
          <w:tab w:val="left" w:pos="2190"/>
        </w:tabs>
        <w:spacing w:line="380" w:lineRule="exact"/>
        <w:ind w:firstLine="435" w:firstLineChars="0"/>
        <w:rPr>
          <w:rFonts w:hint="eastAsia" w:ascii="宋体" w:hAnsi="宋体" w:cs="宋体"/>
          <w:color w:val="auto"/>
          <w:kern w:val="0"/>
          <w:sz w:val="21"/>
          <w:szCs w:val="21"/>
          <w:highlight w:val="none"/>
        </w:rPr>
      </w:pPr>
    </w:p>
    <w:p w14:paraId="4B25D481">
      <w:pPr>
        <w:tabs>
          <w:tab w:val="left" w:pos="2190"/>
        </w:tabs>
        <w:spacing w:line="380" w:lineRule="exact"/>
        <w:ind w:firstLine="435" w:firstLineChars="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5D6FE574">
      <w:pPr>
        <w:tabs>
          <w:tab w:val="left" w:pos="2190"/>
        </w:tabs>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75E1CC22">
      <w:pPr>
        <w:tabs>
          <w:tab w:val="left" w:pos="1305"/>
        </w:tabs>
        <w:spacing w:line="380" w:lineRule="exact"/>
        <w:ind w:firstLine="422"/>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2E644D3E">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4F1DD8B1">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60399069">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6D1209CE">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复印件以及由社保经办机构出具的供应商</w:t>
      </w:r>
      <w:r>
        <w:rPr>
          <w:rFonts w:hint="eastAsia" w:ascii="宋体" w:hAnsi="宋体" w:cs="宋体"/>
          <w:color w:val="auto"/>
          <w:kern w:val="0"/>
          <w:sz w:val="21"/>
          <w:szCs w:val="21"/>
          <w:highlight w:val="none"/>
        </w:rPr>
        <w:t>2024年12月以来任意1个月</w:t>
      </w:r>
      <w:r>
        <w:rPr>
          <w:rFonts w:hint="eastAsia" w:ascii="宋体" w:hAnsi="宋体" w:cs="宋体"/>
          <w:color w:val="auto"/>
          <w:sz w:val="21"/>
          <w:szCs w:val="21"/>
          <w:highlight w:val="none"/>
        </w:rPr>
        <w:t>为委托代理人缴纳的社保证明复印件</w:t>
      </w:r>
      <w:r>
        <w:rPr>
          <w:rFonts w:hint="eastAsia" w:ascii="宋体" w:hAnsi="宋体" w:cs="宋体"/>
          <w:b/>
          <w:color w:val="auto"/>
          <w:sz w:val="21"/>
          <w:szCs w:val="21"/>
          <w:highlight w:val="none"/>
        </w:rPr>
        <w:t>【属于自然人的应提供由社保经办机构出具的自然人本人及委托代理人2024年12月以来任意1个月所缴纳的社保证明复印件】（委托代理时必须提供）</w:t>
      </w:r>
      <w:r>
        <w:rPr>
          <w:rFonts w:hint="eastAsia" w:ascii="宋体" w:hAnsi="宋体" w:cs="宋体"/>
          <w:color w:val="auto"/>
          <w:sz w:val="21"/>
          <w:szCs w:val="21"/>
          <w:highlight w:val="none"/>
        </w:rPr>
        <w:t>；</w:t>
      </w:r>
    </w:p>
    <w:p w14:paraId="630D93CB">
      <w:pPr>
        <w:tabs>
          <w:tab w:val="left" w:pos="1305"/>
        </w:tabs>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29486E21">
      <w:pPr>
        <w:tabs>
          <w:tab w:val="left" w:pos="1305"/>
        </w:tabs>
        <w:spacing w:line="380" w:lineRule="exact"/>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E70948D">
      <w:pPr>
        <w:tabs>
          <w:tab w:val="left" w:pos="1305"/>
        </w:tabs>
        <w:spacing w:line="380" w:lineRule="exact"/>
        <w:ind w:firstLine="420"/>
        <w:rPr>
          <w:rFonts w:hint="eastAsia" w:ascii="宋体" w:hAnsi="宋体" w:cs="宋体"/>
          <w:b/>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特定资格证明材料：供应商有效的检验检测机构资质认定证书（</w:t>
      </w:r>
      <w:r>
        <w:rPr>
          <w:rFonts w:ascii="宋体" w:hAnsi="宋体" w:cs="宋体"/>
          <w:color w:val="auto"/>
          <w:sz w:val="21"/>
          <w:szCs w:val="21"/>
          <w:highlight w:val="none"/>
        </w:rPr>
        <w:t>CMA</w:t>
      </w:r>
      <w:r>
        <w:rPr>
          <w:rFonts w:hint="eastAsia" w:ascii="宋体" w:hAnsi="宋体" w:cs="宋体"/>
          <w:color w:val="auto"/>
          <w:sz w:val="21"/>
          <w:szCs w:val="21"/>
          <w:highlight w:val="none"/>
        </w:rPr>
        <w:t>）复印件</w:t>
      </w:r>
      <w:r>
        <w:rPr>
          <w:rFonts w:hint="eastAsia" w:ascii="宋体" w:hAnsi="宋体" w:cs="宋体"/>
          <w:color w:val="auto"/>
          <w:kern w:val="0"/>
          <w:sz w:val="21"/>
          <w:szCs w:val="21"/>
          <w:highlight w:val="none"/>
        </w:rPr>
        <w:t>及证书检验检测能力附表复印件（检测能力范围至少包含：水和废水、环境空气和废气、土壤、固体废物、噪声排放等类别）</w:t>
      </w:r>
      <w:r>
        <w:rPr>
          <w:rFonts w:hint="eastAsia" w:ascii="宋体" w:hAnsi="宋体" w:cs="宋体"/>
          <w:b/>
          <w:color w:val="auto"/>
          <w:kern w:val="0"/>
          <w:sz w:val="21"/>
          <w:szCs w:val="21"/>
          <w:highlight w:val="none"/>
        </w:rPr>
        <w:t>（必须提供）；</w:t>
      </w:r>
    </w:p>
    <w:p w14:paraId="0A9AC9F6">
      <w:pPr>
        <w:tabs>
          <w:tab w:val="left" w:pos="1305"/>
        </w:tabs>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供应商依法缴纳税收的相关材料（2024年12月以来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493C827B">
      <w:pPr>
        <w:tabs>
          <w:tab w:val="left" w:pos="1305"/>
        </w:tabs>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供应商依法缴纳社会保障资金的相关材料【2024年12月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6E6FC274">
      <w:pPr>
        <w:tabs>
          <w:tab w:val="left" w:pos="1305"/>
        </w:tabs>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供应商财务状况报告【2023年度以来任意年度内的财务报表复印件，或者2024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6DF97D7">
      <w:pPr>
        <w:tabs>
          <w:tab w:val="left" w:pos="1305"/>
        </w:tabs>
        <w:spacing w:line="380" w:lineRule="exact"/>
        <w:ind w:firstLine="420"/>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（9）供应商参加政府采购活动前3年内在经营活动中没有重大违法记录及有关信用信息的书面声明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446178BB">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（10）供应商参加本项目无围标串标行为的承诺函</w:t>
      </w:r>
      <w:r>
        <w:rPr>
          <w:rFonts w:hint="eastAsia" w:ascii="宋体" w:hAnsi="宋体" w:cs="宋体"/>
          <w:b/>
          <w:color w:val="auto"/>
          <w:kern w:val="0"/>
          <w:sz w:val="21"/>
          <w:szCs w:val="21"/>
          <w:highlight w:val="none"/>
        </w:rPr>
        <w:t>（必须提供）；</w:t>
      </w:r>
    </w:p>
    <w:p w14:paraId="16DBA3EC">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（11）供应商属于中小企业的相关证明材料</w:t>
      </w:r>
      <w:r>
        <w:rPr>
          <w:rFonts w:hint="eastAsia" w:ascii="宋体" w:hAnsi="宋体" w:cs="宋体"/>
          <w:b/>
          <w:color w:val="auto"/>
          <w:kern w:val="0"/>
          <w:sz w:val="21"/>
          <w:szCs w:val="21"/>
          <w:highlight w:val="none"/>
        </w:rPr>
        <w:t>（必须提供）；</w:t>
      </w:r>
    </w:p>
    <w:p w14:paraId="791E9330">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21034F2C">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①供应商如为符合政策要求的中小企业且承接本项目全部服务的，提供《中小企业声明函》（并对声明的真实性负责）。</w:t>
      </w:r>
    </w:p>
    <w:p w14:paraId="4ED42C7E">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②供应商如属于监狱企业且承接本项目全部服务的，提供由省级以上监狱管理局、戒毒管理局（含新疆生产建设兵团）出具的属于监狱企业的证明文件。</w:t>
      </w:r>
    </w:p>
    <w:p w14:paraId="4E076A80">
      <w:pPr>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③供应商如属于符合条件的残疾人福利性单位且承接本项目全部服务的，提供《残疾人福利性单位声明函》（并对声明的真实性负责）。</w:t>
      </w:r>
    </w:p>
    <w:p w14:paraId="5689AE35">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461124CE">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（1）磋商报价表</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28B05E41">
      <w:pPr>
        <w:adjustRightIn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（2）服务内容要求及商务要求响应表</w:t>
      </w:r>
      <w:r>
        <w:rPr>
          <w:rFonts w:hint="eastAsia" w:ascii="宋体" w:hAnsi="宋体" w:cs="宋体"/>
          <w:b/>
          <w:color w:val="auto"/>
          <w:sz w:val="21"/>
          <w:szCs w:val="24"/>
          <w:highlight w:val="none"/>
        </w:rPr>
        <w:t>（必须提供）</w:t>
      </w:r>
      <w:r>
        <w:rPr>
          <w:rFonts w:hint="eastAsia" w:ascii="宋体" w:hAnsi="宋体" w:cs="宋体"/>
          <w:b/>
          <w:bCs/>
          <w:color w:val="auto"/>
          <w:kern w:val="0"/>
          <w:sz w:val="21"/>
          <w:szCs w:val="21"/>
          <w:highlight w:val="none"/>
        </w:rPr>
        <w:t>。</w:t>
      </w:r>
    </w:p>
    <w:p w14:paraId="0A57F0AE">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2E2E79D4">
      <w:pPr>
        <w:pStyle w:val="26"/>
        <w:spacing w:line="380" w:lineRule="exact"/>
        <w:ind w:firstLine="404" w:firstLineChars="20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rPr>
        <w:t>（1）供应商的项目实施方案</w:t>
      </w:r>
      <w:r>
        <w:rPr>
          <w:rFonts w:hint="eastAsia" w:ascii="宋体" w:hAnsi="宋体" w:cs="宋体"/>
          <w:b/>
          <w:color w:val="auto"/>
          <w:sz w:val="21"/>
          <w:szCs w:val="21"/>
          <w:highlight w:val="none"/>
          <w:lang w:val="en-US"/>
        </w:rPr>
        <w:t>（如有，请提供）</w:t>
      </w:r>
      <w:r>
        <w:rPr>
          <w:rFonts w:hint="eastAsia" w:ascii="宋体" w:hAnsi="宋体" w:cs="宋体"/>
          <w:color w:val="auto"/>
          <w:spacing w:val="-4"/>
          <w:sz w:val="21"/>
          <w:szCs w:val="21"/>
          <w:highlight w:val="none"/>
        </w:rPr>
        <w:t>；</w:t>
      </w:r>
    </w:p>
    <w:p w14:paraId="68C8DE21">
      <w:pPr>
        <w:adjustRightInd w:val="0"/>
        <w:snapToGrid w:val="0"/>
        <w:spacing w:line="380" w:lineRule="exact"/>
        <w:ind w:firstLine="404"/>
        <w:rPr>
          <w:rFonts w:hint="eastAsia" w:ascii="宋体" w:hAnsi="宋体" w:cs="宋体"/>
          <w:color w:val="auto"/>
          <w:sz w:val="21"/>
          <w:szCs w:val="21"/>
          <w:highlight w:val="none"/>
        </w:rPr>
      </w:pPr>
      <w:r>
        <w:rPr>
          <w:rFonts w:hint="eastAsia" w:ascii="宋体" w:hAnsi="宋体" w:cs="宋体"/>
          <w:color w:val="auto"/>
          <w:spacing w:val="-4"/>
          <w:sz w:val="21"/>
          <w:szCs w:val="21"/>
          <w:highlight w:val="none"/>
        </w:rPr>
        <w:t>项目实施方案</w:t>
      </w:r>
      <w:r>
        <w:rPr>
          <w:rFonts w:hint="eastAsia" w:ascii="宋体" w:hAnsi="宋体" w:cs="宋体"/>
          <w:color w:val="auto"/>
          <w:sz w:val="21"/>
          <w:szCs w:val="21"/>
          <w:highlight w:val="none"/>
        </w:rPr>
        <w:t>包含但不限于：（1）服务管理方案（包含但不限于：①工作流程；②项目实施人员管理方案；③服务进度及质量管理措施；④风险管理方案及突发应急预案等）；（2）重点难点分析方案（包含但不限于：①</w:t>
      </w:r>
      <w:r>
        <w:rPr>
          <w:rFonts w:hint="eastAsia" w:ascii="宋体" w:hAnsi="宋体" w:cs="宋体"/>
          <w:color w:val="auto"/>
          <w:sz w:val="21"/>
          <w:szCs w:val="21"/>
          <w:highlight w:val="none"/>
          <w:lang w:val="zh-CN"/>
        </w:rPr>
        <w:t>重点难点认识及分析；</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工作方案，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zh-CN"/>
        </w:rPr>
        <w:t>合理化建议</w:t>
      </w:r>
      <w:r>
        <w:rPr>
          <w:rFonts w:hint="eastAsia" w:ascii="宋体" w:hAnsi="宋体" w:cs="宋体"/>
          <w:color w:val="auto"/>
          <w:sz w:val="21"/>
          <w:szCs w:val="21"/>
          <w:highlight w:val="none"/>
        </w:rPr>
        <w:t>等）；（3）服务保障措施（包含但不限于：①服务进度控制措施</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②提升样品制备质量的保障机制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③数据检查、质量控制以及反馈纠错措施；④安全保障机制等）。</w:t>
      </w:r>
    </w:p>
    <w:p w14:paraId="7DD0C61F">
      <w:pPr>
        <w:spacing w:line="380" w:lineRule="exact"/>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sz w:val="21"/>
          <w:szCs w:val="21"/>
          <w:highlight w:val="none"/>
        </w:rPr>
        <w:t>供应商2021年以来具有</w:t>
      </w:r>
      <w:r>
        <w:rPr>
          <w:rFonts w:hint="eastAsia" w:ascii="宋体" w:hAnsi="宋体" w:cs="宋体"/>
          <w:color w:val="auto"/>
          <w:sz w:val="21"/>
          <w:szCs w:val="24"/>
          <w:highlight w:val="none"/>
        </w:rPr>
        <w:t>生态环境执法监测服务</w:t>
      </w:r>
      <w:r>
        <w:rPr>
          <w:rFonts w:hint="eastAsia" w:ascii="宋体" w:hAnsi="宋体" w:cs="宋体"/>
          <w:color w:val="auto"/>
          <w:sz w:val="21"/>
          <w:szCs w:val="21"/>
          <w:highlight w:val="none"/>
        </w:rPr>
        <w:t>业绩【以中标/成交通知书或签订的项目合同复印件为准（加盖供应商电子签章），能清晰反映项目名称或合同标的，否则将不予评审，同一个编号的项目有两个或两个以上的分标中标的只算一次】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cs="宋体"/>
          <w:b/>
          <w:color w:val="auto"/>
          <w:kern w:val="0"/>
          <w:sz w:val="21"/>
          <w:szCs w:val="21"/>
          <w:highlight w:val="none"/>
        </w:rPr>
        <w:t>（如有，请提供）</w:t>
      </w:r>
      <w:r>
        <w:rPr>
          <w:rFonts w:hint="eastAsia" w:ascii="宋体" w:hAnsi="宋体" w:cs="宋体"/>
          <w:color w:val="auto"/>
          <w:sz w:val="21"/>
          <w:szCs w:val="21"/>
          <w:highlight w:val="none"/>
        </w:rPr>
        <w:t>。</w:t>
      </w:r>
    </w:p>
    <w:p w14:paraId="1441DBBF">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（3）供应商可结合本项目的评审办法视自身情况自行提交相关证明材料</w:t>
      </w:r>
      <w:r>
        <w:rPr>
          <w:rFonts w:hint="eastAsia" w:ascii="宋体" w:hAnsi="宋体" w:cs="宋体"/>
          <w:b/>
          <w:color w:val="auto"/>
          <w:kern w:val="0"/>
          <w:sz w:val="21"/>
          <w:szCs w:val="21"/>
          <w:highlight w:val="none"/>
        </w:rPr>
        <w:t>（如有，请提供）</w:t>
      </w:r>
      <w:r>
        <w:rPr>
          <w:rFonts w:hint="eastAsia" w:ascii="宋体" w:hAnsi="宋体" w:cs="宋体"/>
          <w:color w:val="auto"/>
          <w:kern w:val="0"/>
          <w:sz w:val="21"/>
          <w:szCs w:val="21"/>
          <w:highlight w:val="none"/>
        </w:rPr>
        <w:t>。</w:t>
      </w:r>
    </w:p>
    <w:p w14:paraId="3134FD46">
      <w:pPr>
        <w:spacing w:line="400" w:lineRule="exact"/>
        <w:ind w:firstLine="422"/>
        <w:rPr>
          <w:rFonts w:hint="eastAsia" w:ascii="宋体" w:hAnsi="宋体"/>
          <w:b/>
          <w:color w:val="auto"/>
          <w:sz w:val="21"/>
          <w:szCs w:val="21"/>
          <w:highlight w:val="none"/>
        </w:rPr>
      </w:pPr>
      <w:r>
        <w:rPr>
          <w:rFonts w:hint="eastAsia" w:ascii="宋体" w:hAnsi="宋体"/>
          <w:b/>
          <w:color w:val="auto"/>
          <w:sz w:val="21"/>
          <w:szCs w:val="21"/>
          <w:highlight w:val="none"/>
        </w:rPr>
        <w:t>供应商提供的以上相关证明材料必须真实有效，属于“必须提供”的文件应加盖供应商电子签章，否则，响应文件按无效处理；其中“必须提供”的文件在“响应文件（格式）”中有要求法定代表人或相应的授权委托代理人在规定位置签字（或电子签名）的，必须按规定签字（或电子签名），否则，响应文件按无效处理。</w:t>
      </w:r>
    </w:p>
    <w:p w14:paraId="0380A673">
      <w:pPr>
        <w:spacing w:line="38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21F62AB4">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5D8285AE">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4496DA2C">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1074364">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13.采购预算金额、磋商报价及结算方式</w:t>
      </w:r>
    </w:p>
    <w:p w14:paraId="5E0B816F">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13.1采购预算金额：本项目采购预算金额为人民币贰佰肆拾万元整（¥2400000.00）【其中：分标1：陆拾万元整（¥600000.00）；分标2：陆拾万元整（¥600000.00）；分标3：陆拾万元整（¥600000.00）；分标4：陆拾万元整（¥600000.00）】。</w:t>
      </w:r>
    </w:p>
    <w:p w14:paraId="063C277B">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13.2磋商报价</w:t>
      </w:r>
    </w:p>
    <w:p w14:paraId="7048E6FE">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（1）基准价：本项目各分标以《关于重新核定环境监测收费标准的函》（桂价费字〔2004〕301号）的收费标准作为基准价【如《关于重新核定环境监测收费标准的函》（桂价费字〔2004〕301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25422E10">
      <w:pPr>
        <w:tabs>
          <w:tab w:val="left" w:pos="1305"/>
        </w:tabs>
        <w:spacing w:line="380" w:lineRule="exact"/>
        <w:ind w:firstLine="422"/>
        <w:rPr>
          <w:rFonts w:hint="eastAsia" w:ascii="宋体" w:hAnsi="宋体" w:cs="宋体"/>
          <w:color w:val="auto"/>
          <w:kern w:val="0"/>
          <w:sz w:val="21"/>
          <w:szCs w:val="21"/>
          <w:highlight w:val="none"/>
        </w:rPr>
      </w:pPr>
      <w:r>
        <w:rPr>
          <w:rFonts w:hint="eastAsia" w:ascii="宋体" w:hAnsi="宋体" w:cs="宋体"/>
          <w:b/>
          <w:bCs/>
          <w:color w:val="auto"/>
          <w:kern w:val="0"/>
          <w:sz w:val="21"/>
          <w:szCs w:val="21"/>
          <w:highlight w:val="none"/>
        </w:rPr>
        <w:t>（2）本项目磋商报价采用综合折扣率报价方式（以%表示，最多精确到小数点后两位）。供应商必须就“采购需求”中所竞分标的所有服务内容作完整唯一综合折扣率报价。供应商所竞分标的报价必须≤80%，否则，响应文件按分标作无效处理。</w:t>
      </w:r>
      <w:r>
        <w:rPr>
          <w:rFonts w:hint="eastAsia" w:ascii="宋体" w:hAnsi="宋体" w:cs="宋体"/>
          <w:color w:val="auto"/>
          <w:kern w:val="0"/>
          <w:sz w:val="21"/>
          <w:szCs w:val="21"/>
          <w:highlight w:val="none"/>
        </w:rPr>
        <w:t xml:space="preserve"> </w:t>
      </w:r>
    </w:p>
    <w:p w14:paraId="5D3821AD">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供应商磋商报价应包含完成“采购需求”中所竞分标所列所有服务内容产生的所有成本【包含但不限于供应商完成本项目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1EA21C81">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13.3结算办法</w:t>
      </w:r>
    </w:p>
    <w:p w14:paraId="327FD899">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（1）采购人根据成交供应商实际发生的服务工作量进行结算，即：结算金额=∑【实际发生的服务工作量×基准价×成交综合折扣率】。</w:t>
      </w:r>
    </w:p>
    <w:p w14:paraId="3DC93DA5">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注：其中∑表示将各类相应服务工作量结算后的金额进行相加汇总。</w:t>
      </w:r>
    </w:p>
    <w:p w14:paraId="340F70F8">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（2）各分标的结算金额不得超出相应分标的采购预算金额。</w:t>
      </w:r>
    </w:p>
    <w:p w14:paraId="01A16EE2">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0E473719">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F7DB1CF">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49C95437">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4FE3A2FB">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680DAB75">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w:t>
      </w:r>
      <w:r>
        <w:rPr>
          <w:rFonts w:hint="eastAsia"/>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78A661">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6C0E7C5E">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15.5供应商编制、生成电子响应文件后应当加密响应文件。供应商未按规定编制并加密的响应文件，广西政府采购云平台将予以拒收。</w:t>
      </w:r>
    </w:p>
    <w:p w14:paraId="6FE3878C">
      <w:pPr>
        <w:snapToGrid w:val="0"/>
        <w:spacing w:line="380" w:lineRule="exact"/>
        <w:ind w:firstLine="420"/>
        <w:jc w:val="left"/>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15.6</w:t>
      </w:r>
      <w:r>
        <w:rPr>
          <w:rFonts w:hint="eastAsia" w:ascii="宋体" w:hAnsi="宋体" w:cs="宋体"/>
          <w:b/>
          <w:color w:val="auto"/>
          <w:kern w:val="0"/>
          <w:sz w:val="21"/>
          <w:szCs w:val="21"/>
          <w:highlight w:val="none"/>
        </w:rPr>
        <w:t>供应商公章及签字</w:t>
      </w:r>
    </w:p>
    <w:p w14:paraId="48DF51FC">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6EA8C544">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0EE91724">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1EE0CF4">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725FE3B7">
      <w:pPr>
        <w:spacing w:line="400" w:lineRule="exact"/>
        <w:ind w:firstLine="420"/>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2025年5月8日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071850EB">
      <w:pPr>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276F959">
      <w:pPr>
        <w:adjustRightInd w:val="0"/>
        <w:snapToGrid w:val="0"/>
        <w:spacing w:line="400" w:lineRule="exact"/>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49257C36">
      <w:pPr>
        <w:tabs>
          <w:tab w:val="left" w:pos="1305"/>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477AD945">
      <w:pPr>
        <w:tabs>
          <w:tab w:val="left" w:pos="1305"/>
        </w:tabs>
        <w:spacing w:line="380" w:lineRule="exact"/>
        <w:ind w:firstLine="422"/>
        <w:rPr>
          <w:rFonts w:hint="eastAsia"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0B28A0BB">
      <w:pPr>
        <w:tabs>
          <w:tab w:val="left" w:pos="1305"/>
        </w:tabs>
        <w:spacing w:line="380" w:lineRule="exact"/>
        <w:ind w:firstLine="420"/>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guilinyl@vip.sina.com）</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6D6E12F1">
      <w:pPr>
        <w:tabs>
          <w:tab w:val="left" w:pos="1305"/>
        </w:tabs>
        <w:spacing w:line="380" w:lineRule="exact"/>
        <w:ind w:firstLine="420"/>
        <w:rPr>
          <w:rFonts w:hint="eastAsia" w:ascii="宋体" w:hAnsi="宋体" w:cs="宋体"/>
          <w:color w:val="auto"/>
          <w:kern w:val="0"/>
          <w:sz w:val="21"/>
          <w:szCs w:val="21"/>
          <w:highlight w:val="none"/>
        </w:rPr>
      </w:pPr>
    </w:p>
    <w:p w14:paraId="305B92E9">
      <w:pPr>
        <w:tabs>
          <w:tab w:val="left" w:pos="1305"/>
        </w:tabs>
        <w:spacing w:line="380" w:lineRule="exact"/>
        <w:ind w:firstLine="562"/>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059B99F">
      <w:pPr>
        <w:tabs>
          <w:tab w:val="center" w:pos="4411"/>
          <w:tab w:val="left" w:pos="5475"/>
        </w:tabs>
        <w:spacing w:line="380" w:lineRule="exact"/>
        <w:ind w:firstLine="422"/>
        <w:jc w:val="left"/>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607D7BFB">
      <w:pPr>
        <w:spacing w:line="380" w:lineRule="exact"/>
        <w:ind w:firstLine="435" w:firstLineChars="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18.1 磋商小组组成：</w:t>
      </w:r>
    </w:p>
    <w:p w14:paraId="1E96B736">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p w14:paraId="002B028C">
      <w:pPr>
        <w:tabs>
          <w:tab w:val="left" w:pos="1305"/>
        </w:tabs>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66314F1C">
      <w:pPr>
        <w:spacing w:line="380" w:lineRule="exact"/>
        <w:ind w:left="360" w:leftChars="150" w:firstLine="105" w:firstLineChars="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41DE3432">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1CD5C26">
      <w:pPr>
        <w:tabs>
          <w:tab w:val="left" w:pos="1140"/>
        </w:tabs>
        <w:spacing w:line="380" w:lineRule="exact"/>
        <w:ind w:firstLine="478" w:firstLineChars="228"/>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p>
    <w:p w14:paraId="5C413325">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rPr>
        <w:t>广西政府采购云平台</w:t>
      </w:r>
      <w:r>
        <w:rPr>
          <w:rFonts w:hint="eastAsia" w:ascii="宋体" w:hAnsi="宋体" w:cs="宋体"/>
          <w:color w:val="auto"/>
          <w:sz w:val="21"/>
          <w:szCs w:val="21"/>
          <w:highlight w:val="none"/>
        </w:rPr>
        <w:t>在线解密开启。</w:t>
      </w:r>
    </w:p>
    <w:p w14:paraId="4328FD00">
      <w:pPr>
        <w:tabs>
          <w:tab w:val="left" w:pos="1140"/>
        </w:tabs>
        <w:spacing w:line="380" w:lineRule="exact"/>
        <w:ind w:left="472" w:leftChars="172" w:hanging="59" w:hangingChars="28"/>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40F10BF2">
      <w:pPr>
        <w:tabs>
          <w:tab w:val="left" w:pos="1140"/>
        </w:tabs>
        <w:spacing w:line="380" w:lineRule="exact"/>
        <w:ind w:firstLine="359" w:firstLineChars="171"/>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0B71012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19.2综合评分法，具体详见“第四章 评审办法”。</w:t>
      </w:r>
    </w:p>
    <w:p w14:paraId="625C6D01">
      <w:pPr>
        <w:spacing w:line="380" w:lineRule="exact"/>
        <w:ind w:firstLine="359" w:firstLineChars="17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00C322DF">
      <w:pPr>
        <w:spacing w:line="380" w:lineRule="exact"/>
        <w:ind w:firstLine="359" w:firstLineChars="17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6C4D9FD">
      <w:pPr>
        <w:tabs>
          <w:tab w:val="left" w:pos="1140"/>
        </w:tabs>
        <w:spacing w:line="380" w:lineRule="exact"/>
        <w:ind w:firstLine="359" w:firstLineChars="17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002C4EE0">
      <w:pPr>
        <w:tabs>
          <w:tab w:val="left" w:pos="1140"/>
        </w:tabs>
        <w:spacing w:line="380" w:lineRule="exact"/>
        <w:ind w:left="472" w:leftChars="172" w:hanging="59" w:hangingChars="28"/>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36BEE4CF">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E24396D">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7B172B11">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608F2C69">
      <w:pPr>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63F9AFF">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宋体" w:hAnsi="Courier New"/>
          <w:color w:val="auto"/>
          <w:sz w:val="21"/>
          <w:szCs w:val="21"/>
          <w:highlight w:val="none"/>
        </w:rPr>
        <w:t>www.gsxt.gov.cn/index.html</w:t>
      </w:r>
      <w:r>
        <w:rPr>
          <w:rFonts w:hint="eastAsia" w:ascii="宋体" w:hAnsi="Courier New"/>
          <w:color w:val="auto"/>
          <w:sz w:val="21"/>
          <w:szCs w:val="21"/>
          <w:highlight w:val="none"/>
        </w:rPr>
        <w:fldChar w:fldCharType="end"/>
      </w:r>
      <w:r>
        <w:rPr>
          <w:rFonts w:hint="eastAsia" w:ascii="宋体" w:hAnsi="宋体" w:cs="宋体"/>
          <w:color w:val="auto"/>
          <w:kern w:val="0"/>
          <w:sz w:val="21"/>
          <w:szCs w:val="21"/>
          <w:highlight w:val="none"/>
        </w:rPr>
        <w:t>）</w:t>
      </w:r>
    </w:p>
    <w:p w14:paraId="4E9B0708">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3AD167BC">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8805940">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86AC744">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2A39E9F4">
      <w:pPr>
        <w:snapToGrid w:val="0"/>
        <w:spacing w:line="380" w:lineRule="exact"/>
        <w:ind w:firstLine="420"/>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74D2342">
      <w:pPr>
        <w:spacing w:line="38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3FF72050">
      <w:pPr>
        <w:spacing w:line="380" w:lineRule="exact"/>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46D50E4">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F00737E">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00467126">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43343506">
      <w:pPr>
        <w:widowControl/>
        <w:tabs>
          <w:tab w:val="left" w:pos="540"/>
        </w:tabs>
        <w:spacing w:line="380" w:lineRule="exact"/>
        <w:ind w:firstLine="42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（或电子签章、电子签名）</w:t>
      </w:r>
      <w:r>
        <w:rPr>
          <w:rFonts w:hint="eastAsia" w:ascii="宋体" w:hAnsi="宋体" w:cs="宋体"/>
          <w:color w:val="auto"/>
          <w:kern w:val="0"/>
          <w:sz w:val="21"/>
          <w:szCs w:val="21"/>
          <w:highlight w:val="none"/>
        </w:rPr>
        <w:t>。</w:t>
      </w:r>
    </w:p>
    <w:p w14:paraId="11625B8F">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4A03BF6">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对磋商文件作出的实质性变动是磋商文件的有效组成部分，磋商小组应当及时通过广西政府采购云平台以书面形式同时通知所有参加磋商的供应商。</w:t>
      </w:r>
    </w:p>
    <w:p w14:paraId="17738874">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1DA0A532">
      <w:pPr>
        <w:widowControl/>
        <w:spacing w:line="380" w:lineRule="exact"/>
        <w:ind w:firstLine="42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56E5C733">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0E382D9">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376D2E95">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399A7D29">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12202072">
      <w:pPr>
        <w:widowControl/>
        <w:tabs>
          <w:tab w:val="left" w:pos="540"/>
        </w:tabs>
        <w:spacing w:line="380" w:lineRule="exact"/>
        <w:ind w:firstLine="42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w:t>
      </w:r>
    </w:p>
    <w:p w14:paraId="7746A5A9">
      <w:pPr>
        <w:widowControl/>
        <w:tabs>
          <w:tab w:val="left" w:pos="540"/>
        </w:tabs>
        <w:spacing w:line="380" w:lineRule="exact"/>
        <w:ind w:firstLine="42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20.9综合比较与评价：</w:t>
      </w:r>
    </w:p>
    <w:p w14:paraId="52ABDF2F">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磋商小组按竞争性磋商文件中规定的评审办法，对资格性审查和符合性审查合格的响应文件进行商务和技术评估，综合比较与评价。</w:t>
      </w:r>
    </w:p>
    <w:p w14:paraId="73D38D33">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03E2FF42">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3E9D1E24">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3906B51C">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6C405882">
      <w:pPr>
        <w:spacing w:line="38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72785C3">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w:t>
      </w:r>
      <w:r>
        <w:rPr>
          <w:rFonts w:hint="eastAsia" w:ascii="宋体" w:hAnsi="宋体" w:cs="宋体"/>
          <w:color w:val="auto"/>
          <w:kern w:val="0"/>
          <w:sz w:val="21"/>
          <w:szCs w:val="20"/>
          <w:highlight w:val="none"/>
        </w:rPr>
        <w:t>履约能力分</w:t>
      </w:r>
      <w:r>
        <w:rPr>
          <w:rFonts w:hint="eastAsia" w:ascii="宋体" w:hAnsi="宋体" w:cs="宋体"/>
          <w:color w:val="auto"/>
          <w:kern w:val="0"/>
          <w:sz w:val="21"/>
          <w:szCs w:val="21"/>
          <w:highlight w:val="none"/>
        </w:rPr>
        <w:t>由高到低顺序排列并推荐成交候选供应商。</w:t>
      </w:r>
    </w:p>
    <w:p w14:paraId="1FB910AD">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共分为分标1、分标2、分标3、分标4四个分标，供应商可以参与任意一个或多个分标的磋商，但原则上最多只能成为其中一个分标的成交供应商。处理原则如下：若某供应商同时在两个或以上分标综合得分排名第一时，则按分标1→分标2→分标3→分标4的先后顺序推荐成交候选供应商，该供应商一旦被推荐为某一分标的第一成交候选供应商，则在其他分标不再推荐为成交候选供应商。若分标4符合实质性要求的有效供应商分别被推荐为分标1、分标2、分标3的第一成交候选供应商，磋商小组则按有效供应商的综合得分由高到低顺序推荐成交候选供应商。</w:t>
      </w:r>
    </w:p>
    <w:p w14:paraId="56703CAD">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30603ABB">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4792BF3">
      <w:pPr>
        <w:widowControl/>
        <w:shd w:val="clear" w:color="auto" w:fill="FFFFFF"/>
        <w:spacing w:line="380" w:lineRule="exact"/>
        <w:ind w:firstLine="480" w:firstLineChars="0"/>
        <w:jc w:val="left"/>
        <w:rPr>
          <w:rFonts w:hint="eastAsia"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1F482785">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CABD44">
      <w:pPr>
        <w:snapToGrid w:val="0"/>
        <w:spacing w:line="380" w:lineRule="exact"/>
        <w:ind w:firstLine="420"/>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012EE292">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603FCB41">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4D1B577A">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79A855C6">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未就“采购需求”中所竞分标的所有服务内容作完整唯一综合折扣率报价的</w:t>
      </w:r>
      <w:r>
        <w:rPr>
          <w:rFonts w:hint="eastAsia" w:ascii="宋体" w:hAnsi="宋体" w:cs="宋体"/>
          <w:color w:val="auto"/>
          <w:kern w:val="0"/>
          <w:sz w:val="21"/>
          <w:szCs w:val="24"/>
          <w:highlight w:val="none"/>
        </w:rPr>
        <w:t>；</w:t>
      </w:r>
    </w:p>
    <w:p w14:paraId="6C815B17">
      <w:pPr>
        <w:snapToGrid w:val="0"/>
        <w:spacing w:line="380" w:lineRule="exact"/>
        <w:ind w:firstLine="411" w:firstLineChars="196"/>
        <w:outlineLvl w:val="4"/>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34B29CB2">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（8）未满足磋商文件实质性要求的；或者响应文件有采购人不能接受的附加条件的；</w:t>
      </w:r>
    </w:p>
    <w:p w14:paraId="384984CE">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（9）</w:t>
      </w:r>
      <w:r>
        <w:rPr>
          <w:rFonts w:hint="eastAsia" w:ascii="宋体" w:hAnsi="宋体" w:cs="宋体"/>
          <w:color w:val="auto"/>
          <w:kern w:val="0"/>
          <w:sz w:val="21"/>
          <w:szCs w:val="21"/>
          <w:highlight w:val="none"/>
        </w:rPr>
        <w:t>不符合法律、法规和磋商文件规定的其他实质性要求和条件的。</w:t>
      </w:r>
    </w:p>
    <w:p w14:paraId="4BB3C250">
      <w:pPr>
        <w:snapToGrid w:val="0"/>
        <w:spacing w:line="380" w:lineRule="exact"/>
        <w:ind w:left="406" w:leftChars="169" w:firstLine="103" w:firstLineChars="49"/>
        <w:outlineLvl w:val="4"/>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0BB03E84">
      <w:pPr>
        <w:snapToGrid w:val="0"/>
        <w:spacing w:line="380" w:lineRule="exact"/>
        <w:ind w:left="406" w:leftChars="169" w:firstLine="102" w:firstLineChars="49"/>
        <w:outlineLvl w:val="4"/>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58C5E808">
      <w:pPr>
        <w:snapToGrid w:val="0"/>
        <w:spacing w:line="380" w:lineRule="exact"/>
        <w:ind w:left="406" w:leftChars="169" w:firstLine="102" w:firstLineChars="49"/>
        <w:outlineLvl w:val="4"/>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0E53E5CD">
      <w:pPr>
        <w:snapToGrid w:val="0"/>
        <w:spacing w:line="380" w:lineRule="exact"/>
        <w:ind w:left="406" w:leftChars="169" w:firstLine="102" w:firstLineChars="49"/>
        <w:outlineLvl w:val="4"/>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6C4ABB46">
      <w:pPr>
        <w:snapToGrid w:val="0"/>
        <w:spacing w:line="380" w:lineRule="exact"/>
        <w:ind w:left="406" w:leftChars="169" w:firstLine="102" w:firstLineChars="49"/>
        <w:outlineLvl w:val="4"/>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58968F06">
      <w:pPr>
        <w:snapToGrid w:val="0"/>
        <w:spacing w:line="380" w:lineRule="exact"/>
        <w:ind w:left="406" w:leftChars="169" w:firstLine="102" w:firstLineChars="49"/>
        <w:outlineLvl w:val="4"/>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150059A6">
      <w:pPr>
        <w:snapToGrid w:val="0"/>
        <w:spacing w:line="380" w:lineRule="exact"/>
        <w:ind w:left="406" w:leftChars="169" w:firstLine="102" w:firstLineChars="49"/>
        <w:outlineLvl w:val="4"/>
        <w:rPr>
          <w:rFonts w:hint="eastAsia"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08CBAA43">
      <w:pPr>
        <w:snapToGrid w:val="0"/>
        <w:spacing w:line="380" w:lineRule="exact"/>
        <w:ind w:firstLine="413" w:firstLineChars="196"/>
        <w:outlineLvl w:val="4"/>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6E0E3F6F">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0FDA8C62">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6EC1DA57">
      <w:pPr>
        <w:widowControl/>
        <w:spacing w:line="380" w:lineRule="exact"/>
        <w:ind w:firstLine="422" w:firstLineChars="201"/>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196323B">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984AFAB">
      <w:pPr>
        <w:snapToGrid w:val="0"/>
        <w:spacing w:line="380" w:lineRule="exact"/>
        <w:ind w:firstLine="422"/>
        <w:outlineLvl w:val="4"/>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4397E910">
      <w:pPr>
        <w:spacing w:line="380" w:lineRule="exact"/>
        <w:ind w:firstLine="411" w:firstLineChars="196"/>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7A9456C9">
      <w:pPr>
        <w:snapToGrid w:val="0"/>
        <w:spacing w:line="380" w:lineRule="exact"/>
        <w:ind w:firstLine="422"/>
        <w:outlineLvl w:val="4"/>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593EE0D1">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6B647B9">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3EF250BF">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22EAC1A5">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15D42DCA">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4BCDC15B">
      <w:pPr>
        <w:spacing w:line="380" w:lineRule="exact"/>
        <w:ind w:firstLine="413" w:firstLineChars="196"/>
        <w:rPr>
          <w:rFonts w:hint="eastAsia"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AD71B8A">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E77353">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578BF1C6">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0023E9A3">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6BAEF804">
      <w:pPr>
        <w:spacing w:line="380" w:lineRule="exact"/>
        <w:ind w:left="3" w:firstLine="0" w:firstLineChars="0"/>
        <w:jc w:val="center"/>
        <w:rPr>
          <w:rFonts w:hint="eastAsia" w:ascii="宋体" w:hAnsi="宋体" w:cs="宋体"/>
          <w:b/>
          <w:color w:val="auto"/>
          <w:kern w:val="0"/>
          <w:sz w:val="28"/>
          <w:szCs w:val="28"/>
          <w:highlight w:val="none"/>
        </w:rPr>
      </w:pPr>
    </w:p>
    <w:p w14:paraId="11D7FA15">
      <w:pPr>
        <w:spacing w:line="380" w:lineRule="exact"/>
        <w:ind w:left="3" w:firstLine="0" w:firstLineChars="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五、签订合同</w:t>
      </w:r>
    </w:p>
    <w:p w14:paraId="5B46857C">
      <w:pPr>
        <w:spacing w:line="360" w:lineRule="exact"/>
        <w:ind w:firstLine="413" w:firstLineChars="196"/>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217D1B6E">
      <w:pPr>
        <w:spacing w:line="340" w:lineRule="exact"/>
        <w:ind w:firstLine="420"/>
        <w:rPr>
          <w:rFonts w:hint="eastAsia" w:ascii="宋体" w:hAnsi="宋体" w:cs="宋体"/>
          <w:b/>
          <w:color w:val="auto"/>
          <w:sz w:val="21"/>
          <w:szCs w:val="21"/>
          <w:highlight w:val="none"/>
        </w:rPr>
      </w:pPr>
      <w:r>
        <w:rPr>
          <w:rFonts w:hint="eastAsia" w:ascii="宋体" w:hAnsi="宋体" w:cs="宋体"/>
          <w:color w:val="auto"/>
          <w:kern w:val="0"/>
          <w:sz w:val="21"/>
          <w:szCs w:val="21"/>
          <w:highlight w:val="none"/>
        </w:rPr>
        <w:t>28.1</w:t>
      </w:r>
      <w:r>
        <w:rPr>
          <w:rFonts w:hint="eastAsia" w:ascii="宋体" w:hAnsi="宋体" w:cs="宋体"/>
          <w:bCs/>
          <w:color w:val="auto"/>
          <w:kern w:val="0"/>
          <w:sz w:val="21"/>
          <w:szCs w:val="24"/>
          <w:highlight w:val="none"/>
        </w:rPr>
        <w:t>履约保证金：</w:t>
      </w:r>
      <w:r>
        <w:rPr>
          <w:rFonts w:hint="eastAsia" w:ascii="宋体" w:hAnsi="宋体" w:cs="宋体"/>
          <w:color w:val="auto"/>
          <w:kern w:val="0"/>
          <w:sz w:val="21"/>
          <w:szCs w:val="21"/>
          <w:highlight w:val="none"/>
        </w:rPr>
        <w:t>本项目每个分标履约保证金金额各按壹万元整（¥10000.00）收取（若成交供应商为小微企业的，则免收履约保证金）。成交供应商在成交通知书发出之日起8个工作日内且必须在与采购人签订合同前将履约保证金以支票、汇票、本票或者金融机构、担保机构出具的保函（含电子保函）等非现金形式提交至采购人指定账户。</w:t>
      </w:r>
    </w:p>
    <w:p w14:paraId="3F5D27F9">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28.2 如果成交供应商没能按上述第28.1款规定执行，采购人将上报桂林市政府采购监督管理机构，取消该成交资格，并有权授予第二成交候选供应商为成交供应商资格或重新组织采购。</w:t>
      </w:r>
    </w:p>
    <w:p w14:paraId="468B8D35">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28.3成交供应商履行完合同约定权利义务事项，若无违约情况，凭《桂林市政府采购项目合同验收书》（详见附表3）和履约保证金交纳凭证向采购人申请办理退还手续，采购人不得额外要求成交供应商提交其他证明材料，并应当自收到退还资料之日起5个工作日内退还其履约保证金（无息）。如成交供应商不按双方签订的合同规定履约，则没收其全部履约保证金，履约保证金不足以赔偿损失的，按实际损失赔偿。</w:t>
      </w:r>
    </w:p>
    <w:p w14:paraId="3D7A1902">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29.签订合同</w:t>
      </w:r>
    </w:p>
    <w:p w14:paraId="6B4C8671">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5902CA1">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4BEEA86">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648882F9">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431CF34F">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5098731D">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 合同公告：政府采购合同双方自签订之日起2个工作日内在省级以上人民政府财政部门指定媒体上公告。</w:t>
      </w:r>
    </w:p>
    <w:p w14:paraId="10F5FFE4">
      <w:pPr>
        <w:spacing w:line="340" w:lineRule="exact"/>
        <w:ind w:left="3" w:firstLine="0" w:firstLineChars="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23008233">
      <w:pPr>
        <w:spacing w:line="340" w:lineRule="exact"/>
        <w:ind w:firstLine="413" w:firstLineChars="196"/>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483C7EED">
      <w:pPr>
        <w:snapToGrid w:val="0"/>
        <w:spacing w:line="34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本项目每个分标采购代理服务费各按玖仟元整（¥9000.00）收取，由各分标成交供应商于成交公告发出之日起5个工作日内向采购代理机构一次性支付，否则，其不利后果由成交供应商承担。</w:t>
      </w:r>
    </w:p>
    <w:p w14:paraId="668A9AA4">
      <w:pPr>
        <w:spacing w:line="340" w:lineRule="exact"/>
        <w:ind w:firstLine="422"/>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4E546074">
      <w:pPr>
        <w:spacing w:line="340" w:lineRule="exact"/>
        <w:ind w:left="480" w:leftChars="200" w:firstLine="0" w:firstLineChars="0"/>
        <w:rPr>
          <w:rFonts w:hint="eastAsia" w:ascii="宋体" w:hAnsi="宋体"/>
          <w:color w:val="auto"/>
          <w:sz w:val="21"/>
          <w:szCs w:val="21"/>
          <w:highlight w:val="none"/>
        </w:rPr>
      </w:pPr>
      <w:r>
        <w:rPr>
          <w:rFonts w:hint="eastAsia" w:ascii="宋体" w:hAnsi="宋体"/>
          <w:color w:val="auto"/>
          <w:sz w:val="21"/>
          <w:szCs w:val="21"/>
          <w:highlight w:val="none"/>
        </w:rPr>
        <w:t>开户名称：云之龙咨询集团有限公司桂林分公司</w:t>
      </w:r>
    </w:p>
    <w:p w14:paraId="2D68C6FA">
      <w:pPr>
        <w:spacing w:line="340" w:lineRule="exact"/>
        <w:ind w:left="480" w:leftChars="200" w:firstLine="0" w:firstLineChars="0"/>
        <w:rPr>
          <w:rFonts w:hint="eastAsia" w:ascii="宋体" w:hAnsi="宋体"/>
          <w:color w:val="auto"/>
          <w:sz w:val="21"/>
          <w:szCs w:val="21"/>
          <w:highlight w:val="none"/>
        </w:rPr>
      </w:pPr>
      <w:r>
        <w:rPr>
          <w:rFonts w:hint="eastAsia" w:ascii="宋体" w:hAnsi="宋体"/>
          <w:color w:val="auto"/>
          <w:sz w:val="21"/>
          <w:szCs w:val="21"/>
          <w:highlight w:val="none"/>
        </w:rPr>
        <w:t>银行账号：8113001014300158041</w:t>
      </w:r>
    </w:p>
    <w:p w14:paraId="0C15CD61">
      <w:pPr>
        <w:spacing w:line="340" w:lineRule="exact"/>
        <w:ind w:left="480" w:leftChars="200" w:firstLine="0" w:firstLineChars="0"/>
        <w:rPr>
          <w:rFonts w:hint="eastAsia" w:ascii="宋体" w:hAnsi="宋体" w:cs="宋体"/>
          <w:color w:val="auto"/>
          <w:sz w:val="21"/>
          <w:szCs w:val="21"/>
          <w:highlight w:val="none"/>
        </w:rPr>
      </w:pPr>
      <w:r>
        <w:rPr>
          <w:rFonts w:hint="eastAsia" w:ascii="宋体" w:hAnsi="宋体"/>
          <w:color w:val="auto"/>
          <w:sz w:val="21"/>
          <w:szCs w:val="21"/>
          <w:highlight w:val="none"/>
        </w:rPr>
        <w:t>开户银行：中信银行股份有限公司南宁东葛支行</w:t>
      </w:r>
    </w:p>
    <w:p w14:paraId="6703121A">
      <w:pPr>
        <w:spacing w:line="340" w:lineRule="exact"/>
        <w:ind w:firstLine="422"/>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4C8C4C4B">
      <w:pPr>
        <w:spacing w:line="340" w:lineRule="exact"/>
        <w:ind w:firstLine="422"/>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FE15051">
      <w:pPr>
        <w:spacing w:line="340" w:lineRule="exact"/>
        <w:ind w:firstLine="422"/>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rPr>
        <w:t>桂林市财政局    联系电话：0773-2829504</w:t>
      </w:r>
    </w:p>
    <w:p w14:paraId="6C6CC1B2">
      <w:pPr>
        <w:snapToGrid w:val="0"/>
        <w:spacing w:line="240" w:lineRule="auto"/>
        <w:ind w:firstLine="0" w:firstLineChars="0"/>
        <w:rPr>
          <w:rFonts w:hint="eastAsia" w:ascii="宋体" w:hAnsi="宋体" w:cs="宋体"/>
          <w:b/>
          <w:color w:val="auto"/>
          <w:szCs w:val="24"/>
          <w:highlight w:val="none"/>
        </w:rPr>
      </w:pPr>
    </w:p>
    <w:p w14:paraId="66CE94D9">
      <w:pPr>
        <w:snapToGrid w:val="0"/>
        <w:spacing w:line="240" w:lineRule="auto"/>
        <w:ind w:firstLine="0" w:firstLineChars="0"/>
        <w:rPr>
          <w:rFonts w:hint="eastAsia" w:ascii="宋体" w:hAnsi="宋体" w:cs="宋体"/>
          <w:b/>
          <w:color w:val="auto"/>
          <w:szCs w:val="24"/>
          <w:highlight w:val="none"/>
        </w:rPr>
      </w:pPr>
    </w:p>
    <w:p w14:paraId="5AD8D465">
      <w:pPr>
        <w:snapToGrid w:val="0"/>
        <w:spacing w:line="240" w:lineRule="auto"/>
        <w:ind w:firstLine="0" w:firstLineChars="0"/>
        <w:rPr>
          <w:rFonts w:hint="eastAsia" w:ascii="宋体" w:hAnsi="宋体" w:cs="宋体"/>
          <w:b/>
          <w:color w:val="auto"/>
          <w:szCs w:val="24"/>
          <w:highlight w:val="none"/>
        </w:rPr>
      </w:pPr>
    </w:p>
    <w:p w14:paraId="578B50F4">
      <w:pPr>
        <w:snapToGrid w:val="0"/>
        <w:spacing w:line="240" w:lineRule="auto"/>
        <w:ind w:firstLine="0" w:firstLineChars="0"/>
        <w:rPr>
          <w:rFonts w:hint="eastAsia" w:ascii="宋体" w:hAnsi="宋体" w:cs="宋体"/>
          <w:b/>
          <w:color w:val="auto"/>
          <w:szCs w:val="24"/>
          <w:highlight w:val="none"/>
        </w:rPr>
      </w:pPr>
    </w:p>
    <w:p w14:paraId="34F42905">
      <w:pPr>
        <w:snapToGrid w:val="0"/>
        <w:spacing w:line="240" w:lineRule="auto"/>
        <w:ind w:firstLine="0" w:firstLineChars="0"/>
        <w:rPr>
          <w:rFonts w:hint="eastAsia" w:ascii="宋体" w:hAnsi="宋体" w:cs="宋体"/>
          <w:b/>
          <w:color w:val="auto"/>
          <w:szCs w:val="24"/>
          <w:highlight w:val="none"/>
        </w:rPr>
      </w:pPr>
    </w:p>
    <w:p w14:paraId="6D5238EE">
      <w:pPr>
        <w:snapToGrid w:val="0"/>
        <w:spacing w:line="240" w:lineRule="auto"/>
        <w:ind w:firstLine="0" w:firstLineChars="0"/>
        <w:rPr>
          <w:rFonts w:hint="eastAsia" w:ascii="宋体" w:hAnsi="宋体" w:cs="宋体"/>
          <w:b/>
          <w:color w:val="auto"/>
          <w:szCs w:val="24"/>
          <w:highlight w:val="none"/>
        </w:rPr>
      </w:pPr>
    </w:p>
    <w:p w14:paraId="2D775904">
      <w:pPr>
        <w:snapToGrid w:val="0"/>
        <w:spacing w:line="240" w:lineRule="auto"/>
        <w:ind w:firstLine="0" w:firstLineChars="0"/>
        <w:rPr>
          <w:rFonts w:hint="eastAsia" w:ascii="宋体" w:hAnsi="宋体" w:cs="宋体"/>
          <w:b/>
          <w:color w:val="auto"/>
          <w:szCs w:val="24"/>
          <w:highlight w:val="none"/>
        </w:rPr>
      </w:pPr>
    </w:p>
    <w:p w14:paraId="71E14BE7">
      <w:pPr>
        <w:snapToGrid w:val="0"/>
        <w:spacing w:line="240" w:lineRule="auto"/>
        <w:ind w:firstLine="0" w:firstLineChars="0"/>
        <w:rPr>
          <w:rFonts w:hint="eastAsia" w:ascii="宋体" w:hAnsi="宋体" w:cs="宋体"/>
          <w:b/>
          <w:color w:val="auto"/>
          <w:szCs w:val="24"/>
          <w:highlight w:val="none"/>
        </w:rPr>
      </w:pPr>
    </w:p>
    <w:p w14:paraId="74CD3CD0">
      <w:pPr>
        <w:snapToGrid w:val="0"/>
        <w:spacing w:line="240" w:lineRule="auto"/>
        <w:ind w:firstLine="0" w:firstLineChars="0"/>
        <w:rPr>
          <w:rFonts w:hint="eastAsia" w:ascii="宋体" w:hAnsi="宋体" w:cs="宋体"/>
          <w:b/>
          <w:color w:val="auto"/>
          <w:szCs w:val="24"/>
          <w:highlight w:val="none"/>
        </w:rPr>
      </w:pPr>
    </w:p>
    <w:p w14:paraId="6F684F29">
      <w:pPr>
        <w:snapToGrid w:val="0"/>
        <w:spacing w:line="240" w:lineRule="auto"/>
        <w:ind w:firstLine="0" w:firstLineChars="0"/>
        <w:rPr>
          <w:rFonts w:hint="eastAsia" w:ascii="宋体" w:hAnsi="宋体" w:cs="宋体"/>
          <w:b/>
          <w:color w:val="auto"/>
          <w:szCs w:val="24"/>
          <w:highlight w:val="none"/>
        </w:rPr>
      </w:pPr>
    </w:p>
    <w:p w14:paraId="6CFF5F3D">
      <w:pPr>
        <w:snapToGrid w:val="0"/>
        <w:spacing w:line="240" w:lineRule="auto"/>
        <w:ind w:firstLine="0" w:firstLineChars="0"/>
        <w:rPr>
          <w:rFonts w:hint="eastAsia" w:ascii="宋体" w:hAnsi="宋体" w:cs="宋体"/>
          <w:b/>
          <w:color w:val="auto"/>
          <w:szCs w:val="24"/>
          <w:highlight w:val="none"/>
        </w:rPr>
      </w:pPr>
    </w:p>
    <w:p w14:paraId="6FBCD182">
      <w:pPr>
        <w:snapToGrid w:val="0"/>
        <w:spacing w:line="240" w:lineRule="auto"/>
        <w:ind w:firstLine="0" w:firstLineChars="0"/>
        <w:rPr>
          <w:rFonts w:hint="eastAsia" w:ascii="宋体" w:hAnsi="宋体" w:cs="宋体"/>
          <w:b/>
          <w:color w:val="auto"/>
          <w:szCs w:val="24"/>
          <w:highlight w:val="none"/>
        </w:rPr>
      </w:pPr>
    </w:p>
    <w:p w14:paraId="5C7EC2D6">
      <w:pPr>
        <w:snapToGrid w:val="0"/>
        <w:spacing w:line="240" w:lineRule="auto"/>
        <w:ind w:firstLine="0" w:firstLineChars="0"/>
        <w:rPr>
          <w:rFonts w:hint="eastAsia" w:ascii="宋体" w:hAnsi="宋体" w:cs="宋体"/>
          <w:b/>
          <w:color w:val="auto"/>
          <w:szCs w:val="24"/>
          <w:highlight w:val="none"/>
        </w:rPr>
      </w:pPr>
    </w:p>
    <w:p w14:paraId="23FDD6A0">
      <w:pPr>
        <w:snapToGrid w:val="0"/>
        <w:spacing w:line="240" w:lineRule="auto"/>
        <w:ind w:firstLine="0" w:firstLineChars="0"/>
        <w:rPr>
          <w:rFonts w:hint="eastAsia" w:ascii="宋体" w:hAnsi="宋体" w:cs="宋体"/>
          <w:b/>
          <w:color w:val="auto"/>
          <w:szCs w:val="24"/>
          <w:highlight w:val="none"/>
        </w:rPr>
      </w:pPr>
    </w:p>
    <w:p w14:paraId="25D14429">
      <w:pPr>
        <w:snapToGrid w:val="0"/>
        <w:spacing w:line="240" w:lineRule="auto"/>
        <w:ind w:firstLine="0" w:firstLineChars="0"/>
        <w:rPr>
          <w:rFonts w:hint="eastAsia" w:ascii="宋体" w:hAnsi="宋体" w:cs="宋体"/>
          <w:b/>
          <w:color w:val="auto"/>
          <w:szCs w:val="24"/>
          <w:highlight w:val="none"/>
        </w:rPr>
      </w:pPr>
    </w:p>
    <w:p w14:paraId="1E42E964">
      <w:pPr>
        <w:snapToGrid w:val="0"/>
        <w:spacing w:line="240" w:lineRule="auto"/>
        <w:ind w:firstLine="0" w:firstLineChars="0"/>
        <w:rPr>
          <w:rFonts w:hint="eastAsia" w:ascii="宋体" w:hAnsi="宋体" w:cs="宋体"/>
          <w:b/>
          <w:color w:val="auto"/>
          <w:szCs w:val="24"/>
          <w:highlight w:val="none"/>
        </w:rPr>
      </w:pPr>
    </w:p>
    <w:p w14:paraId="7EF5B2FC">
      <w:pPr>
        <w:snapToGrid w:val="0"/>
        <w:spacing w:line="240" w:lineRule="auto"/>
        <w:ind w:firstLine="0" w:firstLineChars="0"/>
        <w:rPr>
          <w:rFonts w:hint="eastAsia" w:ascii="宋体" w:hAnsi="宋体" w:cs="宋体"/>
          <w:b/>
          <w:color w:val="auto"/>
          <w:szCs w:val="24"/>
          <w:highlight w:val="none"/>
        </w:rPr>
      </w:pPr>
    </w:p>
    <w:p w14:paraId="275CD14D">
      <w:pPr>
        <w:snapToGrid w:val="0"/>
        <w:spacing w:line="240" w:lineRule="auto"/>
        <w:ind w:firstLine="0" w:firstLineChars="0"/>
        <w:rPr>
          <w:rFonts w:hint="eastAsia" w:ascii="宋体" w:hAnsi="宋体" w:cs="宋体"/>
          <w:b/>
          <w:color w:val="auto"/>
          <w:szCs w:val="24"/>
          <w:highlight w:val="none"/>
        </w:rPr>
      </w:pPr>
    </w:p>
    <w:p w14:paraId="7B23D8C7">
      <w:pPr>
        <w:snapToGrid w:val="0"/>
        <w:spacing w:line="240" w:lineRule="auto"/>
        <w:ind w:firstLine="0" w:firstLineChars="0"/>
        <w:rPr>
          <w:rFonts w:hint="eastAsia" w:ascii="宋体" w:hAnsi="宋体" w:cs="宋体"/>
          <w:b/>
          <w:color w:val="auto"/>
          <w:szCs w:val="24"/>
          <w:highlight w:val="none"/>
        </w:rPr>
      </w:pPr>
    </w:p>
    <w:p w14:paraId="27018ECD">
      <w:pPr>
        <w:snapToGrid w:val="0"/>
        <w:spacing w:line="240" w:lineRule="auto"/>
        <w:ind w:firstLine="0" w:firstLineChars="0"/>
        <w:rPr>
          <w:rFonts w:hint="eastAsia" w:ascii="宋体" w:hAnsi="宋体" w:cs="宋体"/>
          <w:b/>
          <w:color w:val="auto"/>
          <w:szCs w:val="24"/>
          <w:highlight w:val="none"/>
        </w:rPr>
      </w:pPr>
    </w:p>
    <w:p w14:paraId="61B77302">
      <w:pPr>
        <w:snapToGrid w:val="0"/>
        <w:spacing w:line="240" w:lineRule="auto"/>
        <w:ind w:firstLine="0" w:firstLineChars="0"/>
        <w:rPr>
          <w:rFonts w:hint="eastAsia" w:ascii="宋体" w:hAnsi="宋体" w:cs="宋体"/>
          <w:b/>
          <w:color w:val="auto"/>
          <w:szCs w:val="24"/>
          <w:highlight w:val="none"/>
        </w:rPr>
      </w:pPr>
    </w:p>
    <w:p w14:paraId="37F44EFB">
      <w:pPr>
        <w:snapToGrid w:val="0"/>
        <w:spacing w:line="240" w:lineRule="auto"/>
        <w:ind w:firstLine="0" w:firstLineChars="0"/>
        <w:rPr>
          <w:rFonts w:hint="eastAsia" w:ascii="宋体" w:hAnsi="宋体" w:cs="宋体"/>
          <w:b/>
          <w:color w:val="auto"/>
          <w:szCs w:val="24"/>
          <w:highlight w:val="none"/>
        </w:rPr>
      </w:pPr>
    </w:p>
    <w:p w14:paraId="4DA44B55">
      <w:pPr>
        <w:snapToGrid w:val="0"/>
        <w:spacing w:line="240" w:lineRule="auto"/>
        <w:ind w:firstLine="0" w:firstLineChars="0"/>
        <w:rPr>
          <w:rFonts w:hint="eastAsia" w:ascii="宋体" w:hAnsi="宋体" w:cs="宋体"/>
          <w:b/>
          <w:color w:val="auto"/>
          <w:szCs w:val="24"/>
          <w:highlight w:val="none"/>
        </w:rPr>
      </w:pPr>
    </w:p>
    <w:p w14:paraId="1C3EE695">
      <w:pPr>
        <w:snapToGrid w:val="0"/>
        <w:spacing w:line="240" w:lineRule="auto"/>
        <w:ind w:firstLine="0" w:firstLineChars="0"/>
        <w:rPr>
          <w:rFonts w:hint="eastAsia" w:ascii="宋体" w:hAnsi="宋体" w:cs="宋体"/>
          <w:b/>
          <w:color w:val="auto"/>
          <w:szCs w:val="24"/>
          <w:highlight w:val="none"/>
        </w:rPr>
      </w:pPr>
    </w:p>
    <w:p w14:paraId="0051A25E">
      <w:pPr>
        <w:snapToGrid w:val="0"/>
        <w:spacing w:line="240" w:lineRule="auto"/>
        <w:ind w:firstLine="0" w:firstLineChars="0"/>
        <w:rPr>
          <w:rFonts w:hint="eastAsia" w:ascii="宋体" w:hAnsi="宋体" w:cs="宋体"/>
          <w:b/>
          <w:color w:val="auto"/>
          <w:szCs w:val="24"/>
          <w:highlight w:val="none"/>
        </w:rPr>
      </w:pPr>
    </w:p>
    <w:p w14:paraId="71E2B5E5">
      <w:pPr>
        <w:snapToGrid w:val="0"/>
        <w:spacing w:line="240" w:lineRule="auto"/>
        <w:ind w:firstLine="0" w:firstLineChars="0"/>
        <w:rPr>
          <w:rFonts w:hint="eastAsia" w:ascii="宋体" w:hAnsi="宋体" w:cs="宋体"/>
          <w:b/>
          <w:color w:val="auto"/>
          <w:szCs w:val="24"/>
          <w:highlight w:val="none"/>
        </w:rPr>
      </w:pPr>
    </w:p>
    <w:p w14:paraId="7119FC70">
      <w:pPr>
        <w:snapToGrid w:val="0"/>
        <w:spacing w:line="240" w:lineRule="auto"/>
        <w:ind w:firstLine="0" w:firstLineChars="0"/>
        <w:rPr>
          <w:rFonts w:hint="eastAsia" w:ascii="宋体" w:hAnsi="宋体" w:cs="宋体"/>
          <w:b/>
          <w:color w:val="auto"/>
          <w:szCs w:val="24"/>
          <w:highlight w:val="none"/>
        </w:rPr>
      </w:pPr>
    </w:p>
    <w:p w14:paraId="07ACB8AD">
      <w:pPr>
        <w:snapToGrid w:val="0"/>
        <w:spacing w:line="240" w:lineRule="auto"/>
        <w:ind w:firstLine="0" w:firstLineChars="0"/>
        <w:rPr>
          <w:rFonts w:hint="eastAsia" w:ascii="宋体" w:hAnsi="宋体" w:cs="宋体"/>
          <w:b/>
          <w:color w:val="auto"/>
          <w:szCs w:val="24"/>
          <w:highlight w:val="none"/>
        </w:rPr>
      </w:pPr>
    </w:p>
    <w:p w14:paraId="1A1C5C86">
      <w:pPr>
        <w:snapToGrid w:val="0"/>
        <w:spacing w:line="240" w:lineRule="auto"/>
        <w:ind w:firstLine="0" w:firstLineChars="0"/>
        <w:rPr>
          <w:rFonts w:hint="eastAsia" w:ascii="宋体" w:hAnsi="宋体" w:cs="宋体"/>
          <w:b/>
          <w:color w:val="auto"/>
          <w:szCs w:val="24"/>
          <w:highlight w:val="none"/>
        </w:rPr>
      </w:pPr>
    </w:p>
    <w:p w14:paraId="4420EB3E">
      <w:pPr>
        <w:snapToGrid w:val="0"/>
        <w:spacing w:line="240" w:lineRule="auto"/>
        <w:ind w:firstLine="0" w:firstLineChars="0"/>
        <w:rPr>
          <w:rFonts w:hint="eastAsia" w:ascii="宋体" w:hAnsi="宋体" w:cs="宋体"/>
          <w:b/>
          <w:color w:val="auto"/>
          <w:szCs w:val="24"/>
          <w:highlight w:val="none"/>
        </w:rPr>
      </w:pPr>
    </w:p>
    <w:p w14:paraId="7E3709F2">
      <w:pPr>
        <w:snapToGrid w:val="0"/>
        <w:spacing w:line="240" w:lineRule="auto"/>
        <w:ind w:firstLine="0" w:firstLineChars="0"/>
        <w:rPr>
          <w:rFonts w:hint="eastAsia" w:ascii="宋体" w:hAnsi="宋体" w:cs="宋体"/>
          <w:b/>
          <w:color w:val="auto"/>
          <w:szCs w:val="24"/>
          <w:highlight w:val="none"/>
        </w:rPr>
      </w:pPr>
    </w:p>
    <w:p w14:paraId="4A10B016">
      <w:pPr>
        <w:snapToGrid w:val="0"/>
        <w:spacing w:line="240" w:lineRule="auto"/>
        <w:ind w:firstLine="0" w:firstLineChars="0"/>
        <w:rPr>
          <w:rFonts w:hint="eastAsia" w:ascii="宋体" w:hAnsi="宋体" w:cs="宋体"/>
          <w:b/>
          <w:color w:val="auto"/>
          <w:szCs w:val="24"/>
          <w:highlight w:val="none"/>
        </w:rPr>
      </w:pPr>
    </w:p>
    <w:p w14:paraId="2F8C9557">
      <w:pPr>
        <w:snapToGrid w:val="0"/>
        <w:spacing w:line="240"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9" w:leftChars="12" w:firstLine="441" w:firstLineChars="147"/>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9" w:leftChars="12" w:firstLine="441" w:firstLineChars="147"/>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9" w:leftChars="12" w:firstLine="441" w:firstLineChars="147"/>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9" w:leftChars="12"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9" w:leftChars="12" w:firstLine="308" w:firstLineChars="147"/>
        <w:rPr>
          <w:rFonts w:hint="eastAsia" w:ascii="宋体" w:hAnsi="宋体" w:cs="宋体"/>
          <w:color w:val="auto"/>
          <w:sz w:val="21"/>
          <w:szCs w:val="21"/>
          <w:highlight w:val="none"/>
        </w:rPr>
      </w:pPr>
    </w:p>
    <w:p w14:paraId="5CD4D5C3">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9" w:leftChars="12" w:firstLine="308" w:firstLineChars="147"/>
        <w:rPr>
          <w:rFonts w:hint="eastAsia" w:ascii="宋体" w:hAnsi="宋体" w:cs="宋体"/>
          <w:color w:val="auto"/>
          <w:sz w:val="21"/>
          <w:szCs w:val="21"/>
          <w:highlight w:val="none"/>
        </w:rPr>
      </w:pPr>
    </w:p>
    <w:p w14:paraId="219DA1C3">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6"/>
        <w:jc w:val="center"/>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4"/>
        <w:rPr>
          <w:rFonts w:hint="eastAsia" w:ascii="宋体" w:hAnsi="宋体"/>
          <w:b/>
          <w:color w:val="auto"/>
          <w:sz w:val="21"/>
          <w:szCs w:val="21"/>
          <w:highlight w:val="none"/>
        </w:rPr>
      </w:pPr>
    </w:p>
    <w:p w14:paraId="64485AD6">
      <w:pPr>
        <w:snapToGrid w:val="0"/>
        <w:spacing w:line="400" w:lineRule="exact"/>
        <w:ind w:firstLine="0" w:firstLineChars="0"/>
        <w:outlineLvl w:val="4"/>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4"/>
        <w:rPr>
          <w:rFonts w:hint="eastAsia" w:ascii="宋体" w:hAnsi="宋体"/>
          <w:color w:val="auto"/>
          <w:sz w:val="21"/>
          <w:szCs w:val="21"/>
          <w:highlight w:val="none"/>
          <w:u w:val="single"/>
        </w:rPr>
      </w:pPr>
    </w:p>
    <w:p w14:paraId="0DF69041">
      <w:pPr>
        <w:pStyle w:val="26"/>
        <w:spacing w:line="400" w:lineRule="exact"/>
        <w:ind w:firstLine="525" w:firstLineChars="250"/>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6"/>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6"/>
        <w:spacing w:line="400" w:lineRule="exact"/>
        <w:ind w:firstLine="420" w:firstLineChars="200"/>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4"/>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4"/>
        <w:rPr>
          <w:rFonts w:hint="eastAsia" w:ascii="宋体" w:hAnsi="宋体"/>
          <w:color w:val="auto"/>
          <w:sz w:val="21"/>
          <w:szCs w:val="21"/>
          <w:highlight w:val="none"/>
        </w:rPr>
      </w:pPr>
    </w:p>
    <w:p w14:paraId="5C44B2C6">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4"/>
        <w:rPr>
          <w:rFonts w:hint="eastAsia" w:ascii="宋体" w:hAnsi="宋体"/>
          <w:color w:val="auto"/>
          <w:sz w:val="21"/>
          <w:szCs w:val="21"/>
          <w:highlight w:val="none"/>
        </w:rPr>
      </w:pPr>
    </w:p>
    <w:p w14:paraId="1248025C">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4"/>
        <w:rPr>
          <w:rFonts w:hint="eastAsia" w:ascii="宋体" w:hAnsi="宋体"/>
          <w:color w:val="auto"/>
          <w:sz w:val="21"/>
          <w:szCs w:val="21"/>
          <w:highlight w:val="none"/>
        </w:rPr>
      </w:pPr>
    </w:p>
    <w:p w14:paraId="56146A94">
      <w:pPr>
        <w:tabs>
          <w:tab w:val="left" w:pos="1305"/>
        </w:tabs>
        <w:spacing w:line="520" w:lineRule="exact"/>
        <w:ind w:firstLine="422"/>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rPr>
          <w:rFonts w:hint="eastAsia" w:ascii="宋体" w:hAnsi="宋体" w:cs="宋体"/>
          <w:b/>
          <w:color w:val="auto"/>
          <w:szCs w:val="24"/>
          <w:highlight w:val="none"/>
        </w:rPr>
      </w:pPr>
    </w:p>
    <w:p w14:paraId="1340320C">
      <w:pPr>
        <w:snapToGrid w:val="0"/>
        <w:spacing w:line="340" w:lineRule="exact"/>
        <w:ind w:firstLine="0" w:firstLineChars="0"/>
        <w:rPr>
          <w:rFonts w:hint="eastAsia" w:ascii="宋体" w:hAnsi="宋体" w:cs="宋体"/>
          <w:b/>
          <w:color w:val="auto"/>
          <w:szCs w:val="24"/>
          <w:highlight w:val="none"/>
        </w:rPr>
      </w:pPr>
    </w:p>
    <w:p w14:paraId="6CBA8E2E">
      <w:pPr>
        <w:snapToGrid w:val="0"/>
        <w:spacing w:line="340" w:lineRule="exact"/>
        <w:ind w:firstLine="0" w:firstLineChars="0"/>
        <w:rPr>
          <w:rFonts w:hint="eastAsia" w:ascii="宋体" w:hAnsi="宋体" w:cs="宋体"/>
          <w:b/>
          <w:color w:val="auto"/>
          <w:szCs w:val="24"/>
          <w:highlight w:val="none"/>
        </w:rPr>
      </w:pPr>
    </w:p>
    <w:p w14:paraId="2501C695">
      <w:pPr>
        <w:snapToGrid w:val="0"/>
        <w:spacing w:line="340" w:lineRule="exact"/>
        <w:ind w:firstLine="0" w:firstLineChars="0"/>
        <w:rPr>
          <w:rFonts w:hint="eastAsia" w:ascii="宋体" w:hAnsi="宋体" w:cs="宋体"/>
          <w:b/>
          <w:color w:val="auto"/>
          <w:szCs w:val="24"/>
          <w:highlight w:val="none"/>
        </w:rPr>
      </w:pPr>
    </w:p>
    <w:p w14:paraId="30F275A8">
      <w:pPr>
        <w:snapToGrid w:val="0"/>
        <w:spacing w:line="340" w:lineRule="exact"/>
        <w:ind w:firstLine="0" w:firstLineChars="0"/>
        <w:rPr>
          <w:rFonts w:hint="eastAsia" w:ascii="宋体" w:hAnsi="宋体" w:cs="宋体"/>
          <w:b/>
          <w:color w:val="auto"/>
          <w:szCs w:val="24"/>
          <w:highlight w:val="none"/>
        </w:rPr>
      </w:pPr>
    </w:p>
    <w:p w14:paraId="4D711159">
      <w:pPr>
        <w:snapToGrid w:val="0"/>
        <w:spacing w:line="340" w:lineRule="exact"/>
        <w:ind w:firstLine="0" w:firstLineChars="0"/>
        <w:rPr>
          <w:rFonts w:hint="eastAsia" w:ascii="宋体" w:hAnsi="宋体" w:cs="宋体"/>
          <w:b/>
          <w:color w:val="auto"/>
          <w:szCs w:val="24"/>
          <w:highlight w:val="none"/>
        </w:rPr>
      </w:pPr>
    </w:p>
    <w:p w14:paraId="08F960F0">
      <w:pPr>
        <w:snapToGrid w:val="0"/>
        <w:spacing w:line="340" w:lineRule="exact"/>
        <w:ind w:firstLine="0" w:firstLineChars="0"/>
        <w:rPr>
          <w:rFonts w:hint="eastAsia" w:ascii="宋体" w:hAnsi="宋体" w:cs="宋体"/>
          <w:b/>
          <w:color w:val="auto"/>
          <w:szCs w:val="24"/>
          <w:highlight w:val="none"/>
        </w:rPr>
      </w:pPr>
    </w:p>
    <w:p w14:paraId="580C84B2">
      <w:pPr>
        <w:snapToGrid w:val="0"/>
        <w:spacing w:line="340" w:lineRule="exact"/>
        <w:ind w:firstLine="0" w:firstLineChars="0"/>
        <w:rPr>
          <w:rFonts w:hint="eastAsia" w:ascii="宋体" w:hAnsi="宋体" w:cs="宋体"/>
          <w:b/>
          <w:color w:val="auto"/>
          <w:szCs w:val="24"/>
          <w:highlight w:val="none"/>
        </w:rPr>
      </w:pPr>
    </w:p>
    <w:p w14:paraId="63CA558A">
      <w:pPr>
        <w:snapToGrid w:val="0"/>
        <w:spacing w:line="340" w:lineRule="exact"/>
        <w:ind w:firstLine="0" w:firstLineChars="0"/>
        <w:rPr>
          <w:rFonts w:hint="eastAsia" w:ascii="宋体" w:hAnsi="宋体" w:cs="宋体"/>
          <w:b/>
          <w:color w:val="auto"/>
          <w:szCs w:val="24"/>
          <w:highlight w:val="none"/>
        </w:rPr>
      </w:pPr>
    </w:p>
    <w:p w14:paraId="6D88F9C4">
      <w:pPr>
        <w:snapToGrid w:val="0"/>
        <w:spacing w:line="340" w:lineRule="exact"/>
        <w:ind w:firstLine="0" w:firstLineChars="0"/>
        <w:rPr>
          <w:rFonts w:hint="eastAsia" w:ascii="宋体" w:hAnsi="宋体" w:cs="宋体"/>
          <w:b/>
          <w:color w:val="auto"/>
          <w:szCs w:val="24"/>
          <w:highlight w:val="none"/>
        </w:rPr>
      </w:pPr>
    </w:p>
    <w:p w14:paraId="52409032">
      <w:pPr>
        <w:snapToGrid w:val="0"/>
        <w:spacing w:line="340" w:lineRule="exact"/>
        <w:ind w:firstLine="0" w:firstLineChars="0"/>
        <w:rPr>
          <w:rFonts w:hint="eastAsia" w:ascii="宋体" w:hAnsi="宋体" w:cs="宋体"/>
          <w:b/>
          <w:color w:val="auto"/>
          <w:szCs w:val="24"/>
          <w:highlight w:val="none"/>
        </w:rPr>
      </w:pPr>
    </w:p>
    <w:p w14:paraId="5DB458B4">
      <w:pPr>
        <w:snapToGrid w:val="0"/>
        <w:spacing w:line="340" w:lineRule="exact"/>
        <w:ind w:firstLine="0" w:firstLineChars="0"/>
        <w:rPr>
          <w:rFonts w:hint="eastAsia" w:ascii="宋体" w:hAnsi="宋体" w:cs="宋体"/>
          <w:b/>
          <w:color w:val="auto"/>
          <w:szCs w:val="24"/>
          <w:highlight w:val="none"/>
        </w:rPr>
      </w:pPr>
    </w:p>
    <w:p w14:paraId="2FA3031E">
      <w:pPr>
        <w:snapToGrid w:val="0"/>
        <w:spacing w:line="340" w:lineRule="exact"/>
        <w:ind w:firstLine="0" w:firstLineChars="0"/>
        <w:rPr>
          <w:rFonts w:hint="eastAsia" w:ascii="宋体" w:hAnsi="宋体" w:cs="宋体"/>
          <w:b/>
          <w:color w:val="auto"/>
          <w:szCs w:val="24"/>
          <w:highlight w:val="none"/>
        </w:rPr>
      </w:pPr>
    </w:p>
    <w:p w14:paraId="7CE26162">
      <w:pPr>
        <w:snapToGrid w:val="0"/>
        <w:spacing w:line="340" w:lineRule="exact"/>
        <w:ind w:firstLine="0" w:firstLineChars="0"/>
        <w:rPr>
          <w:rFonts w:hint="eastAsia" w:ascii="宋体" w:hAnsi="宋体" w:cs="宋体"/>
          <w:b/>
          <w:color w:val="auto"/>
          <w:szCs w:val="24"/>
          <w:highlight w:val="none"/>
        </w:rPr>
      </w:pPr>
    </w:p>
    <w:p w14:paraId="0165E59E">
      <w:pPr>
        <w:snapToGrid w:val="0"/>
        <w:spacing w:line="340" w:lineRule="exact"/>
        <w:ind w:firstLine="0" w:firstLineChars="0"/>
        <w:rPr>
          <w:rFonts w:hint="eastAsia" w:ascii="宋体" w:hAnsi="宋体" w:cs="宋体"/>
          <w:b/>
          <w:color w:val="auto"/>
          <w:szCs w:val="24"/>
          <w:highlight w:val="none"/>
        </w:rPr>
      </w:pPr>
    </w:p>
    <w:p w14:paraId="09FD661A">
      <w:pPr>
        <w:snapToGrid w:val="0"/>
        <w:spacing w:line="340" w:lineRule="exact"/>
        <w:ind w:firstLine="0" w:firstLineChars="0"/>
        <w:rPr>
          <w:rFonts w:hint="eastAsia" w:ascii="宋体" w:hAnsi="宋体" w:cs="宋体"/>
          <w:b/>
          <w:color w:val="auto"/>
          <w:szCs w:val="24"/>
          <w:highlight w:val="none"/>
        </w:rPr>
      </w:pPr>
    </w:p>
    <w:p w14:paraId="2AB9AC54">
      <w:pPr>
        <w:snapToGrid w:val="0"/>
        <w:spacing w:line="340" w:lineRule="exact"/>
        <w:ind w:firstLine="0" w:firstLineChars="0"/>
        <w:rPr>
          <w:rFonts w:hint="eastAsia" w:ascii="宋体" w:hAnsi="宋体" w:cs="宋体"/>
          <w:b/>
          <w:color w:val="auto"/>
          <w:szCs w:val="24"/>
          <w:highlight w:val="none"/>
        </w:rPr>
      </w:pPr>
    </w:p>
    <w:p w14:paraId="05B4A741">
      <w:pPr>
        <w:snapToGrid w:val="0"/>
        <w:spacing w:line="340" w:lineRule="exact"/>
        <w:ind w:firstLine="0" w:firstLineChars="0"/>
        <w:rPr>
          <w:rFonts w:hint="eastAsia" w:ascii="宋体" w:hAnsi="宋体" w:cs="宋体"/>
          <w:b/>
          <w:color w:val="auto"/>
          <w:szCs w:val="24"/>
          <w:highlight w:val="none"/>
        </w:rPr>
      </w:pPr>
    </w:p>
    <w:p w14:paraId="417A373E">
      <w:pPr>
        <w:snapToGrid w:val="0"/>
        <w:spacing w:line="3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9"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9"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9" w:leftChars="12" w:firstLine="413" w:firstLineChars="197"/>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9" w:leftChars="12" w:firstLine="413" w:firstLineChars="197"/>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9" w:leftChars="12" w:firstLine="413" w:firstLineChars="197"/>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9" w:leftChars="12" w:firstLine="413" w:firstLineChars="197"/>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9" w:leftChars="12"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9" w:leftChars="12" w:firstLine="833" w:firstLineChars="397"/>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9" w:leftChars="12"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9" w:leftChars="12" w:firstLine="413" w:firstLineChars="197"/>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9"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9" w:leftChars="12" w:firstLine="308" w:firstLineChars="147"/>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9" w:leftChars="12" w:firstLine="413" w:firstLineChars="197"/>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9" w:leftChars="12" w:firstLine="413" w:firstLineChars="197"/>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9" w:leftChars="12"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9" w:leftChars="12" w:firstLine="308" w:firstLineChars="147"/>
        <w:rPr>
          <w:rFonts w:hint="eastAsia" w:ascii="宋体" w:hAnsi="宋体" w:cs="宋体"/>
          <w:color w:val="auto"/>
          <w:sz w:val="21"/>
          <w:szCs w:val="21"/>
          <w:highlight w:val="none"/>
        </w:rPr>
      </w:pPr>
    </w:p>
    <w:p w14:paraId="3749D381">
      <w:pPr>
        <w:spacing w:line="40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9" w:leftChars="12" w:firstLine="308" w:firstLineChars="147"/>
        <w:rPr>
          <w:rFonts w:hint="eastAsia" w:ascii="宋体" w:hAnsi="宋体" w:cs="宋体"/>
          <w:color w:val="auto"/>
          <w:sz w:val="21"/>
          <w:szCs w:val="21"/>
          <w:highlight w:val="none"/>
        </w:rPr>
      </w:pPr>
    </w:p>
    <w:p w14:paraId="0D5A94B8">
      <w:pPr>
        <w:spacing w:line="400" w:lineRule="exact"/>
        <w:ind w:left="29" w:leftChars="12" w:firstLine="413" w:firstLineChars="19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9" w:leftChars="12" w:firstLine="413" w:firstLineChars="197"/>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rPr>
          <w:rFonts w:hint="eastAsia" w:ascii="宋体" w:hAnsi="宋体" w:cs="宋体"/>
          <w:b/>
          <w:color w:val="auto"/>
          <w:sz w:val="21"/>
          <w:szCs w:val="21"/>
          <w:highlight w:val="none"/>
        </w:rPr>
      </w:pPr>
    </w:p>
    <w:p w14:paraId="19D33C34">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9" w:leftChars="12" w:firstLine="310" w:firstLineChars="147"/>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9" w:leftChars="12" w:firstLine="310" w:firstLineChars="147"/>
        <w:rPr>
          <w:rFonts w:hint="eastAsia" w:ascii="宋体" w:hAnsi="宋体" w:cs="宋体"/>
          <w:b/>
          <w:color w:val="auto"/>
          <w:kern w:val="0"/>
          <w:sz w:val="21"/>
          <w:szCs w:val="21"/>
          <w:highlight w:val="none"/>
        </w:rPr>
      </w:pPr>
    </w:p>
    <w:p w14:paraId="4B287A5B">
      <w:pPr>
        <w:spacing w:line="340" w:lineRule="exact"/>
        <w:ind w:left="29" w:leftChars="12" w:firstLine="310" w:firstLineChars="147"/>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rPr>
          <w:rFonts w:hint="eastAsia" w:ascii="宋体" w:hAnsi="宋体"/>
          <w:b/>
          <w:color w:val="auto"/>
          <w:kern w:val="0"/>
          <w:sz w:val="32"/>
          <w:szCs w:val="32"/>
          <w:highlight w:val="none"/>
        </w:rPr>
      </w:pPr>
    </w:p>
    <w:p w14:paraId="2043B930">
      <w:pPr>
        <w:tabs>
          <w:tab w:val="center" w:pos="4410"/>
          <w:tab w:val="left" w:pos="6735"/>
        </w:tabs>
        <w:spacing w:line="480" w:lineRule="auto"/>
        <w:ind w:firstLine="0" w:firstLineChars="0"/>
        <w:jc w:val="center"/>
        <w:rPr>
          <w:rFonts w:hint="eastAsia" w:ascii="宋体" w:hAnsi="宋体"/>
          <w:b/>
          <w:color w:val="auto"/>
          <w:kern w:val="0"/>
          <w:sz w:val="32"/>
          <w:szCs w:val="32"/>
          <w:highlight w:val="none"/>
        </w:rPr>
      </w:pPr>
    </w:p>
    <w:p w14:paraId="311BF690">
      <w:pPr>
        <w:tabs>
          <w:tab w:val="center" w:pos="4410"/>
          <w:tab w:val="left" w:pos="6735"/>
        </w:tabs>
        <w:spacing w:line="480" w:lineRule="auto"/>
        <w:ind w:firstLine="0" w:firstLineChars="0"/>
        <w:jc w:val="center"/>
        <w:rPr>
          <w:rFonts w:hint="eastAsia" w:ascii="宋体" w:hAnsi="宋体"/>
          <w:b/>
          <w:color w:val="auto"/>
          <w:kern w:val="0"/>
          <w:sz w:val="32"/>
          <w:szCs w:val="32"/>
          <w:highlight w:val="none"/>
        </w:rPr>
      </w:pPr>
    </w:p>
    <w:p w14:paraId="61FD2B0F">
      <w:pPr>
        <w:pStyle w:val="18"/>
        <w:rPr>
          <w:rFonts w:hint="eastAsia"/>
          <w:color w:val="auto"/>
          <w:highlight w:val="none"/>
        </w:rPr>
      </w:pPr>
    </w:p>
    <w:p w14:paraId="2CAFAF98">
      <w:pPr>
        <w:spacing w:line="240" w:lineRule="auto"/>
        <w:ind w:firstLine="0" w:firstLineChars="0"/>
        <w:rPr>
          <w:color w:val="auto"/>
          <w:sz w:val="21"/>
          <w:szCs w:val="24"/>
          <w:highlight w:val="none"/>
        </w:rPr>
      </w:pPr>
    </w:p>
    <w:p w14:paraId="37336E2B">
      <w:pPr>
        <w:snapToGrid w:val="0"/>
        <w:spacing w:line="3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附表3：</w:t>
      </w:r>
    </w:p>
    <w:p w14:paraId="7923FEC5">
      <w:pPr>
        <w:spacing w:line="460" w:lineRule="exact"/>
        <w:ind w:firstLine="0" w:firstLineChars="0"/>
        <w:jc w:val="center"/>
        <w:rPr>
          <w:rFonts w:hint="eastAsia" w:ascii="宋体" w:hAnsi="宋体" w:cs="宋体"/>
          <w:color w:val="auto"/>
          <w:sz w:val="44"/>
          <w:szCs w:val="24"/>
          <w:highlight w:val="none"/>
        </w:rPr>
      </w:pPr>
    </w:p>
    <w:p w14:paraId="048F5314">
      <w:pPr>
        <w:spacing w:line="460" w:lineRule="exact"/>
        <w:ind w:firstLine="0" w:firstLineChars="0"/>
        <w:jc w:val="center"/>
        <w:rPr>
          <w:rFonts w:hint="eastAsia"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6EFA650E">
      <w:pPr>
        <w:widowControl/>
        <w:spacing w:line="600" w:lineRule="atLeast"/>
        <w:ind w:firstLine="0" w:firstLineChars="0"/>
        <w:jc w:val="center"/>
        <w:rPr>
          <w:rFonts w:hint="eastAsia" w:ascii="方正小标宋简体" w:hAnsi="仿宋" w:eastAsia="方正小标宋简体"/>
          <w:color w:val="auto"/>
          <w:kern w:val="0"/>
          <w:sz w:val="36"/>
          <w:szCs w:val="36"/>
          <w:highlight w:val="none"/>
        </w:rPr>
      </w:pPr>
    </w:p>
    <w:p w14:paraId="589DB6A1">
      <w:pPr>
        <w:widowControl/>
        <w:spacing w:line="460" w:lineRule="exact"/>
        <w:ind w:firstLine="482" w:firstLineChars="0"/>
        <w:jc w:val="left"/>
        <w:rPr>
          <w:rFonts w:hint="eastAsia"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58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6076A022">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vAlign w:val="center"/>
          </w:tcPr>
          <w:p w14:paraId="32BE084E">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3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277FE0">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vAlign w:val="center"/>
          </w:tcPr>
          <w:p w14:paraId="5E50BE35">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vAlign w:val="center"/>
          </w:tcPr>
          <w:p w14:paraId="00217D24">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vAlign w:val="center"/>
          </w:tcPr>
          <w:p w14:paraId="3DDC1695">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vAlign w:val="center"/>
          </w:tcPr>
          <w:p w14:paraId="292C5D06">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3C1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229613D">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2D626D6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1DAE9D9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387F47B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0230F0B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77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35141B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15E7D70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01CDB8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778B36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7C23DEA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91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12142F9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6D81C01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7ABC75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E0B9EA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364F694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53E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DEF9BE6">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vAlign w:val="center"/>
          </w:tcPr>
          <w:p w14:paraId="6E4BEF7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681A6AD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31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2BA99B7">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84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8D35C73">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vAlign w:val="center"/>
          </w:tcPr>
          <w:p w14:paraId="73B7BE5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1346BB">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vAlign w:val="center"/>
          </w:tcPr>
          <w:p w14:paraId="3A18CE6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5550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6596E15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vAlign w:val="center"/>
          </w:tcPr>
          <w:p w14:paraId="6E4221D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22F40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vAlign w:val="center"/>
          </w:tcPr>
          <w:p w14:paraId="3C590F6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4D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5B083E1">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tcMar>
              <w:top w:w="0" w:type="dxa"/>
              <w:left w:w="108" w:type="dxa"/>
              <w:bottom w:w="0" w:type="dxa"/>
              <w:right w:w="108" w:type="dxa"/>
            </w:tcMar>
            <w:vAlign w:val="center"/>
          </w:tcPr>
          <w:p w14:paraId="61CB28FE">
            <w:pPr>
              <w:widowControl/>
              <w:spacing w:line="320" w:lineRule="atLeast"/>
              <w:ind w:firstLine="0" w:firstLineChars="0"/>
              <w:jc w:val="left"/>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p>
        </w:tc>
      </w:tr>
      <w:tr w14:paraId="627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B4FDA2B">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vAlign w:val="center"/>
          </w:tcPr>
          <w:p w14:paraId="1941BE4C">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C0E916F">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1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06335CC4">
            <w:pPr>
              <w:widowControl/>
              <w:spacing w:line="240" w:lineRule="auto"/>
              <w:ind w:firstLine="0" w:firstLineChars="0"/>
              <w:jc w:val="left"/>
              <w:rPr>
                <w:rFonts w:ascii="宋体"/>
                <w:color w:val="auto"/>
                <w:kern w:val="0"/>
                <w:sz w:val="21"/>
                <w:szCs w:val="24"/>
                <w:highlight w:val="none"/>
              </w:rPr>
            </w:pPr>
          </w:p>
        </w:tc>
        <w:tc>
          <w:tcPr>
            <w:tcW w:w="8100" w:type="dxa"/>
            <w:gridSpan w:val="6"/>
            <w:vAlign w:val="center"/>
          </w:tcPr>
          <w:p w14:paraId="5536CCE6">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EC79445">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EC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0A469B7">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6E5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2D4778D4">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6F70EEA">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0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20B8C266">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1120F133">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vAlign w:val="center"/>
          </w:tcPr>
          <w:p w14:paraId="3175F8C9">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309526C">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BB016BA">
      <w:pPr>
        <w:snapToGrid w:val="0"/>
        <w:spacing w:line="340" w:lineRule="exact"/>
        <w:ind w:firstLine="0" w:firstLineChars="0"/>
        <w:rPr>
          <w:rFonts w:hint="eastAsia" w:ascii="宋体" w:hAnsi="宋体" w:cs="宋体"/>
          <w:b/>
          <w:color w:val="auto"/>
          <w:szCs w:val="24"/>
          <w:highlight w:val="none"/>
        </w:rPr>
      </w:pPr>
    </w:p>
    <w:p w14:paraId="3A1FC666">
      <w:pPr>
        <w:snapToGrid w:val="0"/>
        <w:spacing w:line="340" w:lineRule="exact"/>
        <w:ind w:firstLine="0" w:firstLineChars="0"/>
        <w:rPr>
          <w:rFonts w:hint="eastAsia" w:ascii="宋体" w:hAnsi="宋体" w:cs="宋体"/>
          <w:b/>
          <w:color w:val="auto"/>
          <w:szCs w:val="24"/>
          <w:highlight w:val="none"/>
        </w:rPr>
      </w:pPr>
    </w:p>
    <w:p w14:paraId="2DA7F886">
      <w:pPr>
        <w:snapToGrid w:val="0"/>
        <w:spacing w:line="340" w:lineRule="exact"/>
        <w:ind w:firstLine="0" w:firstLineChars="0"/>
        <w:rPr>
          <w:rFonts w:hint="eastAsia" w:ascii="宋体" w:hAnsi="宋体" w:cs="宋体"/>
          <w:b/>
          <w:color w:val="auto"/>
          <w:szCs w:val="24"/>
          <w:highlight w:val="none"/>
        </w:rPr>
      </w:pPr>
    </w:p>
    <w:p w14:paraId="1791EA0B">
      <w:pPr>
        <w:snapToGrid w:val="0"/>
        <w:spacing w:line="3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附表4：</w:t>
      </w:r>
    </w:p>
    <w:p w14:paraId="571B02EB">
      <w:pPr>
        <w:spacing w:line="360" w:lineRule="exact"/>
        <w:ind w:firstLine="643"/>
        <w:jc w:val="center"/>
        <w:rPr>
          <w:rFonts w:hint="eastAsia" w:ascii="宋体" w:hAnsi="宋体"/>
          <w:b/>
          <w:color w:val="auto"/>
          <w:sz w:val="32"/>
          <w:szCs w:val="32"/>
          <w:highlight w:val="none"/>
        </w:rPr>
      </w:pPr>
    </w:p>
    <w:p w14:paraId="498D8D16">
      <w:pPr>
        <w:spacing w:line="360" w:lineRule="exact"/>
        <w:ind w:firstLine="480"/>
        <w:jc w:val="center"/>
        <w:rPr>
          <w:rFonts w:hint="eastAsia" w:ascii="宋体" w:hAnsi="宋体"/>
          <w:b/>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5904230" cy="6205855"/>
                    </a:xfrm>
                    <a:prstGeom prst="rect">
                      <a:avLst/>
                    </a:prstGeom>
                    <a:noFill/>
                    <a:ln>
                      <a:noFill/>
                    </a:ln>
                  </pic:spPr>
                </pic:pic>
              </a:graphicData>
            </a:graphic>
          </wp:anchor>
        </w:drawing>
      </w:r>
    </w:p>
    <w:p w14:paraId="15AD996F">
      <w:pPr>
        <w:spacing w:line="360" w:lineRule="exact"/>
        <w:ind w:firstLine="643"/>
        <w:jc w:val="center"/>
        <w:rPr>
          <w:rFonts w:hint="eastAsia" w:ascii="宋体" w:hAnsi="宋体"/>
          <w:b/>
          <w:color w:val="auto"/>
          <w:sz w:val="32"/>
          <w:szCs w:val="32"/>
          <w:highlight w:val="none"/>
        </w:rPr>
      </w:pPr>
    </w:p>
    <w:p w14:paraId="7E6040BC">
      <w:pPr>
        <w:spacing w:line="360" w:lineRule="exact"/>
        <w:ind w:firstLine="643"/>
        <w:jc w:val="center"/>
        <w:rPr>
          <w:rFonts w:hint="eastAsia" w:ascii="宋体" w:hAnsi="宋体"/>
          <w:b/>
          <w:color w:val="auto"/>
          <w:sz w:val="32"/>
          <w:szCs w:val="32"/>
          <w:highlight w:val="none"/>
        </w:rPr>
      </w:pPr>
    </w:p>
    <w:p w14:paraId="3374571D">
      <w:pPr>
        <w:spacing w:line="360" w:lineRule="exact"/>
        <w:ind w:firstLine="643"/>
        <w:jc w:val="center"/>
        <w:rPr>
          <w:rFonts w:hint="eastAsia" w:ascii="宋体" w:hAnsi="宋体"/>
          <w:b/>
          <w:color w:val="auto"/>
          <w:sz w:val="32"/>
          <w:szCs w:val="32"/>
          <w:highlight w:val="none"/>
        </w:rPr>
      </w:pPr>
    </w:p>
    <w:p w14:paraId="32A9583A">
      <w:pPr>
        <w:spacing w:line="360" w:lineRule="exact"/>
        <w:ind w:firstLine="643"/>
        <w:jc w:val="center"/>
        <w:rPr>
          <w:rFonts w:hint="eastAsia" w:ascii="宋体" w:hAnsi="宋体"/>
          <w:b/>
          <w:color w:val="auto"/>
          <w:sz w:val="32"/>
          <w:szCs w:val="32"/>
          <w:highlight w:val="none"/>
        </w:rPr>
      </w:pPr>
    </w:p>
    <w:p w14:paraId="23680441">
      <w:pPr>
        <w:spacing w:line="360" w:lineRule="exact"/>
        <w:ind w:firstLine="643"/>
        <w:jc w:val="center"/>
        <w:rPr>
          <w:rFonts w:hint="eastAsia" w:ascii="宋体" w:hAnsi="宋体"/>
          <w:b/>
          <w:color w:val="auto"/>
          <w:sz w:val="32"/>
          <w:szCs w:val="32"/>
          <w:highlight w:val="none"/>
        </w:rPr>
      </w:pPr>
    </w:p>
    <w:p w14:paraId="259777A6">
      <w:pPr>
        <w:spacing w:line="360" w:lineRule="exact"/>
        <w:ind w:firstLine="643"/>
        <w:jc w:val="center"/>
        <w:rPr>
          <w:rFonts w:hint="eastAsia" w:ascii="宋体" w:hAnsi="宋体"/>
          <w:b/>
          <w:color w:val="auto"/>
          <w:sz w:val="32"/>
          <w:szCs w:val="32"/>
          <w:highlight w:val="none"/>
        </w:rPr>
      </w:pPr>
    </w:p>
    <w:p w14:paraId="517B9166">
      <w:pPr>
        <w:spacing w:line="360" w:lineRule="exact"/>
        <w:ind w:firstLine="643"/>
        <w:jc w:val="center"/>
        <w:rPr>
          <w:rFonts w:hint="eastAsia" w:ascii="宋体" w:hAnsi="宋体"/>
          <w:b/>
          <w:color w:val="auto"/>
          <w:sz w:val="32"/>
          <w:szCs w:val="32"/>
          <w:highlight w:val="none"/>
        </w:rPr>
      </w:pPr>
    </w:p>
    <w:p w14:paraId="29A30192">
      <w:pPr>
        <w:tabs>
          <w:tab w:val="center" w:pos="4410"/>
          <w:tab w:val="left" w:pos="6735"/>
        </w:tabs>
        <w:spacing w:line="480" w:lineRule="auto"/>
        <w:ind w:firstLine="643"/>
        <w:jc w:val="center"/>
        <w:outlineLvl w:val="1"/>
        <w:rPr>
          <w:rFonts w:hint="eastAsia" w:ascii="宋体" w:hAnsi="宋体" w:cs="宋体"/>
          <w:b/>
          <w:color w:val="auto"/>
          <w:kern w:val="0"/>
          <w:sz w:val="32"/>
          <w:szCs w:val="32"/>
          <w:highlight w:val="none"/>
        </w:rPr>
      </w:pPr>
    </w:p>
    <w:p w14:paraId="76FF5600">
      <w:pPr>
        <w:tabs>
          <w:tab w:val="center" w:pos="4410"/>
          <w:tab w:val="left" w:pos="6735"/>
        </w:tabs>
        <w:spacing w:line="480" w:lineRule="auto"/>
        <w:ind w:firstLine="643"/>
        <w:jc w:val="center"/>
        <w:outlineLvl w:val="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采购需求</w:t>
      </w:r>
      <w:bookmarkEnd w:id="0"/>
    </w:p>
    <w:p w14:paraId="3E0068DE">
      <w:pPr>
        <w:adjustRightInd w:val="0"/>
        <w:snapToGrid w:val="0"/>
        <w:spacing w:line="380" w:lineRule="exact"/>
        <w:ind w:firstLine="198" w:firstLineChars="82"/>
        <w:rPr>
          <w:rFonts w:hint="eastAsia" w:ascii="宋体" w:hAnsi="宋体"/>
          <w:b/>
          <w:bCs/>
          <w:color w:val="auto"/>
          <w:kern w:val="44"/>
          <w:szCs w:val="24"/>
          <w:highlight w:val="none"/>
          <w:lang w:val="zh-CN"/>
        </w:rPr>
      </w:pPr>
      <w:r>
        <w:rPr>
          <w:rFonts w:hint="eastAsia" w:ascii="宋体" w:hAnsi="宋体"/>
          <w:b/>
          <w:bCs/>
          <w:color w:val="auto"/>
          <w:kern w:val="44"/>
          <w:szCs w:val="24"/>
          <w:highlight w:val="none"/>
          <w:lang w:val="zh-CN"/>
        </w:rPr>
        <w:t>说明</w:t>
      </w:r>
    </w:p>
    <w:p w14:paraId="4141A82E">
      <w:pPr>
        <w:adjustRightInd w:val="0"/>
        <w:snapToGrid w:val="0"/>
        <w:spacing w:line="380" w:lineRule="exact"/>
        <w:ind w:firstLine="413" w:firstLineChars="196"/>
        <w:rPr>
          <w:rFonts w:hint="eastAsia" w:ascii="宋体" w:hAnsi="宋体" w:cs="宋体"/>
          <w:b/>
          <w:bCs/>
          <w:color w:val="auto"/>
          <w:kern w:val="0"/>
          <w:szCs w:val="24"/>
          <w:highlight w:val="none"/>
        </w:rPr>
      </w:pPr>
      <w:r>
        <w:rPr>
          <w:rFonts w:hint="eastAsia" w:ascii="宋体" w:hAnsi="宋体" w:cs="宋体"/>
          <w:b/>
          <w:bCs/>
          <w:color w:val="auto"/>
          <w:kern w:val="0"/>
          <w:sz w:val="21"/>
          <w:szCs w:val="21"/>
          <w:highlight w:val="none"/>
        </w:rPr>
        <w:t>一、本项目所要执行的政府采购政策</w:t>
      </w:r>
      <w:r>
        <w:rPr>
          <w:rFonts w:hint="eastAsia" w:ascii="宋体" w:hAnsi="宋体" w:cs="宋体"/>
          <w:b/>
          <w:bCs/>
          <w:color w:val="auto"/>
          <w:kern w:val="0"/>
          <w:szCs w:val="24"/>
          <w:highlight w:val="none"/>
        </w:rPr>
        <w:t>：</w:t>
      </w:r>
    </w:p>
    <w:p w14:paraId="5A5AAD52">
      <w:pPr>
        <w:adjustRightInd w:val="0"/>
        <w:snapToGri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本项目专门面向中小企业采购，供应商须满足《政府采购促进中小企业发展管理办法》（财库〔2020〕46号）第二条规定。</w:t>
      </w:r>
    </w:p>
    <w:p w14:paraId="1A972AE8">
      <w:pPr>
        <w:adjustRightInd w:val="0"/>
        <w:snapToGri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2.根据财政部、司法部关于政府采购支持监狱企业发展有关问题的通知（财库〔2014〕68号），监狱企业视同小型、微型企业，享受预留份额等政府采购政策。</w:t>
      </w:r>
    </w:p>
    <w:p w14:paraId="02D2C99F">
      <w:pPr>
        <w:adjustRightInd w:val="0"/>
        <w:snapToGri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3.按照《关于促进残疾人就业政府采购政策的通知》（财库〔2017〕141号）的规定，残疾人福利性单位视同小型、微型企业，享受预留份额等促进中小企业发展政府采购政策。</w:t>
      </w:r>
    </w:p>
    <w:p w14:paraId="6FB0D82E">
      <w:pPr>
        <w:adjustRightInd w:val="0"/>
        <w:snapToGri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35F536A">
      <w:pPr>
        <w:adjustRightInd w:val="0"/>
        <w:snapToGri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5BDDD218">
      <w:pPr>
        <w:adjustRightInd w:val="0"/>
        <w:snapToGri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2C1EA85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二、供应商所提供标的涉及的知识产权和相关技术资料必须是合法取得的，不会侵犯任何第三方的专利权、商标权、工业设计权或其他权利，不会因为采购人的使用服务成果遭受第三方侵权指控，包括被责令致歉、停止使用、追偿或要求赔偿损失等。否则，供应商负责解决由此引起的一切纠纷，采购人有权追究供应商的法律责任，其不利后果由供应商全部承担。</w:t>
      </w:r>
    </w:p>
    <w:p w14:paraId="52D696E0">
      <w:pPr>
        <w:spacing w:line="38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三、实质性要求：“采购需求”中标注“▲”项的条款、磋商文件中要求“必须提供”的条款以及标明不满足及响应无效的条款均属于实质性要求。如有任意一项实质性要求负偏离的，响应文件按无效处理。</w:t>
      </w:r>
    </w:p>
    <w:p w14:paraId="3FB0B780">
      <w:pPr>
        <w:spacing w:line="38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本项目共分为分标1、分标2、分标3、分标4四个分标，供应商可以参与任意一个或多个分标的磋商，但原则上最多只能成为其中一个分标的成交供应商。处理原则如下：若某供应商同时在两个或以上分标综合得分排名第一时，则按分标1→分标2→分标3→分标4的先后顺序推荐成交候选供应商，该供应商一旦被推荐为某一分标的第一成交候选供应商，则在其他分标不再推荐为成交候选供应商。若分标4符合实质性要求的有效供应商分别被推荐为分标1、分标2、分标3的第一成交候选供应商，磋商小组则按有效供应商的综合得分由高到低顺序推荐成交候选供应商。</w:t>
      </w:r>
    </w:p>
    <w:p w14:paraId="661EDE22">
      <w:pPr>
        <w:adjustRightInd w:val="0"/>
        <w:snapToGrid w:val="0"/>
        <w:spacing w:line="380" w:lineRule="exact"/>
        <w:ind w:firstLine="241" w:firstLineChars="100"/>
        <w:rPr>
          <w:rFonts w:hint="eastAsia" w:ascii="宋体" w:hAnsi="宋体" w:cs="宋体"/>
          <w:b/>
          <w:bCs/>
          <w:color w:val="auto"/>
          <w:kern w:val="0"/>
          <w:szCs w:val="24"/>
          <w:highlight w:val="none"/>
          <w:lang w:bidi="ar"/>
        </w:rPr>
      </w:pPr>
    </w:p>
    <w:p w14:paraId="7B581DD1">
      <w:pPr>
        <w:adjustRightInd w:val="0"/>
        <w:snapToGrid w:val="0"/>
        <w:spacing w:line="376" w:lineRule="exact"/>
        <w:ind w:firstLine="241" w:firstLineChars="100"/>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分标1</w:t>
      </w:r>
    </w:p>
    <w:p w14:paraId="38F5E4A5">
      <w:pPr>
        <w:adjustRightInd w:val="0"/>
        <w:snapToGrid w:val="0"/>
        <w:spacing w:line="376" w:lineRule="exact"/>
        <w:ind w:firstLine="422"/>
        <w:rPr>
          <w:rFonts w:hint="eastAsia" w:ascii="宋体" w:hAnsi="宋体"/>
          <w:b/>
          <w:bCs/>
          <w:color w:val="auto"/>
          <w:kern w:val="44"/>
          <w:szCs w:val="24"/>
          <w:highlight w:val="none"/>
        </w:rPr>
      </w:pPr>
      <w:r>
        <w:rPr>
          <w:rFonts w:hint="eastAsia" w:ascii="宋体" w:hAnsi="宋体" w:cs="宋体"/>
          <w:b/>
          <w:bCs/>
          <w:color w:val="auto"/>
          <w:sz w:val="21"/>
          <w:szCs w:val="24"/>
          <w:highlight w:val="none"/>
        </w:rPr>
        <w:t>本分标采购标的：桂林市生态环境执法监测服务（资源县、全州县、兴安县、灌阳县）；采购标的所属行业为：其他未列明行业</w:t>
      </w:r>
      <w:r>
        <w:rPr>
          <w:rFonts w:hint="eastAsia" w:ascii="宋体" w:hAnsi="宋体" w:cs="宋体"/>
          <w:b/>
          <w:bCs/>
          <w:color w:val="auto"/>
          <w:kern w:val="0"/>
          <w:szCs w:val="24"/>
          <w:highlight w:val="none"/>
          <w:lang w:bidi="ar"/>
        </w:rPr>
        <w:t>。</w:t>
      </w:r>
    </w:p>
    <w:p w14:paraId="7F8BAA38">
      <w:pPr>
        <w:spacing w:line="376" w:lineRule="exact"/>
        <w:ind w:firstLine="316" w:firstLineChars="150"/>
        <w:rPr>
          <w:rFonts w:hint="eastAsia" w:ascii="宋体" w:hAnsi="宋体"/>
          <w:b/>
          <w:color w:val="auto"/>
          <w:szCs w:val="24"/>
          <w:highlight w:val="none"/>
        </w:rPr>
      </w:pPr>
      <w:r>
        <w:rPr>
          <w:rFonts w:hint="eastAsia" w:ascii="宋体" w:hAnsi="宋体" w:cs="宋体"/>
          <w:b/>
          <w:bCs/>
          <w:color w:val="auto"/>
          <w:sz w:val="21"/>
          <w:szCs w:val="21"/>
          <w:highlight w:val="none"/>
        </w:rPr>
        <w:t>▲</w:t>
      </w:r>
      <w:r>
        <w:rPr>
          <w:rFonts w:hint="eastAsia" w:ascii="宋体" w:hAnsi="宋体"/>
          <w:b/>
          <w:color w:val="auto"/>
          <w:sz w:val="21"/>
          <w:szCs w:val="21"/>
          <w:highlight w:val="none"/>
        </w:rPr>
        <w:t>Ⅰ、服务内容及要求</w:t>
      </w:r>
    </w:p>
    <w:p w14:paraId="0D15E6CE">
      <w:pPr>
        <w:spacing w:line="376" w:lineRule="exact"/>
        <w:ind w:firstLine="316" w:firstLineChars="15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 xml:space="preserve">一、服务要求 </w:t>
      </w:r>
    </w:p>
    <w:p w14:paraId="4A558C3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（一）监测范围 </w:t>
      </w:r>
    </w:p>
    <w:p w14:paraId="2E92403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b/>
          <w:bCs/>
          <w:color w:val="auto"/>
          <w:sz w:val="21"/>
          <w:szCs w:val="24"/>
          <w:highlight w:val="none"/>
        </w:rPr>
        <w:t>供应商在</w:t>
      </w:r>
      <w:r>
        <w:rPr>
          <w:rFonts w:hint="eastAsia" w:ascii="宋体" w:hAnsi="宋体" w:cs="宋体"/>
          <w:b/>
          <w:bCs/>
          <w:color w:val="auto"/>
          <w:sz w:val="21"/>
          <w:szCs w:val="24"/>
          <w:highlight w:val="none"/>
        </w:rPr>
        <w:t>服务区域范围内提供以下服务：</w:t>
      </w:r>
      <w:r>
        <w:rPr>
          <w:rFonts w:hint="eastAsia" w:ascii="宋体" w:hAnsi="宋体" w:cs="宋体"/>
          <w:b/>
          <w:bCs/>
          <w:color w:val="auto"/>
          <w:sz w:val="21"/>
          <w:szCs w:val="21"/>
          <w:highlight w:val="none"/>
        </w:rPr>
        <w:t xml:space="preserve">区域内日常监督检查、查处环境违法行为、各项环保专项执法检查、交叉帮扶检查、信访投诉案件调查及其他执法检查工作等需要开展的执法监测。 </w:t>
      </w:r>
    </w:p>
    <w:p w14:paraId="4ED03F2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（二）质量技术及服务要求 </w:t>
      </w:r>
    </w:p>
    <w:p w14:paraId="2306DC37">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1.供应商应当按照相关技术规范或标准实施样品的采集、传送、制备、贮存、处置以及样品分析和数据处理等检测活动，保证检测数据和信息的代表性、准确性、精密性、可比性和完整性。 </w:t>
      </w:r>
    </w:p>
    <w:p w14:paraId="1F93BD5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2.根据工作需要，采购人有权按实际工作需要要求供应商进行生态环境执法监测。 </w:t>
      </w:r>
    </w:p>
    <w:p w14:paraId="30334FB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应当独立承担监测业务工作，如遇下列特殊情况需要分包，须由供应商负责联系受托分包商，并将分包商名称、监测具体项目及收费标准以书面形式告知采购人，经采购人同意后，方可分包。需分包的监测业务应由采购人进行委托，所需费用由供应商从本分标合同款中支出。 </w:t>
      </w:r>
    </w:p>
    <w:p w14:paraId="24B107F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（1）辐射类、机动车排放污染物、非道路移动机械排放污染物等特殊项目。 </w:t>
      </w:r>
    </w:p>
    <w:p w14:paraId="70DC4A6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（2）其他特殊情况经采购人同意确需分包的。 </w:t>
      </w:r>
    </w:p>
    <w:p w14:paraId="47FC928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4.供应商接到采购人执法监测通知后应在采购人规定的时间内到达目的地。 </w:t>
      </w:r>
    </w:p>
    <w:p w14:paraId="261CC03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5.供应商监测过程应按环境监测质量控制相关要求实施质控措施，确保监测质量。 </w:t>
      </w:r>
    </w:p>
    <w:p w14:paraId="25C12BB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6.供应商监测过程不得故意影响监测结果的客观性、不得编造数据，或者有其他弄虚作假行为，对结果的真实性负法律责任。 </w:t>
      </w:r>
    </w:p>
    <w:p w14:paraId="5A48535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7.供应商应当严格遵守法律法规，按照合同要求开展监测活动并在规定时间提交监测报告（采样完成之日起计），保证监测结果的时效性。 </w:t>
      </w:r>
    </w:p>
    <w:p w14:paraId="2BA90CB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8.所有环境监测数据、资料、成果，供应商应当按照国家有关保密的规定进行管理，未经采购人许可不得擅自对外发布监测数据。 </w:t>
      </w:r>
    </w:p>
    <w:p w14:paraId="4310CCBA">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9.如供应商接到采购人监测服务工作任务后，出现下列情形之一时，采购人可以无条件更换本项目其他分标的成交供应商提供相应的执法监测服务：</w:t>
      </w:r>
    </w:p>
    <w:p w14:paraId="6C7E91D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（1）未能按照采购人要求及时完成区域内监测采样并出具监测报告的；</w:t>
      </w:r>
    </w:p>
    <w:p w14:paraId="22B63C7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（2）供应商在同一时期同时接受采购人委派的多个监测服务工作，经供应商确认，拟配备人员、设备或时间无法满足监测服务工作的；</w:t>
      </w:r>
    </w:p>
    <w:p w14:paraId="79E4E10F">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（3）其他不可抗力因素等无法满足监测服务工作的。</w:t>
      </w:r>
    </w:p>
    <w:p w14:paraId="6820F40A">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二、实验室及人员要求 </w:t>
      </w:r>
    </w:p>
    <w:p w14:paraId="51A0136D">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（一）实验室要求 </w:t>
      </w:r>
    </w:p>
    <w:p w14:paraId="06F48A57">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1.实验场所、设备、人员等需满足《检验检测机构资质认定评审准则》（国家市场监督管理总局公告2023年第21号）及《检验检测机构资质认定生态环境监测机构评审补充要求》。 </w:t>
      </w:r>
    </w:p>
    <w:p w14:paraId="3EE57FD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2.仪器设备要求 </w:t>
      </w:r>
    </w:p>
    <w:p w14:paraId="16C1594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配备数量充足、技术指标符合相关检测方法要求的各类主要检测仪器设备；与检测结果的准确性和有效性相关的仪器设备在投入使用前，必须进行量值溯源，并保持其在有效期内。 </w:t>
      </w:r>
    </w:p>
    <w:p w14:paraId="70DEC29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3.送实验室监测时间：自采样结束后须2小时内送实验室进行监测。</w:t>
      </w:r>
    </w:p>
    <w:p w14:paraId="7A45B754">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（二）人员要求 </w:t>
      </w:r>
    </w:p>
    <w:p w14:paraId="7360DC7F">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供应商应具有与其承担本分标检测任务相关的技术人员和管理人员，数量和能力应满足本分标检测任务的需要，具体要求如下： </w:t>
      </w:r>
    </w:p>
    <w:p w14:paraId="6571DAF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1.项目负责人（1人）：负责项目组织实施、沟通协调，能有效推进项目整体工作，保证服务质量和时效性。</w:t>
      </w:r>
    </w:p>
    <w:p w14:paraId="4623457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2.技术人员（包括现场监测人员、实验室分析人员、质量管理人员）： </w:t>
      </w:r>
    </w:p>
    <w:p w14:paraId="22A4202C">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2.1技术人员基本要求</w:t>
      </w:r>
    </w:p>
    <w:p w14:paraId="657C159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（1）现场监测人员（人数≥6人）：熟悉监测点位布设、样品采集、样品保存方式和有效时间、样品运输等的相关技术规范和要求，具备环境类现场监测项目能力。 </w:t>
      </w:r>
    </w:p>
    <w:p w14:paraId="4F63CEA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（2）实验室分析人员（人数≥7人）：必须熟悉分析方法和实验操作，熟悉分析过程中的质控手段。 </w:t>
      </w:r>
    </w:p>
    <w:p w14:paraId="35CC83B7">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（3）质量管理人员（人数≥1人）：须具备专职质量管理人员，熟悉环境监测工作。应熟悉样品采集、保存、分析等环节，及时督促并采取适当的纠正和预防措施。 </w:t>
      </w:r>
    </w:p>
    <w:p w14:paraId="3D017D6C">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w:t>
      </w:r>
    </w:p>
    <w:p w14:paraId="7090BC8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①现场监测人员、实验室分析人员及质量管理人员均不能相互任职。</w:t>
      </w:r>
    </w:p>
    <w:p w14:paraId="40C1BE8A">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②以上人员在承担本项目的监测工作前，须按《检验检测机构资质认定生态环境监测机构评审补充要求》经过相应的培训和能力确认。</w:t>
      </w:r>
    </w:p>
    <w:p w14:paraId="2B41A02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三、质量控制措施 </w:t>
      </w:r>
    </w:p>
    <w:p w14:paraId="76D5934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（一）总体要求 </w:t>
      </w:r>
    </w:p>
    <w:p w14:paraId="5C0BBA6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1.本分标所涉及的所有现场及实验室分析项目必须严格按照现行有效的标准方法执行。 </w:t>
      </w:r>
    </w:p>
    <w:p w14:paraId="7EA6EDD4">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2.供应商的各种监测活动应满足《环境监测质量管理技术导则》（HJ630-2011）的质量管理要求。 </w:t>
      </w:r>
    </w:p>
    <w:p w14:paraId="1CA0043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3.供应商的各个监测项目必须满足所依据的标准方法中规定的所有质控要求。 </w:t>
      </w:r>
    </w:p>
    <w:p w14:paraId="39DD33D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4.监测数据的处理必须满足《数据的统计处理和解释正态样本离群值的判断和处理》（GB/T 4883-2008）和《数值修约规则与极限数值的表示和判定》（GB/T 8170-2008）的要求。 </w:t>
      </w:r>
    </w:p>
    <w:p w14:paraId="68A655FC">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5.供应商应对受委托的每个监测任务下达质控计划，包括现场采样、现场监测、实验室分析、检测报告等过程的质量保证措施和质量控制指标，并接受采购人的质控抽查考核。 </w:t>
      </w:r>
    </w:p>
    <w:p w14:paraId="1DAC3D8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6.固定污染源废水、废气污染物排放的环境监测，固定污染源废水排放、废气排放手工监测和比对监测过程中采样及测定必须满足《固定污染源监测质量保证与质量控制技术规范（试行）》（HJ/T 373-2007）的质控要求。 </w:t>
      </w:r>
    </w:p>
    <w:p w14:paraId="54668B8C">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7.检测全过程（采样、运输、保存、分析）的安全责任（人员、环境、交通）由供应商自行负责。 </w:t>
      </w:r>
    </w:p>
    <w:p w14:paraId="1A4F5B5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（二）重点要求 </w:t>
      </w:r>
    </w:p>
    <w:p w14:paraId="1778491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1.水和废水现场采样质量控制</w:t>
      </w:r>
    </w:p>
    <w:p w14:paraId="35E5105C">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（1）应按相应的规范要求采集、保存、运输样品， 并对采样准备工作和采样过程实行必要的质量监督。应使用定位仪及照相机等辅助设备证实采样点位置。 </w:t>
      </w:r>
    </w:p>
    <w:p w14:paraId="3FF0A29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（2）按照标准方法要求准备采样容器，每个项目必须严格按照标准要求选择对应的采样容器。 </w:t>
      </w:r>
    </w:p>
    <w:p w14:paraId="57E2C8C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采样点位的设置与频次须根据采购人要求进行，采样记录要描述详细准确，采样全过程重要节点要求依靠电子技术进行拍照或录像留存，由采购人检查。采样过程中出现突发状况无法在规定的点位采样或频次有变，或其他特殊情况，应及时与采购人沟通，不能擅自改变及自行处理。 </w:t>
      </w:r>
    </w:p>
    <w:p w14:paraId="5604E4E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（4）涉及重点源比对监测，每次监测时，手工监测与在线监测数据对不少于3对。比对监测与在线连续监测采样时间和采样点位应保持一致，比对监测过程中应尽可能保证比对样品均匀一致。 </w:t>
      </w:r>
    </w:p>
    <w:p w14:paraId="2D98F16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（5）各分析项目严格按照监测技术规范及分析方法中的质控要求执行，并做好留样、存样。 </w:t>
      </w:r>
    </w:p>
    <w:p w14:paraId="24D4D6D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2.实验室分析质量控制 </w:t>
      </w:r>
    </w:p>
    <w:p w14:paraId="42F793D0">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实验室分析的质控措施应包括实验室空白、平行、加标回收、有证标准样品、留样、实验室间（内）比对实验、能力验证、比对（人员、方法、仪器）、结果的相关性等质控手段进行有效技术核查。 </w:t>
      </w:r>
    </w:p>
    <w:p w14:paraId="6B95B007">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3.环境空气和废气监测质量控制 </w:t>
      </w:r>
    </w:p>
    <w:p w14:paraId="4E2EFE6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（1）环境空气监测 </w:t>
      </w:r>
    </w:p>
    <w:p w14:paraId="3AD599DB">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应按照监测技术规范要求检查采样系统，采样前应进行流量校准、气密性检查及气象参数标定，气象参数的测量及读取、样品的保存与运输要符合规范要求，每个监测任务至少做 2 个现场空白，采集不少于10%的平行样品。颗粒物采样后称量的同时应称量“标准滤膜”。 </w:t>
      </w:r>
    </w:p>
    <w:p w14:paraId="4B08140C">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（2）废气监测 </w:t>
      </w:r>
    </w:p>
    <w:p w14:paraId="2659B41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①烟气分析仪应在测试前后按监测因子分别用与实测浓度相近的标准气体和流量计对其进行校核（标定）。 </w:t>
      </w:r>
    </w:p>
    <w:p w14:paraId="063A567F">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②对气体状态参数测量装置至少半年自行校正一次。 校正方法按照 《固定污染源排气中颗粒物测定与气态污染物采样方法》（GB/T16157-1996）及《固定污染源排气中颗粒物测定与气态污染物采样方法》行业标准第1号修改单（GB/T 16157-1996/XG1-2017）中相关要求执行。 </w:t>
      </w:r>
    </w:p>
    <w:p w14:paraId="6D98AFD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③定电位电解法烟气测定仪，应用仪器量程中值附近浓度的标准气校准，根据仪器使用频率，每 3 个月至半年校准一次，使用频率较高的情况下，应增加校准次数。 </w:t>
      </w:r>
    </w:p>
    <w:p w14:paraId="700D997F">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④测氧仪至少每季度检查校验一次，使用高纯氮检查零点，用干净的环境空气应能调整其示值为 20.9%。 </w:t>
      </w:r>
    </w:p>
    <w:p w14:paraId="635EA09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⑤自动等速采样仪和含湿量测定装置的温度计、电子压差计、流量计应定期进行校准。 </w:t>
      </w:r>
    </w:p>
    <w:p w14:paraId="5627DFE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⑥采样的工况、监测点位、采样量等应符合监测规范要求。 </w:t>
      </w:r>
    </w:p>
    <w:p w14:paraId="5570405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4.土壤监测质量控制 </w:t>
      </w:r>
    </w:p>
    <w:p w14:paraId="008A6E2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（1）土壤监测点位布设方法和布设数量应根据其目的和要求，并结合现场勘察结果确定该区域内土壤监测点位。土壤样品采集和运输保存符合标准规范要求。 </w:t>
      </w:r>
    </w:p>
    <w:p w14:paraId="348B7CE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（2）实验室分析应采用实验室空白、平行、加标回收、有证标准样品、留样等质控手段。 </w:t>
      </w:r>
    </w:p>
    <w:p w14:paraId="53990C6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5.固体废物监测质量控制 </w:t>
      </w:r>
    </w:p>
    <w:p w14:paraId="2417C79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（1）固体废物危险特性鉴别检测项目的确定应以工艺分析为主要手段，综合原辅材料特性、生产工艺、固体废物产生工艺等信息，确定可能具有的危险特性及相应检测项目。 </w:t>
      </w:r>
    </w:p>
    <w:p w14:paraId="2523B55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（2）样品采集应记录必要的信息，包括（但不限于）：样品编号、采样时间、采样地点、企业生产工况。样品的采集、包装、运输和保存应符合相应检测项目的有关要求。 </w:t>
      </w:r>
    </w:p>
    <w:p w14:paraId="44533EE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（3）固体废物危险特性鉴别的检测应符合相应检测方法的质量保证与质量控制要求。 </w:t>
      </w:r>
    </w:p>
    <w:p w14:paraId="2EE0E12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6.噪声和振动监测质量控制 </w:t>
      </w:r>
    </w:p>
    <w:p w14:paraId="07DEA66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（1）用于测量噪声的仪器和校准仪器应定期检定合格，并在有效使用期内使用；每次测量前、后必须在测量现场进行声学校准。 </w:t>
      </w:r>
    </w:p>
    <w:p w14:paraId="2665237F">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（2）用于测量环境振动的仪器，其性能必须符合国家及行业的有关条款的规定。测量系统每年至少送计量部门校准一次。 </w:t>
      </w:r>
    </w:p>
    <w:p w14:paraId="2ED054E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（3）测量条件、测量点位、测量时段及测量记录须符合相应标准规范要求。 </w:t>
      </w:r>
    </w:p>
    <w:p w14:paraId="7BAF7F7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7.数据处理和报告抽查质量控制 </w:t>
      </w:r>
    </w:p>
    <w:p w14:paraId="388751E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监测结果应采用法定计量单位；平行样的测定结果在允许偏差范围内时，用其平均值报告测定结果；监测结果低于方法检出限时，用“ND”表示，并注明“ND”表示未检出，同时给出方法检出限值；采购人需要时，应给出监测结果的不确定度范围。 </w:t>
      </w:r>
    </w:p>
    <w:p w14:paraId="1FD8CDE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严格按要求做好三级审核工作。对数据的计算、有效位数、数据的合理性进行审查，确保数据真实、可靠、有效。加强数据敏感性，若出现超标情况，及时上报采购人，并分析超标原因，如需复测，须征得采购人同意。 </w:t>
      </w:r>
    </w:p>
    <w:p w14:paraId="054C47A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（3）监测报告应按时提交采购人。 </w:t>
      </w:r>
    </w:p>
    <w:p w14:paraId="0D12D34D">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（4）委托检测项目的监测数据和结果的一次交验合格率≥99%；监测报告交付及时率要达到 100%。 </w:t>
      </w:r>
    </w:p>
    <w:p w14:paraId="776E0B2D">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（三）质量控制考核办法 </w:t>
      </w:r>
    </w:p>
    <w:p w14:paraId="0DB3F1A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1.采购人视需要对供应商的质量控制情况进行考核。 </w:t>
      </w:r>
    </w:p>
    <w:p w14:paraId="7E569A4A">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2.考核内容 </w:t>
      </w:r>
    </w:p>
    <w:p w14:paraId="173EE0D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考核包括但不限于以下内容： </w:t>
      </w:r>
    </w:p>
    <w:p w14:paraId="6A14FFB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（1）采样规范性考核，通过现场采样核查、调取图片、视频核查等方式对现场采样、样品保存及样品运输过程进行考核。 </w:t>
      </w:r>
    </w:p>
    <w:p w14:paraId="4876EA1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（2）监测报告及分析原始资料记录考核，通过抽查现场采样、样品交接记录、实验室分析记录、质控记录及监测报告等方式进行考核。 </w:t>
      </w:r>
    </w:p>
    <w:p w14:paraId="225680E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3.违反质量控制措施的情况 </w:t>
      </w:r>
    </w:p>
    <w:p w14:paraId="6EA40F94">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（1）采购人随时对供应商受委托的检测工作进行质量监督，确保供应商能按时按质完成相关的质量控制措施，如出现不可预测的情况，视情况的轻重程度进行处理。 </w:t>
      </w:r>
    </w:p>
    <w:p w14:paraId="72C9DC6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（2）检查过程中如发现有数据造假情况（判定方法按照《环境监测数据弄虚作假行为判定及处理办法》及相关的法律法规规定）立即终止合同，退赔全部服务费用。 </w:t>
      </w:r>
    </w:p>
    <w:p w14:paraId="1B56ADE7">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（3）年度内对采购项目质控措施整改后仍不满足要求达到三次的即终止合同，退赔全部服务费用。 </w:t>
      </w:r>
    </w:p>
    <w:p w14:paraId="57F71C0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（4）供应商提供的监测报告如经相关有权部门认定不符合规范的，采购人有权要求供应商退赔相关服务费用。</w:t>
      </w:r>
    </w:p>
    <w:p w14:paraId="5DAEA19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（5）监测过程中不得故意影响结果的客观性，不得编造数据，或者有其他弄虚作假行为，对结果的真实性负法律责任。</w:t>
      </w:r>
    </w:p>
    <w:p w14:paraId="513013E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（四）执法监测相关要求</w:t>
      </w:r>
    </w:p>
    <w:p w14:paraId="26E0C44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1.现场要求</w:t>
      </w:r>
    </w:p>
    <w:p w14:paraId="5BCFAAF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（1）监测现场统一着装，现场人员至少1名全程佩戴摄像记录仪；</w:t>
      </w:r>
    </w:p>
    <w:p w14:paraId="1F0665F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（2）每个监测项目现场配备至少3名工作人员，1名负责记录工况，2名负责现场监测采样，采样完成样品要求封箱保存；</w:t>
      </w:r>
    </w:p>
    <w:p w14:paraId="61B0299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（3）摄像要求：采样前校准、采样过程、样品封箱、交接样品过程均要求全程录像、拍照保存。</w:t>
      </w:r>
    </w:p>
    <w:p w14:paraId="284EAB4D">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（4）样品保存及封箱：样品应放在密封袋，固定放置样品箱，要求每个受监测的单位的样品单独封箱。</w:t>
      </w:r>
    </w:p>
    <w:p w14:paraId="53E6D11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2.记录签字要求</w:t>
      </w:r>
    </w:p>
    <w:p w14:paraId="08DBEC4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原始采样记录单及封条须环保相关部门人员签字，仪器采样信息的打印记录条要求受监测单位相关人员签字确认。</w:t>
      </w:r>
    </w:p>
    <w:p w14:paraId="3F7756D4">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3.监测报告要求</w:t>
      </w:r>
    </w:p>
    <w:p w14:paraId="6088D1F4">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3.1监测报告提交时间要求</w:t>
      </w:r>
    </w:p>
    <w:p w14:paraId="70BECA0D">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（1）水质监测报告：5个工作日内（如有 BOD</w:t>
      </w:r>
      <w:r>
        <w:rPr>
          <w:rFonts w:hint="eastAsia" w:ascii="宋体" w:hAnsi="宋体" w:cs="宋体"/>
          <w:bCs/>
          <w:color w:val="auto"/>
          <w:kern w:val="0"/>
          <w:sz w:val="21"/>
          <w:szCs w:val="21"/>
          <w:highlight w:val="none"/>
          <w:vertAlign w:val="subscript"/>
        </w:rPr>
        <w:t>5</w:t>
      </w:r>
      <w:r>
        <w:rPr>
          <w:rFonts w:hint="eastAsia" w:ascii="宋体" w:hAnsi="宋体" w:cs="宋体"/>
          <w:b/>
          <w:bCs/>
          <w:color w:val="auto"/>
          <w:kern w:val="0"/>
          <w:sz w:val="21"/>
          <w:szCs w:val="21"/>
          <w:highlight w:val="none"/>
        </w:rPr>
        <w:t xml:space="preserve">、微生物等指标的7个工作日内）提交。 </w:t>
      </w:r>
    </w:p>
    <w:p w14:paraId="2507874E">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（2）环境空气和废气监测报告：5个工作日内提交。 </w:t>
      </w:r>
    </w:p>
    <w:p w14:paraId="0269B7F2">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（3）固体废物浸出毒性监测报告：7个工作日内提交。 </w:t>
      </w:r>
    </w:p>
    <w:p w14:paraId="298B23C3">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（4）土壤、沉积物及固体废物全量分析监测报告：15 个工作日内提交。 </w:t>
      </w:r>
    </w:p>
    <w:p w14:paraId="01102E6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（5）振动和噪声监测报告：3 个工作日内提交。</w:t>
      </w:r>
    </w:p>
    <w:p w14:paraId="14246DD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3.2监测报告内容及其他要求</w:t>
      </w:r>
    </w:p>
    <w:p w14:paraId="3046F2A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供应商须向采购人提交的监测报告包括纸质版2份和电子版1份（①监测报告：按顺序扫描成PDF格式；②视频、照片：光盘或U盘）：</w:t>
      </w:r>
    </w:p>
    <w:p w14:paraId="525D0E3A">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纸质版材料顺序及要求（监测报告须包含本次监测所涉及的相关人员及设备）：</w:t>
      </w:r>
    </w:p>
    <w:p w14:paraId="590AFE78">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（1）监测报告：比对监测报告原件（并列出比对的情况）；</w:t>
      </w:r>
    </w:p>
    <w:p w14:paraId="5B735DE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（2）监测机构的资质（须附所监测因子相应监测资质的相关页面，不需附完整全套资质文件）；</w:t>
      </w:r>
    </w:p>
    <w:p w14:paraId="4A6212D0">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（3）人员要求（附：拟投入相应监测项目的工作人员在承担监测工作前经过相应的培训和能力确认的证明材料，可以是成交供应商提供的认定材料、上岗证、培训合格证等任一证明材料）；</w:t>
      </w:r>
    </w:p>
    <w:p w14:paraId="34BB8976">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（4）一氧化碳干扰试验测试报告（大气类）；</w:t>
      </w:r>
    </w:p>
    <w:p w14:paraId="2F2457D5">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（5）监测仪器检定证书、校准证书；</w:t>
      </w:r>
    </w:p>
    <w:p w14:paraId="6C77A6A1">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（6）监测设备的校准记录（监测设备在监测前及监测结束后的校准记录页面，包括采样前有效性审查）；</w:t>
      </w:r>
    </w:p>
    <w:p w14:paraId="4595C0DF">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（7）原始采样单【原始记录表，要求包含比对情况（比对数据记录单、烟气分析仪打印凭条要求受监测单位相关人员签字）】；</w:t>
      </w:r>
    </w:p>
    <w:p w14:paraId="4ACF911B">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（8）样品交接记录；</w:t>
      </w:r>
    </w:p>
    <w:p w14:paraId="3F502C59">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（9）原始分析记录（分析记录须要求复核人员签字）。</w:t>
      </w:r>
    </w:p>
    <w:p w14:paraId="71CEEE5A">
      <w:pPr>
        <w:spacing w:line="376"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每份监测报告按此顺序进行排列。</w:t>
      </w:r>
    </w:p>
    <w:p w14:paraId="6BA67FFF">
      <w:pPr>
        <w:adjustRightInd w:val="0"/>
        <w:snapToGrid w:val="0"/>
        <w:spacing w:line="376" w:lineRule="exact"/>
        <w:ind w:firstLine="482"/>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w:t>
      </w:r>
      <w:r>
        <w:rPr>
          <w:rFonts w:hint="eastAsia" w:ascii="宋体" w:hAnsi="宋体" w:cs="宋体"/>
          <w:b/>
          <w:bCs/>
          <w:color w:val="auto"/>
          <w:szCs w:val="24"/>
          <w:highlight w:val="none"/>
        </w:rPr>
        <w:t>Ⅱ</w:t>
      </w:r>
      <w:r>
        <w:rPr>
          <w:rFonts w:hint="eastAsia" w:ascii="宋体" w:hAnsi="宋体" w:cs="宋体"/>
          <w:b/>
          <w:bCs/>
          <w:color w:val="auto"/>
          <w:kern w:val="0"/>
          <w:szCs w:val="24"/>
          <w:highlight w:val="none"/>
        </w:rPr>
        <w:t>、商务要求</w:t>
      </w:r>
    </w:p>
    <w:p w14:paraId="5632F9E2">
      <w:pPr>
        <w:adjustRightInd w:val="0"/>
        <w:snapToGrid w:val="0"/>
        <w:spacing w:line="376" w:lineRule="exact"/>
        <w:ind w:firstLine="482"/>
        <w:rPr>
          <w:rFonts w:hint="eastAsia" w:ascii="宋体" w:hAnsi="宋体" w:cs="宋体"/>
          <w:b/>
          <w:bCs/>
          <w:color w:val="auto"/>
          <w:kern w:val="0"/>
          <w:sz w:val="21"/>
          <w:szCs w:val="21"/>
          <w:highlight w:val="none"/>
        </w:rPr>
      </w:pPr>
      <w:r>
        <w:rPr>
          <w:rFonts w:hint="eastAsia" w:ascii="宋体" w:hAnsi="宋体" w:cs="宋体"/>
          <w:b/>
          <w:bCs/>
          <w:color w:val="auto"/>
          <w:kern w:val="0"/>
          <w:szCs w:val="20"/>
          <w:highlight w:val="none"/>
        </w:rPr>
        <w:t>一、</w:t>
      </w:r>
      <w:r>
        <w:rPr>
          <w:rFonts w:hint="eastAsia" w:ascii="宋体" w:hAnsi="宋体" w:cs="宋体"/>
          <w:b/>
          <w:bCs/>
          <w:color w:val="auto"/>
          <w:kern w:val="0"/>
          <w:sz w:val="21"/>
          <w:szCs w:val="21"/>
          <w:highlight w:val="none"/>
        </w:rPr>
        <w:t>服务期限、服务区域</w:t>
      </w:r>
    </w:p>
    <w:p w14:paraId="381DBCEA">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1.服务期限</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自签订合同之日起3年</w:t>
      </w:r>
      <w:r>
        <w:rPr>
          <w:rFonts w:ascii="宋体" w:hAnsi="宋体" w:cs="宋体"/>
          <w:b/>
          <w:bCs/>
          <w:color w:val="auto"/>
          <w:kern w:val="0"/>
          <w:sz w:val="21"/>
          <w:szCs w:val="21"/>
          <w:highlight w:val="none"/>
        </w:rPr>
        <w:t>。</w:t>
      </w:r>
    </w:p>
    <w:p w14:paraId="794F5452">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2.服务区域</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原则上在广西桂林市资源县、全州县、兴安县、灌阳县内采购人指定地点。如采购人因工作安排需要供应商在广西桂林市其他区域提供监测服务的，供应商应无条件服从采购人安排（不可抗力因素等特殊情况并经采购人同意除外）</w:t>
      </w:r>
      <w:r>
        <w:rPr>
          <w:rFonts w:ascii="宋体" w:hAnsi="宋体" w:cs="宋体"/>
          <w:b/>
          <w:bCs/>
          <w:color w:val="auto"/>
          <w:kern w:val="0"/>
          <w:sz w:val="21"/>
          <w:szCs w:val="21"/>
          <w:highlight w:val="none"/>
        </w:rPr>
        <w:t>。</w:t>
      </w:r>
    </w:p>
    <w:p w14:paraId="414BD9F0">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二、采购预算金额、磋商报价、结算办法</w:t>
      </w:r>
    </w:p>
    <w:p w14:paraId="54B2EAF6">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（一）采购预算金额：陆拾万元整（¥600000.00）。</w:t>
      </w:r>
    </w:p>
    <w:p w14:paraId="415B62B2">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（二）磋商报价</w:t>
      </w:r>
    </w:p>
    <w:p w14:paraId="207682B2">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1.基准价：以《关于重新核定环境监测收费标准的函》（桂价费字〔2004〕301号）的收费标准作为基准价【如《关于重新核定环境监测收费标准的函》（桂价费字〔2004〕301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19E06499">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本分标磋商报价采用综合折扣率报价方式（以%表示，最多精确到小数点后两位）。供应商必须就“采购需求”中所竞分标的所有服务内容作完整唯一综合折扣率报价。供应商所竞分标的报价必须≤80%，否则，响应文件按分标作无效处理。 </w:t>
      </w:r>
    </w:p>
    <w:p w14:paraId="7842BCF4">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供应商磋商报价应包含完成“采购需求”中所竞分标所列所有服务内容产生的所有成本【包含但不限于供应商完成本分标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5AB37F27">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（三）结算办法</w:t>
      </w:r>
    </w:p>
    <w:p w14:paraId="1EFDF805">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1.采购人根据成交供应商实际发生的服务工作量进行结算，即：结算金额=∑【实际发生的服务工作量×基准价×成交综合折扣率】。</w:t>
      </w:r>
    </w:p>
    <w:p w14:paraId="6EE8C2A5">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注：其中∑表示将各类相应服务工作量结算后的金额进行相加汇总。</w:t>
      </w:r>
    </w:p>
    <w:p w14:paraId="7BCA0F16">
      <w:pPr>
        <w:spacing w:line="376"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2.各分标的结算金额不得超出相应分标的采购预算金额。</w:t>
      </w:r>
    </w:p>
    <w:p w14:paraId="5BF3DEE6">
      <w:pPr>
        <w:adjustRightInd w:val="0"/>
        <w:snapToGrid w:val="0"/>
        <w:spacing w:line="376"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三、付款方式</w:t>
      </w:r>
    </w:p>
    <w:p w14:paraId="147A44B0">
      <w:pPr>
        <w:spacing w:line="376" w:lineRule="exact"/>
        <w:ind w:firstLine="422"/>
        <w:rPr>
          <w:rFonts w:hint="eastAsia" w:ascii="宋体" w:hAnsi="宋体" w:cs="宋体"/>
          <w:b/>
          <w:bCs/>
          <w:color w:val="auto"/>
          <w:kern w:val="44"/>
          <w:sz w:val="21"/>
          <w:szCs w:val="21"/>
          <w:highlight w:val="none"/>
          <w:shd w:val="clear" w:color="auto" w:fill="FFFFFF"/>
          <w:lang w:bidi="ar"/>
        </w:rPr>
      </w:pPr>
      <w:r>
        <w:rPr>
          <w:rFonts w:hint="eastAsia" w:ascii="宋体" w:hAnsi="宋体" w:cs="宋体"/>
          <w:b/>
          <w:bCs/>
          <w:color w:val="auto"/>
          <w:kern w:val="44"/>
          <w:sz w:val="21"/>
          <w:szCs w:val="21"/>
          <w:highlight w:val="none"/>
          <w:shd w:val="clear" w:color="auto" w:fill="FFFFFF"/>
          <w:lang w:bidi="ar"/>
        </w:rPr>
        <w:t>本项目按成交供应商每个季度实际完成的服务工作量进行结算，采购人在收到成交供应商开具的相应发票后10个工作日内支付（无息）。</w:t>
      </w:r>
    </w:p>
    <w:p w14:paraId="37B14AB8">
      <w:pPr>
        <w:adjustRightInd w:val="0"/>
        <w:snapToGrid w:val="0"/>
        <w:spacing w:line="376"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四、质量标准和验收标准</w:t>
      </w:r>
    </w:p>
    <w:p w14:paraId="3D200F31">
      <w:pPr>
        <w:pStyle w:val="26"/>
        <w:adjustRightInd w:val="0"/>
        <w:snapToGrid w:val="0"/>
        <w:spacing w:line="376"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1.质量标准：采购标的需执行国家相关标准、行业标准等相关标准、规范。</w:t>
      </w:r>
    </w:p>
    <w:p w14:paraId="76610A35">
      <w:pPr>
        <w:pStyle w:val="26"/>
        <w:adjustRightInd w:val="0"/>
        <w:snapToGrid w:val="0"/>
        <w:spacing w:line="376"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rPr>
        <w:t>2</w:t>
      </w:r>
      <w:r>
        <w:rPr>
          <w:rFonts w:hint="eastAsia" w:ascii="宋体" w:hAnsi="宋体" w:cs="宋体"/>
          <w:b/>
          <w:bCs/>
          <w:color w:val="auto"/>
          <w:sz w:val="21"/>
          <w:szCs w:val="21"/>
          <w:highlight w:val="none"/>
        </w:rPr>
        <w:t>.验收标准：按照竞争性磋商文件要求、响应文件承诺以及合同条款进行评估验收。</w:t>
      </w:r>
    </w:p>
    <w:p w14:paraId="1B91BC83">
      <w:pPr>
        <w:adjustRightInd w:val="0"/>
        <w:snapToGrid w:val="0"/>
        <w:spacing w:line="376"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五、知识产权要求</w:t>
      </w:r>
    </w:p>
    <w:p w14:paraId="5BBF72FE">
      <w:pPr>
        <w:pStyle w:val="26"/>
        <w:adjustRightInd w:val="0"/>
        <w:snapToGrid w:val="0"/>
        <w:spacing w:line="376" w:lineRule="exact"/>
        <w:ind w:firstLine="422" w:firstLineChars="200"/>
        <w:rPr>
          <w:rFonts w:hint="eastAsia" w:ascii="宋体" w:hAnsi="宋体" w:cs="宋体"/>
          <w:b/>
          <w:bCs/>
          <w:color w:val="auto"/>
          <w:sz w:val="21"/>
          <w:szCs w:val="21"/>
          <w:highlight w:val="none"/>
        </w:rPr>
      </w:pPr>
      <w:r>
        <w:rPr>
          <w:rFonts w:hint="eastAsia" w:hAnsi="宋体" w:cs="宋体"/>
          <w:b/>
          <w:bCs/>
          <w:color w:val="auto"/>
          <w:sz w:val="21"/>
          <w:szCs w:val="21"/>
          <w:highlight w:val="none"/>
          <w:lang w:val="en-US"/>
        </w:rPr>
        <w:t>1.</w:t>
      </w:r>
      <w:r>
        <w:rPr>
          <w:rFonts w:hint="eastAsia" w:ascii="宋体" w:hAnsi="宋体" w:cs="宋体"/>
          <w:b/>
          <w:bCs/>
          <w:color w:val="auto"/>
          <w:sz w:val="21"/>
          <w:szCs w:val="21"/>
          <w:highlight w:val="none"/>
        </w:rPr>
        <w:t>供应商应保证采购人在使用本采购合同项下的标的时免受第三方侵犯其知识产权、商标权的起诉。</w:t>
      </w:r>
    </w:p>
    <w:p w14:paraId="745B07F8">
      <w:pPr>
        <w:adjustRightInd w:val="0"/>
        <w:snapToGrid w:val="0"/>
        <w:spacing w:line="376" w:lineRule="exact"/>
        <w:ind w:firstLine="422"/>
        <w:rPr>
          <w:rFonts w:hint="eastAsia" w:ascii="宋体" w:hAnsi="宋体" w:cs="宋体"/>
          <w:b/>
          <w:bCs/>
          <w:color w:val="auto"/>
          <w:sz w:val="21"/>
          <w:szCs w:val="21"/>
          <w:highlight w:val="none"/>
        </w:rPr>
      </w:pPr>
      <w:r>
        <w:rPr>
          <w:rFonts w:hint="eastAsia" w:hAnsi="宋体" w:cs="宋体"/>
          <w:b/>
          <w:bCs/>
          <w:color w:val="auto"/>
          <w:sz w:val="21"/>
          <w:szCs w:val="21"/>
          <w:highlight w:val="none"/>
        </w:rPr>
        <w:t>2.</w:t>
      </w:r>
      <w:r>
        <w:rPr>
          <w:rFonts w:hint="eastAsia" w:ascii="宋体" w:hAnsi="宋体" w:cs="宋体"/>
          <w:b/>
          <w:bCs/>
          <w:color w:val="auto"/>
          <w:sz w:val="21"/>
          <w:szCs w:val="21"/>
          <w:highlight w:val="none"/>
        </w:rPr>
        <w:t>采购人不对供应商提供的标的内容是否侵犯他人的权利负责，如因供应商提供的内容引发争议或违法导致采购人受损的，供应商应赔偿。</w:t>
      </w:r>
    </w:p>
    <w:p w14:paraId="70E2B8C1">
      <w:pPr>
        <w:adjustRightInd w:val="0"/>
        <w:snapToGrid w:val="0"/>
        <w:spacing w:line="376" w:lineRule="exact"/>
        <w:ind w:firstLine="480"/>
        <w:rPr>
          <w:rFonts w:hint="eastAsia" w:ascii="宋体" w:hAnsi="宋体" w:cs="宋体"/>
          <w:color w:val="auto"/>
          <w:szCs w:val="24"/>
          <w:highlight w:val="none"/>
        </w:rPr>
      </w:pPr>
      <w:r>
        <w:rPr>
          <w:rFonts w:hint="eastAsia" w:ascii="宋体" w:hAnsi="宋体" w:cs="宋体"/>
          <w:color w:val="auto"/>
          <w:kern w:val="0"/>
          <w:szCs w:val="20"/>
          <w:highlight w:val="none"/>
        </w:rPr>
        <w:t>Ⅲ</w:t>
      </w:r>
      <w:r>
        <w:rPr>
          <w:rFonts w:hint="eastAsia" w:ascii="宋体" w:hAnsi="宋体" w:cs="宋体"/>
          <w:color w:val="auto"/>
          <w:szCs w:val="24"/>
          <w:highlight w:val="none"/>
        </w:rPr>
        <w:t>、其他要求</w:t>
      </w:r>
    </w:p>
    <w:p w14:paraId="1F4E5A38">
      <w:pPr>
        <w:adjustRightInd w:val="0"/>
        <w:snapToGrid w:val="0"/>
        <w:spacing w:line="376"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项目实施方案：供应商根据本采购需求，可于响应文件中提供项目实施方案，该方案包含但不限于：（1）服务管理方案（包含但不限于：①工作流程；②项目实施人员管理方案；③服务进度及质量管理措施；④风险管理方案及突发应急预案等）；（2）重点难点分析方案（包含但不限于：①</w:t>
      </w:r>
      <w:r>
        <w:rPr>
          <w:rFonts w:hint="eastAsia" w:ascii="宋体" w:hAnsi="宋体" w:cs="宋体"/>
          <w:color w:val="auto"/>
          <w:sz w:val="21"/>
          <w:szCs w:val="21"/>
          <w:highlight w:val="none"/>
          <w:lang w:val="zh-CN"/>
        </w:rPr>
        <w:t>重点难点认识及分析；</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工作方案，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zh-CN"/>
        </w:rPr>
        <w:t>合理化建议</w:t>
      </w:r>
      <w:r>
        <w:rPr>
          <w:rFonts w:hint="eastAsia" w:ascii="宋体" w:hAnsi="宋体" w:cs="宋体"/>
          <w:color w:val="auto"/>
          <w:sz w:val="21"/>
          <w:szCs w:val="21"/>
          <w:highlight w:val="none"/>
        </w:rPr>
        <w:t>等）；（3）服务保障措施（包含但不限于：①服务进度控制措施</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②提升样品制备质量的保障机制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③数据检查、质量控制以及反馈纠错措施；④安全保障机制等）。</w:t>
      </w:r>
    </w:p>
    <w:p w14:paraId="6532CB45">
      <w:pPr>
        <w:adjustRightInd w:val="0"/>
        <w:snapToGrid w:val="0"/>
        <w:spacing w:line="376"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具体评审详见“第四章 评审办法”。</w:t>
      </w:r>
    </w:p>
    <w:p w14:paraId="1B6CF77C">
      <w:pPr>
        <w:adjustRightInd w:val="0"/>
        <w:snapToGrid w:val="0"/>
        <w:spacing w:line="376" w:lineRule="exact"/>
        <w:ind w:left="48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二、履约能力</w:t>
      </w:r>
    </w:p>
    <w:p w14:paraId="3C9AC119">
      <w:pPr>
        <w:adjustRightInd w:val="0"/>
        <w:snapToGrid w:val="0"/>
        <w:spacing w:line="376"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根据自身情况，可于响应文件中提供具有本分标履约能力的证明材料；拟投入的项目负责人及技术人员（包括现场监测人员、实验室分析人员、质量管理人员）环保类中级及以上职称、拟投入的仪器设备的配备情况【包括多参数水质分析仪、气象参数检测仪、电感耦合等离子体发射谱仪、原子荧光光谱仪、气相色谱仪、气相色谱质谱联用仪、紫外可见分光光度计（多波长）、微波消解仪、不透光烟度计】、2021年以来具有生态环境执法监测服务业绩等。</w:t>
      </w:r>
    </w:p>
    <w:p w14:paraId="368AA1F2">
      <w:pPr>
        <w:adjustRightInd w:val="0"/>
        <w:snapToGrid w:val="0"/>
        <w:spacing w:line="376"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具体评审详见“第四章 评审办法”。</w:t>
      </w:r>
    </w:p>
    <w:p w14:paraId="453A6683">
      <w:pPr>
        <w:adjustRightInd w:val="0"/>
        <w:snapToGrid w:val="0"/>
        <w:spacing w:line="380" w:lineRule="exact"/>
        <w:ind w:firstLine="420"/>
        <w:rPr>
          <w:rFonts w:hint="eastAsia" w:ascii="宋体" w:hAnsi="宋体" w:cs="宋体"/>
          <w:color w:val="auto"/>
          <w:sz w:val="21"/>
          <w:szCs w:val="21"/>
          <w:highlight w:val="none"/>
        </w:rPr>
      </w:pPr>
    </w:p>
    <w:p w14:paraId="5E34F792">
      <w:pPr>
        <w:adjustRightInd w:val="0"/>
        <w:snapToGrid w:val="0"/>
        <w:spacing w:line="380" w:lineRule="exact"/>
        <w:ind w:firstLine="420"/>
        <w:rPr>
          <w:rFonts w:hint="eastAsia" w:ascii="宋体" w:hAnsi="宋体" w:cs="宋体"/>
          <w:color w:val="auto"/>
          <w:sz w:val="21"/>
          <w:szCs w:val="21"/>
          <w:highlight w:val="none"/>
        </w:rPr>
      </w:pPr>
    </w:p>
    <w:p w14:paraId="42CA4D22">
      <w:pPr>
        <w:adjustRightInd w:val="0"/>
        <w:snapToGrid w:val="0"/>
        <w:spacing w:line="380" w:lineRule="exact"/>
        <w:ind w:firstLine="420"/>
        <w:rPr>
          <w:rFonts w:hint="eastAsia" w:ascii="宋体" w:hAnsi="宋体" w:cs="宋体"/>
          <w:color w:val="auto"/>
          <w:sz w:val="21"/>
          <w:szCs w:val="21"/>
          <w:highlight w:val="none"/>
        </w:rPr>
      </w:pPr>
    </w:p>
    <w:p w14:paraId="77CBFB28">
      <w:pPr>
        <w:widowControl/>
        <w:ind w:firstLine="482"/>
        <w:jc w:val="left"/>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分标2</w:t>
      </w:r>
    </w:p>
    <w:p w14:paraId="10ED1C54">
      <w:pPr>
        <w:adjustRightInd w:val="0"/>
        <w:snapToGrid w:val="0"/>
        <w:spacing w:line="360" w:lineRule="exact"/>
        <w:ind w:firstLine="211" w:firstLineChars="100"/>
        <w:rPr>
          <w:rFonts w:hint="eastAsia" w:ascii="宋体" w:hAnsi="宋体"/>
          <w:b/>
          <w:bCs/>
          <w:color w:val="auto"/>
          <w:kern w:val="44"/>
          <w:szCs w:val="24"/>
          <w:highlight w:val="none"/>
        </w:rPr>
      </w:pPr>
      <w:r>
        <w:rPr>
          <w:rFonts w:hint="eastAsia" w:ascii="宋体" w:hAnsi="宋体" w:cs="宋体"/>
          <w:b/>
          <w:bCs/>
          <w:color w:val="auto"/>
          <w:sz w:val="21"/>
          <w:szCs w:val="24"/>
          <w:highlight w:val="none"/>
        </w:rPr>
        <w:t>本分标采购标的：桂林市生态环境执法监测服务（灵川县、叠彩区、秀峰区、七星区）；采购标的所属行业为：其他未列明行业</w:t>
      </w:r>
      <w:r>
        <w:rPr>
          <w:rFonts w:hint="eastAsia" w:ascii="宋体" w:hAnsi="宋体" w:cs="宋体"/>
          <w:b/>
          <w:bCs/>
          <w:color w:val="auto"/>
          <w:kern w:val="0"/>
          <w:szCs w:val="24"/>
          <w:highlight w:val="none"/>
          <w:lang w:bidi="ar"/>
        </w:rPr>
        <w:t>。</w:t>
      </w:r>
    </w:p>
    <w:p w14:paraId="425EC9BB">
      <w:pPr>
        <w:spacing w:line="360" w:lineRule="exact"/>
        <w:ind w:firstLine="316" w:firstLineChars="150"/>
        <w:rPr>
          <w:rFonts w:hint="eastAsia" w:ascii="宋体" w:hAnsi="宋体"/>
          <w:b/>
          <w:color w:val="auto"/>
          <w:szCs w:val="24"/>
          <w:highlight w:val="none"/>
        </w:rPr>
      </w:pPr>
      <w:r>
        <w:rPr>
          <w:rFonts w:hint="eastAsia" w:ascii="宋体" w:hAnsi="宋体" w:cs="宋体"/>
          <w:b/>
          <w:bCs/>
          <w:color w:val="auto"/>
          <w:sz w:val="21"/>
          <w:szCs w:val="21"/>
          <w:highlight w:val="none"/>
        </w:rPr>
        <w:t>▲</w:t>
      </w:r>
      <w:r>
        <w:rPr>
          <w:rFonts w:hint="eastAsia" w:ascii="宋体" w:hAnsi="宋体"/>
          <w:b/>
          <w:color w:val="auto"/>
          <w:sz w:val="21"/>
          <w:szCs w:val="21"/>
          <w:highlight w:val="none"/>
        </w:rPr>
        <w:t>Ⅰ、服务内容及要求</w:t>
      </w:r>
    </w:p>
    <w:p w14:paraId="6C13E869">
      <w:pPr>
        <w:spacing w:line="360" w:lineRule="exact"/>
        <w:ind w:firstLine="316" w:firstLineChars="15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 xml:space="preserve">一、服务要求 </w:t>
      </w:r>
    </w:p>
    <w:p w14:paraId="359A10F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（一）监测范围 </w:t>
      </w:r>
    </w:p>
    <w:p w14:paraId="3800858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b/>
          <w:bCs/>
          <w:color w:val="auto"/>
          <w:sz w:val="21"/>
          <w:szCs w:val="24"/>
          <w:highlight w:val="none"/>
        </w:rPr>
        <w:t>供应商在</w:t>
      </w:r>
      <w:r>
        <w:rPr>
          <w:rFonts w:hint="eastAsia" w:ascii="宋体" w:hAnsi="宋体" w:cs="宋体"/>
          <w:b/>
          <w:bCs/>
          <w:color w:val="auto"/>
          <w:sz w:val="21"/>
          <w:szCs w:val="24"/>
          <w:highlight w:val="none"/>
        </w:rPr>
        <w:t>服务区域范围内提供以下服务：</w:t>
      </w:r>
      <w:r>
        <w:rPr>
          <w:rFonts w:hint="eastAsia" w:ascii="宋体" w:hAnsi="宋体" w:cs="宋体"/>
          <w:b/>
          <w:bCs/>
          <w:color w:val="auto"/>
          <w:sz w:val="21"/>
          <w:szCs w:val="21"/>
          <w:highlight w:val="none"/>
        </w:rPr>
        <w:t xml:space="preserve">区域内日常监督检查、查处环境违法行为、各项环保专项执法检查、交叉帮扶检查、信访投诉案件调查及其他执法检查工作等需要开展的执法监测。 </w:t>
      </w:r>
    </w:p>
    <w:p w14:paraId="2A4E76F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（二）质量技术及服务要求 </w:t>
      </w:r>
    </w:p>
    <w:p w14:paraId="2B025A9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1.供应商应当按照相关技术规范或标准实施样品的采集、传送、制备、贮存、处置以及样品分析和数据处理等检测活动，保证检测数据和信息的代表性、准确性、精密性、可比性和完整性。 </w:t>
      </w:r>
    </w:p>
    <w:p w14:paraId="398C2C4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2.根据工作需要，采购人有权按实际工作需要要求供应商进行生态环境执法监测。 </w:t>
      </w:r>
    </w:p>
    <w:p w14:paraId="4DB62DB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应当独立承担监测业务工作，如遇下列特殊情况需要分包，须由供应商负责联系受托分包商，并将分包商名称、监测具体项目及收费标准以书面形式告知采购人，经采购人同意后，方可分包。需分包的监测业务应由采购人进行委托，所需费用由供应商从本分标合同款中支出。 </w:t>
      </w:r>
    </w:p>
    <w:p w14:paraId="3BBE422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（1）辐射类、机动车排放污染物、非道路移动机械排放污染物等特殊项目。 </w:t>
      </w:r>
    </w:p>
    <w:p w14:paraId="2DCF31C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（2）其他特殊情况经采购人同意确需分包的。 </w:t>
      </w:r>
    </w:p>
    <w:p w14:paraId="20B2A48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4.供应商接到采购人执法监测通知后应在采购人规定的时间内到达目的地。 </w:t>
      </w:r>
    </w:p>
    <w:p w14:paraId="7FC0B14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5.供应商监测过程应按环境监测质量控制相关要求实施质控措施，确保监测质量。 </w:t>
      </w:r>
    </w:p>
    <w:p w14:paraId="0EF444B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6.供应商监测过程不得故意影响监测结果的客观性、不得编造数据，或者有其他弄虚作假行为，对结果的真实性负法律责任。 </w:t>
      </w:r>
    </w:p>
    <w:p w14:paraId="7D6FFC2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7.供应商应当严格遵守法律法规，按照合同要求开展监测活动并在规定时间提交监测报告（采样完成之日起计），保证监测结果的时效性。 </w:t>
      </w:r>
    </w:p>
    <w:p w14:paraId="648F373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8.所有环境监测数据、资料、成果，供应商应当按照国家有关保密的规定进行管理，未经采购人许可不得擅自对外发布监测数据。 </w:t>
      </w:r>
    </w:p>
    <w:p w14:paraId="031D3C2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9.如供应商接到采购人监测服务工作任务后，出现下列情形之一时，采购人可以无条件更换本项目其他分标的成交供应商提供相应的执法监测服务：</w:t>
      </w:r>
    </w:p>
    <w:p w14:paraId="620A618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（1）未能按照采购人要求及时完成区域内监测采样并出具监测报告的；</w:t>
      </w:r>
    </w:p>
    <w:p w14:paraId="4BE1DBE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（2）供应商在同一时期同时接受采购人委派的多个监测服务工作，经供应商确认，拟配备人员、设备或时间无法满足监测服务工作的；</w:t>
      </w:r>
    </w:p>
    <w:p w14:paraId="7ACB2EF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（3）其他不可抗力因素等无法满足监测服务工作的。</w:t>
      </w:r>
    </w:p>
    <w:p w14:paraId="1E3D922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二、实验室及人员要求 </w:t>
      </w:r>
    </w:p>
    <w:p w14:paraId="6546E61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（一）实验室要求 </w:t>
      </w:r>
    </w:p>
    <w:p w14:paraId="36111CE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1.实验场所、设备、人员等需满足《检验检测机构资质认定评审准则》（国家市场监督管理总局公告2023年第21号）及《检验检测机构资质认定生态环境监测机构评审补充要求》。 </w:t>
      </w:r>
    </w:p>
    <w:p w14:paraId="429BA15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2.仪器设备要求 </w:t>
      </w:r>
    </w:p>
    <w:p w14:paraId="202A14F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配备数量充足、技术指标符合相关检测方法要求的各类主要检测仪器设备；与检测结果的准确性和有效性相关的仪器设备在投入使用前，必须进行量值溯源，并保持其在有效期内。 </w:t>
      </w:r>
    </w:p>
    <w:p w14:paraId="5E2A009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3.送实验室监测时间：自采样结束后须2小时内送实验室进行监测。</w:t>
      </w:r>
    </w:p>
    <w:p w14:paraId="27F5D0F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（二）人员要求 </w:t>
      </w:r>
    </w:p>
    <w:p w14:paraId="15DBD8F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供应商应具有与其承担本分标检测任务相关的技术人员和管理人员，数量和能力应满足本分标检测任务的需要，具体要求如下： </w:t>
      </w:r>
    </w:p>
    <w:p w14:paraId="5AE094B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1.项目负责人（1人）：负责项目组织实施、沟通协调，能有效推进项目整体工作，保证服务质量和时效性。</w:t>
      </w:r>
    </w:p>
    <w:p w14:paraId="15B8FB3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2.技术人员（包括现场监测人员、实验室分析人员、质量管理人员）： </w:t>
      </w:r>
    </w:p>
    <w:p w14:paraId="49AEAB4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2.1技术人员基本要求</w:t>
      </w:r>
    </w:p>
    <w:p w14:paraId="4442694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（1）现场监测人员（人数≥6人）：熟悉监测点位布设、样品采集、样品保存方式和有效时间、样品运输等的相关技术规范和要求，具备环境类现场监测项目能力。 </w:t>
      </w:r>
    </w:p>
    <w:p w14:paraId="6BE90AA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（2）实验室分析人员（人数≥7人）：必须熟悉分析方法和实验操作，熟悉分析过程中的质控手段。 </w:t>
      </w:r>
    </w:p>
    <w:p w14:paraId="06915E1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（3）质量管理人员（人数≥1人）：须具备专职质量管理人员，熟悉环境监测工作。应熟悉样品采集、保存、分析等环节，及时督促并采取适当的纠正和预防措施。 </w:t>
      </w:r>
    </w:p>
    <w:p w14:paraId="0761C73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w:t>
      </w:r>
    </w:p>
    <w:p w14:paraId="78B5F7E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①现场监测人员、实验室分析人员及质量管理人员均不能相互任职。</w:t>
      </w:r>
    </w:p>
    <w:p w14:paraId="7E75B9F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②以上人员在承担本项目的监测工作前，须按《检验检测机构资质认定生态环境监测机构评审补充要求》经过相应的培训和能力确认。</w:t>
      </w:r>
    </w:p>
    <w:p w14:paraId="31E0810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三、质量控制措施 </w:t>
      </w:r>
    </w:p>
    <w:p w14:paraId="444879F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（一）总体要求 </w:t>
      </w:r>
    </w:p>
    <w:p w14:paraId="69F078F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1.本分标所涉及的所有现场及实验室分析项目必须严格按照现行有效的标准方法执行。 </w:t>
      </w:r>
    </w:p>
    <w:p w14:paraId="0F9EB9D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2.供应商的各种监测活动应满足《环境监测质量管理技术导则》（HJ630-2011）的质量管理要求。 </w:t>
      </w:r>
    </w:p>
    <w:p w14:paraId="1E34E77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3.供应商的各个监测项目必须满足所依据的标准方法中规定的所有质控要求。 </w:t>
      </w:r>
    </w:p>
    <w:p w14:paraId="25B63FB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4.监测数据的处理必须满足《数据的统计处理和解释正态样本离群值的判断和处理》（GB/T 4883-2008）和《数值修约规则与极限数值的表示和判定》（GB/T 8170-2008）的要求。 </w:t>
      </w:r>
    </w:p>
    <w:p w14:paraId="4B3B152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5.供应商应对受委托的每个监测任务下达质控计划，包括现场采样、现场监测、实验室分析、检测报告等过程的质量保证措施和质量控制指标，并接受采购人的质控抽查考核。 </w:t>
      </w:r>
    </w:p>
    <w:p w14:paraId="0939DB4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6.固定污染源废水、废气污染物排放的环境监测，固定污染源废水排放、废气排放手工监测和比对监测过程中采样及测定必须满足《固定污染源监测质量保证与质量控制技术规范（试行）》（HJ/T 373-2007）的质控要求。 </w:t>
      </w:r>
    </w:p>
    <w:p w14:paraId="196C7DB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7.检测全过程（采样、运输、保存、分析）的安全责任（人员、环境、交通）由供应商自行负责。 </w:t>
      </w:r>
    </w:p>
    <w:p w14:paraId="26958ED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（二）重点要求 </w:t>
      </w:r>
    </w:p>
    <w:p w14:paraId="11B52F5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1.水和废水现场采样质量控制</w:t>
      </w:r>
    </w:p>
    <w:p w14:paraId="346E636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（1）应按相应的规范要求采集、保存、运输样品， 并对采样准备工作和采样过程实行必要的质量监督。应使用定位仪及照相机等辅助设备证实采样点位置。 </w:t>
      </w:r>
    </w:p>
    <w:p w14:paraId="4DA7582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（2）按照标准方法要求准备采样容器，每个项目必须严格按照标准要求选择对应的采样容器。 </w:t>
      </w:r>
    </w:p>
    <w:p w14:paraId="67312A9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采样点位的设置与频次须根据采购人要求进行，采样记录要描述详细准确，采样全过程重要节点要求依靠电子技术进行拍照或录像留存，由采购人检查。采样过程中出现突发状况无法在规定的点位采样或频次有变，或其他特殊情况，应及时与采购人沟通，不能擅自改变及自行处理。 </w:t>
      </w:r>
    </w:p>
    <w:p w14:paraId="11FDE5E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（4）涉及重点源比对监测，每次监测时，手工监测与在线监测数据对不少于3对。比对监测与在线连续监测采样时间和采样点位应保持一致，比对监测过程中应尽可能保证比对样品均匀一致。 </w:t>
      </w:r>
    </w:p>
    <w:p w14:paraId="20E48BA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（5）各分析项目严格按照监测技术规范及分析方法中的质控要求执行，并做好留样、存样。 </w:t>
      </w:r>
    </w:p>
    <w:p w14:paraId="0A9D797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2.实验室分析质量控制 </w:t>
      </w:r>
    </w:p>
    <w:p w14:paraId="47FB7D8D">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实验室分析的质控措施应包括实验室空白、平行、加标回收、有证标准样品、留样、实验室间（内）比对实验、能力验证、比对（人员、方法、仪器）、结果的相关性等质控手段进行有效技术核查。 </w:t>
      </w:r>
    </w:p>
    <w:p w14:paraId="2460573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3.环境空气和废气监测质量控制 </w:t>
      </w:r>
    </w:p>
    <w:p w14:paraId="5F64439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（1）环境空气监测 </w:t>
      </w:r>
    </w:p>
    <w:p w14:paraId="4386AF88">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应按照监测技术规范要求检查采样系统，采样前应进行流量校准、气密性检查及气象参数标定，气象参数的测量及读取、样品的保存与运输要符合规范要求，每个监测任务至少做 2 个现场空白，采集不少于10%的平行样品。颗粒物采样后称量的同时应称量“标准滤膜”。 </w:t>
      </w:r>
    </w:p>
    <w:p w14:paraId="735C7C3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（2）废气监测 </w:t>
      </w:r>
    </w:p>
    <w:p w14:paraId="7A9E73A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①烟气分析仪应在测试前后按监测因子分别用与实测浓度相近的标准气体和流量计对其进行校核（标定）。 </w:t>
      </w:r>
    </w:p>
    <w:p w14:paraId="553B35C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②对气体状态参数测量装置至少半年自行校正一次。 校正方法按照 《固定污染源排气中颗粒物测定与气态污染物采样方法》（GB/T16157-1996）及《固定污染源排气中颗粒物测定与气态污染物采样方法》行业标准第1号修改单（GB/T 16157-1996/XG1-2017）中相关要求执行。 </w:t>
      </w:r>
    </w:p>
    <w:p w14:paraId="3923234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③定电位电解法烟气测定仪，应用仪器量程中值附近浓度的标准气校准，根据仪器使用频率，每 3 个月至半年校准一次，使用频率较高的情况下，应增加校准次数。 </w:t>
      </w:r>
    </w:p>
    <w:p w14:paraId="1A5C385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④测氧仪至少每季度检查校验一次，使用高纯氮检查零点，用干净的环境空气应能调整其示值为 20.9%。 </w:t>
      </w:r>
    </w:p>
    <w:p w14:paraId="1A7A75C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⑤自动等速采样仪和含湿量测定装置的温度计、电子压差计、流量计应定期进行校准。 </w:t>
      </w:r>
    </w:p>
    <w:p w14:paraId="251FEF2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⑥采样的工况、监测点位、采样量等应符合监测规范要求。 </w:t>
      </w:r>
    </w:p>
    <w:p w14:paraId="6D7647C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4.土壤监测质量控制 </w:t>
      </w:r>
    </w:p>
    <w:p w14:paraId="7E351DA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（1）土壤监测点位布设方法和布设数量应根据其目的和要求，并结合现场勘察结果确定该区域内土壤监测点位。土壤样品采集和运输保存符合标准规范要求。 </w:t>
      </w:r>
    </w:p>
    <w:p w14:paraId="189CC52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（2）实验室分析应采用实验室空白、平行、加标回收、有证标准样品、留样等质控手段。 </w:t>
      </w:r>
    </w:p>
    <w:p w14:paraId="7D73AAA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5.固体废物监测质量控制 </w:t>
      </w:r>
    </w:p>
    <w:p w14:paraId="22715EB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（1）固体废物危险特性鉴别检测项目的确定应以工艺分析为主要手段，综合原辅材料特性、生产工艺、固体废物产生工艺等信息，确定可能具有的危险特性及相应检测项目。 </w:t>
      </w:r>
    </w:p>
    <w:p w14:paraId="08E9B97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（2）样品采集应记录必要的信息，包括（但不限于）：样品编号、采样时间、采样地点、企业生产工况。样品的采集、包装、运输和保存应符合相应检测项目的有关要求。 </w:t>
      </w:r>
    </w:p>
    <w:p w14:paraId="2943B26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（3）固体废物危险特性鉴别的检测应符合相应检测方法的质量保证与质量控制要求。 </w:t>
      </w:r>
    </w:p>
    <w:p w14:paraId="6E9ACF1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6.噪声和振动监测质量控制 </w:t>
      </w:r>
    </w:p>
    <w:p w14:paraId="32CE8B2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（1）用于测量噪声的仪器和校准仪器应定期检定合格，并在有效使用期内使用；每次测量前、后必须在测量现场进行声学校准。 </w:t>
      </w:r>
    </w:p>
    <w:p w14:paraId="726AE5C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（2）用于测量环境振动的仪器，其性能必须符合国家及行业的有关条款的规定。测量系统每年至少送计量部门校准一次。 </w:t>
      </w:r>
    </w:p>
    <w:p w14:paraId="617C019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（3）测量条件、测量点位、测量时段及测量记录须符合相应标准规范要求。 </w:t>
      </w:r>
    </w:p>
    <w:p w14:paraId="1091F02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7.数据处理和报告抽查质量控制 </w:t>
      </w:r>
    </w:p>
    <w:p w14:paraId="745A903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监测结果应采用法定计量单位；平行样的测定结果在允许偏差范围内时，用其平均值报告测定结果；监测结果低于方法检出限时，用“ND”表示，并注明“ND”表示未检出，同时给出方法检出限值；采购人需要时，应给出监测结果的不确定度范围。 </w:t>
      </w:r>
    </w:p>
    <w:p w14:paraId="4377754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严格按要求做好三级审核工作。对数据的计算、有效位数、数据的合理性进行审查，确保数据真实、可靠、有效。加强数据敏感性，若出现超标情况，及时上报采购人，并分析超标原因，如需复测，须征得采购人同意。 </w:t>
      </w:r>
    </w:p>
    <w:p w14:paraId="50C2E96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（3）监测报告应按时提交采购人。 </w:t>
      </w:r>
    </w:p>
    <w:p w14:paraId="447A85C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（4）委托检测项目的监测数据和结果的一次交验合格率≥99%；监测报告交付及时率要达到 100%。 </w:t>
      </w:r>
    </w:p>
    <w:p w14:paraId="23B120B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（三）质量控制考核办法 </w:t>
      </w:r>
    </w:p>
    <w:p w14:paraId="4271604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1.采购人视需要对供应商的质量控制情况进行考核。 </w:t>
      </w:r>
    </w:p>
    <w:p w14:paraId="24A4170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2.考核内容 </w:t>
      </w:r>
    </w:p>
    <w:p w14:paraId="5920394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考核包括但不限于以下内容： </w:t>
      </w:r>
    </w:p>
    <w:p w14:paraId="19113E4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（1）采样规范性考核，通过现场采样核查、调取图片、视频核查等方式对现场采样、样品保存及样品运输过程进行考核。 </w:t>
      </w:r>
    </w:p>
    <w:p w14:paraId="7336508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（2）监测报告及分析原始资料记录考核，通过抽查现场采样、样品交接记录、实验室分析记录、质控记录及监测报告等方式进行考核。 </w:t>
      </w:r>
    </w:p>
    <w:p w14:paraId="2E5CDD9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3.违反质量控制措施的情况 </w:t>
      </w:r>
    </w:p>
    <w:p w14:paraId="05D65E4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（1）采购人随时对供应商受委托的检测工作进行质量监督，确保供应商能按时按质完成相关的质量控制措施，如出现不可预测的情况，视情况的轻重程度进行处理。 </w:t>
      </w:r>
    </w:p>
    <w:p w14:paraId="55FEEF2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（2）检查过程中如发现有数据造假情况（判定方法按照《环境监测数据弄虚作假行为判定及处理办法》及相关的法律法规规定）立即终止合同，退赔全部服务费用。 </w:t>
      </w:r>
    </w:p>
    <w:p w14:paraId="450930B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（3）年度内对采购项目质控措施整改后仍不满足要求达到三次的即终止合同，退赔全部服务费用。 </w:t>
      </w:r>
    </w:p>
    <w:p w14:paraId="4F396E7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（4）供应商提供的监测报告如经相关有权部门认定不符合规范的，采购人有权要求供应商退赔相关服务费用。</w:t>
      </w:r>
    </w:p>
    <w:p w14:paraId="5F10A11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（5）监测过程中不得故意影响结果的客观性，不得编造数据，或者有其他弄虚作假行为，对结果的真实性负法律责任。</w:t>
      </w:r>
    </w:p>
    <w:p w14:paraId="6FDFF91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（四）执法监测相关要求</w:t>
      </w:r>
    </w:p>
    <w:p w14:paraId="246018F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1.现场要求</w:t>
      </w:r>
    </w:p>
    <w:p w14:paraId="190B907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（1）监测现场统一着装，现场人员至少1名全程佩戴摄像记录仪；</w:t>
      </w:r>
    </w:p>
    <w:p w14:paraId="244AF89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（2）每个监测项目现场配备至少3名工作人员，1名负责记录工况，2名负责现场监测采样，采样完成样品要求封箱保存；</w:t>
      </w:r>
    </w:p>
    <w:p w14:paraId="55D4004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（3）摄像要求：采样前校准、采样过程、样品封箱、交接样品过程均要求全程录像、拍照保存。</w:t>
      </w:r>
    </w:p>
    <w:p w14:paraId="2EF3884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（4）样品保存及封箱：样品应放在密封袋，固定放置样品箱，要求每个受监测的单位的样品单独封箱。</w:t>
      </w:r>
    </w:p>
    <w:p w14:paraId="7487416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2.记录签字要求</w:t>
      </w:r>
    </w:p>
    <w:p w14:paraId="62314C9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原始采样记录单及封条须环保相关部门人员签字，仪器采样信息的打印记录条要求受监测单位相关人员签字确认。</w:t>
      </w:r>
    </w:p>
    <w:p w14:paraId="1FAD296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3.监测报告要求</w:t>
      </w:r>
    </w:p>
    <w:p w14:paraId="06A0A4B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3.1监测报告提交时间要求</w:t>
      </w:r>
    </w:p>
    <w:p w14:paraId="59E948E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（1）水质监测报告：5个工作日内（如有 BOD</w:t>
      </w:r>
      <w:r>
        <w:rPr>
          <w:rFonts w:hint="eastAsia" w:ascii="宋体" w:hAnsi="宋体" w:cs="宋体"/>
          <w:bCs/>
          <w:color w:val="auto"/>
          <w:kern w:val="0"/>
          <w:sz w:val="21"/>
          <w:szCs w:val="21"/>
          <w:highlight w:val="none"/>
          <w:vertAlign w:val="subscript"/>
        </w:rPr>
        <w:t>5</w:t>
      </w:r>
      <w:r>
        <w:rPr>
          <w:rFonts w:hint="eastAsia" w:ascii="宋体" w:hAnsi="宋体" w:cs="宋体"/>
          <w:b/>
          <w:bCs/>
          <w:color w:val="auto"/>
          <w:kern w:val="0"/>
          <w:sz w:val="21"/>
          <w:szCs w:val="21"/>
          <w:highlight w:val="none"/>
        </w:rPr>
        <w:t xml:space="preserve">、微生物等指标的7个工作日内）提交。 </w:t>
      </w:r>
    </w:p>
    <w:p w14:paraId="4D1B56F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（2）环境空气和废气监测报告：5个工作日内提交。 </w:t>
      </w:r>
    </w:p>
    <w:p w14:paraId="469E3DA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（3）固体废物浸出毒性监测报告：7个工作日内提交。 </w:t>
      </w:r>
    </w:p>
    <w:p w14:paraId="7F592FE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（4）土壤、沉积物及固体废物全量分析监测报告：15 个工作日内提交。 </w:t>
      </w:r>
    </w:p>
    <w:p w14:paraId="36368BE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（5）振动和噪声监测报告：3 个工作日内提交。</w:t>
      </w:r>
    </w:p>
    <w:p w14:paraId="25B9C19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3.2监测报告内容及其他要求</w:t>
      </w:r>
    </w:p>
    <w:p w14:paraId="78246A2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供应商须向采购人提交的监测报告包括纸质版2份和电子版1份（①监测报告：按顺序扫描成PDF格式；②视频、照片：光盘或U盘）：</w:t>
      </w:r>
    </w:p>
    <w:p w14:paraId="023B2E0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纸质版材料顺序及要求（监测报告须包含本次监测所涉及的相关人员及设备）：</w:t>
      </w:r>
    </w:p>
    <w:p w14:paraId="7D2D1DD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（1）监测报告：比对监测报告原件（并列出比对的情况）；</w:t>
      </w:r>
    </w:p>
    <w:p w14:paraId="4CBD8F2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（2）监测机构的资质（须附所监测因子相应监测资质的相关页面，不需附完整全套资质文件）；</w:t>
      </w:r>
    </w:p>
    <w:p w14:paraId="2646E2D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（3）人员要求（附：拟投入相应监测项目的工作人员在承担监测工作前经过相应的培训和能力确认的证明材料，可以是成交供应商提供的认定材料、上岗证、培训合格证等任一证明材料）；</w:t>
      </w:r>
    </w:p>
    <w:p w14:paraId="72833B2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（4）一氧化碳干扰试验测试报告（大气类）；</w:t>
      </w:r>
    </w:p>
    <w:p w14:paraId="0F8B498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（5）监测仪器检定证书、校准证书；</w:t>
      </w:r>
    </w:p>
    <w:p w14:paraId="014E26B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（6）监测设备的校准记录（监测设备在监测前及监测结束后的校准记录页面，包括采样前有效性审查）；</w:t>
      </w:r>
    </w:p>
    <w:p w14:paraId="20DA644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（7）原始采样单【原始记录表，要求包含比对情况（比对数据记录单、烟气分析仪打印凭条要求受监测单位相关人员签字）】；</w:t>
      </w:r>
    </w:p>
    <w:p w14:paraId="0540F62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（8）样品交接记录；</w:t>
      </w:r>
    </w:p>
    <w:p w14:paraId="791902B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（9）原始分析记录（分析记录须要求复核人员签字）。</w:t>
      </w:r>
    </w:p>
    <w:p w14:paraId="5673CE3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每份监测报告按此顺序进行排列。</w:t>
      </w:r>
    </w:p>
    <w:p w14:paraId="52922135">
      <w:pPr>
        <w:adjustRightInd w:val="0"/>
        <w:snapToGrid w:val="0"/>
        <w:spacing w:line="360" w:lineRule="exact"/>
        <w:ind w:firstLine="482"/>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w:t>
      </w:r>
      <w:r>
        <w:rPr>
          <w:rFonts w:hint="eastAsia" w:ascii="宋体" w:hAnsi="宋体" w:cs="宋体"/>
          <w:b/>
          <w:bCs/>
          <w:color w:val="auto"/>
          <w:szCs w:val="24"/>
          <w:highlight w:val="none"/>
        </w:rPr>
        <w:t>Ⅱ</w:t>
      </w:r>
      <w:r>
        <w:rPr>
          <w:rFonts w:hint="eastAsia" w:ascii="宋体" w:hAnsi="宋体" w:cs="宋体"/>
          <w:b/>
          <w:bCs/>
          <w:color w:val="auto"/>
          <w:kern w:val="0"/>
          <w:szCs w:val="24"/>
          <w:highlight w:val="none"/>
        </w:rPr>
        <w:t>、商务要求</w:t>
      </w:r>
    </w:p>
    <w:p w14:paraId="23748C7D">
      <w:pPr>
        <w:adjustRightInd w:val="0"/>
        <w:snapToGrid w:val="0"/>
        <w:spacing w:line="360" w:lineRule="exact"/>
        <w:ind w:firstLine="482"/>
        <w:rPr>
          <w:rFonts w:hint="eastAsia" w:ascii="宋体" w:hAnsi="宋体" w:cs="宋体"/>
          <w:b/>
          <w:bCs/>
          <w:color w:val="auto"/>
          <w:kern w:val="0"/>
          <w:sz w:val="21"/>
          <w:szCs w:val="21"/>
          <w:highlight w:val="none"/>
        </w:rPr>
      </w:pPr>
      <w:r>
        <w:rPr>
          <w:rFonts w:hint="eastAsia" w:ascii="宋体" w:hAnsi="宋体" w:cs="宋体"/>
          <w:b/>
          <w:bCs/>
          <w:color w:val="auto"/>
          <w:kern w:val="0"/>
          <w:szCs w:val="20"/>
          <w:highlight w:val="none"/>
        </w:rPr>
        <w:t>一、</w:t>
      </w:r>
      <w:r>
        <w:rPr>
          <w:rFonts w:hint="eastAsia" w:ascii="宋体" w:hAnsi="宋体" w:cs="宋体"/>
          <w:b/>
          <w:bCs/>
          <w:color w:val="auto"/>
          <w:kern w:val="0"/>
          <w:sz w:val="21"/>
          <w:szCs w:val="21"/>
          <w:highlight w:val="none"/>
        </w:rPr>
        <w:t>服务期限、服务区域</w:t>
      </w:r>
    </w:p>
    <w:p w14:paraId="1F777991">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1.服务期限</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自签订合同之日起3年</w:t>
      </w:r>
      <w:r>
        <w:rPr>
          <w:rFonts w:ascii="宋体" w:hAnsi="宋体" w:cs="宋体"/>
          <w:b/>
          <w:bCs/>
          <w:color w:val="auto"/>
          <w:kern w:val="0"/>
          <w:sz w:val="21"/>
          <w:szCs w:val="21"/>
          <w:highlight w:val="none"/>
        </w:rPr>
        <w:t>。</w:t>
      </w:r>
    </w:p>
    <w:p w14:paraId="68455608">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2.服务区域</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原则上在广西桂林市灵川县、叠彩区、秀峰区、七星区内采购人指定地点。如采购人因工作安排需要供应商在广西桂林市其他区域提供监测服务的，供应商应无条件服从采购人安排（不可抗力因素等特殊情况并经采购人同意除外）</w:t>
      </w:r>
      <w:r>
        <w:rPr>
          <w:rFonts w:ascii="宋体" w:hAnsi="宋体" w:cs="宋体"/>
          <w:b/>
          <w:bCs/>
          <w:color w:val="auto"/>
          <w:kern w:val="0"/>
          <w:sz w:val="21"/>
          <w:szCs w:val="21"/>
          <w:highlight w:val="none"/>
        </w:rPr>
        <w:t>。</w:t>
      </w:r>
    </w:p>
    <w:p w14:paraId="7CE742A9">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二、采购预算金额、磋商报价、结算办法</w:t>
      </w:r>
    </w:p>
    <w:p w14:paraId="0EFF57AD">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（一）采购预算金额：陆拾万元整（¥600000.00）。</w:t>
      </w:r>
    </w:p>
    <w:p w14:paraId="1696721B">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（二）磋商报价</w:t>
      </w:r>
    </w:p>
    <w:p w14:paraId="67D18A66">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1.基准价：以《关于重新核定环境监测收费标准的函》（桂价费字〔2004〕301号）的收费标准作为基准价【如《关于重新核定环境监测收费标准的函》（桂价费字〔2004〕301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0F77DAD1">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本分标磋商报价采用综合折扣率报价方式（以%表示，最多精确到小数点后两位）。供应商必须就“采购需求”中所竞分标的所有服务内容作完整唯一综合折扣率报价。供应商所竞分标的报价必须≤80%，否则，响应文件按分标作无效处理。 </w:t>
      </w:r>
    </w:p>
    <w:p w14:paraId="15E950DF">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供应商磋商报价应包含完成“采购需求”中所竞分标所列所有服务内容产生的所有成本【包含但不限于供应商完成本分标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42EC6032">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（三）结算办法</w:t>
      </w:r>
    </w:p>
    <w:p w14:paraId="1295BB8D">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1.采购人根据成交供应商实际发生的服务工作量进行结算，即：结算金额=∑【实际发生的服务工作量×基准价×成交综合折扣率】。</w:t>
      </w:r>
    </w:p>
    <w:p w14:paraId="2C7F6F8A">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注：其中∑表示将各类相应服务工作量结算后的金额进行相加汇总。</w:t>
      </w:r>
    </w:p>
    <w:p w14:paraId="103A209C">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2.各分标的结算金额不得超出相应分标的采购预算金额。</w:t>
      </w:r>
    </w:p>
    <w:p w14:paraId="1A3C7039">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三、付款方式</w:t>
      </w:r>
    </w:p>
    <w:p w14:paraId="0F5AFF63">
      <w:pPr>
        <w:spacing w:line="360" w:lineRule="exact"/>
        <w:ind w:firstLine="422"/>
        <w:rPr>
          <w:rFonts w:hint="eastAsia" w:ascii="宋体" w:hAnsi="宋体" w:cs="宋体"/>
          <w:b/>
          <w:bCs/>
          <w:color w:val="auto"/>
          <w:kern w:val="44"/>
          <w:sz w:val="21"/>
          <w:szCs w:val="21"/>
          <w:highlight w:val="none"/>
          <w:shd w:val="clear" w:color="auto" w:fill="FFFFFF"/>
          <w:lang w:bidi="ar"/>
        </w:rPr>
      </w:pPr>
      <w:r>
        <w:rPr>
          <w:rFonts w:hint="eastAsia" w:ascii="宋体" w:hAnsi="宋体" w:cs="宋体"/>
          <w:b/>
          <w:bCs/>
          <w:color w:val="auto"/>
          <w:kern w:val="44"/>
          <w:sz w:val="21"/>
          <w:szCs w:val="21"/>
          <w:highlight w:val="none"/>
          <w:shd w:val="clear" w:color="auto" w:fill="FFFFFF"/>
          <w:lang w:bidi="ar"/>
        </w:rPr>
        <w:t>本项目按成交供应商每个季度实际完成的服务工作量进行结算，采购人在收到成交供应商开具的相应发票后10个工作日内支付（无息）。</w:t>
      </w:r>
    </w:p>
    <w:p w14:paraId="3B6D3AFE">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四、质量标准和验收标准</w:t>
      </w:r>
    </w:p>
    <w:p w14:paraId="0C76A9EF">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1.质量标准：采购标的需执行国家相关标准、行业标准等相关标准、规范。</w:t>
      </w:r>
    </w:p>
    <w:p w14:paraId="184AF4E3">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rPr>
        <w:t>2</w:t>
      </w:r>
      <w:r>
        <w:rPr>
          <w:rFonts w:hint="eastAsia" w:ascii="宋体" w:hAnsi="宋体" w:cs="宋体"/>
          <w:b/>
          <w:bCs/>
          <w:color w:val="auto"/>
          <w:sz w:val="21"/>
          <w:szCs w:val="21"/>
          <w:highlight w:val="none"/>
        </w:rPr>
        <w:t>.验收标准：按照竞争性磋商文件要求、响应文件承诺以及合同条款进行评估验收。</w:t>
      </w:r>
    </w:p>
    <w:p w14:paraId="689AEF43">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五、知识产权要求</w:t>
      </w:r>
    </w:p>
    <w:p w14:paraId="5834C926">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hAnsi="宋体" w:cs="宋体"/>
          <w:b/>
          <w:bCs/>
          <w:color w:val="auto"/>
          <w:sz w:val="21"/>
          <w:szCs w:val="21"/>
          <w:highlight w:val="none"/>
          <w:lang w:val="en-US"/>
        </w:rPr>
        <w:t>1.</w:t>
      </w:r>
      <w:r>
        <w:rPr>
          <w:rFonts w:hint="eastAsia" w:ascii="宋体" w:hAnsi="宋体" w:cs="宋体"/>
          <w:b/>
          <w:bCs/>
          <w:color w:val="auto"/>
          <w:sz w:val="21"/>
          <w:szCs w:val="21"/>
          <w:highlight w:val="none"/>
        </w:rPr>
        <w:t>供应商应保证采购人在使用本采购合同项下的标的时免受第三方侵犯其知识产权、商标权的起诉。</w:t>
      </w:r>
    </w:p>
    <w:p w14:paraId="3955EDA0">
      <w:pPr>
        <w:adjustRightInd w:val="0"/>
        <w:snapToGrid w:val="0"/>
        <w:spacing w:line="360" w:lineRule="exact"/>
        <w:ind w:firstLine="422"/>
        <w:rPr>
          <w:rFonts w:hint="eastAsia" w:ascii="宋体" w:hAnsi="宋体" w:cs="宋体"/>
          <w:b/>
          <w:bCs/>
          <w:color w:val="auto"/>
          <w:sz w:val="21"/>
          <w:szCs w:val="21"/>
          <w:highlight w:val="none"/>
        </w:rPr>
      </w:pPr>
      <w:r>
        <w:rPr>
          <w:rFonts w:hint="eastAsia" w:hAnsi="宋体" w:cs="宋体"/>
          <w:b/>
          <w:bCs/>
          <w:color w:val="auto"/>
          <w:sz w:val="21"/>
          <w:szCs w:val="21"/>
          <w:highlight w:val="none"/>
        </w:rPr>
        <w:t>2.</w:t>
      </w:r>
      <w:r>
        <w:rPr>
          <w:rFonts w:hint="eastAsia" w:ascii="宋体" w:hAnsi="宋体" w:cs="宋体"/>
          <w:b/>
          <w:bCs/>
          <w:color w:val="auto"/>
          <w:sz w:val="21"/>
          <w:szCs w:val="21"/>
          <w:highlight w:val="none"/>
        </w:rPr>
        <w:t>采购人不对供应商提供的标的内容是否侵犯他人的权利负责，如因供应商提供的内容引发争议或违法导致采购人受损的，供应商应赔偿。</w:t>
      </w:r>
    </w:p>
    <w:p w14:paraId="1B5AF0D0">
      <w:pPr>
        <w:adjustRightInd w:val="0"/>
        <w:snapToGrid w:val="0"/>
        <w:spacing w:line="360" w:lineRule="exact"/>
        <w:ind w:firstLine="480"/>
        <w:rPr>
          <w:rFonts w:hint="eastAsia" w:ascii="宋体" w:hAnsi="宋体" w:cs="宋体"/>
          <w:color w:val="auto"/>
          <w:szCs w:val="24"/>
          <w:highlight w:val="none"/>
        </w:rPr>
      </w:pPr>
      <w:r>
        <w:rPr>
          <w:rFonts w:hint="eastAsia" w:ascii="宋体" w:hAnsi="宋体" w:cs="宋体"/>
          <w:color w:val="auto"/>
          <w:kern w:val="0"/>
          <w:szCs w:val="20"/>
          <w:highlight w:val="none"/>
        </w:rPr>
        <w:t>Ⅲ</w:t>
      </w:r>
      <w:r>
        <w:rPr>
          <w:rFonts w:hint="eastAsia" w:ascii="宋体" w:hAnsi="宋体" w:cs="宋体"/>
          <w:color w:val="auto"/>
          <w:szCs w:val="24"/>
          <w:highlight w:val="none"/>
        </w:rPr>
        <w:t>、其他要求</w:t>
      </w:r>
    </w:p>
    <w:p w14:paraId="41DCFAB3">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项目实施方案：供应商根据本采购需求，可于响应文件中提供项目实施方案，该方案包含但不限于：（1）服务管理方案（包含但不限于：①工作流程；②项目实施人员管理方案；③服务进度及质量管理措施；④风险管理方案及突发应急预案等）；（2）重点难点分析方案（包含但不限于：①</w:t>
      </w:r>
      <w:r>
        <w:rPr>
          <w:rFonts w:hint="eastAsia" w:ascii="宋体" w:hAnsi="宋体" w:cs="宋体"/>
          <w:color w:val="auto"/>
          <w:sz w:val="21"/>
          <w:szCs w:val="21"/>
          <w:highlight w:val="none"/>
          <w:lang w:val="zh-CN"/>
        </w:rPr>
        <w:t>重点难点认识及分析；</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工作方案，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zh-CN"/>
        </w:rPr>
        <w:t>合理化建议</w:t>
      </w:r>
      <w:r>
        <w:rPr>
          <w:rFonts w:hint="eastAsia" w:ascii="宋体" w:hAnsi="宋体" w:cs="宋体"/>
          <w:color w:val="auto"/>
          <w:sz w:val="21"/>
          <w:szCs w:val="21"/>
          <w:highlight w:val="none"/>
        </w:rPr>
        <w:t>等）；（3）服务保障措施（包含但不限于：①服务进度控制措施</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②提升样品制备质量的保障机制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③数据检查、质量控制以及反馈纠错措施；④安全保障机制等）。</w:t>
      </w:r>
    </w:p>
    <w:p w14:paraId="5729DF5F">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具体评审详见“第四章 评审办法”。</w:t>
      </w:r>
    </w:p>
    <w:p w14:paraId="584E70C2">
      <w:pPr>
        <w:adjustRightInd w:val="0"/>
        <w:snapToGrid w:val="0"/>
        <w:spacing w:line="360" w:lineRule="exact"/>
        <w:ind w:left="48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二、履约能力</w:t>
      </w:r>
    </w:p>
    <w:p w14:paraId="4E3F29A7">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根据自身情况，可于响应文件中提供具有本分标履约能力的证明材料；拟投入的项目负责人及技术人员（包括现场监测人员、实验室分析人员、质量管理人员）环保类中级及以上职称、拟投入的仪器设备的配备情况【包括多参数水质分析仪、气象参数检测仪、电感耦合等离子体发射谱仪、原子荧光光谱仪、气相色谱仪、气相色谱质谱联用仪、紫外可见分光光度计（多波长）、微波消解仪、不透光烟度计】、2021年以来具有生态环境执法监测服务业绩等。</w:t>
      </w:r>
    </w:p>
    <w:p w14:paraId="2550FCE1">
      <w:pPr>
        <w:widowControl/>
        <w:spacing w:line="360" w:lineRule="exact"/>
        <w:ind w:firstLine="420"/>
        <w:jc w:val="left"/>
        <w:rPr>
          <w:rFonts w:hint="eastAsia" w:ascii="宋体" w:hAnsi="宋体" w:cs="宋体"/>
          <w:b/>
          <w:bCs/>
          <w:color w:val="auto"/>
          <w:kern w:val="0"/>
          <w:szCs w:val="24"/>
          <w:highlight w:val="none"/>
          <w:lang w:bidi="ar"/>
        </w:rPr>
      </w:pPr>
      <w:r>
        <w:rPr>
          <w:rFonts w:hint="eastAsia" w:ascii="宋体" w:hAnsi="宋体" w:cs="宋体"/>
          <w:color w:val="auto"/>
          <w:sz w:val="21"/>
          <w:szCs w:val="21"/>
          <w:highlight w:val="none"/>
        </w:rPr>
        <w:t>具体评审详见“第四章 评审办法”。</w:t>
      </w:r>
    </w:p>
    <w:p w14:paraId="206C6190">
      <w:pPr>
        <w:widowControl/>
        <w:spacing w:line="360" w:lineRule="exact"/>
        <w:ind w:firstLine="482"/>
        <w:jc w:val="left"/>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分标3</w:t>
      </w:r>
    </w:p>
    <w:p w14:paraId="1DD7C655">
      <w:pPr>
        <w:adjustRightInd w:val="0"/>
        <w:snapToGrid w:val="0"/>
        <w:spacing w:line="360" w:lineRule="exact"/>
        <w:ind w:firstLine="422"/>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本分标采购标的：桂林市生态环境执法监测服务（象山区、雁山区、临桂区、永福县、龙胜各族自治县）；采购标的所属行业为：其他未列明行业。</w:t>
      </w:r>
    </w:p>
    <w:p w14:paraId="65382099">
      <w:pPr>
        <w:spacing w:line="360" w:lineRule="exact"/>
        <w:ind w:firstLine="316" w:firstLineChars="150"/>
        <w:rPr>
          <w:rFonts w:hint="eastAsia" w:ascii="宋体" w:hAnsi="宋体"/>
          <w:b/>
          <w:color w:val="auto"/>
          <w:szCs w:val="24"/>
          <w:highlight w:val="none"/>
        </w:rPr>
      </w:pPr>
      <w:r>
        <w:rPr>
          <w:rFonts w:hint="eastAsia" w:ascii="宋体" w:hAnsi="宋体" w:cs="宋体"/>
          <w:b/>
          <w:bCs/>
          <w:color w:val="auto"/>
          <w:sz w:val="21"/>
          <w:szCs w:val="21"/>
          <w:highlight w:val="none"/>
        </w:rPr>
        <w:t>▲</w:t>
      </w:r>
      <w:r>
        <w:rPr>
          <w:rFonts w:hint="eastAsia" w:ascii="宋体" w:hAnsi="宋体"/>
          <w:b/>
          <w:color w:val="auto"/>
          <w:sz w:val="21"/>
          <w:szCs w:val="21"/>
          <w:highlight w:val="none"/>
        </w:rPr>
        <w:t>Ⅰ、服务内容及要求</w:t>
      </w:r>
    </w:p>
    <w:p w14:paraId="38767030">
      <w:pPr>
        <w:spacing w:line="360" w:lineRule="exact"/>
        <w:ind w:firstLine="316" w:firstLineChars="15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 xml:space="preserve">一、服务要求 </w:t>
      </w:r>
    </w:p>
    <w:p w14:paraId="1283A15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（一）监测范围： </w:t>
      </w:r>
    </w:p>
    <w:p w14:paraId="00152B5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b/>
          <w:bCs/>
          <w:color w:val="auto"/>
          <w:sz w:val="21"/>
          <w:szCs w:val="24"/>
          <w:highlight w:val="none"/>
        </w:rPr>
        <w:t>供应商在</w:t>
      </w:r>
      <w:r>
        <w:rPr>
          <w:rFonts w:hint="eastAsia" w:ascii="宋体" w:hAnsi="宋体" w:cs="宋体"/>
          <w:b/>
          <w:bCs/>
          <w:color w:val="auto"/>
          <w:sz w:val="21"/>
          <w:szCs w:val="24"/>
          <w:highlight w:val="none"/>
        </w:rPr>
        <w:t>服务区域范围内提供以下服务：</w:t>
      </w:r>
      <w:r>
        <w:rPr>
          <w:rFonts w:hint="eastAsia" w:ascii="宋体" w:hAnsi="宋体" w:cs="宋体"/>
          <w:b/>
          <w:bCs/>
          <w:color w:val="auto"/>
          <w:sz w:val="21"/>
          <w:szCs w:val="21"/>
          <w:highlight w:val="none"/>
        </w:rPr>
        <w:t xml:space="preserve">区域内日常监督检查、查处环境违法行为、各项环保专项执法检查、交叉帮扶检查、信访投诉案件调查及其他执法检查工作等需要开展的执法监测。 </w:t>
      </w:r>
    </w:p>
    <w:p w14:paraId="727D54C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（二）质量技术及服务要求： </w:t>
      </w:r>
    </w:p>
    <w:p w14:paraId="777C772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1.供应商应当按照相关技术规范或标准实施样品的采集、传送、制备、贮存、处置以及样品分析和数据处理等检测活动，保证检测数据和信息的代表性、准确性、精密性、可比性和完整性。 </w:t>
      </w:r>
    </w:p>
    <w:p w14:paraId="3BDEA94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2.根据工作需要，采购人有权按实际工作需要要求供应商进行生态环境执法监测。 </w:t>
      </w:r>
    </w:p>
    <w:p w14:paraId="7688368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应当独立承担监测业务工作，如遇下列特殊情况需要分包，须由供应商负责联系受托分包商，并将分包商名称、监测具体项目及收费标准以书面形式告知采购人，经采购人同意后，方可分包。需分包的监测业务应由采购人进行委托，所需费用由供应商从本分标合同款中支出。 </w:t>
      </w:r>
    </w:p>
    <w:p w14:paraId="3D0C8E7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（1）辐射类、机动车排放污染物、非道路移动机械排放污染物等特殊项目。 </w:t>
      </w:r>
    </w:p>
    <w:p w14:paraId="64EC056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（2）其他特殊情况经采购人同意确需分包的。 </w:t>
      </w:r>
    </w:p>
    <w:p w14:paraId="2A91C69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4.供应商接到采购人执法监测通知后应在采购人规定的时间内到达目的地。 </w:t>
      </w:r>
    </w:p>
    <w:p w14:paraId="669077E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5.供应商监测过程应按环境监测质量控制相关要求实施质控措施，确保监测质量。 </w:t>
      </w:r>
    </w:p>
    <w:p w14:paraId="054F8CB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6.供应商监测过程不得故意影响监测结果的客观性、不得编造数据，或者有其他弄虚作假行为，对结果的真实性负法律责任。 </w:t>
      </w:r>
    </w:p>
    <w:p w14:paraId="26EFEE2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7.供应商应当严格遵守法律法规，按照合同要求开展监测活动并在规定时间提交监测报告（采样完成之日起计），保证监测结果的时效性。 </w:t>
      </w:r>
    </w:p>
    <w:p w14:paraId="7A9663C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8.所有环境监测数据、资料、成果，供应商应当按照国家有关保密的规定进行管理，未经采购人许可不得擅自对外发布监测数据。 </w:t>
      </w:r>
    </w:p>
    <w:p w14:paraId="5F7B0D9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9.如供应商接到采购人监测服务工作任务后，出现下列情形之一时，采购人可以无条件更换本项目其他分标的成交供应商提供相应的执法监测服务：</w:t>
      </w:r>
    </w:p>
    <w:p w14:paraId="257A29D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（1）未能按照采购人要求及时完成区域内监测采样并出具监测报告的；</w:t>
      </w:r>
    </w:p>
    <w:p w14:paraId="6AD8B73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（2）供应商在同一时期同时接受采购人委派的多个监测服务工作，经供应商确认，拟配备人员、设备或时间无法满足监测服务工作的；</w:t>
      </w:r>
    </w:p>
    <w:p w14:paraId="3B9B75C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（3）其他不可抗力因素等无法满足监测服务工作的。</w:t>
      </w:r>
    </w:p>
    <w:p w14:paraId="15B0317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二、实验室及人员要求 </w:t>
      </w:r>
    </w:p>
    <w:p w14:paraId="707FAC0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（一）实验室要求 </w:t>
      </w:r>
    </w:p>
    <w:p w14:paraId="1F53A44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1.实验场所、设备、人员等需满足《检验检测机构资质认定评审准则》（国家市场监督管理总局公告2023年第21号）及《检验检测机构资质认定生态环境监测机构评审补充要求》。 </w:t>
      </w:r>
    </w:p>
    <w:p w14:paraId="031A3CA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2.仪器设备要求 </w:t>
      </w:r>
    </w:p>
    <w:p w14:paraId="3136845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配备数量充足、技术指标符合相关检测方法要求的各类主要检测仪器设备；与检测结果的准确性和有效性相关的仪器设备在投入使用前，必须进行量值溯源，并保持其在有效期内。 </w:t>
      </w:r>
    </w:p>
    <w:p w14:paraId="460726A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3.送实验室监测时间：自采样结束后须2小时内送实验室进行监测。</w:t>
      </w:r>
    </w:p>
    <w:p w14:paraId="7890C38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（二）人员要求 </w:t>
      </w:r>
    </w:p>
    <w:p w14:paraId="356EB94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供应商应具有与其承担本分标检测任务相关的技术人员和管理人员，数量和能力应满足本分标检测任务的需要，具体要求如下： </w:t>
      </w:r>
    </w:p>
    <w:p w14:paraId="6413B7E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1.项目负责人（1人）：负责项目组织实施、沟通协调，能有效推进项目整体工作，保证服务质量和时效性。</w:t>
      </w:r>
    </w:p>
    <w:p w14:paraId="1B2132E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2.技术人员（包括现场监测人员、实验室分析人员、质量管理人员）： </w:t>
      </w:r>
    </w:p>
    <w:p w14:paraId="09BB6A6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2.1技术人员基本要求</w:t>
      </w:r>
    </w:p>
    <w:p w14:paraId="2D5FD03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（1）现场监测人员（人数≥6人）：熟悉监测点位布设、样品采集、样品保存方式和有效时间、样品运输等的相关技术规范和要求，具备环境类现场监测项目能力。 </w:t>
      </w:r>
    </w:p>
    <w:p w14:paraId="0A3F7F1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（2）实验室分析人员（人数≥7人）：必须熟悉分析方法和实验操作，熟悉分析过程中的质控手段。 </w:t>
      </w:r>
    </w:p>
    <w:p w14:paraId="33B9931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（3）质量管理人员（人数≥1人）：须具备专职质量管理人员，熟悉环境监测工作。应熟悉样品采集、保存、分析等环节，及时督促并采取适当的纠正和预防措施。 </w:t>
      </w:r>
    </w:p>
    <w:p w14:paraId="01ED433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w:t>
      </w:r>
    </w:p>
    <w:p w14:paraId="30C1E2A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①现场监测人员、实验室分析人员及质量管理人员均不能相互任职。</w:t>
      </w:r>
    </w:p>
    <w:p w14:paraId="6F1C025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②以上人员在承担本项目的监测工作前，须按《检验检测机构资质认定生态环境监测机构评审补充要求》经过相应的培训和能力确认。</w:t>
      </w:r>
    </w:p>
    <w:p w14:paraId="5BCD9AF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三、质量控制措施 </w:t>
      </w:r>
    </w:p>
    <w:p w14:paraId="15E76E8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（一）总体要求 </w:t>
      </w:r>
    </w:p>
    <w:p w14:paraId="4A4C699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1.本分标所涉及的所有现场及实验室分析项目必须严格按照现行有效的标准方法执行。 </w:t>
      </w:r>
    </w:p>
    <w:p w14:paraId="456C286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2.供应商的各种监测活动应满足《环境监测质量管理技术导则》（HJ630-2011）的质量管理要求。 </w:t>
      </w:r>
    </w:p>
    <w:p w14:paraId="3BFA354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3.供应商的各个监测项目必须满足所依据的标准方法中规定的所有质控要求。 </w:t>
      </w:r>
    </w:p>
    <w:p w14:paraId="52291F5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4.监测数据的处理必须满足《数据的统计处理和解释正态样本离群值的判断和处理》（GB/T 4883-2008）和《数值修约规则与极限数值的表示和判定》（GB/T 8170-2008）的要求。 </w:t>
      </w:r>
    </w:p>
    <w:p w14:paraId="26D0965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5.供应商应对受委托的每个监测任务下达质控计划，包括现场采样、现场监测、实验室分析、检测报告等过程的质量保证措施和质量控制指标，并接受采购人的质控抽查考核。 </w:t>
      </w:r>
    </w:p>
    <w:p w14:paraId="21E985A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6.固定污染源废水、废气污染物排放的环境监测，固定污染源废水排放、废气排放手工监测和比对监测过程中采样及测定必须满足《固定污染源监测质量保证与质量控制技术规范（试行）》（HJ/T 373-2007）的质控要求。 </w:t>
      </w:r>
    </w:p>
    <w:p w14:paraId="2F3D1FC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7.检测全过程（采样、运输、保存、分析）的安全责任（人员、环境、交通）由供应商自行负责。 </w:t>
      </w:r>
    </w:p>
    <w:p w14:paraId="18492AD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（二）重点要求 </w:t>
      </w:r>
    </w:p>
    <w:p w14:paraId="189CE13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1.水和废水现场采样质量控制</w:t>
      </w:r>
    </w:p>
    <w:p w14:paraId="59B7A77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（1）应按相应的规范要求采集、保存、运输样品， 并对采样准备工作和采样过程实行必要的质量监督。应使用定位仪及照相机等辅助设备证实采样点位置。 </w:t>
      </w:r>
    </w:p>
    <w:p w14:paraId="0230ECD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（2）按照标准方法要求准备采样容器，每个项目必须严格按照标准要求选择对应的采样容器。 </w:t>
      </w:r>
    </w:p>
    <w:p w14:paraId="3DA7632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采样点位的设置与频次须根据采购人要求进行，采样记录要描述详细准确，采样全过程重要节点要求依靠电子技术进行拍照或录像留存，由采购人检查。采样过程中出现突发状况无法在规定的点位采样或频次有变，或其他特殊情况，应及时与采购人沟通，不能擅自改变及自行处理。 </w:t>
      </w:r>
    </w:p>
    <w:p w14:paraId="4E26F46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（4）涉及重点源比对监测，每次监测时，手工监测与在线监测数据对不少于3对。比对监测与在线连续监测采样时间和采样点位应保持一致，比对监测过程中应尽可能保证比对样品均匀一致。 </w:t>
      </w:r>
    </w:p>
    <w:p w14:paraId="7901C65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（5）各分析项目严格按照监测技术规范及分析方法中的质控要求执行，并做好留样、存样。 </w:t>
      </w:r>
    </w:p>
    <w:p w14:paraId="1F8E428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2.实验室分析质量控制 </w:t>
      </w:r>
    </w:p>
    <w:p w14:paraId="05A882F7">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实验室分析的质控措施应包括实验室空白、平行、加标回收、有证标准样品、留样、实验室间（内）比对实验、能力验证、比对（人员、方法、仪器）、结果的相关性等质控手段进行有效技术核查。 </w:t>
      </w:r>
    </w:p>
    <w:p w14:paraId="4BC825F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3.环境空气和废气监测质量控制 </w:t>
      </w:r>
    </w:p>
    <w:p w14:paraId="5A71C88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（1）环境空气监测 </w:t>
      </w:r>
    </w:p>
    <w:p w14:paraId="4BE466E6">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应按照监测技术规范要求检查采样系统，采样前应进行流量校准、气密性检查及气象参数标定，气象参数的测量及读取、样品的保存与运输要符合规范要求，每个监测任务至少做 2 个现场空白，采集不少于10%的平行样品。颗粒物采样后称量的同时应称量“标准滤膜”。 </w:t>
      </w:r>
    </w:p>
    <w:p w14:paraId="6463D51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（2）废气监测 </w:t>
      </w:r>
    </w:p>
    <w:p w14:paraId="1DDC588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①烟气分析仪应在测试前后按监测因子分别用与实测浓度相近的标准气体和流量计对其进行校核（标定）。 </w:t>
      </w:r>
    </w:p>
    <w:p w14:paraId="7E696D1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②对气体状态参数测量装置至少半年自行校正一次。 校正方法按照 《固定污染源排气中颗粒物测定与气态污染物采样方法》（GB/T16157-1996）及《固定污染源排气中颗粒物测定与气态污染物采样方法》行业标准第1号修改单（GB/T 16157-1996/XG1-2017）中相关要求执行。 </w:t>
      </w:r>
    </w:p>
    <w:p w14:paraId="2E61BAB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③定电位电解法烟气测定仪，应用仪器量程中值附近浓度的标准气校准，根据仪器使用频率，每 3 个月至半年校准一次，使用频率较高的情况下，应增加校准次数。 </w:t>
      </w:r>
    </w:p>
    <w:p w14:paraId="523EFFC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④测氧仪至少每季度检查校验一次，使用高纯氮检查零点，用干净的环境空气应能调整其示值为 20.9%。 </w:t>
      </w:r>
    </w:p>
    <w:p w14:paraId="15ABFE4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⑤自动等速采样仪和含湿量测定装置的温度计、电子压差计、流量计应定期进行校准。 </w:t>
      </w:r>
    </w:p>
    <w:p w14:paraId="142034B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⑥采样的工况、监测点位、采样量等应符合监测规范要求。 </w:t>
      </w:r>
    </w:p>
    <w:p w14:paraId="6D9BA29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4.土壤监测质量控制 </w:t>
      </w:r>
    </w:p>
    <w:p w14:paraId="582660F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（1）土壤监测点位布设方法和布设数量应根据其目的和要求，并结合现场勘察结果确定该区域内土壤监测点位。土壤样品采集和运输保存符合标准规范要求。 </w:t>
      </w:r>
    </w:p>
    <w:p w14:paraId="30AA754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（2）实验室分析应采用实验室空白、平行、加标回收、有证标准样品、留样等质控手段。 </w:t>
      </w:r>
    </w:p>
    <w:p w14:paraId="45E333B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5.固体废物监测质量控制 </w:t>
      </w:r>
    </w:p>
    <w:p w14:paraId="6BEF0A7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（1）固体废物危险特性鉴别检测项目的确定应以工艺分析为主要手段，综合原辅材料特性、生产工艺、固体废物产生工艺等信息，确定可能具有的危险特性及相应检测项目。 </w:t>
      </w:r>
    </w:p>
    <w:p w14:paraId="7DAC183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（2）样品采集应记录必要的信息，包括（但不限于）：样品编号、采样时间、采样地点、企业生产工况。样品的采集、包装、运输和保存应符合相应检测项目的有关要求。 </w:t>
      </w:r>
    </w:p>
    <w:p w14:paraId="7513724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（3）固体废物危险特性鉴别的检测应符合相应检测方法的质量保证与质量控制要求。 </w:t>
      </w:r>
    </w:p>
    <w:p w14:paraId="65DB32A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6.噪声和振动监测质量控制 </w:t>
      </w:r>
    </w:p>
    <w:p w14:paraId="7B55ACD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（1）用于测量噪声的仪器和校准仪器应定期检定合格，并在有效使用期内使用；每次测量前、后必须在测量现场进行声学校准。 </w:t>
      </w:r>
    </w:p>
    <w:p w14:paraId="4159DA6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（2）用于测量环境振动的仪器，其性能必须符合国家及行业的有关条款的规定。测量系统每年至少送计量部门校准一次。 </w:t>
      </w:r>
    </w:p>
    <w:p w14:paraId="365F682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（3）测量条件、测量点位、测量时段及测量记录须符合相应标准规范要求。 </w:t>
      </w:r>
    </w:p>
    <w:p w14:paraId="7E95FD7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7.数据处理和报告抽查质量控制 </w:t>
      </w:r>
    </w:p>
    <w:p w14:paraId="6208EF3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监测结果应采用法定计量单位；平行样的测定结果在允许偏差范围内时，用其平均值报告测定结果；监测结果低于方法检出限时，用“ND”表示，并注明“ND”表示未检出，同时给出方法检出限值；采购人需要时，应给出监测结果的不确定度范围。 </w:t>
      </w:r>
    </w:p>
    <w:p w14:paraId="47AFCA2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严格按要求做好三级审核工作。对数据的计算、有效位数、数据的合理性进行审查，确保数据真实、可靠、有效。加强数据敏感性，若出现超标情况，及时上报采购人，并分析超标原因，如需复测，须征得采购人同意。 </w:t>
      </w:r>
    </w:p>
    <w:p w14:paraId="582FEF3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（3）监测报告应按时提交采购人。 </w:t>
      </w:r>
    </w:p>
    <w:p w14:paraId="3D0A474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（4）委托检测项目的监测数据和结果的一次交验合格率≥99%；监测报告交付及时率要达到 100%。 </w:t>
      </w:r>
    </w:p>
    <w:p w14:paraId="1EEE97C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（三）质量控制考核办法 </w:t>
      </w:r>
    </w:p>
    <w:p w14:paraId="30D84F4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1.采购人视需要对供应商的质量控制情况进行考核。 </w:t>
      </w:r>
    </w:p>
    <w:p w14:paraId="78ED8AE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2.考核内容 </w:t>
      </w:r>
    </w:p>
    <w:p w14:paraId="13A1146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考核包括但不限于以下内容： </w:t>
      </w:r>
    </w:p>
    <w:p w14:paraId="5585405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（1）采样规范性考核，通过现场采样核查、调取图片、视频核查等方式对现场采样、样品保存及样品运输过程进行考核。 </w:t>
      </w:r>
    </w:p>
    <w:p w14:paraId="5D04110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（2）监测报告及分析原始资料记录考核，通过抽查现场采样、样品交接记录、实验室分析记录、质控记录及监测报告等方式进行考核。 </w:t>
      </w:r>
    </w:p>
    <w:p w14:paraId="5F66247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3.违反质量控制措施的情况 </w:t>
      </w:r>
    </w:p>
    <w:p w14:paraId="18468C8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（1）采购人随时对供应商受委托的检测工作进行质量监督，确保供应商能按时按质完成相关的质量控制措施，如出现不可预测的情况，视情况的轻重程度进行处理。 </w:t>
      </w:r>
    </w:p>
    <w:p w14:paraId="39631F2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（2）检查过程中如发现有数据造假情况（判定方法按照《环境监测数据弄虚作假行为判定及处理办法》及相关的法律法规规定）立即终止合同，退赔全部服务费用。 </w:t>
      </w:r>
    </w:p>
    <w:p w14:paraId="5A9CEA8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（3）年度内对采购项目质控措施整改后仍不满足要求达到三次的即终止合同，退赔全部服务费用。 </w:t>
      </w:r>
    </w:p>
    <w:p w14:paraId="16A56AE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（4）供应商提供的监测报告如经相关有权部门认定不符合规范的，采购人有权要求供应商退赔相关服务费用。</w:t>
      </w:r>
    </w:p>
    <w:p w14:paraId="60927A8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（5）监测过程中不得故意影响结果的客观性，不得编造数据，或者有其他弄虚作假行为，对结果的真实性负法律责任。</w:t>
      </w:r>
    </w:p>
    <w:p w14:paraId="1E0B560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（四）执法监测相关要求</w:t>
      </w:r>
    </w:p>
    <w:p w14:paraId="260C8EC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1.现场要求</w:t>
      </w:r>
    </w:p>
    <w:p w14:paraId="7B51987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（1）监测现场统一着装，现场人员至少1名全程佩戴摄像记录仪；</w:t>
      </w:r>
    </w:p>
    <w:p w14:paraId="369AA80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（2）每个监测项目现场配备至少3名工作人员，1名负责记录工况，2名负责现场监测采样，采样完成样品要求封箱保存；</w:t>
      </w:r>
    </w:p>
    <w:p w14:paraId="2EFED23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（3）摄像要求：采样前校准、采样过程、样品封箱、交接样品过程均要求全程录像、拍照保存。</w:t>
      </w:r>
    </w:p>
    <w:p w14:paraId="477D543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（4）样品保存及封箱：样品应放在密封袋，固定放置样品箱，要求每个受监测的单位的样品单独封箱。</w:t>
      </w:r>
    </w:p>
    <w:p w14:paraId="73819D2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2.记录签字要求</w:t>
      </w:r>
    </w:p>
    <w:p w14:paraId="272AB17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原始采样记录单及封条须环保相关部门人员签字，仪器采样信息的打印记录条要求受监测单位相关人员签字确认。</w:t>
      </w:r>
    </w:p>
    <w:p w14:paraId="50AD723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3.监测报告要求</w:t>
      </w:r>
    </w:p>
    <w:p w14:paraId="1A7D456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3.1监测报告提交时间要求</w:t>
      </w:r>
    </w:p>
    <w:p w14:paraId="7FC43A7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（1）水质监测报告：5个工作日内（如有 BOD</w:t>
      </w:r>
      <w:r>
        <w:rPr>
          <w:rFonts w:hint="eastAsia" w:ascii="宋体" w:hAnsi="宋体" w:cs="宋体"/>
          <w:bCs/>
          <w:color w:val="auto"/>
          <w:kern w:val="0"/>
          <w:sz w:val="21"/>
          <w:szCs w:val="21"/>
          <w:highlight w:val="none"/>
          <w:vertAlign w:val="subscript"/>
        </w:rPr>
        <w:t>5</w:t>
      </w:r>
      <w:r>
        <w:rPr>
          <w:rFonts w:hint="eastAsia" w:ascii="宋体" w:hAnsi="宋体" w:cs="宋体"/>
          <w:b/>
          <w:bCs/>
          <w:color w:val="auto"/>
          <w:kern w:val="0"/>
          <w:sz w:val="21"/>
          <w:szCs w:val="21"/>
          <w:highlight w:val="none"/>
        </w:rPr>
        <w:t xml:space="preserve">、微生物等指标的7个工作日内）提交。 </w:t>
      </w:r>
    </w:p>
    <w:p w14:paraId="3096AE3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（2）环境空气和废气监测报告：5个工作日内提交。 </w:t>
      </w:r>
    </w:p>
    <w:p w14:paraId="54EFF36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（3）固体废物浸出毒性监测报告：7个工作日内提交。 </w:t>
      </w:r>
    </w:p>
    <w:p w14:paraId="5EBE4E0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（4）土壤、沉积物及固体废物全量分析监测报告：15 个工作日内提交。 </w:t>
      </w:r>
    </w:p>
    <w:p w14:paraId="56E59DA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（5）振动和噪声监测报告：3 个工作日内提交。</w:t>
      </w:r>
    </w:p>
    <w:p w14:paraId="5C4F1DF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3.2监测报告内容及其他要求</w:t>
      </w:r>
    </w:p>
    <w:p w14:paraId="0338851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供应商须向采购人提交的监测报告包括纸质版2份和电子版1份（①监测报告：按顺序扫描成PDF格式；②视频、照片：光盘或U盘）：</w:t>
      </w:r>
    </w:p>
    <w:p w14:paraId="002CF4D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纸质版材料顺序及要求（监测报告须包含本次监测所涉及的相关人员及设备）：</w:t>
      </w:r>
    </w:p>
    <w:p w14:paraId="02D9B55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（1）监测报告：比对监测报告原件（并列出比对的情况）；</w:t>
      </w:r>
    </w:p>
    <w:p w14:paraId="74E5384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（2）监测机构的资质（须附所监测因子相应监测资质的相关页面，不需附完整全套资质文件）；</w:t>
      </w:r>
    </w:p>
    <w:p w14:paraId="21551DA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（3）人员要求（附：拟投入相应监测项目的工作人员在承担监测工作前经过相应的培训和能力确认的证明材料，可以是成交供应商提供的认定材料、上岗证、培训合格证等任一证明材料）；</w:t>
      </w:r>
    </w:p>
    <w:p w14:paraId="4FF3131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（4）一氧化碳干扰试验测试报告（大气类）；</w:t>
      </w:r>
    </w:p>
    <w:p w14:paraId="44E8731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（5）监测仪器检定证书、校准证书；</w:t>
      </w:r>
    </w:p>
    <w:p w14:paraId="74A2B98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（6）监测设备的校准记录（监测设备在监测前及监测结束后的校准记录页面，包括采样前有效性审查）；</w:t>
      </w:r>
    </w:p>
    <w:p w14:paraId="6C57112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（7）原始采样单【原始记录表，要求包含比对情况（比对数据记录单、烟气分析仪打印凭条要求受监测单位相关人员签字）】；</w:t>
      </w:r>
    </w:p>
    <w:p w14:paraId="22B7DCD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（8）样品交接记录；</w:t>
      </w:r>
    </w:p>
    <w:p w14:paraId="6BF73CB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（9）原始分析记录（分析记录须要求复核人员签字）。</w:t>
      </w:r>
    </w:p>
    <w:p w14:paraId="5F3AC72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每份监测报告按此顺序进行排列。</w:t>
      </w:r>
    </w:p>
    <w:p w14:paraId="378F9462">
      <w:pPr>
        <w:adjustRightInd w:val="0"/>
        <w:snapToGrid w:val="0"/>
        <w:spacing w:line="360" w:lineRule="exact"/>
        <w:ind w:firstLine="482"/>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w:t>
      </w:r>
      <w:r>
        <w:rPr>
          <w:rFonts w:hint="eastAsia" w:ascii="宋体" w:hAnsi="宋体" w:cs="宋体"/>
          <w:b/>
          <w:bCs/>
          <w:color w:val="auto"/>
          <w:szCs w:val="24"/>
          <w:highlight w:val="none"/>
        </w:rPr>
        <w:t>Ⅱ</w:t>
      </w:r>
      <w:r>
        <w:rPr>
          <w:rFonts w:hint="eastAsia" w:ascii="宋体" w:hAnsi="宋体" w:cs="宋体"/>
          <w:b/>
          <w:bCs/>
          <w:color w:val="auto"/>
          <w:kern w:val="0"/>
          <w:szCs w:val="24"/>
          <w:highlight w:val="none"/>
        </w:rPr>
        <w:t>、商务要求</w:t>
      </w:r>
    </w:p>
    <w:p w14:paraId="466DF3B7">
      <w:pPr>
        <w:adjustRightInd w:val="0"/>
        <w:snapToGrid w:val="0"/>
        <w:spacing w:line="360" w:lineRule="exact"/>
        <w:ind w:firstLine="482"/>
        <w:rPr>
          <w:rFonts w:hint="eastAsia" w:ascii="宋体" w:hAnsi="宋体" w:cs="宋体"/>
          <w:b/>
          <w:bCs/>
          <w:color w:val="auto"/>
          <w:kern w:val="0"/>
          <w:sz w:val="21"/>
          <w:szCs w:val="21"/>
          <w:highlight w:val="none"/>
        </w:rPr>
      </w:pPr>
      <w:r>
        <w:rPr>
          <w:rFonts w:hint="eastAsia" w:ascii="宋体" w:hAnsi="宋体" w:cs="宋体"/>
          <w:b/>
          <w:bCs/>
          <w:color w:val="auto"/>
          <w:kern w:val="0"/>
          <w:szCs w:val="20"/>
          <w:highlight w:val="none"/>
        </w:rPr>
        <w:t>一、</w:t>
      </w:r>
      <w:r>
        <w:rPr>
          <w:rFonts w:hint="eastAsia" w:ascii="宋体" w:hAnsi="宋体" w:cs="宋体"/>
          <w:b/>
          <w:bCs/>
          <w:color w:val="auto"/>
          <w:kern w:val="0"/>
          <w:sz w:val="21"/>
          <w:szCs w:val="21"/>
          <w:highlight w:val="none"/>
        </w:rPr>
        <w:t>服务期限、服务区域</w:t>
      </w:r>
    </w:p>
    <w:p w14:paraId="008B64EB">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1.服务期限</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自签订合同之日起3年</w:t>
      </w:r>
      <w:r>
        <w:rPr>
          <w:rFonts w:ascii="宋体" w:hAnsi="宋体" w:cs="宋体"/>
          <w:b/>
          <w:bCs/>
          <w:color w:val="auto"/>
          <w:kern w:val="0"/>
          <w:sz w:val="21"/>
          <w:szCs w:val="21"/>
          <w:highlight w:val="none"/>
        </w:rPr>
        <w:t>。</w:t>
      </w:r>
    </w:p>
    <w:p w14:paraId="30BA9955">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2.服务区域</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原则上在广西桂林市象山区、雁山区、临桂区、永福县、龙胜各族自治县内采购人指定地点。如采购人因工作安排需要供应商在广西桂林市其他区域提供监测服务的，供应商应无条件服从采购人安排（不可抗力因素等特殊情况并经采购人同意除外）</w:t>
      </w:r>
      <w:r>
        <w:rPr>
          <w:rFonts w:ascii="宋体" w:hAnsi="宋体" w:cs="宋体"/>
          <w:b/>
          <w:bCs/>
          <w:color w:val="auto"/>
          <w:kern w:val="0"/>
          <w:sz w:val="21"/>
          <w:szCs w:val="21"/>
          <w:highlight w:val="none"/>
        </w:rPr>
        <w:t>。</w:t>
      </w:r>
    </w:p>
    <w:p w14:paraId="1251A980">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二、采购预算金额、磋商报价、结算办法</w:t>
      </w:r>
    </w:p>
    <w:p w14:paraId="16B64D0D">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（一）采购预算金额：陆拾万元整（¥600000.00）。</w:t>
      </w:r>
    </w:p>
    <w:p w14:paraId="76F22D28">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（二）磋商报价</w:t>
      </w:r>
    </w:p>
    <w:p w14:paraId="6BCCB93D">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1.基准价：以《关于重新核定环境监测收费标准的函》（桂价费字〔2004〕301号）的收费标准作为基准价【如《关于重新核定环境监测收费标准的函》（桂价费字〔2004〕301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40E78977">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本分标磋商报价采用综合折扣率报价方式（以%表示，最多精确到小数点后两位）。供应商必须就“采购需求”中所竞分标的所有服务内容作完整唯一综合折扣率报价。供应商所竞分标的报价必须≤80%，否则，响应文件按分标作无效处理。</w:t>
      </w:r>
    </w:p>
    <w:p w14:paraId="73463419">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供应商磋商报价应包含完成“采购需求”中所竞分标所列所有服务内容产生的所有成本【包含但不限于供应商完成本分标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1AA7DFFA">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（三）结算办法</w:t>
      </w:r>
    </w:p>
    <w:p w14:paraId="2FEBC361">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1.采购人根据成交供应商实际发生的服务工作量进行结算，即：结算金额=∑【实际发生的服务工作量×基准价×成交综合折扣率】。</w:t>
      </w:r>
    </w:p>
    <w:p w14:paraId="03FA2B5A">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注：其中∑表示将各类相应服务工作量结算后的金额进行相加汇总。</w:t>
      </w:r>
    </w:p>
    <w:p w14:paraId="5CFABF5E">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2.各分标的结算金额不得超出相应分标的采购预算金额。</w:t>
      </w:r>
    </w:p>
    <w:p w14:paraId="584D77C9">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三、付款方式</w:t>
      </w:r>
    </w:p>
    <w:p w14:paraId="0879555F">
      <w:pPr>
        <w:spacing w:line="360" w:lineRule="exact"/>
        <w:ind w:firstLine="422"/>
        <w:rPr>
          <w:rFonts w:hint="eastAsia" w:ascii="宋体" w:hAnsi="宋体" w:cs="宋体"/>
          <w:b/>
          <w:bCs/>
          <w:color w:val="auto"/>
          <w:kern w:val="44"/>
          <w:sz w:val="21"/>
          <w:szCs w:val="21"/>
          <w:highlight w:val="none"/>
          <w:shd w:val="clear" w:color="auto" w:fill="FFFFFF"/>
          <w:lang w:bidi="ar"/>
        </w:rPr>
      </w:pPr>
      <w:r>
        <w:rPr>
          <w:rFonts w:hint="eastAsia" w:ascii="宋体" w:hAnsi="宋体" w:cs="宋体"/>
          <w:b/>
          <w:bCs/>
          <w:color w:val="auto"/>
          <w:kern w:val="44"/>
          <w:sz w:val="21"/>
          <w:szCs w:val="21"/>
          <w:highlight w:val="none"/>
          <w:shd w:val="clear" w:color="auto" w:fill="FFFFFF"/>
          <w:lang w:bidi="ar"/>
        </w:rPr>
        <w:t>本项目按成交供应商每个季度实际完成的服务工作量进行结算，采购人在收到成交供应商开具的相应发票后10个工作日内支付（无息）。</w:t>
      </w:r>
    </w:p>
    <w:p w14:paraId="029E308F">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四、质量标准和验收标准</w:t>
      </w:r>
    </w:p>
    <w:p w14:paraId="16D08149">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1.质量标准：采购标的需执行国家相关标准、行业标准等相关标准、规范。</w:t>
      </w:r>
    </w:p>
    <w:p w14:paraId="5215A30E">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rPr>
        <w:t>2</w:t>
      </w:r>
      <w:r>
        <w:rPr>
          <w:rFonts w:hint="eastAsia" w:ascii="宋体" w:hAnsi="宋体" w:cs="宋体"/>
          <w:b/>
          <w:bCs/>
          <w:color w:val="auto"/>
          <w:sz w:val="21"/>
          <w:szCs w:val="21"/>
          <w:highlight w:val="none"/>
        </w:rPr>
        <w:t>.验收标准：按照竞争性磋商文件要求、响应文件承诺以及合同条款进行评估验收。</w:t>
      </w:r>
    </w:p>
    <w:p w14:paraId="3F1313C6">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五、知识产权要求</w:t>
      </w:r>
    </w:p>
    <w:p w14:paraId="1CC5C199">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hAnsi="宋体" w:cs="宋体"/>
          <w:b/>
          <w:bCs/>
          <w:color w:val="auto"/>
          <w:sz w:val="21"/>
          <w:szCs w:val="21"/>
          <w:highlight w:val="none"/>
          <w:lang w:val="en-US"/>
        </w:rPr>
        <w:t>1.</w:t>
      </w:r>
      <w:r>
        <w:rPr>
          <w:rFonts w:hint="eastAsia" w:ascii="宋体" w:hAnsi="宋体" w:cs="宋体"/>
          <w:b/>
          <w:bCs/>
          <w:color w:val="auto"/>
          <w:sz w:val="21"/>
          <w:szCs w:val="21"/>
          <w:highlight w:val="none"/>
        </w:rPr>
        <w:t>供应商应保证采购人在使用本采购合同项下的标的时免受第三方侵犯其知识产权、商标权的起诉。</w:t>
      </w:r>
    </w:p>
    <w:p w14:paraId="46EBAAFC">
      <w:pPr>
        <w:adjustRightInd w:val="0"/>
        <w:snapToGrid w:val="0"/>
        <w:spacing w:line="360" w:lineRule="exact"/>
        <w:ind w:firstLine="422"/>
        <w:rPr>
          <w:rFonts w:hint="eastAsia" w:ascii="宋体" w:hAnsi="宋体" w:cs="宋体"/>
          <w:b/>
          <w:bCs/>
          <w:color w:val="auto"/>
          <w:sz w:val="21"/>
          <w:szCs w:val="21"/>
          <w:highlight w:val="none"/>
        </w:rPr>
      </w:pPr>
      <w:r>
        <w:rPr>
          <w:rFonts w:hint="eastAsia" w:hAnsi="宋体" w:cs="宋体"/>
          <w:b/>
          <w:bCs/>
          <w:color w:val="auto"/>
          <w:sz w:val="21"/>
          <w:szCs w:val="21"/>
          <w:highlight w:val="none"/>
        </w:rPr>
        <w:t>2.</w:t>
      </w:r>
      <w:r>
        <w:rPr>
          <w:rFonts w:hint="eastAsia" w:ascii="宋体" w:hAnsi="宋体" w:cs="宋体"/>
          <w:b/>
          <w:bCs/>
          <w:color w:val="auto"/>
          <w:sz w:val="21"/>
          <w:szCs w:val="21"/>
          <w:highlight w:val="none"/>
        </w:rPr>
        <w:t>采购人不对供应商提供的标的内容是否侵犯他人的权利负责，如因供应商提供的内容引发争议或违法导致采购人受损的，供应商应赔偿。</w:t>
      </w:r>
    </w:p>
    <w:p w14:paraId="06523A2E">
      <w:pPr>
        <w:adjustRightInd w:val="0"/>
        <w:snapToGrid w:val="0"/>
        <w:spacing w:line="360" w:lineRule="exact"/>
        <w:ind w:firstLine="480"/>
        <w:rPr>
          <w:rFonts w:hint="eastAsia" w:ascii="宋体" w:hAnsi="宋体" w:cs="宋体"/>
          <w:color w:val="auto"/>
          <w:szCs w:val="24"/>
          <w:highlight w:val="none"/>
        </w:rPr>
      </w:pPr>
      <w:r>
        <w:rPr>
          <w:rFonts w:hint="eastAsia" w:ascii="宋体" w:hAnsi="宋体" w:cs="宋体"/>
          <w:color w:val="auto"/>
          <w:kern w:val="0"/>
          <w:szCs w:val="20"/>
          <w:highlight w:val="none"/>
        </w:rPr>
        <w:t>Ⅲ</w:t>
      </w:r>
      <w:r>
        <w:rPr>
          <w:rFonts w:hint="eastAsia" w:ascii="宋体" w:hAnsi="宋体" w:cs="宋体"/>
          <w:color w:val="auto"/>
          <w:szCs w:val="24"/>
          <w:highlight w:val="none"/>
        </w:rPr>
        <w:t>、其他要求</w:t>
      </w:r>
    </w:p>
    <w:p w14:paraId="4B4F14E3">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项目实施方案：供应商根据本采购需求，可于响应文件中提供项目实施方案，该方案包含但不限于：（1）服务管理方案（包含但不限于：①工作流程；②项目实施人员管理方案；③服务进度及质量管理措施；④风险管理方案及突发应急预案等）；（2）重点难点分析方案（包含但不限于：①</w:t>
      </w:r>
      <w:r>
        <w:rPr>
          <w:rFonts w:hint="eastAsia" w:ascii="宋体" w:hAnsi="宋体" w:cs="宋体"/>
          <w:color w:val="auto"/>
          <w:sz w:val="21"/>
          <w:szCs w:val="21"/>
          <w:highlight w:val="none"/>
          <w:lang w:val="zh-CN"/>
        </w:rPr>
        <w:t>重点难点认识及分析；</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工作方案，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zh-CN"/>
        </w:rPr>
        <w:t>合理化建议</w:t>
      </w:r>
      <w:r>
        <w:rPr>
          <w:rFonts w:hint="eastAsia" w:ascii="宋体" w:hAnsi="宋体" w:cs="宋体"/>
          <w:color w:val="auto"/>
          <w:sz w:val="21"/>
          <w:szCs w:val="21"/>
          <w:highlight w:val="none"/>
        </w:rPr>
        <w:t>等）；（3）服务保障措施（包含但不限于：①服务进度控制措施</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②提升样品制备质量的保障机制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③数据检查、质量控制以及反馈纠错措施；④安全保障机制等）。</w:t>
      </w:r>
    </w:p>
    <w:p w14:paraId="276167BE">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具体评审详见“第四章 评审办法”。</w:t>
      </w:r>
    </w:p>
    <w:p w14:paraId="6DA0196C">
      <w:pPr>
        <w:adjustRightInd w:val="0"/>
        <w:snapToGrid w:val="0"/>
        <w:spacing w:line="360" w:lineRule="exact"/>
        <w:ind w:left="48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二、履约能力</w:t>
      </w:r>
    </w:p>
    <w:p w14:paraId="08D836B2">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根据自身情况，可于响应文件中提供具有本分标履约能力的证明材料；拟投入的项目负责人及技术人员（包括现场监测人员、实验室分析人员、质量管理人员）环保类中级及以上职称、拟投入的仪器设备的配备情况【包括多参数水质分析仪、气象参数检测仪、电感耦合等离子体发射谱仪、原子荧光光谱仪、气相色谱仪、气相色谱质谱联用仪、紫外可见分光光度计（多波长）、微波消解仪、不透光烟度计】、2021年以来具有生态环境执法监测服务业绩等。</w:t>
      </w:r>
    </w:p>
    <w:p w14:paraId="69DE5213">
      <w:pPr>
        <w:widowControl/>
        <w:wordWrap w:val="0"/>
        <w:spacing w:line="360" w:lineRule="exact"/>
        <w:ind w:firstLine="420"/>
        <w:jc w:val="left"/>
        <w:rPr>
          <w:rFonts w:hint="eastAsia" w:ascii="宋体" w:hAnsi="宋体" w:cs="宋体"/>
          <w:b/>
          <w:bCs/>
          <w:color w:val="auto"/>
          <w:kern w:val="0"/>
          <w:szCs w:val="24"/>
          <w:highlight w:val="none"/>
          <w:lang w:bidi="ar"/>
        </w:rPr>
      </w:pPr>
      <w:r>
        <w:rPr>
          <w:rFonts w:hint="eastAsia" w:ascii="宋体" w:hAnsi="宋体" w:cs="宋体"/>
          <w:color w:val="auto"/>
          <w:sz w:val="21"/>
          <w:szCs w:val="21"/>
          <w:highlight w:val="none"/>
        </w:rPr>
        <w:t>具体评审详见“第四章 评审办法”。</w:t>
      </w:r>
    </w:p>
    <w:p w14:paraId="74E77311">
      <w:pPr>
        <w:widowControl/>
        <w:wordWrap w:val="0"/>
        <w:ind w:firstLine="482"/>
        <w:jc w:val="left"/>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分标4</w:t>
      </w:r>
    </w:p>
    <w:p w14:paraId="7EB3949F">
      <w:pPr>
        <w:adjustRightInd w:val="0"/>
        <w:snapToGrid w:val="0"/>
        <w:spacing w:line="360" w:lineRule="exact"/>
        <w:ind w:firstLine="240" w:firstLineChars="100"/>
        <w:rPr>
          <w:rFonts w:hint="eastAsia" w:ascii="宋体" w:hAnsi="宋体" w:cs="宋体"/>
          <w:b/>
          <w:bCs/>
          <w:color w:val="auto"/>
          <w:sz w:val="21"/>
          <w:szCs w:val="24"/>
          <w:highlight w:val="none"/>
        </w:rPr>
      </w:pPr>
      <w:r>
        <w:rPr>
          <w:rFonts w:hint="eastAsia"/>
          <w:color w:val="auto"/>
          <w:highlight w:val="none"/>
        </w:rPr>
        <w:t xml:space="preserve">  </w:t>
      </w:r>
      <w:r>
        <w:rPr>
          <w:rFonts w:hint="eastAsia" w:ascii="宋体" w:hAnsi="宋体" w:cs="宋体"/>
          <w:b/>
          <w:bCs/>
          <w:color w:val="auto"/>
          <w:sz w:val="21"/>
          <w:szCs w:val="24"/>
          <w:highlight w:val="none"/>
        </w:rPr>
        <w:t>本分标采购标的：桂林市生态环境执法监测服务（阳朔县、平乐县、荔浦市、恭城瑶族自治县）；采购标的所属行业为：其他未列明行业。</w:t>
      </w:r>
    </w:p>
    <w:p w14:paraId="457574D7">
      <w:pPr>
        <w:spacing w:line="360" w:lineRule="exact"/>
        <w:ind w:firstLine="316" w:firstLineChars="150"/>
        <w:rPr>
          <w:rFonts w:hint="eastAsia" w:ascii="宋体" w:hAnsi="宋体"/>
          <w:b/>
          <w:color w:val="auto"/>
          <w:szCs w:val="24"/>
          <w:highlight w:val="none"/>
        </w:rPr>
      </w:pPr>
      <w:r>
        <w:rPr>
          <w:rFonts w:hint="eastAsia" w:ascii="宋体" w:hAnsi="宋体" w:cs="宋体"/>
          <w:b/>
          <w:bCs/>
          <w:color w:val="auto"/>
          <w:sz w:val="21"/>
          <w:szCs w:val="21"/>
          <w:highlight w:val="none"/>
        </w:rPr>
        <w:t>▲</w:t>
      </w:r>
      <w:r>
        <w:rPr>
          <w:rFonts w:hint="eastAsia" w:ascii="宋体" w:hAnsi="宋体"/>
          <w:b/>
          <w:color w:val="auto"/>
          <w:sz w:val="21"/>
          <w:szCs w:val="21"/>
          <w:highlight w:val="none"/>
        </w:rPr>
        <w:t>Ⅰ、服务内容及要求</w:t>
      </w:r>
    </w:p>
    <w:p w14:paraId="60547ADE">
      <w:pPr>
        <w:spacing w:line="360" w:lineRule="exact"/>
        <w:ind w:firstLine="316" w:firstLineChars="15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 xml:space="preserve">一、服务要求 </w:t>
      </w:r>
    </w:p>
    <w:p w14:paraId="446AF2F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（一）监测范围 </w:t>
      </w:r>
    </w:p>
    <w:p w14:paraId="73273E9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b/>
          <w:bCs/>
          <w:color w:val="auto"/>
          <w:sz w:val="21"/>
          <w:szCs w:val="24"/>
          <w:highlight w:val="none"/>
        </w:rPr>
        <w:t>供应商在</w:t>
      </w:r>
      <w:r>
        <w:rPr>
          <w:rFonts w:hint="eastAsia" w:ascii="宋体" w:hAnsi="宋体" w:cs="宋体"/>
          <w:b/>
          <w:bCs/>
          <w:color w:val="auto"/>
          <w:sz w:val="21"/>
          <w:szCs w:val="24"/>
          <w:highlight w:val="none"/>
        </w:rPr>
        <w:t>服务区域范围内提供以下服务：</w:t>
      </w:r>
      <w:r>
        <w:rPr>
          <w:rFonts w:hint="eastAsia" w:ascii="宋体" w:hAnsi="宋体" w:cs="宋体"/>
          <w:b/>
          <w:bCs/>
          <w:color w:val="auto"/>
          <w:sz w:val="21"/>
          <w:szCs w:val="21"/>
          <w:highlight w:val="none"/>
        </w:rPr>
        <w:t xml:space="preserve">区域内日常监督检查、查处环境违法行为、各项环保专项执法检查、交叉帮扶检查、信访投诉案件调查及其他执法检查工作等需要开展的执法监测。 </w:t>
      </w:r>
    </w:p>
    <w:p w14:paraId="5C2CFA1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（二）质量技术及服务要求 </w:t>
      </w:r>
    </w:p>
    <w:p w14:paraId="12A2E4E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1.供应商应当按照相关技术规范或标准实施样品的采集、传送、制备、贮存、处置以及样品分析和数据处理等检测活动，保证检测数据和信息的代表性、准确性、精密性、可比性和完整性。 </w:t>
      </w:r>
    </w:p>
    <w:p w14:paraId="5FA5A2C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2.根据工作需要，采购人有权按实际工作需要要求供应商进行生态环境执法监测。 </w:t>
      </w:r>
    </w:p>
    <w:p w14:paraId="715B670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应当独立承担监测业务工作，如遇下列特殊情况需要分包，须由供应商负责联系受托分包商，并将分包商名称、监测具体项目及收费标准以书面形式告知采购人，经采购人同意后，方可分包。需分包的监测业务应由采购人进行委托，所需费用由供应商从本分标合同款中支出。 </w:t>
      </w:r>
    </w:p>
    <w:p w14:paraId="0507823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（1）辐射类、机动车排放污染物、非道路移动机械排放污染物等特殊项目。 </w:t>
      </w:r>
    </w:p>
    <w:p w14:paraId="4BD9329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（2）其他特殊情况经采购人同意确需分包的。 </w:t>
      </w:r>
    </w:p>
    <w:p w14:paraId="21EFD48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4.供应商接到采购人执法监测通知后应在采购人规定的时间内到达目的地。 </w:t>
      </w:r>
    </w:p>
    <w:p w14:paraId="41364CB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5.供应商监测过程应按环境监测质量控制相关要求实施质控措施，确保监测质量。 </w:t>
      </w:r>
    </w:p>
    <w:p w14:paraId="2EBBC23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6.供应商监测过程不得故意影响监测结果的客观性、不得编造数据，或者有其他弄虚作假行为，对结果的真实性负法律责任。 </w:t>
      </w:r>
    </w:p>
    <w:p w14:paraId="6CB2D23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7.供应商应当严格遵守法律法规，按照合同要求开展监测活动并在规定时间提交监测报告（采样完成之日起计），保证监测结果的时效性。 </w:t>
      </w:r>
    </w:p>
    <w:p w14:paraId="502A840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8.所有环境监测数据、资料、成果，供应商应当按照国家有关保密的规定进行管理，未经采购人许可不得擅自对外发布监测数据。 </w:t>
      </w:r>
    </w:p>
    <w:p w14:paraId="339D9A3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9.如供应商接到采购人监测服务工作任务后，出现下列情形之一时，采购人可以无条件更换本项目其他分标的成交供应商提供相应的执法监测服务：</w:t>
      </w:r>
    </w:p>
    <w:p w14:paraId="552ECD6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（1）未能按照采购人要求及时完成区域内监测采样并出具监测报告的；</w:t>
      </w:r>
    </w:p>
    <w:p w14:paraId="377F66B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（2）供应商在同一时期同时接受采购人委派的多个监测服务工作，经供应商确认，拟配备人员、设备或时间无法满足监测服务工作的；</w:t>
      </w:r>
    </w:p>
    <w:p w14:paraId="32F623E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（3）其他不可抗力因素等无法满足监测服务工作的。</w:t>
      </w:r>
    </w:p>
    <w:p w14:paraId="572C069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二、实验室及人员要求 </w:t>
      </w:r>
    </w:p>
    <w:p w14:paraId="28B1AA8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（一）实验室要求 </w:t>
      </w:r>
    </w:p>
    <w:p w14:paraId="43CF361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1.实验场所、设备、人员等需满足《检验检测机构资质认定评审准则》（国家市场监督管理总局公告2023年第21号）及《检验检测机构资质认定生态环境监测机构评审补充要求》。 </w:t>
      </w:r>
    </w:p>
    <w:p w14:paraId="327CB3B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2.仪器设备要求 </w:t>
      </w:r>
    </w:p>
    <w:p w14:paraId="6C3875F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配备数量充足、技术指标符合相关检测方法要求的各类主要检测仪器设备；与检测结果的准确性和有效性相关的仪器设备在投入使用前，必须进行量值溯源，并保持其在有效期内。 </w:t>
      </w:r>
    </w:p>
    <w:p w14:paraId="303433D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3.送实验室监测时间：自采样结束后须2小时内送实验室进行监测。</w:t>
      </w:r>
    </w:p>
    <w:p w14:paraId="5388B27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（二）人员要求 </w:t>
      </w:r>
    </w:p>
    <w:p w14:paraId="62136A5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供应商应具有与其承担本分标检测任务相关的技术人员和管理人员，数量和能力应满足本分标检测任务的需要，具体要求如下： </w:t>
      </w:r>
    </w:p>
    <w:p w14:paraId="0FC8297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1.项目负责人（1人）：负责项目组织实施、沟通协调，能有效推进项目整体工作，保证服务质量和时效性。</w:t>
      </w:r>
    </w:p>
    <w:p w14:paraId="0A10409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2.技术人员（包括现场监测人员、实验室分析人员、质量管理人员） </w:t>
      </w:r>
    </w:p>
    <w:p w14:paraId="012DA59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2.1技术人员基本要求</w:t>
      </w:r>
    </w:p>
    <w:p w14:paraId="7CB630D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（1）现场监测人员（人数≥6人）：熟悉监测点位布设、样品采集、样品保存方式和有效时间、样品运输等的相关技术规范和要求，具备环境类现场监测项目能力。 </w:t>
      </w:r>
    </w:p>
    <w:p w14:paraId="7CE9AE4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（2）实验室分析人员（人数≥7人）：必须熟悉分析方法和实验操作，熟悉分析过程中的质控手段。 </w:t>
      </w:r>
    </w:p>
    <w:p w14:paraId="4EE7012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（3）质量管理人员（人数≥1人）：须具备专职质量管理人员，熟悉环境监测工作。应熟悉样品采集、保存、分析等环节，及时督促并采取适当的纠正和预防措施。 </w:t>
      </w:r>
    </w:p>
    <w:p w14:paraId="7FC6C0F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w:t>
      </w:r>
    </w:p>
    <w:p w14:paraId="1D1F7E8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①现场监测人员、实验室分析人员及质量管理人员均不能相互任职。</w:t>
      </w:r>
    </w:p>
    <w:p w14:paraId="675C6AB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②以上人员在承担本项目的监测工作前，须按《检验检测机构资质认定生态环境监测机构评审补充要求》经过相应的培训和能力确认。</w:t>
      </w:r>
    </w:p>
    <w:p w14:paraId="20FC03C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三、质量控制措施 </w:t>
      </w:r>
    </w:p>
    <w:p w14:paraId="7FA86B2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（一）总体要求 </w:t>
      </w:r>
    </w:p>
    <w:p w14:paraId="3A76106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1.本分标所涉及的所有现场及实验室分析项目必须严格按照现行有效的标准方法执行。 </w:t>
      </w:r>
    </w:p>
    <w:p w14:paraId="5232192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2.供应商的各种监测活动应满足《环境监测质量管理技术导则》（HJ630-2011）的质量管理要求。 </w:t>
      </w:r>
    </w:p>
    <w:p w14:paraId="54BD7C4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3.供应商的各个监测项目必须满足所依据的标准方法中规定的所有质控要求。 </w:t>
      </w:r>
    </w:p>
    <w:p w14:paraId="04C92EA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4.监测数据的处理必须满足《数据的统计处理和解释正态样本离群值的判断和处理》（GB/T 4883-2008）和《数值修约规则与极限数值的表示和判定》（GB/T 8170-2008）的要求。 </w:t>
      </w:r>
    </w:p>
    <w:p w14:paraId="74A3BB4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5.供应商应对受委托的每个监测任务下达质控计划，包括现场采样、现场监测、实验室分析、检测报告等过程的质量保证措施和质量控制指标，并接受采购人的质控抽查考核。 </w:t>
      </w:r>
    </w:p>
    <w:p w14:paraId="5C2C830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6.固定污染源废水、废气污染物排放的环境监测，固定污染源废水排放、废气排放手工监测和比对监测过程中采样及测定必须满足《固定污染源监测质量保证与质量控制技术规范（试行）》（HJ/T 373-2007）的质控要求。 </w:t>
      </w:r>
    </w:p>
    <w:p w14:paraId="7047F04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7.检测全过程（采样、运输、保存、分析）的安全责任（人员、环境、交通）由供应商自行负责。 </w:t>
      </w:r>
    </w:p>
    <w:p w14:paraId="4F2802C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（二）重点要求 </w:t>
      </w:r>
    </w:p>
    <w:p w14:paraId="373E212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1.水和废水现场采样质量控制</w:t>
      </w:r>
    </w:p>
    <w:p w14:paraId="5030F0C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（1）应按相应的规范要求采集、保存、运输样品， 并对采样准备工作和采样过程实行必要的质量监督。应使用定位仪及照相机等辅助设备证实采样点位置。 </w:t>
      </w:r>
    </w:p>
    <w:p w14:paraId="15940A9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（2）按照标准方法要求准备采样容器，每个项目必须严格按照标准要求选择对应的采样容器。 </w:t>
      </w:r>
    </w:p>
    <w:p w14:paraId="2B32244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采样点位的设置与频次须根据采购人要求进行，采样记录要描述详细准确，采样全过程重要节点要求依靠电子技术进行拍照或录像留存，由采购人检查。采样过程中出现突发状况无法在规定的点位采样或频次有变，或其他特殊情况，应及时与采购人沟通，不能擅自改变及自行处理。 </w:t>
      </w:r>
    </w:p>
    <w:p w14:paraId="1698A80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（4）涉及重点源比对监测，每次监测时，手工监测与在线监测数据对不少于3对。比对监测与在线连续监测采样时间和采样点位应保持一致，比对监测过程中应尽可能保证比对样品均匀一致。 </w:t>
      </w:r>
    </w:p>
    <w:p w14:paraId="7C9DCDA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（5）各分析项目严格按照监测技术规范及分析方法中的质控要求执行，并做好留样、存样。 </w:t>
      </w:r>
    </w:p>
    <w:p w14:paraId="563256D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2.实验室分析质量控制 </w:t>
      </w:r>
    </w:p>
    <w:p w14:paraId="65E916F4">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实验室分析的质控措施应包括实验室空白、平行、加标回收、有证标准样品、留样、实验室间（内）比对实验、能力验证、比对（人员、方法、仪器）、结果的相关性等质控手段进行有效技术核查。 </w:t>
      </w:r>
    </w:p>
    <w:p w14:paraId="3A2EB62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3.环境空气和废气监测质量控制 </w:t>
      </w:r>
    </w:p>
    <w:p w14:paraId="295C6C1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（1）环境空气监测 </w:t>
      </w:r>
    </w:p>
    <w:p w14:paraId="44677C47">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应按照监测技术规范要求检查采样系统，采样前应进行流量校准、气密性检查及气象参数标定，气象参数的测量及读取、样品的保存与运输要符合规范要求，每个监测任务至少做 2 个现场空白，采集不少于10%的平行样品。颗粒物采样后称量的同时应称量“标准滤膜”。 </w:t>
      </w:r>
    </w:p>
    <w:p w14:paraId="6716A2E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（2）废气监测 </w:t>
      </w:r>
    </w:p>
    <w:p w14:paraId="6782993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①烟气分析仪应在测试前后按监测因子分别用与实测浓度相近的标准气体和流量计对其进行校核（标定）。 </w:t>
      </w:r>
    </w:p>
    <w:p w14:paraId="50ACB24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②对气体状态参数测量装置至少半年自行校正一次。 校正方法按照 《固定污染源排气中颗粒物测定与气态污染物采样方法》（GB/T16157-1996）及《固定污染源排气中颗粒物测定与气态污染物采样方法》行业标准第1号修改单（GB/T 16157-1996/XG1-2017）中相关要求执行。 </w:t>
      </w:r>
    </w:p>
    <w:p w14:paraId="2D76FC4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③定电位电解法烟气测定仪，应用仪器量程中值附近浓度的标准气校准，根据仪器使用频率，每 3 个月至半年校准一次，使用频率较高的情况下，应增加校准次数。 </w:t>
      </w:r>
    </w:p>
    <w:p w14:paraId="0929ECB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④测氧仪至少每季度检查校验一次，使用高纯氮检查零点，用干净的环境空气应能调整其示值为 20.9%。 </w:t>
      </w:r>
    </w:p>
    <w:p w14:paraId="0450A35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⑤自动等速采样仪和含湿量测定装置的温度计、电子压差计、流量计应定期进行校准。 </w:t>
      </w:r>
    </w:p>
    <w:p w14:paraId="393C7A4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⑥采样的工况、监测点位、采样量等应符合监测规范要求。 </w:t>
      </w:r>
    </w:p>
    <w:p w14:paraId="05AFC4F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4.土壤监测质量控制 </w:t>
      </w:r>
    </w:p>
    <w:p w14:paraId="1346EE4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（1）土壤监测点位布设方法和布设数量应根据其目的和要求，并结合现场勘察结果确定该区域内土壤监测点位。土壤样品采集和运输保存符合标准规范要求。 </w:t>
      </w:r>
    </w:p>
    <w:p w14:paraId="76CEB59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（2）实验室分析应采用实验室空白、平行、加标回收、有证标准样品、留样等质控手段。 </w:t>
      </w:r>
    </w:p>
    <w:p w14:paraId="7C56D39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5.固体废物监测质量控制 </w:t>
      </w:r>
    </w:p>
    <w:p w14:paraId="6965665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（1）固体废物危险特性鉴别检测项目的确定应以工艺分析为主要手段，综合原辅材料特性、生产工艺、固体废物产生工艺等信息，确定可能具有的危险特性及相应检测项目。 </w:t>
      </w:r>
    </w:p>
    <w:p w14:paraId="411D73C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（2）样品采集应记录必要的信息，包括（但不限于）：样品编号、采样时间、采样地点、企业生产工况。样品的采集、包装、运输和保存应符合相应检测项目的有关要求。 </w:t>
      </w:r>
    </w:p>
    <w:p w14:paraId="10C8AB9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（3）固体废物危险特性鉴别的检测应符合相应检测方法的质量保证与质量控制要求。 </w:t>
      </w:r>
    </w:p>
    <w:p w14:paraId="549E4C5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6.噪声和振动监测质量控制 </w:t>
      </w:r>
    </w:p>
    <w:p w14:paraId="474F337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（1）用于测量噪声的仪器和校准仪器应定期检定合格，并在有效使用期内使用；每次测量前、后必须在测量现场进行声学校准。 </w:t>
      </w:r>
    </w:p>
    <w:p w14:paraId="647DA19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（2）用于测量环境振动的仪器，其性能必须符合国家及行业的有关条款的规定。测量系统每年至少送计量部门校准一次。 </w:t>
      </w:r>
    </w:p>
    <w:p w14:paraId="09B02CA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（3）测量条件、测量点位、测量时段及测量记录须符合相应标准规范要求。 </w:t>
      </w:r>
    </w:p>
    <w:p w14:paraId="1C7284F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7.数据处理和报告抽查质量控制 </w:t>
      </w:r>
    </w:p>
    <w:p w14:paraId="5CA9B38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监测结果应采用法定计量单位；平行样的测定结果在允许偏差范围内时，用其平均值报告测定结果；监测结果低于方法检出限时，用“ND”表示，并注明“ND”表示未检出，同时给出方法检出限值；采购人需要时，应给出监测结果的不确定度范围。 </w:t>
      </w:r>
    </w:p>
    <w:p w14:paraId="4EE48D5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严格按要求做好三级审核工作。对数据的计算、有效位数、数据的合理性进行审查，确保数据真实、可靠、有效。加强数据敏感性，若出现超标情况，及时上报采购人，并分析超标原因，如需复测，须征得采购人同意。 </w:t>
      </w:r>
    </w:p>
    <w:p w14:paraId="3852B89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（3）监测报告应按时提交采购人。 </w:t>
      </w:r>
    </w:p>
    <w:p w14:paraId="5797D23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（4）委托检测项目的监测数据和结果的一次交验合格率≥99%；监测报告交付及时率要达到 100%。 </w:t>
      </w:r>
    </w:p>
    <w:p w14:paraId="41CE4CC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（三）质量控制考核办法 </w:t>
      </w:r>
    </w:p>
    <w:p w14:paraId="498A2FB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1.采购人视需要对供应商的质量控制情况进行考核。 </w:t>
      </w:r>
    </w:p>
    <w:p w14:paraId="469B4BC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2.考核内容 </w:t>
      </w:r>
    </w:p>
    <w:p w14:paraId="6A855B1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考核包括但不限于以下内容： </w:t>
      </w:r>
    </w:p>
    <w:p w14:paraId="1B2282D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（1）采样规范性考核，通过现场采样核查、调取图片、视频核查等方式对现场采样、样品保存及样品运输过程进行考核。 </w:t>
      </w:r>
    </w:p>
    <w:p w14:paraId="59C5205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（2）监测报告及分析原始资料记录考核，通过抽查现场采样、样品交接记录、实验室分析记录、质控记录及监测报告等方式进行考核。 </w:t>
      </w:r>
    </w:p>
    <w:p w14:paraId="3011AA0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3.违反质量控制措施的情况 </w:t>
      </w:r>
    </w:p>
    <w:p w14:paraId="07174F2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（1）采购人随时对供应商受委托的检测工作进行质量监督，确保供应商能按时按质完成相关的质量控制措施，如出现不可预测的情况，视情况的轻重程度进行处理。 </w:t>
      </w:r>
    </w:p>
    <w:p w14:paraId="7C35891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（2）检查过程中如发现有数据造假情况（判定方法按照《环境监测数据弄虚作假行为判定及处理办法》及相关的法律法规规定）立即终止合同，退赔全部服务费用。 </w:t>
      </w:r>
    </w:p>
    <w:p w14:paraId="1010664E">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（3）年度内对采购项目质控措施整改后仍不满足要求达到三次的即终止合同，退赔全部服务费用。 </w:t>
      </w:r>
    </w:p>
    <w:p w14:paraId="5C734B8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（4）供应商提供的监测报告如经相关有权部门认定不符合规范的，采购人有权要求供应商退赔相关服务费用。</w:t>
      </w:r>
    </w:p>
    <w:p w14:paraId="2467B441">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（5）监测过程中不得故意影响结果的客观性，不得编造数据，或者有其他弄虚作假行为，对结果的真实性负法律责任。</w:t>
      </w:r>
    </w:p>
    <w:p w14:paraId="34F0AEA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（四）执法监测相关要求</w:t>
      </w:r>
    </w:p>
    <w:p w14:paraId="12CB6E47">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1.现场要求</w:t>
      </w:r>
    </w:p>
    <w:p w14:paraId="793963C0">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（1）监测现场统一着装，现场人员至少1名全程佩戴摄像记录仪；</w:t>
      </w:r>
    </w:p>
    <w:p w14:paraId="70FE423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（2）每个监测项目现场配备至少3名工作人员，1名负责记录工况，2名负责现场监测采样，采样完成样品要求封箱保存；</w:t>
      </w:r>
    </w:p>
    <w:p w14:paraId="61635D1B">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（3）摄像要求：采样前校准、采样过程、样品封箱、交接样品过程均要求全程录像、拍照保存。</w:t>
      </w:r>
    </w:p>
    <w:p w14:paraId="5335469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（4）样品保存及封箱：样品应放在密封袋，固定放置样品箱，要求每个受监测的单位的样品单独封箱。</w:t>
      </w:r>
    </w:p>
    <w:p w14:paraId="597F387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2.记录签字要求</w:t>
      </w:r>
    </w:p>
    <w:p w14:paraId="5CF65FF9">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原始采样记录单及封条须环保相关部门人员签字，仪器采样信息的打印记录条要求受监测单位相关人员签字确认。</w:t>
      </w:r>
    </w:p>
    <w:p w14:paraId="09AF5ABF">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3.监测报告要求</w:t>
      </w:r>
    </w:p>
    <w:p w14:paraId="32B80B9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3.1监测报告提交时间要求</w:t>
      </w:r>
    </w:p>
    <w:p w14:paraId="30AE1E9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（1）水质监测报告：5个工作日内（如有 BOD</w:t>
      </w:r>
      <w:r>
        <w:rPr>
          <w:rFonts w:hint="eastAsia" w:ascii="宋体" w:hAnsi="宋体" w:cs="宋体"/>
          <w:bCs/>
          <w:color w:val="auto"/>
          <w:kern w:val="0"/>
          <w:sz w:val="21"/>
          <w:szCs w:val="21"/>
          <w:highlight w:val="none"/>
          <w:vertAlign w:val="subscript"/>
        </w:rPr>
        <w:t>5</w:t>
      </w:r>
      <w:r>
        <w:rPr>
          <w:rFonts w:hint="eastAsia" w:ascii="宋体" w:hAnsi="宋体" w:cs="宋体"/>
          <w:b/>
          <w:bCs/>
          <w:color w:val="auto"/>
          <w:kern w:val="0"/>
          <w:sz w:val="21"/>
          <w:szCs w:val="21"/>
          <w:highlight w:val="none"/>
        </w:rPr>
        <w:t xml:space="preserve">、微生物等指标的7个工作日内）提交。 </w:t>
      </w:r>
    </w:p>
    <w:p w14:paraId="60942FB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（2）环境空气和废气监测报告：5个工作日内提交。 </w:t>
      </w:r>
    </w:p>
    <w:p w14:paraId="33C15C1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（3）固体废物浸出毒性监测报告：7个工作日内提交。 </w:t>
      </w:r>
    </w:p>
    <w:p w14:paraId="074450C6">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（4）土壤、沉积物及固体废物全量分析监测报告：15 个工作日内提交。 </w:t>
      </w:r>
    </w:p>
    <w:p w14:paraId="0E076F22">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（5）振动和噪声监测报告：3 个工作日内提交。</w:t>
      </w:r>
    </w:p>
    <w:p w14:paraId="615CEE93">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3.2监测报告内容及其他要求</w:t>
      </w:r>
    </w:p>
    <w:p w14:paraId="2F6F7FE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供应商须向采购人提交的监测报告包括纸质版2份和电子版1份（①监测报告：按顺序扫描成PDF格式；②视频、照片：光盘或U盘）：</w:t>
      </w:r>
    </w:p>
    <w:p w14:paraId="337359B5">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纸质版材料顺序及要求（监测报告须包含本次监测所涉及的相关人员及设备）：</w:t>
      </w:r>
    </w:p>
    <w:p w14:paraId="26674864">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（1）监测报告：比对监测报告原件（并列出比对的情况）；</w:t>
      </w:r>
    </w:p>
    <w:p w14:paraId="58B72E7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（2）监测机构的资质（须附所监测因子相应监测资质的相关页面，不需附完整全套资质文件）；</w:t>
      </w:r>
    </w:p>
    <w:p w14:paraId="64E3BE3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（3）人员要求（附：拟投入相应监测项目的工作人员在承担监测工作前经过相应的培训和能力确认的证明材料，可以是成交供应商提供的认定材料、上岗证、培训合格证等任一证明材料）；</w:t>
      </w:r>
    </w:p>
    <w:p w14:paraId="105DE6A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（4）一氧化碳干扰试验测试报告（大气类）；</w:t>
      </w:r>
    </w:p>
    <w:p w14:paraId="648CFD8C">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（5）监测仪器检定证书、校准证书；</w:t>
      </w:r>
    </w:p>
    <w:p w14:paraId="689ECA6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（6）监测设备的校准记录（监测设备在监测前及监测结束后的校准记录页面，包括采样前有效性审查）；</w:t>
      </w:r>
    </w:p>
    <w:p w14:paraId="6EDA9F8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（7）原始采样单【原始记录表，要求包含比对情况（比对数据记录单、烟气分析仪打印凭条要求受监测单位相关人员签字）】；</w:t>
      </w:r>
    </w:p>
    <w:p w14:paraId="182A247A">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（8）样品交接记录；</w:t>
      </w:r>
    </w:p>
    <w:p w14:paraId="21CBE558">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（9）原始分析记录（分析记录须要求复核人员签字）。</w:t>
      </w:r>
    </w:p>
    <w:p w14:paraId="60511EFD">
      <w:pPr>
        <w:spacing w:line="360" w:lineRule="exact"/>
        <w:ind w:firstLine="316" w:firstLineChars="15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每份监测报告按此顺序进行排列。</w:t>
      </w:r>
    </w:p>
    <w:p w14:paraId="12ED0E53">
      <w:pPr>
        <w:adjustRightInd w:val="0"/>
        <w:snapToGrid w:val="0"/>
        <w:spacing w:line="360" w:lineRule="exact"/>
        <w:ind w:firstLine="482"/>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w:t>
      </w:r>
      <w:r>
        <w:rPr>
          <w:rFonts w:hint="eastAsia" w:ascii="宋体" w:hAnsi="宋体" w:cs="宋体"/>
          <w:b/>
          <w:bCs/>
          <w:color w:val="auto"/>
          <w:szCs w:val="24"/>
          <w:highlight w:val="none"/>
        </w:rPr>
        <w:t>Ⅱ</w:t>
      </w:r>
      <w:r>
        <w:rPr>
          <w:rFonts w:hint="eastAsia" w:ascii="宋体" w:hAnsi="宋体" w:cs="宋体"/>
          <w:b/>
          <w:bCs/>
          <w:color w:val="auto"/>
          <w:kern w:val="0"/>
          <w:szCs w:val="24"/>
          <w:highlight w:val="none"/>
        </w:rPr>
        <w:t>、商务要求</w:t>
      </w:r>
    </w:p>
    <w:p w14:paraId="5E67D81B">
      <w:pPr>
        <w:adjustRightInd w:val="0"/>
        <w:snapToGrid w:val="0"/>
        <w:spacing w:line="360" w:lineRule="exact"/>
        <w:ind w:firstLine="482"/>
        <w:rPr>
          <w:rFonts w:hint="eastAsia" w:ascii="宋体" w:hAnsi="宋体" w:cs="宋体"/>
          <w:b/>
          <w:bCs/>
          <w:color w:val="auto"/>
          <w:kern w:val="0"/>
          <w:sz w:val="21"/>
          <w:szCs w:val="21"/>
          <w:highlight w:val="none"/>
        </w:rPr>
      </w:pPr>
      <w:r>
        <w:rPr>
          <w:rFonts w:hint="eastAsia" w:ascii="宋体" w:hAnsi="宋体" w:cs="宋体"/>
          <w:b/>
          <w:bCs/>
          <w:color w:val="auto"/>
          <w:kern w:val="0"/>
          <w:szCs w:val="20"/>
          <w:highlight w:val="none"/>
        </w:rPr>
        <w:t>一、</w:t>
      </w:r>
      <w:r>
        <w:rPr>
          <w:rFonts w:hint="eastAsia" w:ascii="宋体" w:hAnsi="宋体" w:cs="宋体"/>
          <w:b/>
          <w:bCs/>
          <w:color w:val="auto"/>
          <w:kern w:val="0"/>
          <w:sz w:val="21"/>
          <w:szCs w:val="21"/>
          <w:highlight w:val="none"/>
        </w:rPr>
        <w:t>服务期限、服务区域</w:t>
      </w:r>
    </w:p>
    <w:p w14:paraId="45357C63">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1.服务期限</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自签订合同之日起3年</w:t>
      </w:r>
      <w:r>
        <w:rPr>
          <w:rFonts w:ascii="宋体" w:hAnsi="宋体" w:cs="宋体"/>
          <w:b/>
          <w:bCs/>
          <w:color w:val="auto"/>
          <w:kern w:val="0"/>
          <w:sz w:val="21"/>
          <w:szCs w:val="21"/>
          <w:highlight w:val="none"/>
        </w:rPr>
        <w:t>。</w:t>
      </w:r>
    </w:p>
    <w:p w14:paraId="7940D63F">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2.服务区域</w:t>
      </w:r>
      <w:r>
        <w:rPr>
          <w:rFonts w:ascii="宋体" w:hAnsi="宋体" w:cs="宋体"/>
          <w:b/>
          <w:bCs/>
          <w:color w:val="auto"/>
          <w:kern w:val="0"/>
          <w:sz w:val="21"/>
          <w:szCs w:val="21"/>
          <w:highlight w:val="none"/>
        </w:rPr>
        <w:t>：</w:t>
      </w:r>
      <w:r>
        <w:rPr>
          <w:rFonts w:hint="eastAsia" w:ascii="宋体" w:hAnsi="宋体" w:cs="宋体"/>
          <w:b/>
          <w:bCs/>
          <w:color w:val="auto"/>
          <w:kern w:val="0"/>
          <w:sz w:val="21"/>
          <w:szCs w:val="21"/>
          <w:highlight w:val="none"/>
        </w:rPr>
        <w:t>原则上在广西桂林市阳朔县、平乐县、荔浦市、恭城瑶族自治县内采购人指定地点。如采购人因工作安排需要供应商在广西桂林市其他区域提供监测服务的，供应商应无条件服从采购人安排（不可抗力因素等特殊情况并经采购人同意除外）</w:t>
      </w:r>
      <w:r>
        <w:rPr>
          <w:rFonts w:ascii="宋体" w:hAnsi="宋体" w:cs="宋体"/>
          <w:b/>
          <w:bCs/>
          <w:color w:val="auto"/>
          <w:kern w:val="0"/>
          <w:sz w:val="21"/>
          <w:szCs w:val="21"/>
          <w:highlight w:val="none"/>
        </w:rPr>
        <w:t>。</w:t>
      </w:r>
    </w:p>
    <w:p w14:paraId="015EBF3C">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二、采购预算金额、磋商报价、结算办法</w:t>
      </w:r>
    </w:p>
    <w:p w14:paraId="65BE415F">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（一）采购预算金额：陆拾万元整（¥600000.00）。</w:t>
      </w:r>
    </w:p>
    <w:p w14:paraId="28CD63BA">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（二）磋商报价</w:t>
      </w:r>
    </w:p>
    <w:p w14:paraId="4C973E9F">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1.基准价：以《关于重新核定环境监测收费标准的函》（桂价费字〔2004〕301号）的收费标准作为基准价【如《关于重新核定环境监测收费标准的函》（桂价费字〔2004〕301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475FD960">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2.本分标磋商报价采用综合折扣率报价方式（以%表示，最多精确到小数点后两位）。供应商必须就“采购需求”中所竞分标的所有服务内容作完整唯一综合折扣率报价。供应商所竞分标的报价必须≤80%，否则，响应文件按分标作无效处理。 </w:t>
      </w:r>
    </w:p>
    <w:p w14:paraId="6F8AFF1F">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供应商磋商报价应包含完成“采购需求”中所竞分标所列所有服务内容产生的所有成本【包含但不限于供应商完成本分标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36DA3788">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（三）结算办法</w:t>
      </w:r>
    </w:p>
    <w:p w14:paraId="232755A8">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1.采购人根据成交供应商实际发生的服务工作量进行结算，即：结算金额=∑【实际发生的服务工作量×基准价×成交综合折扣率】。</w:t>
      </w:r>
    </w:p>
    <w:p w14:paraId="2C515836">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注：其中∑表示将各类相应服务工作量结算后的金额进行相加汇总。</w:t>
      </w:r>
    </w:p>
    <w:p w14:paraId="0F562C61">
      <w:pPr>
        <w:spacing w:line="360" w:lineRule="exact"/>
        <w:ind w:firstLine="422"/>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2.各分标的结算金额不得超出相应分标的采购预算金额。</w:t>
      </w:r>
    </w:p>
    <w:p w14:paraId="52C9ECF9">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三、付款方式</w:t>
      </w:r>
    </w:p>
    <w:p w14:paraId="4657E39F">
      <w:pPr>
        <w:spacing w:line="360" w:lineRule="exact"/>
        <w:ind w:firstLine="422"/>
        <w:rPr>
          <w:rFonts w:hint="eastAsia" w:ascii="宋体" w:hAnsi="宋体" w:cs="宋体"/>
          <w:b/>
          <w:bCs/>
          <w:color w:val="auto"/>
          <w:kern w:val="44"/>
          <w:sz w:val="21"/>
          <w:szCs w:val="21"/>
          <w:highlight w:val="none"/>
          <w:shd w:val="clear" w:color="auto" w:fill="FFFFFF"/>
          <w:lang w:bidi="ar"/>
        </w:rPr>
      </w:pPr>
      <w:r>
        <w:rPr>
          <w:rFonts w:hint="eastAsia" w:ascii="宋体" w:hAnsi="宋体" w:cs="宋体"/>
          <w:b/>
          <w:bCs/>
          <w:color w:val="auto"/>
          <w:kern w:val="44"/>
          <w:sz w:val="21"/>
          <w:szCs w:val="21"/>
          <w:highlight w:val="none"/>
          <w:shd w:val="clear" w:color="auto" w:fill="FFFFFF"/>
          <w:lang w:bidi="ar"/>
        </w:rPr>
        <w:t>本项目按成交供应商每个季度实际完成的服务工作量进行结算，采购人在收到成交供应商开具的相应发票后10个工作日内支付（无息）。</w:t>
      </w:r>
    </w:p>
    <w:p w14:paraId="3D5702E2">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四、质量标准和验收标准</w:t>
      </w:r>
    </w:p>
    <w:p w14:paraId="42E00F03">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1.质量标准：采购标的需执行国家相关标准、行业标准等相关标准、规范。</w:t>
      </w:r>
    </w:p>
    <w:p w14:paraId="52F73D30">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rPr>
        <w:t>2</w:t>
      </w:r>
      <w:r>
        <w:rPr>
          <w:rFonts w:hint="eastAsia" w:ascii="宋体" w:hAnsi="宋体" w:cs="宋体"/>
          <w:b/>
          <w:bCs/>
          <w:color w:val="auto"/>
          <w:sz w:val="21"/>
          <w:szCs w:val="21"/>
          <w:highlight w:val="none"/>
        </w:rPr>
        <w:t>.验收标准：按照竞争性磋商文件要求、响应文件承诺以及合同条款进行评估验收。</w:t>
      </w:r>
    </w:p>
    <w:p w14:paraId="3C52C232">
      <w:pPr>
        <w:adjustRightInd w:val="0"/>
        <w:snapToGrid w:val="0"/>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五、知识产权要求</w:t>
      </w:r>
    </w:p>
    <w:p w14:paraId="4AB6ECEE">
      <w:pPr>
        <w:pStyle w:val="26"/>
        <w:adjustRightInd w:val="0"/>
        <w:snapToGrid w:val="0"/>
        <w:spacing w:line="360" w:lineRule="exact"/>
        <w:ind w:firstLine="422" w:firstLineChars="200"/>
        <w:rPr>
          <w:rFonts w:hint="eastAsia" w:ascii="宋体" w:hAnsi="宋体" w:cs="宋体"/>
          <w:b/>
          <w:bCs/>
          <w:color w:val="auto"/>
          <w:sz w:val="21"/>
          <w:szCs w:val="21"/>
          <w:highlight w:val="none"/>
        </w:rPr>
      </w:pPr>
      <w:r>
        <w:rPr>
          <w:rFonts w:hint="eastAsia" w:hAnsi="宋体" w:cs="宋体"/>
          <w:b/>
          <w:bCs/>
          <w:color w:val="auto"/>
          <w:sz w:val="21"/>
          <w:szCs w:val="21"/>
          <w:highlight w:val="none"/>
          <w:lang w:val="en-US"/>
        </w:rPr>
        <w:t>1.</w:t>
      </w:r>
      <w:r>
        <w:rPr>
          <w:rFonts w:hint="eastAsia" w:ascii="宋体" w:hAnsi="宋体" w:cs="宋体"/>
          <w:b/>
          <w:bCs/>
          <w:color w:val="auto"/>
          <w:sz w:val="21"/>
          <w:szCs w:val="21"/>
          <w:highlight w:val="none"/>
        </w:rPr>
        <w:t>供应商应保证采购人在使用本采购合同项下的标的时免受第三方侵犯其知识产权、商标权的起诉。</w:t>
      </w:r>
    </w:p>
    <w:p w14:paraId="1117437B">
      <w:pPr>
        <w:adjustRightInd w:val="0"/>
        <w:snapToGrid w:val="0"/>
        <w:spacing w:line="360" w:lineRule="exact"/>
        <w:ind w:firstLine="422"/>
        <w:rPr>
          <w:rFonts w:hint="eastAsia" w:ascii="宋体" w:hAnsi="宋体" w:cs="宋体"/>
          <w:b/>
          <w:bCs/>
          <w:color w:val="auto"/>
          <w:sz w:val="21"/>
          <w:szCs w:val="21"/>
          <w:highlight w:val="none"/>
        </w:rPr>
      </w:pPr>
      <w:r>
        <w:rPr>
          <w:rFonts w:hint="eastAsia" w:hAnsi="宋体" w:cs="宋体"/>
          <w:b/>
          <w:bCs/>
          <w:color w:val="auto"/>
          <w:sz w:val="21"/>
          <w:szCs w:val="21"/>
          <w:highlight w:val="none"/>
        </w:rPr>
        <w:t>2.</w:t>
      </w:r>
      <w:r>
        <w:rPr>
          <w:rFonts w:hint="eastAsia" w:ascii="宋体" w:hAnsi="宋体" w:cs="宋体"/>
          <w:b/>
          <w:bCs/>
          <w:color w:val="auto"/>
          <w:sz w:val="21"/>
          <w:szCs w:val="21"/>
          <w:highlight w:val="none"/>
        </w:rPr>
        <w:t>采购人不对供应商提供的标的内容是否侵犯他人的权利负责，如因供应商提供的内容引发争议或违法导致采购人受损的，供应商应赔偿。</w:t>
      </w:r>
    </w:p>
    <w:p w14:paraId="0A212506">
      <w:pPr>
        <w:adjustRightInd w:val="0"/>
        <w:snapToGrid w:val="0"/>
        <w:spacing w:line="360" w:lineRule="exact"/>
        <w:ind w:firstLine="480"/>
        <w:rPr>
          <w:rFonts w:hint="eastAsia" w:ascii="宋体" w:hAnsi="宋体" w:cs="宋体"/>
          <w:color w:val="auto"/>
          <w:szCs w:val="24"/>
          <w:highlight w:val="none"/>
        </w:rPr>
      </w:pPr>
      <w:r>
        <w:rPr>
          <w:rFonts w:hint="eastAsia" w:ascii="宋体" w:hAnsi="宋体" w:cs="宋体"/>
          <w:color w:val="auto"/>
          <w:kern w:val="0"/>
          <w:szCs w:val="20"/>
          <w:highlight w:val="none"/>
        </w:rPr>
        <w:t>Ⅲ</w:t>
      </w:r>
      <w:r>
        <w:rPr>
          <w:rFonts w:hint="eastAsia" w:ascii="宋体" w:hAnsi="宋体" w:cs="宋体"/>
          <w:color w:val="auto"/>
          <w:szCs w:val="24"/>
          <w:highlight w:val="none"/>
        </w:rPr>
        <w:t>、其他要求</w:t>
      </w:r>
    </w:p>
    <w:p w14:paraId="36077A6E">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项目实施方案：供应商根据本采购需求，可于响应文件中提供项目实施方案，该方案包含但不限于：（1）服务管理方案（包含但不限于：①工作流程；②项目实施人员管理方案；③服务进度及质量管理措施；④风险管理方案及突发应急预案等）；（2）重点难点分析方案（包含但不限于：①</w:t>
      </w:r>
      <w:r>
        <w:rPr>
          <w:rFonts w:hint="eastAsia" w:ascii="宋体" w:hAnsi="宋体" w:cs="宋体"/>
          <w:color w:val="auto"/>
          <w:sz w:val="21"/>
          <w:szCs w:val="21"/>
          <w:highlight w:val="none"/>
          <w:lang w:val="zh-CN"/>
        </w:rPr>
        <w:t>重点难点认识及分析；</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工作方案，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zh-CN"/>
        </w:rPr>
        <w:t>合理化建议</w:t>
      </w:r>
      <w:r>
        <w:rPr>
          <w:rFonts w:hint="eastAsia" w:ascii="宋体" w:hAnsi="宋体" w:cs="宋体"/>
          <w:color w:val="auto"/>
          <w:sz w:val="21"/>
          <w:szCs w:val="21"/>
          <w:highlight w:val="none"/>
        </w:rPr>
        <w:t>等）；（3）服务保障措施（包含但不限于：①服务进度控制措施</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②提升样品制备质量的保障机制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③数据检查、质量控制以及反馈纠错措施；④安全保障机制等）。</w:t>
      </w:r>
    </w:p>
    <w:p w14:paraId="394FE304">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具体评审详见“第四章 评审办法”。</w:t>
      </w:r>
    </w:p>
    <w:p w14:paraId="322E133D">
      <w:pPr>
        <w:adjustRightInd w:val="0"/>
        <w:snapToGrid w:val="0"/>
        <w:spacing w:line="360" w:lineRule="exact"/>
        <w:ind w:left="48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二、履约能力</w:t>
      </w:r>
    </w:p>
    <w:p w14:paraId="4727D359">
      <w:pPr>
        <w:adjustRightInd w:val="0"/>
        <w:snapToGrid w:val="0"/>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根据自身情况，可于响应文件中提供具有本分标履约能力的证明材料；拟投入的项目负责人及技术人员（包括现场监测人员、实验室分析人员、质量管理人员）环保类中级及以上职称、拟投入的仪器设备的配备情况【包括多参数水质分析仪、气象参数检测仪、电感耦合等离子体发射谱仪、原子荧光光谱仪、气相色谱仪、气相色谱质谱联用仪、紫外可见分光光度计（多波长）、微波消解仪、不透光烟度计】、2021年以来具有生态环境执法监测服务业绩等。</w:t>
      </w:r>
    </w:p>
    <w:p w14:paraId="3D472763">
      <w:pPr>
        <w:pStyle w:val="44"/>
        <w:spacing w:line="360" w:lineRule="exact"/>
        <w:ind w:left="0" w:leftChars="0" w:firstLine="0" w:firstLineChars="0"/>
        <w:rPr>
          <w:color w:val="auto"/>
          <w:highlight w:val="none"/>
        </w:rPr>
      </w:pPr>
      <w:r>
        <w:rPr>
          <w:rFonts w:hint="eastAsia" w:ascii="宋体" w:hAnsi="宋体" w:cs="宋体"/>
          <w:color w:val="auto"/>
          <w:szCs w:val="21"/>
          <w:highlight w:val="none"/>
        </w:rPr>
        <w:t>具体评审详见“第四章 评审办法”。</w:t>
      </w:r>
    </w:p>
    <w:p w14:paraId="45401FD6">
      <w:pPr>
        <w:pStyle w:val="44"/>
        <w:ind w:left="480"/>
        <w:rPr>
          <w:color w:val="auto"/>
          <w:highlight w:val="none"/>
        </w:rPr>
      </w:pPr>
    </w:p>
    <w:p w14:paraId="72BBBFC0">
      <w:pPr>
        <w:adjustRightInd w:val="0"/>
        <w:snapToGrid w:val="0"/>
        <w:spacing w:line="400" w:lineRule="exact"/>
        <w:ind w:firstLine="3241" w:firstLineChars="1009"/>
        <w:rPr>
          <w:rFonts w:hint="eastAsia" w:ascii="宋体" w:hAnsi="宋体" w:cs="宋体"/>
          <w:b/>
          <w:color w:val="auto"/>
          <w:kern w:val="0"/>
          <w:sz w:val="32"/>
          <w:szCs w:val="32"/>
          <w:highlight w:val="none"/>
        </w:rPr>
      </w:pPr>
      <w:r>
        <w:rPr>
          <w:rFonts w:hint="eastAsia" w:ascii="宋体" w:hAnsi="宋体" w:cs="宋体"/>
          <w:b/>
          <w:color w:val="auto"/>
          <w:kern w:val="0"/>
          <w:sz w:val="32"/>
          <w:highlight w:val="none"/>
        </w:rPr>
        <w:t xml:space="preserve">第四章  </w:t>
      </w:r>
      <w:r>
        <w:rPr>
          <w:rFonts w:hint="eastAsia" w:ascii="宋体" w:hAnsi="宋体" w:cs="宋体"/>
          <w:b/>
          <w:color w:val="auto"/>
          <w:kern w:val="0"/>
          <w:sz w:val="32"/>
          <w:szCs w:val="32"/>
          <w:highlight w:val="none"/>
        </w:rPr>
        <w:t>评审办法</w:t>
      </w:r>
    </w:p>
    <w:p w14:paraId="4C08F510">
      <w:pPr>
        <w:spacing w:line="400" w:lineRule="exact"/>
        <w:ind w:firstLine="413" w:firstLineChars="196"/>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2CC30352">
      <w:pPr>
        <w:adjustRightInd w:val="0"/>
        <w:snapToGrid w:val="0"/>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1.评审依据：磋商小组以竞争性磋商文件和响应文件为评审依据，对供应商的报价、项目实施方案、履约能力等方面内容按百分制打分。</w:t>
      </w:r>
    </w:p>
    <w:p w14:paraId="187B6156">
      <w:pPr>
        <w:adjustRightInd w:val="0"/>
        <w:snapToGrid w:val="0"/>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4EBDE75E">
      <w:pPr>
        <w:adjustRightInd w:val="0"/>
        <w:snapToGrid w:val="0"/>
        <w:spacing w:line="400" w:lineRule="exact"/>
        <w:ind w:left="240" w:leftChars="100" w:firstLine="210" w:firstLineChars="10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4844D83E">
      <w:pPr>
        <w:adjustRightInd w:val="0"/>
        <w:snapToGrid w:val="0"/>
        <w:spacing w:line="400" w:lineRule="exact"/>
        <w:ind w:firstLine="422"/>
        <w:rPr>
          <w:rFonts w:hint="eastAsia" w:ascii="宋体" w:hAnsi="宋体" w:cs="宋体"/>
          <w:b/>
          <w:bCs/>
          <w:color w:val="auto"/>
          <w:kern w:val="0"/>
          <w:sz w:val="21"/>
          <w:szCs w:val="20"/>
          <w:highlight w:val="none"/>
        </w:rPr>
      </w:pPr>
    </w:p>
    <w:p w14:paraId="0DD39752">
      <w:pPr>
        <w:adjustRightInd w:val="0"/>
        <w:snapToGrid w:val="0"/>
        <w:spacing w:line="360" w:lineRule="exact"/>
        <w:ind w:firstLine="422"/>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二、评审办法</w:t>
      </w:r>
    </w:p>
    <w:p w14:paraId="6A1F44F8">
      <w:pPr>
        <w:adjustRightInd w:val="0"/>
        <w:snapToGrid w:val="0"/>
        <w:spacing w:line="360" w:lineRule="exact"/>
        <w:ind w:firstLine="420"/>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068E5D14">
      <w:pPr>
        <w:adjustRightInd w:val="0"/>
        <w:snapToGrid w:val="0"/>
        <w:spacing w:line="360" w:lineRule="exact"/>
        <w:ind w:firstLine="420"/>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p w14:paraId="563F2C52">
      <w:pPr>
        <w:adjustRightInd w:val="0"/>
        <w:snapToGrid w:val="0"/>
        <w:spacing w:line="360" w:lineRule="exact"/>
        <w:ind w:firstLine="422"/>
        <w:rPr>
          <w:rFonts w:hint="eastAsia" w:ascii="宋体" w:hAnsi="宋体" w:cs="宋体"/>
          <w:bCs/>
          <w:color w:val="auto"/>
          <w:kern w:val="0"/>
          <w:sz w:val="21"/>
          <w:szCs w:val="20"/>
          <w:highlight w:val="none"/>
        </w:rPr>
      </w:pPr>
      <w:r>
        <w:rPr>
          <w:rFonts w:hint="eastAsia" w:ascii="宋体" w:hAnsi="宋体" w:cs="宋体"/>
          <w:b/>
          <w:color w:val="auto"/>
          <w:kern w:val="0"/>
          <w:sz w:val="21"/>
          <w:szCs w:val="20"/>
          <w:highlight w:val="none"/>
        </w:rPr>
        <w:t>适用于分标1、分标2、分标3、分标4</w:t>
      </w:r>
    </w:p>
    <w:p w14:paraId="089E1230">
      <w:pPr>
        <w:spacing w:line="360" w:lineRule="exact"/>
        <w:ind w:firstLine="420" w:firstLineChars="0"/>
        <w:jc w:val="left"/>
        <w:rPr>
          <w:rFonts w:hint="eastAsia" w:ascii="宋体" w:hAnsi="宋体" w:cs="宋体"/>
          <w:bCs/>
          <w:color w:val="auto"/>
          <w:sz w:val="21"/>
          <w:szCs w:val="21"/>
          <w:highlight w:val="none"/>
        </w:rPr>
      </w:pPr>
      <w:r>
        <w:rPr>
          <w:rFonts w:hint="eastAsia" w:ascii="宋体" w:hAnsi="宋体" w:cs="宋体"/>
          <w:b/>
          <w:color w:val="auto"/>
          <w:sz w:val="21"/>
          <w:szCs w:val="21"/>
          <w:highlight w:val="none"/>
        </w:rPr>
        <w:t xml:space="preserve">1. </w:t>
      </w:r>
      <w:r>
        <w:rPr>
          <w:rFonts w:hint="eastAsia" w:ascii="宋体" w:hAnsi="宋体" w:cs="宋体"/>
          <w:b/>
          <w:bCs/>
          <w:color w:val="auto"/>
          <w:sz w:val="21"/>
          <w:szCs w:val="21"/>
          <w:highlight w:val="none"/>
        </w:rPr>
        <w:t>价格分</w:t>
      </w:r>
      <w:r>
        <w:rPr>
          <w:rFonts w:hint="eastAsia" w:ascii="宋体" w:hAnsi="宋体" w:cs="宋体"/>
          <w:bCs/>
          <w:color w:val="auto"/>
          <w:sz w:val="21"/>
          <w:szCs w:val="21"/>
          <w:highlight w:val="none"/>
        </w:rPr>
        <w:t>…………………………………………………………………………………</w:t>
      </w:r>
      <w:r>
        <w:rPr>
          <w:rFonts w:hint="eastAsia" w:ascii="宋体" w:hAnsi="宋体" w:cs="宋体"/>
          <w:b/>
          <w:bCs/>
          <w:color w:val="auto"/>
          <w:sz w:val="21"/>
          <w:szCs w:val="20"/>
          <w:highlight w:val="none"/>
        </w:rPr>
        <w:t>……</w:t>
      </w:r>
      <w:r>
        <w:rPr>
          <w:rFonts w:hint="eastAsia" w:ascii="宋体" w:hAnsi="宋体" w:cs="宋体"/>
          <w:bCs/>
          <w:color w:val="auto"/>
          <w:sz w:val="21"/>
          <w:szCs w:val="21"/>
          <w:highlight w:val="none"/>
        </w:rPr>
        <w:t>…</w:t>
      </w:r>
      <w:r>
        <w:rPr>
          <w:rFonts w:hint="eastAsia" w:ascii="宋体" w:hAnsi="宋体" w:cs="宋体"/>
          <w:b/>
          <w:bCs/>
          <w:color w:val="auto"/>
          <w:sz w:val="21"/>
          <w:szCs w:val="21"/>
          <w:highlight w:val="none"/>
        </w:rPr>
        <w:t>…30分</w:t>
      </w:r>
    </w:p>
    <w:p w14:paraId="2BFA790A">
      <w:pPr>
        <w:pStyle w:val="26"/>
        <w:adjustRightInd w:val="0"/>
        <w:snapToGrid w:val="0"/>
        <w:spacing w:line="360" w:lineRule="exact"/>
        <w:ind w:firstLine="420"/>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（1）以进入综合评分环节的最低的最后报价为基准价，基准价报价得分为</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9FB678B">
      <w:pPr>
        <w:pStyle w:val="26"/>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磋商报价得分=（磋商基准价/供应商的最后报价）×</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270F2BD6">
      <w:pPr>
        <w:spacing w:line="360" w:lineRule="exact"/>
        <w:ind w:firstLine="422"/>
        <w:outlineLvl w:val="0"/>
        <w:rPr>
          <w:rFonts w:hint="eastAsia" w:ascii="宋体" w:hAnsi="宋体" w:cs="宋体"/>
          <w:b/>
          <w:bCs/>
          <w:color w:val="auto"/>
          <w:sz w:val="21"/>
          <w:szCs w:val="21"/>
          <w:highlight w:val="none"/>
        </w:rPr>
      </w:pPr>
      <w:bookmarkStart w:id="37" w:name="_Toc82016588"/>
      <w:r>
        <w:rPr>
          <w:rFonts w:hint="eastAsia" w:ascii="宋体" w:hAnsi="宋体" w:cs="宋体"/>
          <w:b/>
          <w:bCs/>
          <w:color w:val="auto"/>
          <w:sz w:val="21"/>
          <w:szCs w:val="21"/>
          <w:highlight w:val="none"/>
        </w:rPr>
        <w:t>2.项目实施方案分…………………………………………………………………………………33分</w:t>
      </w:r>
    </w:p>
    <w:p w14:paraId="4D512C04">
      <w:pPr>
        <w:spacing w:line="360" w:lineRule="exact"/>
        <w:ind w:firstLine="422"/>
        <w:rPr>
          <w:rFonts w:hint="eastAsia" w:ascii="宋体" w:hAnsi="宋体" w:cs="宋体"/>
          <w:color w:val="auto"/>
          <w:sz w:val="21"/>
          <w:szCs w:val="21"/>
          <w:highlight w:val="none"/>
          <w:lang w:val="en-GB"/>
        </w:rPr>
      </w:pPr>
      <w:r>
        <w:rPr>
          <w:rFonts w:hint="eastAsia" w:ascii="宋体" w:hAnsi="宋体" w:cs="宋体"/>
          <w:b/>
          <w:color w:val="auto"/>
          <w:sz w:val="21"/>
          <w:szCs w:val="21"/>
          <w:highlight w:val="none"/>
        </w:rPr>
        <w:t>2.1服务</w:t>
      </w:r>
      <w:r>
        <w:rPr>
          <w:rFonts w:hint="eastAsia" w:ascii="宋体" w:hAnsi="宋体" w:cs="宋体"/>
          <w:b/>
          <w:color w:val="auto"/>
          <w:sz w:val="21"/>
          <w:szCs w:val="20"/>
          <w:highlight w:val="none"/>
        </w:rPr>
        <w:t>管理方案分</w:t>
      </w:r>
      <w:r>
        <w:rPr>
          <w:rFonts w:hint="eastAsia" w:ascii="宋体" w:hAnsi="宋体" w:cs="宋体"/>
          <w:b/>
          <w:color w:val="auto"/>
          <w:sz w:val="21"/>
          <w:szCs w:val="21"/>
          <w:highlight w:val="none"/>
        </w:rPr>
        <w:t>（12分）</w:t>
      </w:r>
    </w:p>
    <w:p w14:paraId="08A0443E">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评委根据供应商提供的服务管理方案（包含但不限于：①工作流程；②项目实施人员管理方案；③服务进度及质量管理措施；④风险管理方案及突发应急预案等）内容进行独立评审并打分：</w:t>
      </w:r>
    </w:p>
    <w:p w14:paraId="67E9340C">
      <w:pPr>
        <w:pStyle w:val="26"/>
        <w:spacing w:line="360" w:lineRule="exact"/>
        <w:ind w:firstLine="405" w:firstLineChars="193"/>
        <w:rPr>
          <w:rFonts w:hint="eastAsia" w:ascii="宋体" w:hAnsi="宋体" w:cs="宋体"/>
          <w:color w:val="auto"/>
          <w:sz w:val="21"/>
          <w:szCs w:val="21"/>
          <w:highlight w:val="none"/>
        </w:rPr>
      </w:pPr>
      <w:bookmarkStart w:id="38" w:name="_Toc82016589"/>
      <w:r>
        <w:rPr>
          <w:rFonts w:hint="eastAsia" w:ascii="宋体" w:hAnsi="宋体" w:cs="宋体"/>
          <w:color w:val="auto"/>
          <w:sz w:val="21"/>
          <w:szCs w:val="21"/>
          <w:highlight w:val="none"/>
        </w:rPr>
        <w:t>一档（</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分）：四项评审因素有一项内容经评审合理、可行且具有针对性的；</w:t>
      </w:r>
    </w:p>
    <w:p w14:paraId="1EA4A726">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二档（</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分）：四项评审因素有二项内容经评审合理、可行且具有针对性的；</w:t>
      </w:r>
    </w:p>
    <w:p w14:paraId="7F957191">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三档（</w:t>
      </w:r>
      <w:r>
        <w:rPr>
          <w:rFonts w:hint="eastAsia" w:ascii="宋体" w:hAnsi="宋体" w:cs="宋体"/>
          <w:color w:val="auto"/>
          <w:sz w:val="21"/>
          <w:szCs w:val="21"/>
          <w:highlight w:val="none"/>
          <w:lang w:val="en-US"/>
        </w:rPr>
        <w:t>9</w:t>
      </w:r>
      <w:r>
        <w:rPr>
          <w:rFonts w:hint="eastAsia" w:ascii="宋体" w:hAnsi="宋体" w:cs="宋体"/>
          <w:color w:val="auto"/>
          <w:sz w:val="21"/>
          <w:szCs w:val="21"/>
          <w:highlight w:val="none"/>
        </w:rPr>
        <w:t>分）：四项评审因素有三项内容经评审合理、可行且具有针对性的；</w:t>
      </w:r>
    </w:p>
    <w:p w14:paraId="5E9F71D4">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四档（</w:t>
      </w:r>
      <w:r>
        <w:rPr>
          <w:rFonts w:hint="eastAsia" w:ascii="宋体" w:hAnsi="宋体" w:cs="宋体"/>
          <w:color w:val="auto"/>
          <w:sz w:val="21"/>
          <w:szCs w:val="21"/>
          <w:highlight w:val="none"/>
          <w:lang w:val="en-US"/>
        </w:rPr>
        <w:t>12</w:t>
      </w:r>
      <w:r>
        <w:rPr>
          <w:rFonts w:hint="eastAsia" w:ascii="宋体" w:hAnsi="宋体" w:cs="宋体"/>
          <w:color w:val="auto"/>
          <w:sz w:val="21"/>
          <w:szCs w:val="21"/>
          <w:highlight w:val="none"/>
        </w:rPr>
        <w:t>分）：四项评审因素经评审均合理、可行且具有针对性的。</w:t>
      </w:r>
    </w:p>
    <w:p w14:paraId="56A7C4C7">
      <w:pPr>
        <w:spacing w:line="360" w:lineRule="exact"/>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2.2重点难点分析方案</w:t>
      </w:r>
      <w:r>
        <w:rPr>
          <w:rFonts w:hint="eastAsia" w:ascii="宋体" w:hAnsi="宋体" w:cs="宋体"/>
          <w:b/>
          <w:color w:val="auto"/>
          <w:sz w:val="21"/>
          <w:szCs w:val="20"/>
          <w:highlight w:val="none"/>
        </w:rPr>
        <w:t>分</w:t>
      </w:r>
      <w:r>
        <w:rPr>
          <w:rFonts w:hint="eastAsia" w:ascii="宋体" w:hAnsi="宋体" w:cs="宋体"/>
          <w:b/>
          <w:color w:val="auto"/>
          <w:sz w:val="21"/>
          <w:szCs w:val="21"/>
          <w:highlight w:val="none"/>
        </w:rPr>
        <w:t>（9分）</w:t>
      </w:r>
      <w:bookmarkEnd w:id="38"/>
    </w:p>
    <w:p w14:paraId="3EB3DC40">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评委根据供应商提供的重点难点分析方案（包含但不限于：①</w:t>
      </w:r>
      <w:r>
        <w:rPr>
          <w:rFonts w:hint="eastAsia" w:ascii="宋体" w:hAnsi="宋体" w:cs="宋体"/>
          <w:color w:val="auto"/>
          <w:sz w:val="21"/>
          <w:szCs w:val="21"/>
          <w:highlight w:val="none"/>
          <w:lang w:val="zh-CN"/>
        </w:rPr>
        <w:t>重点难点认识及分析；</w:t>
      </w:r>
      <w:r>
        <w:rPr>
          <w:rFonts w:hint="eastAsia" w:ascii="宋体" w:hAnsi="宋体" w:cs="宋体"/>
          <w:color w:val="auto"/>
          <w:sz w:val="21"/>
          <w:szCs w:val="21"/>
          <w:highlight w:val="none"/>
        </w:rPr>
        <w:t>②</w:t>
      </w:r>
      <w:r>
        <w:rPr>
          <w:rFonts w:hint="eastAsia" w:ascii="宋体" w:hAnsi="宋体" w:cs="宋体"/>
          <w:color w:val="auto"/>
          <w:sz w:val="21"/>
          <w:szCs w:val="21"/>
          <w:highlight w:val="none"/>
          <w:lang w:val="zh-CN"/>
        </w:rPr>
        <w:t>工作方案，</w:t>
      </w:r>
      <w:r>
        <w:rPr>
          <w:rFonts w:hint="eastAsia" w:ascii="宋体" w:hAnsi="宋体" w:cs="宋体"/>
          <w:color w:val="auto"/>
          <w:sz w:val="21"/>
          <w:szCs w:val="21"/>
          <w:highlight w:val="none"/>
        </w:rPr>
        <w:t>③</w:t>
      </w:r>
      <w:r>
        <w:rPr>
          <w:rFonts w:hint="eastAsia" w:ascii="宋体" w:hAnsi="宋体" w:cs="宋体"/>
          <w:color w:val="auto"/>
          <w:sz w:val="21"/>
          <w:szCs w:val="21"/>
          <w:highlight w:val="none"/>
          <w:lang w:val="zh-CN"/>
        </w:rPr>
        <w:t>合理化建议</w:t>
      </w:r>
      <w:r>
        <w:rPr>
          <w:rFonts w:hint="eastAsia" w:ascii="宋体" w:hAnsi="宋体" w:cs="宋体"/>
          <w:color w:val="auto"/>
          <w:sz w:val="21"/>
          <w:szCs w:val="21"/>
          <w:highlight w:val="none"/>
        </w:rPr>
        <w:t>等）内容进行独立评审并打分：</w:t>
      </w:r>
    </w:p>
    <w:p w14:paraId="3E45FD68">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一档（</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分）：三项评审因素有一项内容经评审合理、可行且具有针对性的；</w:t>
      </w:r>
    </w:p>
    <w:p w14:paraId="08A5B481">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二档（</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分）：三项评审因素有二项内容经评审合理、可行且具有针对性的；</w:t>
      </w:r>
    </w:p>
    <w:p w14:paraId="1E0AE0D4">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三档（</w:t>
      </w:r>
      <w:r>
        <w:rPr>
          <w:rFonts w:hint="eastAsia" w:ascii="宋体" w:hAnsi="宋体" w:cs="宋体"/>
          <w:color w:val="auto"/>
          <w:sz w:val="21"/>
          <w:szCs w:val="21"/>
          <w:highlight w:val="none"/>
          <w:lang w:val="en-US"/>
        </w:rPr>
        <w:t>9</w:t>
      </w:r>
      <w:r>
        <w:rPr>
          <w:rFonts w:hint="eastAsia" w:ascii="宋体" w:hAnsi="宋体" w:cs="宋体"/>
          <w:color w:val="auto"/>
          <w:sz w:val="21"/>
          <w:szCs w:val="21"/>
          <w:highlight w:val="none"/>
        </w:rPr>
        <w:t>分）：三项评审因素经评审均合理、可行且具有针对性的。</w:t>
      </w:r>
    </w:p>
    <w:p w14:paraId="560EE74E">
      <w:pPr>
        <w:spacing w:line="360" w:lineRule="exact"/>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2.3服务保障措施</w:t>
      </w:r>
      <w:r>
        <w:rPr>
          <w:rFonts w:hint="eastAsia" w:ascii="宋体" w:hAnsi="宋体" w:cs="宋体"/>
          <w:b/>
          <w:color w:val="auto"/>
          <w:sz w:val="21"/>
          <w:szCs w:val="20"/>
          <w:highlight w:val="none"/>
        </w:rPr>
        <w:t>分</w:t>
      </w:r>
      <w:r>
        <w:rPr>
          <w:rFonts w:hint="eastAsia" w:ascii="宋体" w:hAnsi="宋体" w:cs="宋体"/>
          <w:b/>
          <w:color w:val="auto"/>
          <w:sz w:val="21"/>
          <w:szCs w:val="21"/>
          <w:highlight w:val="none"/>
        </w:rPr>
        <w:t>（12分）</w:t>
      </w:r>
    </w:p>
    <w:p w14:paraId="22F4D572">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评委根据供应商提供的服务保障措施（包含但不限于：①服务进度控制措施</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②提升样品制备质量的保障机制</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③数据检查、质量控制以及反馈纠错措施；④安全保障机制等）内容进行独立评审并打分：</w:t>
      </w:r>
    </w:p>
    <w:p w14:paraId="650A99F3">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一档（</w:t>
      </w:r>
      <w:r>
        <w:rPr>
          <w:rFonts w:hint="eastAsia" w:ascii="宋体" w:hAnsi="宋体" w:cs="宋体"/>
          <w:color w:val="auto"/>
          <w:sz w:val="21"/>
          <w:szCs w:val="21"/>
          <w:highlight w:val="none"/>
          <w:lang w:val="en-US"/>
        </w:rPr>
        <w:t>3</w:t>
      </w:r>
      <w:r>
        <w:rPr>
          <w:rFonts w:hint="eastAsia" w:ascii="宋体" w:hAnsi="宋体" w:cs="宋体"/>
          <w:color w:val="auto"/>
          <w:sz w:val="21"/>
          <w:szCs w:val="21"/>
          <w:highlight w:val="none"/>
        </w:rPr>
        <w:t>分）：四项评审因素有一项内容经评审合理、可行且具有针对性的；</w:t>
      </w:r>
    </w:p>
    <w:p w14:paraId="4FEEFFDD">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二档（</w:t>
      </w:r>
      <w:r>
        <w:rPr>
          <w:rFonts w:hint="eastAsia" w:ascii="宋体" w:hAnsi="宋体" w:cs="宋体"/>
          <w:color w:val="auto"/>
          <w:sz w:val="21"/>
          <w:szCs w:val="21"/>
          <w:highlight w:val="none"/>
          <w:lang w:val="en-US"/>
        </w:rPr>
        <w:t>6</w:t>
      </w:r>
      <w:r>
        <w:rPr>
          <w:rFonts w:hint="eastAsia" w:ascii="宋体" w:hAnsi="宋体" w:cs="宋体"/>
          <w:color w:val="auto"/>
          <w:sz w:val="21"/>
          <w:szCs w:val="21"/>
          <w:highlight w:val="none"/>
        </w:rPr>
        <w:t>分）：四项评审因素有二项内容经评审合理、可行且具有针对性的；</w:t>
      </w:r>
    </w:p>
    <w:p w14:paraId="474ECF96">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三档（</w:t>
      </w:r>
      <w:r>
        <w:rPr>
          <w:rFonts w:hint="eastAsia" w:ascii="宋体" w:hAnsi="宋体" w:cs="宋体"/>
          <w:color w:val="auto"/>
          <w:sz w:val="21"/>
          <w:szCs w:val="21"/>
          <w:highlight w:val="none"/>
          <w:lang w:val="en-US"/>
        </w:rPr>
        <w:t>9</w:t>
      </w:r>
      <w:r>
        <w:rPr>
          <w:rFonts w:hint="eastAsia" w:ascii="宋体" w:hAnsi="宋体" w:cs="宋体"/>
          <w:color w:val="auto"/>
          <w:sz w:val="21"/>
          <w:szCs w:val="21"/>
          <w:highlight w:val="none"/>
        </w:rPr>
        <w:t>分）：四项评审因素有三项内容经评审合理、可行且具有针对性的；</w:t>
      </w:r>
    </w:p>
    <w:p w14:paraId="07AE6663">
      <w:pPr>
        <w:spacing w:line="360" w:lineRule="exact"/>
        <w:ind w:firstLine="420"/>
        <w:rPr>
          <w:rFonts w:hint="eastAsia" w:ascii="宋体" w:hAnsi="宋体" w:cs="宋体"/>
          <w:b/>
          <w:bCs/>
          <w:color w:val="auto"/>
          <w:sz w:val="21"/>
          <w:szCs w:val="21"/>
          <w:highlight w:val="none"/>
        </w:rPr>
      </w:pPr>
      <w:r>
        <w:rPr>
          <w:rFonts w:hint="eastAsia" w:ascii="宋体" w:hAnsi="宋体" w:cs="宋体"/>
          <w:color w:val="auto"/>
          <w:sz w:val="21"/>
          <w:szCs w:val="21"/>
          <w:highlight w:val="none"/>
        </w:rPr>
        <w:t>四档（12分）：四项评审因素经评审均合理、可行且具有针对性的。</w:t>
      </w:r>
    </w:p>
    <w:p w14:paraId="0EFAC99F">
      <w:pPr>
        <w:spacing w:line="36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3.履约能力分…………………………………………………………………………………37分</w:t>
      </w:r>
    </w:p>
    <w:p w14:paraId="01E87F01">
      <w:pPr>
        <w:pStyle w:val="26"/>
        <w:spacing w:line="360" w:lineRule="exact"/>
        <w:ind w:firstLine="407" w:firstLineChars="193"/>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rPr>
        <w:t>3.1</w:t>
      </w:r>
      <w:r>
        <w:rPr>
          <w:rFonts w:hint="eastAsia" w:ascii="宋体" w:hAnsi="宋体" w:cs="宋体"/>
          <w:b/>
          <w:color w:val="auto"/>
          <w:sz w:val="21"/>
          <w:szCs w:val="21"/>
          <w:highlight w:val="none"/>
        </w:rPr>
        <w:t>人员配备</w:t>
      </w:r>
      <w:r>
        <w:rPr>
          <w:rFonts w:hint="eastAsia" w:ascii="宋体" w:hAnsi="宋体" w:cs="宋体"/>
          <w:b/>
          <w:color w:val="auto"/>
          <w:sz w:val="21"/>
          <w:szCs w:val="20"/>
          <w:highlight w:val="none"/>
        </w:rPr>
        <w:t>分</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10</w:t>
      </w:r>
      <w:r>
        <w:rPr>
          <w:rFonts w:hint="eastAsia" w:ascii="宋体" w:hAnsi="宋体" w:cs="宋体"/>
          <w:b/>
          <w:color w:val="auto"/>
          <w:sz w:val="21"/>
          <w:szCs w:val="21"/>
          <w:highlight w:val="none"/>
        </w:rPr>
        <w:t>分）</w:t>
      </w:r>
    </w:p>
    <w:p w14:paraId="30A693F0">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评委根据供应商拟投入本项目服务人员的情况进行评审，并按以下规则相应计分：</w:t>
      </w:r>
    </w:p>
    <w:p w14:paraId="00E93FBC">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①供应商拟投入本项目的</w:t>
      </w:r>
      <w:r>
        <w:rPr>
          <w:rFonts w:hint="eastAsia" w:ascii="宋体" w:hAnsi="宋体" w:cs="宋体"/>
          <w:color w:val="auto"/>
          <w:sz w:val="21"/>
          <w:szCs w:val="21"/>
          <w:highlight w:val="none"/>
          <w:lang w:val="en-US"/>
        </w:rPr>
        <w:t>项目负责人</w:t>
      </w:r>
      <w:r>
        <w:rPr>
          <w:rFonts w:hint="eastAsia" w:ascii="宋体" w:hAnsi="宋体" w:cs="宋体"/>
          <w:color w:val="auto"/>
          <w:sz w:val="21"/>
          <w:szCs w:val="21"/>
          <w:highlight w:val="none"/>
        </w:rPr>
        <w:t>具有环保类高级职称的，得</w:t>
      </w:r>
      <w:r>
        <w:rPr>
          <w:rFonts w:hint="eastAsia" w:ascii="宋体" w:hAnsi="宋体" w:cs="宋体"/>
          <w:color w:val="auto"/>
          <w:sz w:val="21"/>
          <w:szCs w:val="21"/>
          <w:highlight w:val="none"/>
          <w:lang w:val="en-US"/>
        </w:rPr>
        <w:t>2</w:t>
      </w:r>
      <w:r>
        <w:rPr>
          <w:rFonts w:hint="eastAsia" w:ascii="宋体" w:hAnsi="宋体" w:cs="宋体"/>
          <w:color w:val="auto"/>
          <w:sz w:val="21"/>
          <w:szCs w:val="21"/>
          <w:highlight w:val="none"/>
        </w:rPr>
        <w:t>分；具有环保类中级职称的，得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分（本项最多得</w:t>
      </w:r>
      <w:r>
        <w:rPr>
          <w:rFonts w:hint="eastAsia" w:ascii="宋体" w:hAnsi="宋体" w:cs="宋体"/>
          <w:color w:val="auto"/>
          <w:sz w:val="21"/>
          <w:szCs w:val="21"/>
          <w:highlight w:val="none"/>
          <w:lang w:val="en-US"/>
        </w:rPr>
        <w:t>2分</w:t>
      </w:r>
      <w:r>
        <w:rPr>
          <w:rFonts w:hint="eastAsia" w:ascii="宋体" w:hAnsi="宋体" w:cs="宋体"/>
          <w:color w:val="auto"/>
          <w:sz w:val="21"/>
          <w:szCs w:val="21"/>
          <w:highlight w:val="none"/>
        </w:rPr>
        <w:t>）</w:t>
      </w:r>
    </w:p>
    <w:p w14:paraId="23933EC9">
      <w:pPr>
        <w:pStyle w:val="26"/>
        <w:spacing w:line="360" w:lineRule="exact"/>
        <w:ind w:firstLine="405" w:firstLineChars="193"/>
        <w:rPr>
          <w:rFonts w:hint="eastAsia" w:ascii="宋体" w:hAnsi="宋体" w:cs="宋体"/>
          <w:color w:val="auto"/>
          <w:sz w:val="21"/>
          <w:szCs w:val="21"/>
          <w:highlight w:val="none"/>
          <w:lang w:val="en-US"/>
        </w:rPr>
      </w:pPr>
      <w:r>
        <w:rPr>
          <w:rFonts w:hint="eastAsia" w:ascii="宋体" w:hAnsi="宋体" w:cs="宋体"/>
          <w:color w:val="auto"/>
          <w:sz w:val="21"/>
          <w:szCs w:val="21"/>
          <w:highlight w:val="none"/>
        </w:rPr>
        <w:t>②供应商拟投入本项目的</w:t>
      </w:r>
      <w:r>
        <w:rPr>
          <w:rFonts w:hint="eastAsia" w:ascii="宋体" w:hAnsi="宋体" w:cs="宋体"/>
          <w:color w:val="auto"/>
          <w:sz w:val="21"/>
          <w:szCs w:val="21"/>
          <w:highlight w:val="none"/>
          <w:lang w:val="en-US"/>
        </w:rPr>
        <w:t>技术人员（包括现场监测人员、实验室分析人员、质量管理人员，不包含项目负责人）</w:t>
      </w:r>
      <w:r>
        <w:rPr>
          <w:rFonts w:hint="eastAsia" w:ascii="宋体" w:hAnsi="宋体" w:cs="宋体"/>
          <w:color w:val="auto"/>
          <w:sz w:val="21"/>
          <w:szCs w:val="21"/>
          <w:highlight w:val="none"/>
        </w:rPr>
        <w:t>每有1人具有环保类高级职称的，得</w:t>
      </w:r>
      <w:r>
        <w:rPr>
          <w:rFonts w:hint="eastAsia" w:ascii="宋体" w:hAnsi="宋体" w:cs="宋体"/>
          <w:color w:val="auto"/>
          <w:sz w:val="21"/>
          <w:szCs w:val="21"/>
          <w:highlight w:val="none"/>
          <w:lang w:val="en-US"/>
        </w:rPr>
        <w:t>1.5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rPr>
        <w:t>4.5</w:t>
      </w:r>
      <w:r>
        <w:rPr>
          <w:rFonts w:hint="eastAsia" w:ascii="宋体" w:hAnsi="宋体" w:cs="宋体"/>
          <w:color w:val="auto"/>
          <w:sz w:val="21"/>
          <w:szCs w:val="21"/>
          <w:highlight w:val="none"/>
        </w:rPr>
        <w:t>分；每有1人具有环保类中级职称的，得</w:t>
      </w:r>
      <w:r>
        <w:rPr>
          <w:rFonts w:hint="eastAsia" w:ascii="宋体" w:hAnsi="宋体" w:cs="宋体"/>
          <w:color w:val="auto"/>
          <w:sz w:val="21"/>
          <w:szCs w:val="21"/>
          <w:highlight w:val="none"/>
          <w:lang w:val="en-US"/>
        </w:rPr>
        <w:t>0.5</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rPr>
        <w:t>3.5</w:t>
      </w:r>
      <w:r>
        <w:rPr>
          <w:rFonts w:hint="eastAsia" w:ascii="宋体" w:hAnsi="宋体" w:cs="宋体"/>
          <w:color w:val="auto"/>
          <w:sz w:val="21"/>
          <w:szCs w:val="21"/>
          <w:highlight w:val="none"/>
        </w:rPr>
        <w:t>分（本项累计最多得</w:t>
      </w:r>
      <w:r>
        <w:rPr>
          <w:rFonts w:hint="eastAsia" w:ascii="宋体" w:hAnsi="宋体" w:cs="宋体"/>
          <w:color w:val="auto"/>
          <w:sz w:val="21"/>
          <w:szCs w:val="21"/>
          <w:highlight w:val="none"/>
          <w:lang w:val="en-US"/>
        </w:rPr>
        <w:t>8分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rPr>
        <w:t>。</w:t>
      </w:r>
    </w:p>
    <w:p w14:paraId="27F5AB9B">
      <w:pPr>
        <w:pStyle w:val="26"/>
        <w:spacing w:line="360" w:lineRule="exact"/>
        <w:ind w:firstLine="407" w:firstLineChars="193"/>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w:t>
      </w:r>
    </w:p>
    <w:p w14:paraId="581C7781">
      <w:pPr>
        <w:pStyle w:val="26"/>
        <w:spacing w:line="360" w:lineRule="exact"/>
        <w:ind w:firstLine="407" w:firstLineChars="193"/>
        <w:rPr>
          <w:rFonts w:hint="eastAsia" w:ascii="宋体" w:hAnsi="宋体" w:cs="宋体"/>
          <w:b/>
          <w:bCs/>
          <w:color w:val="auto"/>
          <w:sz w:val="21"/>
          <w:szCs w:val="21"/>
          <w:highlight w:val="none"/>
          <w:lang w:val="en-US"/>
        </w:rPr>
      </w:pPr>
      <w:r>
        <w:rPr>
          <w:rFonts w:hint="eastAsia" w:ascii="宋体" w:hAnsi="宋体" w:cs="宋体"/>
          <w:b/>
          <w:bCs/>
          <w:color w:val="auto"/>
          <w:sz w:val="21"/>
          <w:szCs w:val="21"/>
          <w:highlight w:val="none"/>
        </w:rPr>
        <w:t>①</w:t>
      </w:r>
      <w:r>
        <w:rPr>
          <w:rFonts w:hint="eastAsia" w:ascii="宋体" w:hAnsi="宋体" w:cs="宋体"/>
          <w:b/>
          <w:bCs/>
          <w:color w:val="auto"/>
          <w:sz w:val="21"/>
          <w:szCs w:val="21"/>
          <w:highlight w:val="none"/>
          <w:lang w:val="en-US"/>
        </w:rPr>
        <w:t>拟投入本项目的服务人员同时具有上述不同职称或资格证书的，分值入高不入低，不重复计分。</w:t>
      </w:r>
    </w:p>
    <w:p w14:paraId="3F4D251A">
      <w:pPr>
        <w:pStyle w:val="26"/>
        <w:spacing w:line="360" w:lineRule="exact"/>
        <w:ind w:firstLine="407" w:firstLineChars="193"/>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②供应商于响应文件中提供上述相应人员的相关有效证书复印件及相应人员为正式员工的相关有效证明材料（可以是：劳动合同或供应商</w:t>
      </w:r>
      <w:r>
        <w:rPr>
          <w:rFonts w:hint="eastAsia" w:ascii="宋体" w:hAnsi="宋体" w:cs="宋体"/>
          <w:b/>
          <w:bCs/>
          <w:color w:val="auto"/>
          <w:kern w:val="0"/>
          <w:sz w:val="21"/>
          <w:szCs w:val="21"/>
          <w:highlight w:val="none"/>
        </w:rPr>
        <w:t>2024年12月以来</w:t>
      </w:r>
      <w:r>
        <w:rPr>
          <w:rFonts w:hint="eastAsia" w:ascii="宋体" w:hAnsi="宋体" w:cs="宋体"/>
          <w:b/>
          <w:bCs/>
          <w:color w:val="auto"/>
          <w:sz w:val="21"/>
          <w:szCs w:val="21"/>
          <w:highlight w:val="none"/>
        </w:rPr>
        <w:t>任意1个月为上述相应项目人员缴纳的社保证明复印件），加盖供应商电子签章，否则相应不予计分。</w:t>
      </w:r>
    </w:p>
    <w:p w14:paraId="0DE5B9DF">
      <w:pPr>
        <w:pStyle w:val="26"/>
        <w:spacing w:line="360" w:lineRule="exact"/>
        <w:ind w:firstLine="407" w:firstLineChars="193"/>
        <w:rPr>
          <w:rFonts w:hint="eastAsia" w:ascii="宋体" w:hAnsi="宋体" w:cs="宋体"/>
          <w:color w:val="auto"/>
          <w:sz w:val="21"/>
          <w:szCs w:val="21"/>
          <w:highlight w:val="none"/>
        </w:rPr>
      </w:pPr>
      <w:r>
        <w:rPr>
          <w:rFonts w:hint="eastAsia" w:ascii="宋体" w:hAnsi="宋体" w:cs="宋体"/>
          <w:b/>
          <w:color w:val="auto"/>
          <w:sz w:val="21"/>
          <w:szCs w:val="21"/>
          <w:highlight w:val="none"/>
          <w:lang w:val="en-US"/>
        </w:rPr>
        <w:t>3.2</w:t>
      </w:r>
      <w:r>
        <w:rPr>
          <w:rFonts w:hint="eastAsia" w:ascii="宋体" w:hAnsi="宋体" w:cs="宋体"/>
          <w:b/>
          <w:color w:val="auto"/>
          <w:sz w:val="21"/>
          <w:szCs w:val="21"/>
          <w:highlight w:val="none"/>
        </w:rPr>
        <w:t>仪器设备配备</w:t>
      </w:r>
      <w:r>
        <w:rPr>
          <w:rFonts w:hint="eastAsia" w:ascii="宋体" w:hAnsi="宋体" w:cs="宋体"/>
          <w:b/>
          <w:color w:val="auto"/>
          <w:sz w:val="21"/>
          <w:szCs w:val="20"/>
          <w:highlight w:val="none"/>
        </w:rPr>
        <w:t>分</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rPr>
        <w:t>7</w:t>
      </w:r>
      <w:r>
        <w:rPr>
          <w:rFonts w:hint="eastAsia" w:ascii="宋体" w:hAnsi="宋体" w:cs="宋体"/>
          <w:b/>
          <w:color w:val="auto"/>
          <w:sz w:val="21"/>
          <w:szCs w:val="21"/>
          <w:highlight w:val="none"/>
        </w:rPr>
        <w:t>分）</w:t>
      </w:r>
    </w:p>
    <w:p w14:paraId="1842BB91">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（1）现场监测仪器（2分） </w:t>
      </w:r>
    </w:p>
    <w:p w14:paraId="0D29D8BF">
      <w:pPr>
        <w:pStyle w:val="26"/>
        <w:spacing w:line="360" w:lineRule="exact"/>
        <w:ind w:firstLine="405" w:firstLineChars="193"/>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 xml:space="preserve">①供应商拟投入本项目的仪器设备中包括多参数水质分析仪且符合可使用等效方法的（满足水温、pH 值、溶解氧现场分析），每投入1台得0.5分，最多得1分。 </w:t>
      </w:r>
    </w:p>
    <w:p w14:paraId="62F6F08E">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②供应商拟投入本项目的仪器设备中包括气象参数检测仪且符合可使用等效方法的（满足大气压、温湿度、风向、风速现场监测），每投入1台得0.5分，最多得1分。</w:t>
      </w:r>
    </w:p>
    <w:p w14:paraId="2E6022A2">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（2）实验室分析仪器（4.5分） </w:t>
      </w:r>
    </w:p>
    <w:p w14:paraId="659FCBC7">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①供应商拟投入本项目的仪器设备中包括电感耦合等离子体发射谱仪且符合可使用等效方法的，每投入1台得0.5分，最多得1分。 </w:t>
      </w:r>
    </w:p>
    <w:p w14:paraId="26E8F14D">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②供应商拟投入本项目的仪器设备中包括原子荧光光谱仪且符合可使用等效方法的，每投入1台得0.5分，最多得1分。 </w:t>
      </w:r>
    </w:p>
    <w:p w14:paraId="4B9F77F4">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③供应商拟投入本项目的仪器设备中包括气相色谱仪且符合可使用等效方法的，每投入1台得0.5分，最多得1分。 </w:t>
      </w:r>
    </w:p>
    <w:p w14:paraId="69A08791">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④供应商拟投入本项目的仪器设备中包括气相色谱质谱联用仪且符合可使用等效方法的，每投入1台得0.5分，最多得0.5分。 </w:t>
      </w:r>
    </w:p>
    <w:p w14:paraId="32736D85">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⑤供应商拟投入本项目的仪器设备中包括紫外可见分光光度计（多波长）且符合可使用等效方法的，每投入1台得0.5分，最多得0.5分。 </w:t>
      </w:r>
    </w:p>
    <w:p w14:paraId="38762F05">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⑥供应商拟投入本项目的仪器设备中包括微波消解仪且符合可使用等效方法的，每投入1台得0.5分，最多得0.5分。 </w:t>
      </w:r>
    </w:p>
    <w:p w14:paraId="6132F891">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（3）其他分析仪器（0.5分） </w:t>
      </w:r>
    </w:p>
    <w:p w14:paraId="24145C0C">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供应商拟投入本项目的仪器设备中包括不透光烟度计且符合可使用等效方法的，每投入1台得0.5分，最多得0.5分。 </w:t>
      </w:r>
    </w:p>
    <w:p w14:paraId="74F39DF6">
      <w:pPr>
        <w:pStyle w:val="26"/>
        <w:spacing w:line="360" w:lineRule="exact"/>
        <w:ind w:firstLine="407" w:firstLineChars="193"/>
        <w:rPr>
          <w:rFonts w:hint="eastAsia" w:ascii="宋体" w:hAnsi="宋体" w:cs="宋体"/>
          <w:color w:val="auto"/>
          <w:sz w:val="21"/>
          <w:szCs w:val="21"/>
          <w:highlight w:val="none"/>
          <w:lang w:val="en-US"/>
        </w:rPr>
      </w:pPr>
      <w:r>
        <w:rPr>
          <w:rFonts w:hint="eastAsia" w:ascii="宋体" w:hAnsi="宋体" w:cs="宋体"/>
          <w:b/>
          <w:bCs/>
          <w:color w:val="auto"/>
          <w:sz w:val="21"/>
          <w:szCs w:val="21"/>
          <w:highlight w:val="none"/>
          <w:lang w:val="en-US"/>
        </w:rPr>
        <w:t>注：供应商于响应文件中提供拟投入本项目仪器设备的相关有效证明材料，包含但不限于：①仪器设备配备清单（要求包括设备仪器设备名称、数量、品牌、规格型号、生产厂家、出厂编号、相关的技术参数）；②购入的发票复印件或相应的仪器设备检定证书复印件等（以上材料要求反映供应商单位名称），加盖供应商电子签章，否则不予计分。</w:t>
      </w:r>
    </w:p>
    <w:p w14:paraId="6C813494">
      <w:pPr>
        <w:pStyle w:val="26"/>
        <w:spacing w:line="360" w:lineRule="exact"/>
        <w:ind w:firstLine="407" w:firstLineChars="193"/>
        <w:rPr>
          <w:rFonts w:hint="eastAsia" w:ascii="宋体" w:hAnsi="宋体" w:cs="宋体"/>
          <w:b/>
          <w:color w:val="auto"/>
          <w:sz w:val="21"/>
          <w:szCs w:val="21"/>
          <w:highlight w:val="none"/>
          <w:lang w:val="en-US"/>
        </w:rPr>
      </w:pPr>
      <w:r>
        <w:rPr>
          <w:rFonts w:hint="eastAsia" w:ascii="宋体" w:hAnsi="宋体" w:cs="宋体"/>
          <w:b/>
          <w:color w:val="auto"/>
          <w:sz w:val="21"/>
          <w:szCs w:val="21"/>
          <w:highlight w:val="none"/>
          <w:lang w:val="en-US"/>
        </w:rPr>
        <w:t>3.3车辆配备分（6分）</w:t>
      </w:r>
    </w:p>
    <w:p w14:paraId="16A5F061">
      <w:pPr>
        <w:pStyle w:val="26"/>
        <w:spacing w:line="360" w:lineRule="exact"/>
        <w:ind w:firstLine="405" w:firstLineChars="193"/>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供应商拟投入本项目车辆（座位数≥5座）的【①如拟投入的车辆为供应商自有车辆的，供应商于响应文件中提供相应车辆行驶证或机动车登记证复印件（车辆所有人为供应商或其法定代表人名下）；②如拟投入的车辆为供应商租赁的，供应商于响应文件中提供相应车辆的行驶证（或机动车登记证复印件）及车辆租赁合同】，每投入1辆得1分，最多得6分。</w:t>
      </w:r>
    </w:p>
    <w:p w14:paraId="48185240">
      <w:pPr>
        <w:pStyle w:val="26"/>
        <w:spacing w:line="360" w:lineRule="exact"/>
        <w:ind w:firstLine="407" w:firstLineChars="193"/>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rPr>
        <w:t>3.4</w:t>
      </w:r>
      <w:r>
        <w:rPr>
          <w:rFonts w:hint="eastAsia" w:ascii="宋体" w:hAnsi="宋体" w:cs="宋体"/>
          <w:b/>
          <w:bCs/>
          <w:color w:val="auto"/>
          <w:sz w:val="21"/>
          <w:szCs w:val="21"/>
          <w:highlight w:val="none"/>
        </w:rPr>
        <w:t>业绩分（</w:t>
      </w:r>
      <w:r>
        <w:rPr>
          <w:rFonts w:hint="eastAsia" w:ascii="宋体" w:hAnsi="宋体" w:cs="宋体"/>
          <w:b/>
          <w:bCs/>
          <w:color w:val="auto"/>
          <w:sz w:val="21"/>
          <w:szCs w:val="21"/>
          <w:highlight w:val="none"/>
          <w:lang w:val="en-US"/>
        </w:rPr>
        <w:t>14分</w:t>
      </w:r>
      <w:r>
        <w:rPr>
          <w:rFonts w:hint="eastAsia" w:ascii="宋体" w:hAnsi="宋体" w:cs="宋体"/>
          <w:b/>
          <w:bCs/>
          <w:color w:val="auto"/>
          <w:sz w:val="21"/>
          <w:szCs w:val="21"/>
          <w:highlight w:val="none"/>
        </w:rPr>
        <w:t>）</w:t>
      </w:r>
    </w:p>
    <w:p w14:paraId="2B0A9174">
      <w:pPr>
        <w:pStyle w:val="26"/>
        <w:spacing w:line="360" w:lineRule="exact"/>
        <w:ind w:firstLine="405" w:firstLineChars="193"/>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2021年以来具有生态环境执法监测服务业绩的【以中标/成交通知书或签订的项目合同复印件为准（加盖供应商电子签章），能清晰反映项目名称或合同标的，否则将不予评审，同一个编号的项目有两个或两个以上的分标中标的只算一次】，每有</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项业绩得</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lang w:val="en-US"/>
        </w:rPr>
        <w:t>14</w:t>
      </w:r>
      <w:r>
        <w:rPr>
          <w:rFonts w:hint="eastAsia" w:ascii="宋体" w:hAnsi="宋体" w:cs="宋体"/>
          <w:color w:val="auto"/>
          <w:sz w:val="21"/>
          <w:szCs w:val="21"/>
          <w:highlight w:val="none"/>
        </w:rPr>
        <w:t>分。</w:t>
      </w:r>
    </w:p>
    <w:p w14:paraId="465ECCDE">
      <w:pPr>
        <w:pStyle w:val="26"/>
        <w:spacing w:line="360" w:lineRule="exact"/>
        <w:ind w:firstLine="407" w:firstLineChars="193"/>
        <w:rPr>
          <w:rFonts w:hint="eastAsia" w:ascii="宋体" w:hAnsi="宋体" w:cs="宋体"/>
          <w:b/>
          <w:bCs/>
          <w:color w:val="auto"/>
          <w:sz w:val="21"/>
          <w:szCs w:val="21"/>
          <w:highlight w:val="none"/>
        </w:rPr>
      </w:pPr>
    </w:p>
    <w:bookmarkEnd w:id="37"/>
    <w:p w14:paraId="1F9A7B50">
      <w:pPr>
        <w:spacing w:line="360" w:lineRule="exact"/>
        <w:ind w:firstLine="422"/>
        <w:outlineLvl w:val="0"/>
        <w:rPr>
          <w:rFonts w:hint="eastAsia" w:ascii="宋体" w:hAnsi="宋体" w:cs="宋体"/>
          <w:b/>
          <w:bCs/>
          <w:color w:val="auto"/>
          <w:sz w:val="21"/>
          <w:szCs w:val="21"/>
          <w:highlight w:val="none"/>
        </w:rPr>
      </w:pPr>
      <w:r>
        <w:rPr>
          <w:rFonts w:hint="eastAsia" w:hAnsi="宋体" w:cs="Courier New"/>
          <w:b/>
          <w:bCs/>
          <w:color w:val="auto"/>
          <w:sz w:val="21"/>
          <w:highlight w:val="none"/>
        </w:rPr>
        <w:t>注：综合得分为以上各项评审因素得分合计。</w:t>
      </w:r>
    </w:p>
    <w:p w14:paraId="3EF48EC8">
      <w:pPr>
        <w:spacing w:line="360" w:lineRule="exact"/>
        <w:ind w:firstLine="527" w:firstLineChars="250"/>
        <w:jc w:val="left"/>
        <w:rPr>
          <w:rFonts w:hint="eastAsia" w:ascii="宋体" w:hAnsi="宋体" w:cs="宋体"/>
          <w:b/>
          <w:color w:val="auto"/>
          <w:sz w:val="21"/>
          <w:szCs w:val="21"/>
          <w:highlight w:val="none"/>
        </w:rPr>
      </w:pPr>
    </w:p>
    <w:p w14:paraId="4CBE93DE">
      <w:pPr>
        <w:spacing w:line="360" w:lineRule="exact"/>
        <w:ind w:firstLine="527" w:firstLineChars="25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0D383B49">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w:t>
      </w:r>
      <w:r>
        <w:rPr>
          <w:rFonts w:hint="eastAsia" w:ascii="宋体" w:hAnsi="宋体" w:cs="宋体"/>
          <w:color w:val="auto"/>
          <w:kern w:val="0"/>
          <w:sz w:val="21"/>
          <w:szCs w:val="20"/>
          <w:highlight w:val="none"/>
        </w:rPr>
        <w:t>履约能力分</w:t>
      </w:r>
      <w:r>
        <w:rPr>
          <w:rFonts w:hint="eastAsia" w:ascii="宋体" w:hAnsi="宋体" w:cs="宋体"/>
          <w:color w:val="auto"/>
          <w:kern w:val="0"/>
          <w:sz w:val="21"/>
          <w:szCs w:val="21"/>
          <w:highlight w:val="none"/>
        </w:rPr>
        <w:t>由高到低顺序排列并推荐成交候选供应商。</w:t>
      </w:r>
    </w:p>
    <w:p w14:paraId="342B0FE2">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共分为分标1、分标2、分标3、分标4四个分标，供应商可以参与任意一个或多个分标的磋商，但原则上最多只能成为其中一个分标的成交供应商。处理原则如下：若某供应商同时在两个或以上分标综合得分排名第一时，则按分标1→分标2→分标3→分标4的先后顺序推荐成交候选供应商，该供应商一旦被推荐为某一分标的第一成交候选供应商，则在其他分标不再推荐为成交候选供应商。若分标4符合实质性要求的有效供应商分别被推荐为分标1、分标2、分标3的第一成交候选供应商，磋商小组则按有效供应商的综合得分由高到低顺序推荐成交候选供应商。</w:t>
      </w:r>
    </w:p>
    <w:p w14:paraId="6E61D2CF">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5836D4E5">
      <w:pPr>
        <w:tabs>
          <w:tab w:val="left" w:pos="1140"/>
        </w:tabs>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6D2582E">
      <w:pPr>
        <w:tabs>
          <w:tab w:val="left" w:pos="1140"/>
        </w:tabs>
        <w:spacing w:line="320" w:lineRule="exact"/>
        <w:ind w:firstLine="420"/>
        <w:rPr>
          <w:rFonts w:hint="eastAsia" w:ascii="宋体" w:hAnsi="宋体" w:cs="宋体"/>
          <w:color w:val="auto"/>
          <w:kern w:val="0"/>
          <w:sz w:val="21"/>
          <w:szCs w:val="21"/>
          <w:highlight w:val="none"/>
        </w:rPr>
      </w:pPr>
    </w:p>
    <w:p w14:paraId="3DE23835">
      <w:pPr>
        <w:tabs>
          <w:tab w:val="left" w:pos="1140"/>
        </w:tabs>
        <w:spacing w:line="320" w:lineRule="exact"/>
        <w:ind w:firstLine="420"/>
        <w:rPr>
          <w:rFonts w:hint="eastAsia" w:ascii="宋体" w:hAnsi="宋体" w:cs="宋体"/>
          <w:color w:val="auto"/>
          <w:kern w:val="0"/>
          <w:sz w:val="21"/>
          <w:szCs w:val="21"/>
          <w:highlight w:val="none"/>
        </w:rPr>
      </w:pPr>
    </w:p>
    <w:p w14:paraId="5CBDBFA5">
      <w:pPr>
        <w:spacing w:line="240" w:lineRule="auto"/>
        <w:ind w:firstLine="0" w:firstLineChars="0"/>
        <w:jc w:val="center"/>
        <w:outlineLvl w:val="1"/>
        <w:rPr>
          <w:rFonts w:hint="eastAsia" w:ascii="宋体" w:hAnsi="宋体"/>
          <w:b/>
          <w:color w:val="auto"/>
          <w:kern w:val="0"/>
          <w:sz w:val="32"/>
          <w:szCs w:val="32"/>
          <w:highlight w:val="none"/>
        </w:rPr>
      </w:pPr>
      <w:bookmarkStart w:id="39" w:name="_Toc82016592"/>
    </w:p>
    <w:p w14:paraId="127A9969">
      <w:pPr>
        <w:spacing w:line="240" w:lineRule="auto"/>
        <w:ind w:firstLine="0" w:firstLineChars="0"/>
        <w:jc w:val="center"/>
        <w:outlineLvl w:val="1"/>
        <w:rPr>
          <w:rFonts w:hint="eastAsia" w:ascii="宋体" w:hAnsi="宋体"/>
          <w:b/>
          <w:color w:val="auto"/>
          <w:kern w:val="0"/>
          <w:sz w:val="32"/>
          <w:szCs w:val="32"/>
          <w:highlight w:val="none"/>
        </w:rPr>
      </w:pPr>
    </w:p>
    <w:p w14:paraId="61F52BB2">
      <w:pPr>
        <w:spacing w:line="240" w:lineRule="auto"/>
        <w:ind w:firstLine="0" w:firstLineChars="0"/>
        <w:jc w:val="center"/>
        <w:outlineLvl w:val="1"/>
        <w:rPr>
          <w:rFonts w:hint="eastAsia" w:ascii="宋体" w:hAnsi="宋体"/>
          <w:b/>
          <w:color w:val="auto"/>
          <w:kern w:val="0"/>
          <w:sz w:val="32"/>
          <w:szCs w:val="32"/>
          <w:highlight w:val="none"/>
        </w:rPr>
      </w:pPr>
    </w:p>
    <w:p w14:paraId="5482ED24">
      <w:pPr>
        <w:spacing w:line="240" w:lineRule="auto"/>
        <w:ind w:firstLine="0" w:firstLineChars="0"/>
        <w:jc w:val="center"/>
        <w:outlineLvl w:val="1"/>
        <w:rPr>
          <w:rFonts w:hint="eastAsia" w:ascii="宋体" w:hAnsi="宋体"/>
          <w:b/>
          <w:color w:val="auto"/>
          <w:kern w:val="0"/>
          <w:sz w:val="32"/>
          <w:szCs w:val="32"/>
          <w:highlight w:val="none"/>
        </w:rPr>
      </w:pPr>
    </w:p>
    <w:p w14:paraId="2B8E9BF5">
      <w:pPr>
        <w:spacing w:line="240" w:lineRule="auto"/>
        <w:ind w:firstLine="0" w:firstLineChars="0"/>
        <w:jc w:val="center"/>
        <w:outlineLvl w:val="1"/>
        <w:rPr>
          <w:rFonts w:hint="eastAsia" w:ascii="宋体" w:hAnsi="宋体"/>
          <w:b/>
          <w:color w:val="auto"/>
          <w:kern w:val="0"/>
          <w:sz w:val="32"/>
          <w:szCs w:val="32"/>
          <w:highlight w:val="none"/>
        </w:rPr>
      </w:pPr>
    </w:p>
    <w:p w14:paraId="2370ADEA">
      <w:pPr>
        <w:spacing w:line="240" w:lineRule="auto"/>
        <w:ind w:firstLine="0" w:firstLineChars="0"/>
        <w:jc w:val="center"/>
        <w:outlineLvl w:val="1"/>
        <w:rPr>
          <w:rFonts w:hint="eastAsia" w:ascii="宋体" w:hAnsi="宋体"/>
          <w:b/>
          <w:color w:val="auto"/>
          <w:kern w:val="0"/>
          <w:sz w:val="32"/>
          <w:szCs w:val="32"/>
          <w:highlight w:val="none"/>
        </w:rPr>
      </w:pPr>
    </w:p>
    <w:p w14:paraId="13C4F165">
      <w:pPr>
        <w:spacing w:line="240" w:lineRule="auto"/>
        <w:ind w:firstLine="0" w:firstLineChars="0"/>
        <w:jc w:val="center"/>
        <w:outlineLvl w:val="1"/>
        <w:rPr>
          <w:rFonts w:hint="eastAsia" w:ascii="宋体" w:hAnsi="宋体"/>
          <w:b/>
          <w:color w:val="auto"/>
          <w:kern w:val="0"/>
          <w:sz w:val="32"/>
          <w:szCs w:val="32"/>
          <w:highlight w:val="none"/>
        </w:rPr>
      </w:pPr>
    </w:p>
    <w:p w14:paraId="11260860">
      <w:pPr>
        <w:spacing w:line="240" w:lineRule="auto"/>
        <w:ind w:firstLine="0" w:firstLineChars="0"/>
        <w:jc w:val="center"/>
        <w:outlineLvl w:val="1"/>
        <w:rPr>
          <w:rFonts w:hint="eastAsia" w:ascii="宋体" w:hAnsi="宋体"/>
          <w:b/>
          <w:color w:val="auto"/>
          <w:kern w:val="0"/>
          <w:sz w:val="32"/>
          <w:szCs w:val="32"/>
          <w:highlight w:val="none"/>
        </w:rPr>
      </w:pPr>
    </w:p>
    <w:p w14:paraId="1FB3291E">
      <w:pPr>
        <w:spacing w:line="240" w:lineRule="auto"/>
        <w:ind w:firstLine="0" w:firstLineChars="0"/>
        <w:jc w:val="center"/>
        <w:outlineLvl w:val="1"/>
        <w:rPr>
          <w:rFonts w:hint="eastAsia" w:ascii="宋体" w:hAnsi="宋体"/>
          <w:b/>
          <w:color w:val="auto"/>
          <w:kern w:val="0"/>
          <w:sz w:val="32"/>
          <w:szCs w:val="32"/>
          <w:highlight w:val="none"/>
        </w:rPr>
      </w:pPr>
    </w:p>
    <w:p w14:paraId="12850873">
      <w:pPr>
        <w:spacing w:line="240" w:lineRule="auto"/>
        <w:ind w:firstLine="0" w:firstLineChars="0"/>
        <w:jc w:val="center"/>
        <w:outlineLvl w:val="1"/>
        <w:rPr>
          <w:rFonts w:hint="eastAsia" w:ascii="宋体" w:hAnsi="宋体"/>
          <w:b/>
          <w:color w:val="auto"/>
          <w:kern w:val="0"/>
          <w:sz w:val="32"/>
          <w:szCs w:val="32"/>
          <w:highlight w:val="none"/>
        </w:rPr>
      </w:pPr>
    </w:p>
    <w:p w14:paraId="37F80484">
      <w:pPr>
        <w:spacing w:line="240" w:lineRule="auto"/>
        <w:ind w:firstLine="0" w:firstLineChars="0"/>
        <w:jc w:val="center"/>
        <w:outlineLvl w:val="1"/>
        <w:rPr>
          <w:rFonts w:hint="eastAsia" w:ascii="宋体" w:hAnsi="宋体"/>
          <w:b/>
          <w:color w:val="auto"/>
          <w:kern w:val="0"/>
          <w:sz w:val="32"/>
          <w:szCs w:val="32"/>
          <w:highlight w:val="none"/>
        </w:rPr>
      </w:pPr>
    </w:p>
    <w:p w14:paraId="17FFFDB9">
      <w:pPr>
        <w:spacing w:line="240" w:lineRule="auto"/>
        <w:ind w:firstLine="0" w:firstLineChars="0"/>
        <w:jc w:val="center"/>
        <w:outlineLvl w:val="1"/>
        <w:rPr>
          <w:rFonts w:hint="eastAsia" w:ascii="宋体" w:hAnsi="宋体"/>
          <w:b/>
          <w:color w:val="auto"/>
          <w:kern w:val="0"/>
          <w:sz w:val="32"/>
          <w:szCs w:val="32"/>
          <w:highlight w:val="none"/>
        </w:rPr>
      </w:pPr>
    </w:p>
    <w:p w14:paraId="498C4E34">
      <w:pPr>
        <w:spacing w:line="240" w:lineRule="auto"/>
        <w:ind w:firstLine="0" w:firstLineChars="0"/>
        <w:jc w:val="center"/>
        <w:outlineLvl w:val="1"/>
        <w:rPr>
          <w:rFonts w:hint="eastAsia" w:ascii="宋体" w:hAnsi="宋体"/>
          <w:b/>
          <w:color w:val="auto"/>
          <w:kern w:val="0"/>
          <w:sz w:val="32"/>
          <w:szCs w:val="32"/>
          <w:highlight w:val="none"/>
        </w:rPr>
      </w:pPr>
    </w:p>
    <w:p w14:paraId="77526854">
      <w:pPr>
        <w:spacing w:line="240" w:lineRule="auto"/>
        <w:ind w:firstLine="0" w:firstLineChars="0"/>
        <w:jc w:val="center"/>
        <w:outlineLvl w:val="1"/>
        <w:rPr>
          <w:rFonts w:hint="eastAsia" w:ascii="宋体" w:hAnsi="宋体"/>
          <w:b/>
          <w:color w:val="auto"/>
          <w:kern w:val="0"/>
          <w:sz w:val="32"/>
          <w:szCs w:val="32"/>
          <w:highlight w:val="none"/>
        </w:rPr>
      </w:pPr>
    </w:p>
    <w:p w14:paraId="0AB60E3B">
      <w:pPr>
        <w:spacing w:line="240" w:lineRule="auto"/>
        <w:ind w:firstLine="0" w:firstLineChars="0"/>
        <w:jc w:val="center"/>
        <w:outlineLvl w:val="1"/>
        <w:rPr>
          <w:rFonts w:hint="eastAsia" w:ascii="宋体" w:hAnsi="宋体"/>
          <w:b/>
          <w:color w:val="auto"/>
          <w:kern w:val="0"/>
          <w:sz w:val="32"/>
          <w:szCs w:val="32"/>
          <w:highlight w:val="none"/>
        </w:rPr>
      </w:pPr>
    </w:p>
    <w:p w14:paraId="740390E1">
      <w:pPr>
        <w:spacing w:line="240" w:lineRule="auto"/>
        <w:ind w:firstLine="0" w:firstLineChars="0"/>
        <w:jc w:val="center"/>
        <w:outlineLvl w:val="1"/>
        <w:rPr>
          <w:rFonts w:hint="eastAsia" w:ascii="宋体" w:hAnsi="宋体"/>
          <w:b/>
          <w:color w:val="auto"/>
          <w:kern w:val="0"/>
          <w:sz w:val="32"/>
          <w:szCs w:val="32"/>
          <w:highlight w:val="none"/>
        </w:rPr>
      </w:pPr>
    </w:p>
    <w:p w14:paraId="35D782FF">
      <w:pPr>
        <w:spacing w:line="240" w:lineRule="auto"/>
        <w:ind w:firstLine="0" w:firstLineChars="0"/>
        <w:jc w:val="center"/>
        <w:outlineLvl w:val="1"/>
        <w:rPr>
          <w:rFonts w:hint="eastAsia" w:ascii="宋体" w:hAnsi="宋体"/>
          <w:b/>
          <w:color w:val="auto"/>
          <w:kern w:val="0"/>
          <w:sz w:val="32"/>
          <w:szCs w:val="32"/>
          <w:highlight w:val="none"/>
        </w:rPr>
      </w:pPr>
    </w:p>
    <w:p w14:paraId="709635DF">
      <w:pPr>
        <w:spacing w:line="240" w:lineRule="auto"/>
        <w:ind w:firstLine="0" w:firstLineChars="0"/>
        <w:jc w:val="center"/>
        <w:outlineLvl w:val="1"/>
        <w:rPr>
          <w:rFonts w:hint="eastAsia" w:ascii="宋体" w:hAnsi="宋体"/>
          <w:b/>
          <w:color w:val="auto"/>
          <w:kern w:val="0"/>
          <w:sz w:val="32"/>
          <w:szCs w:val="32"/>
          <w:highlight w:val="none"/>
        </w:rPr>
      </w:pPr>
    </w:p>
    <w:p w14:paraId="3E680680">
      <w:pPr>
        <w:spacing w:line="240" w:lineRule="auto"/>
        <w:ind w:firstLine="0" w:firstLineChars="0"/>
        <w:jc w:val="center"/>
        <w:outlineLvl w:val="1"/>
        <w:rPr>
          <w:rFonts w:hint="eastAsia" w:ascii="宋体" w:hAnsi="宋体"/>
          <w:b/>
          <w:color w:val="auto"/>
          <w:kern w:val="0"/>
          <w:sz w:val="32"/>
          <w:szCs w:val="32"/>
          <w:highlight w:val="none"/>
        </w:rPr>
      </w:pPr>
    </w:p>
    <w:p w14:paraId="62DB987E">
      <w:pPr>
        <w:spacing w:line="240" w:lineRule="auto"/>
        <w:ind w:firstLine="0" w:firstLineChars="0"/>
        <w:jc w:val="center"/>
        <w:outlineLvl w:val="1"/>
        <w:rPr>
          <w:rFonts w:hint="eastAsia" w:ascii="宋体" w:hAnsi="宋体"/>
          <w:b/>
          <w:color w:val="auto"/>
          <w:kern w:val="0"/>
          <w:sz w:val="32"/>
          <w:szCs w:val="32"/>
          <w:highlight w:val="none"/>
        </w:rPr>
      </w:pPr>
    </w:p>
    <w:p w14:paraId="75CBCE48">
      <w:pPr>
        <w:spacing w:line="240" w:lineRule="auto"/>
        <w:ind w:firstLine="0" w:firstLineChars="0"/>
        <w:jc w:val="center"/>
        <w:outlineLvl w:val="1"/>
        <w:rPr>
          <w:rFonts w:hint="eastAsia" w:ascii="宋体" w:hAnsi="宋体"/>
          <w:b/>
          <w:color w:val="auto"/>
          <w:kern w:val="0"/>
          <w:sz w:val="32"/>
          <w:szCs w:val="32"/>
          <w:highlight w:val="none"/>
        </w:rPr>
      </w:pPr>
    </w:p>
    <w:p w14:paraId="018DDABF">
      <w:pPr>
        <w:spacing w:line="240" w:lineRule="auto"/>
        <w:ind w:firstLine="0" w:firstLineChars="0"/>
        <w:jc w:val="center"/>
        <w:outlineLvl w:val="1"/>
        <w:rPr>
          <w:rFonts w:hint="eastAsia" w:ascii="宋体" w:hAnsi="宋体"/>
          <w:b/>
          <w:color w:val="auto"/>
          <w:kern w:val="0"/>
          <w:sz w:val="32"/>
          <w:szCs w:val="32"/>
          <w:highlight w:val="none"/>
        </w:rPr>
      </w:pPr>
      <w:r>
        <w:rPr>
          <w:rFonts w:hint="eastAsia" w:ascii="宋体" w:hAnsi="宋体"/>
          <w:b/>
          <w:color w:val="auto"/>
          <w:kern w:val="0"/>
          <w:sz w:val="32"/>
          <w:szCs w:val="32"/>
          <w:highlight w:val="none"/>
        </w:rPr>
        <w:t>第五章  政府采购合同（合同主要条款及格式）</w:t>
      </w:r>
      <w:bookmarkEnd w:id="39"/>
    </w:p>
    <w:p w14:paraId="234B9E06">
      <w:pPr>
        <w:spacing w:line="340" w:lineRule="exact"/>
        <w:ind w:firstLine="0" w:firstLineChars="0"/>
        <w:rPr>
          <w:rFonts w:hint="eastAsia" w:ascii="宋体" w:hAnsi="宋体"/>
          <w:color w:val="auto"/>
          <w:kern w:val="0"/>
          <w:sz w:val="21"/>
          <w:szCs w:val="24"/>
          <w:highlight w:val="none"/>
        </w:rPr>
      </w:pPr>
    </w:p>
    <w:p w14:paraId="678D5683">
      <w:pPr>
        <w:spacing w:line="300" w:lineRule="exact"/>
        <w:ind w:firstLine="0" w:firstLineChars="0"/>
        <w:rPr>
          <w:rFonts w:hint="eastAsia" w:ascii="宋体" w:hAnsi="宋体" w:cs="宋体"/>
          <w:color w:val="auto"/>
          <w:kern w:val="0"/>
          <w:sz w:val="21"/>
          <w:szCs w:val="24"/>
          <w:highlight w:val="none"/>
        </w:rPr>
      </w:pPr>
    </w:p>
    <w:p w14:paraId="7D67A14F">
      <w:pPr>
        <w:spacing w:line="440" w:lineRule="atLeast"/>
        <w:ind w:firstLine="0" w:firstLineChars="0"/>
        <w:outlineLvl w:val="1"/>
        <w:rPr>
          <w:rFonts w:hint="eastAsia" w:ascii="宋体" w:hAnsi="宋体" w:cs="宋体"/>
          <w:b/>
          <w:color w:val="auto"/>
          <w:kern w:val="0"/>
          <w:sz w:val="32"/>
          <w:szCs w:val="32"/>
          <w:highlight w:val="none"/>
        </w:rPr>
      </w:pPr>
    </w:p>
    <w:p w14:paraId="45BCA596">
      <w:pPr>
        <w:spacing w:line="440" w:lineRule="atLeast"/>
        <w:ind w:firstLine="0" w:firstLineChars="0"/>
        <w:outlineLvl w:val="1"/>
        <w:rPr>
          <w:rFonts w:hint="eastAsia" w:ascii="宋体" w:hAnsi="宋体" w:cs="宋体"/>
          <w:b/>
          <w:color w:val="auto"/>
          <w:kern w:val="0"/>
          <w:sz w:val="32"/>
          <w:szCs w:val="32"/>
          <w:highlight w:val="none"/>
        </w:rPr>
      </w:pPr>
    </w:p>
    <w:p w14:paraId="415EC688">
      <w:pPr>
        <w:spacing w:line="440" w:lineRule="atLeast"/>
        <w:ind w:firstLine="0" w:firstLineChars="0"/>
        <w:outlineLvl w:val="1"/>
        <w:rPr>
          <w:rFonts w:hint="eastAsia" w:ascii="宋体" w:hAnsi="宋体" w:cs="宋体"/>
          <w:b/>
          <w:color w:val="auto"/>
          <w:kern w:val="0"/>
          <w:sz w:val="32"/>
          <w:szCs w:val="32"/>
          <w:highlight w:val="none"/>
        </w:rPr>
      </w:pPr>
    </w:p>
    <w:p w14:paraId="7E159BCB">
      <w:pPr>
        <w:spacing w:line="440" w:lineRule="atLeast"/>
        <w:ind w:firstLine="0" w:firstLineChars="0"/>
        <w:jc w:val="center"/>
        <w:outlineLvl w:val="1"/>
        <w:rPr>
          <w:rFonts w:hint="eastAsia" w:ascii="宋体" w:hAnsi="宋体" w:cs="宋体"/>
          <w:b/>
          <w:color w:val="auto"/>
          <w:kern w:val="0"/>
          <w:sz w:val="32"/>
          <w:szCs w:val="32"/>
          <w:highlight w:val="none"/>
        </w:rPr>
      </w:pPr>
      <w:bookmarkStart w:id="40" w:name="_Toc82016593"/>
    </w:p>
    <w:p w14:paraId="3D9338CE">
      <w:pPr>
        <w:spacing w:line="440" w:lineRule="atLeast"/>
        <w:ind w:firstLine="0" w:firstLineChars="0"/>
        <w:jc w:val="center"/>
        <w:outlineLvl w:val="1"/>
        <w:rPr>
          <w:rFonts w:hint="eastAsia" w:ascii="宋体" w:hAnsi="宋体" w:cs="宋体"/>
          <w:b/>
          <w:color w:val="auto"/>
          <w:kern w:val="0"/>
          <w:sz w:val="32"/>
          <w:szCs w:val="32"/>
          <w:highlight w:val="none"/>
        </w:rPr>
      </w:pPr>
    </w:p>
    <w:p w14:paraId="0AF1987B">
      <w:pPr>
        <w:spacing w:line="440" w:lineRule="atLeast"/>
        <w:ind w:firstLine="0" w:firstLineChars="0"/>
        <w:jc w:val="center"/>
        <w:outlineLvl w:val="1"/>
        <w:rPr>
          <w:rFonts w:hint="eastAsia" w:ascii="宋体" w:hAnsi="宋体" w:cs="宋体"/>
          <w:b/>
          <w:color w:val="auto"/>
          <w:kern w:val="0"/>
          <w:sz w:val="32"/>
          <w:szCs w:val="32"/>
          <w:highlight w:val="none"/>
        </w:rPr>
      </w:pPr>
    </w:p>
    <w:p w14:paraId="70257168">
      <w:pPr>
        <w:spacing w:line="440" w:lineRule="atLeast"/>
        <w:ind w:firstLine="0" w:firstLineChars="0"/>
        <w:jc w:val="center"/>
        <w:outlineLvl w:val="1"/>
        <w:rPr>
          <w:rFonts w:hint="eastAsia" w:ascii="宋体" w:hAnsi="宋体" w:cs="宋体"/>
          <w:b/>
          <w:color w:val="auto"/>
          <w:kern w:val="0"/>
          <w:sz w:val="32"/>
          <w:szCs w:val="32"/>
          <w:highlight w:val="none"/>
        </w:rPr>
      </w:pPr>
    </w:p>
    <w:p w14:paraId="4F04335D">
      <w:pPr>
        <w:spacing w:line="440" w:lineRule="atLeast"/>
        <w:ind w:firstLine="0" w:firstLineChars="0"/>
        <w:jc w:val="center"/>
        <w:outlineLvl w:val="1"/>
        <w:rPr>
          <w:rFonts w:hint="eastAsia" w:ascii="宋体" w:hAnsi="宋体" w:cs="宋体"/>
          <w:b/>
          <w:color w:val="auto"/>
          <w:kern w:val="0"/>
          <w:sz w:val="32"/>
          <w:szCs w:val="32"/>
          <w:highlight w:val="none"/>
        </w:rPr>
      </w:pPr>
    </w:p>
    <w:p w14:paraId="6378C3BA">
      <w:pPr>
        <w:spacing w:line="440" w:lineRule="atLeast"/>
        <w:ind w:firstLine="0" w:firstLineChars="0"/>
        <w:jc w:val="center"/>
        <w:outlineLvl w:val="1"/>
        <w:rPr>
          <w:rFonts w:hint="eastAsia" w:ascii="宋体" w:hAnsi="宋体" w:cs="宋体"/>
          <w:b/>
          <w:color w:val="auto"/>
          <w:kern w:val="0"/>
          <w:sz w:val="32"/>
          <w:szCs w:val="32"/>
          <w:highlight w:val="none"/>
        </w:rPr>
      </w:pPr>
    </w:p>
    <w:p w14:paraId="70B2A41A">
      <w:pPr>
        <w:spacing w:line="440" w:lineRule="atLeast"/>
        <w:ind w:firstLine="0" w:firstLineChars="0"/>
        <w:jc w:val="center"/>
        <w:outlineLvl w:val="1"/>
        <w:rPr>
          <w:rFonts w:hint="eastAsia" w:ascii="宋体" w:hAnsi="宋体" w:cs="宋体"/>
          <w:b/>
          <w:color w:val="auto"/>
          <w:kern w:val="0"/>
          <w:sz w:val="32"/>
          <w:szCs w:val="32"/>
          <w:highlight w:val="none"/>
        </w:rPr>
      </w:pPr>
    </w:p>
    <w:p w14:paraId="6A209DB0">
      <w:pPr>
        <w:spacing w:line="440" w:lineRule="atLeast"/>
        <w:ind w:firstLine="0" w:firstLineChars="0"/>
        <w:jc w:val="center"/>
        <w:outlineLvl w:val="1"/>
        <w:rPr>
          <w:rFonts w:hint="eastAsia" w:ascii="宋体" w:hAnsi="宋体" w:cs="宋体"/>
          <w:b/>
          <w:color w:val="auto"/>
          <w:kern w:val="0"/>
          <w:sz w:val="32"/>
          <w:szCs w:val="32"/>
          <w:highlight w:val="none"/>
        </w:rPr>
      </w:pPr>
    </w:p>
    <w:p w14:paraId="5D24FA4A">
      <w:pPr>
        <w:spacing w:line="440" w:lineRule="atLeast"/>
        <w:ind w:firstLine="0" w:firstLineChars="0"/>
        <w:jc w:val="center"/>
        <w:outlineLvl w:val="1"/>
        <w:rPr>
          <w:rFonts w:hint="eastAsia" w:ascii="宋体" w:hAnsi="宋体" w:cs="宋体"/>
          <w:b/>
          <w:color w:val="auto"/>
          <w:kern w:val="0"/>
          <w:sz w:val="32"/>
          <w:szCs w:val="32"/>
          <w:highlight w:val="none"/>
        </w:rPr>
      </w:pPr>
    </w:p>
    <w:p w14:paraId="38D1FB7E">
      <w:pPr>
        <w:spacing w:line="440" w:lineRule="atLeast"/>
        <w:ind w:firstLine="0" w:firstLineChars="0"/>
        <w:jc w:val="center"/>
        <w:outlineLvl w:val="1"/>
        <w:rPr>
          <w:rFonts w:hint="eastAsia" w:ascii="宋体" w:hAnsi="宋体" w:cs="宋体"/>
          <w:b/>
          <w:color w:val="auto"/>
          <w:kern w:val="0"/>
          <w:sz w:val="32"/>
          <w:szCs w:val="32"/>
          <w:highlight w:val="none"/>
        </w:rPr>
      </w:pPr>
    </w:p>
    <w:p w14:paraId="0798F32A">
      <w:pPr>
        <w:spacing w:line="440" w:lineRule="atLeast"/>
        <w:ind w:firstLine="0" w:firstLineChars="0"/>
        <w:jc w:val="center"/>
        <w:outlineLvl w:val="1"/>
        <w:rPr>
          <w:rFonts w:hint="eastAsia" w:ascii="宋体" w:hAnsi="宋体" w:cs="宋体"/>
          <w:b/>
          <w:color w:val="auto"/>
          <w:kern w:val="0"/>
          <w:sz w:val="32"/>
          <w:szCs w:val="32"/>
          <w:highlight w:val="none"/>
        </w:rPr>
      </w:pPr>
    </w:p>
    <w:p w14:paraId="78745420">
      <w:pPr>
        <w:spacing w:line="500" w:lineRule="exact"/>
        <w:ind w:firstLine="0" w:firstLineChars="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合同主要条款</w:t>
      </w:r>
    </w:p>
    <w:p w14:paraId="44F574AC">
      <w:pPr>
        <w:spacing w:line="300" w:lineRule="exact"/>
        <w:ind w:firstLine="0" w:firstLineChars="0"/>
        <w:rPr>
          <w:rFonts w:hint="eastAsia" w:ascii="宋体" w:hAnsi="宋体" w:cs="宋体"/>
          <w:color w:val="auto"/>
          <w:kern w:val="0"/>
          <w:sz w:val="21"/>
          <w:szCs w:val="21"/>
          <w:highlight w:val="none"/>
        </w:rPr>
      </w:pPr>
    </w:p>
    <w:p w14:paraId="297C8A02">
      <w:pPr>
        <w:spacing w:line="30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rPr>
        <w:t>桂林市生态环境执法监测服务</w:t>
      </w:r>
    </w:p>
    <w:p w14:paraId="57F3B675">
      <w:pPr>
        <w:spacing w:line="300" w:lineRule="exact"/>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GLZC2025-C3-990140-YZLZ       分标号：分标</w:t>
      </w:r>
      <w:r>
        <w:rPr>
          <w:rFonts w:hint="eastAsia" w:ascii="宋体" w:hAnsi="宋体" w:cs="宋体"/>
          <w:color w:val="auto"/>
          <w:sz w:val="21"/>
          <w:szCs w:val="21"/>
          <w:highlight w:val="none"/>
          <w:u w:val="single"/>
        </w:rPr>
        <w:t xml:space="preserve">       </w:t>
      </w:r>
    </w:p>
    <w:p w14:paraId="6EF56C14">
      <w:pPr>
        <w:spacing w:line="30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w:t>
      </w:r>
      <w:r>
        <w:rPr>
          <w:rFonts w:hint="eastAsia" w:ascii="宋体" w:hAnsi="宋体" w:cs="宋体"/>
          <w:color w:val="auto"/>
          <w:sz w:val="21"/>
          <w:szCs w:val="21"/>
          <w:highlight w:val="none"/>
          <w:u w:val="single"/>
        </w:rPr>
        <w:t xml:space="preserve">桂林市生态环境局             </w:t>
      </w:r>
      <w:r>
        <w:rPr>
          <w:rFonts w:hint="eastAsia" w:ascii="宋体" w:hAnsi="宋体" w:cs="宋体"/>
          <w:color w:val="auto"/>
          <w:kern w:val="0"/>
          <w:sz w:val="21"/>
          <w:szCs w:val="21"/>
          <w:highlight w:val="none"/>
        </w:rPr>
        <w:t>（采购人）</w:t>
      </w:r>
    </w:p>
    <w:p w14:paraId="34FCCC51">
      <w:pPr>
        <w:spacing w:line="30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（成交供应商）</w:t>
      </w:r>
    </w:p>
    <w:p w14:paraId="6773EB74">
      <w:pPr>
        <w:spacing w:line="30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本合同为中小企业预留合同：是</w:t>
      </w:r>
    </w:p>
    <w:p w14:paraId="5A1337FC">
      <w:pPr>
        <w:spacing w:line="300" w:lineRule="exact"/>
        <w:ind w:firstLine="420"/>
        <w:rPr>
          <w:rFonts w:hint="eastAsia" w:ascii="宋体" w:hAnsi="宋体" w:cs="宋体"/>
          <w:color w:val="auto"/>
          <w:kern w:val="0"/>
          <w:sz w:val="21"/>
          <w:szCs w:val="21"/>
          <w:highlight w:val="none"/>
        </w:rPr>
      </w:pPr>
    </w:p>
    <w:p w14:paraId="2A9CA7EF">
      <w:pPr>
        <w:spacing w:line="400" w:lineRule="exact"/>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根据《中华人民共和国政府采购法》、</w:t>
      </w:r>
      <w:r>
        <w:rPr>
          <w:rFonts w:hint="eastAsia" w:ascii="宋体" w:hAnsi="宋体" w:cs="宋体"/>
          <w:color w:val="auto"/>
          <w:sz w:val="21"/>
          <w:szCs w:val="21"/>
          <w:highlight w:val="none"/>
        </w:rPr>
        <w:t>《中华人民共和国政府采购法实施条例》、</w:t>
      </w:r>
      <w:r>
        <w:rPr>
          <w:rFonts w:hint="eastAsia" w:ascii="宋体" w:hAnsi="宋体" w:cs="宋体"/>
          <w:color w:val="auto"/>
          <w:kern w:val="0"/>
          <w:sz w:val="21"/>
          <w:szCs w:val="21"/>
          <w:highlight w:val="none"/>
        </w:rPr>
        <w:t>《政府采购竞争性磋商采购方式管理暂行办法》、</w:t>
      </w:r>
      <w:r>
        <w:rPr>
          <w:rFonts w:hint="eastAsia" w:ascii="宋体" w:hAnsi="宋体" w:cs="宋体"/>
          <w:color w:val="auto"/>
          <w:sz w:val="21"/>
          <w:szCs w:val="21"/>
          <w:highlight w:val="none"/>
        </w:rPr>
        <w:t>《中华人民共和国民法典》</w:t>
      </w:r>
      <w:r>
        <w:rPr>
          <w:rFonts w:hint="eastAsia" w:ascii="宋体" w:hAnsi="宋体" w:cs="宋体"/>
          <w:color w:val="auto"/>
          <w:kern w:val="0"/>
          <w:sz w:val="21"/>
          <w:szCs w:val="21"/>
          <w:highlight w:val="none"/>
        </w:rPr>
        <w:t>等法律、法规规定，按照竞争性磋商文件（以下简称磋商文件）、竞争性磋商响应文件（以下简称响应文件）规定条款和乙方的承诺、甲乙双方签订本采购合同。</w:t>
      </w:r>
    </w:p>
    <w:p w14:paraId="44DB2EA9">
      <w:pPr>
        <w:spacing w:line="40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第一条 合同标的及合同金额</w:t>
      </w:r>
    </w:p>
    <w:p w14:paraId="59A7DAA0">
      <w:pPr>
        <w:widowControl/>
        <w:spacing w:line="400" w:lineRule="exact"/>
        <w:ind w:firstLine="420"/>
        <w:rPr>
          <w:rFonts w:hint="eastAsia" w:ascii="宋体" w:hAnsi="宋体" w:cs="宋体"/>
          <w:bCs/>
          <w:color w:val="auto"/>
          <w:sz w:val="21"/>
          <w:szCs w:val="21"/>
          <w:highlight w:val="none"/>
        </w:rPr>
      </w:pPr>
      <w:r>
        <w:rPr>
          <w:rFonts w:hint="eastAsia" w:ascii="宋体" w:hAnsi="宋体" w:cs="宋体"/>
          <w:bCs/>
          <w:color w:val="auto"/>
          <w:kern w:val="0"/>
          <w:sz w:val="21"/>
          <w:szCs w:val="21"/>
          <w:highlight w:val="none"/>
        </w:rPr>
        <w:t>1.合同标的：</w:t>
      </w:r>
      <w:r>
        <w:rPr>
          <w:rFonts w:hint="eastAsia" w:ascii="宋体" w:hAnsi="宋体" w:cs="宋体"/>
          <w:bCs/>
          <w:color w:val="auto"/>
          <w:sz w:val="21"/>
          <w:szCs w:val="24"/>
          <w:highlight w:val="none"/>
        </w:rPr>
        <w:t>桂林市生态环境执法监测服务</w:t>
      </w:r>
      <w:r>
        <w:rPr>
          <w:rFonts w:hint="eastAsia" w:ascii="宋体" w:hAnsi="宋体" w:cs="宋体"/>
          <w:bCs/>
          <w:color w:val="auto"/>
          <w:sz w:val="21"/>
          <w:szCs w:val="21"/>
          <w:highlight w:val="none"/>
        </w:rPr>
        <w:t>1项。</w:t>
      </w:r>
    </w:p>
    <w:p w14:paraId="703520E4">
      <w:pPr>
        <w:widowControl/>
        <w:spacing w:line="400" w:lineRule="exact"/>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2.根据《成交通知书》的成交内容，综合折扣率为：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w:t>
      </w:r>
    </w:p>
    <w:p w14:paraId="4498881C">
      <w:pPr>
        <w:spacing w:line="38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3.基准价：以《关于重新核定环境监测收费标准的函》（桂价费字〔2004〕301号）的收费标准作为基准价【如《关于重新核定环境监测收费标准的函》（桂价费字〔2004〕301 号）中未列出收费标准的部分，以甲方根据与乙方协商确认的市场价作为基准价】。</w:t>
      </w:r>
    </w:p>
    <w:p w14:paraId="401AE4E5">
      <w:pPr>
        <w:spacing w:line="38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4.合同金额应包括</w:t>
      </w:r>
      <w:r>
        <w:rPr>
          <w:rFonts w:hint="eastAsia" w:ascii="宋体" w:hAnsi="宋体" w:cs="宋体"/>
          <w:color w:val="auto"/>
          <w:kern w:val="0"/>
          <w:sz w:val="21"/>
          <w:szCs w:val="21"/>
          <w:highlight w:val="none"/>
        </w:rPr>
        <w:t>所竞分标</w:t>
      </w:r>
      <w:r>
        <w:rPr>
          <w:rFonts w:hint="eastAsia" w:ascii="宋体" w:hAnsi="宋体" w:cs="宋体"/>
          <w:bCs/>
          <w:color w:val="auto"/>
          <w:kern w:val="0"/>
          <w:sz w:val="21"/>
          <w:szCs w:val="21"/>
          <w:highlight w:val="none"/>
        </w:rPr>
        <w:t>所列所有服务内容产生的所有成本【包含但不限于乙方完成本分标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257E492A">
      <w:pPr>
        <w:spacing w:line="38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5.结算办法</w:t>
      </w:r>
    </w:p>
    <w:p w14:paraId="3BD08CE2">
      <w:pPr>
        <w:spacing w:line="38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甲方根据乙方实际发生的服务工作量进行结算，即：结算金额=∑【实际发生的服务工作量×基准价×成交综合折扣率】。</w:t>
      </w:r>
    </w:p>
    <w:p w14:paraId="75C04740">
      <w:pPr>
        <w:spacing w:line="400" w:lineRule="exact"/>
        <w:ind w:firstLine="411" w:firstLineChars="196"/>
        <w:rPr>
          <w:rFonts w:hint="eastAsia" w:ascii="宋体" w:hAnsi="宋体" w:cs="宋体"/>
          <w:bCs/>
          <w:color w:val="auto"/>
          <w:sz w:val="21"/>
          <w:szCs w:val="21"/>
          <w:highlight w:val="none"/>
        </w:rPr>
      </w:pPr>
      <w:r>
        <w:rPr>
          <w:rFonts w:hint="eastAsia" w:ascii="宋体" w:hAnsi="宋体" w:cs="宋体"/>
          <w:bCs/>
          <w:color w:val="auto"/>
          <w:kern w:val="0"/>
          <w:sz w:val="21"/>
          <w:szCs w:val="21"/>
          <w:highlight w:val="none"/>
        </w:rPr>
        <w:t>注：其中∑表示将各类相应服务工作量结算后的金额进行相加汇总。</w:t>
      </w:r>
    </w:p>
    <w:p w14:paraId="7B3A8A82">
      <w:pPr>
        <w:spacing w:line="400" w:lineRule="exact"/>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第二条 服务内容及要求</w:t>
      </w:r>
    </w:p>
    <w:p w14:paraId="7F91E462">
      <w:pPr>
        <w:spacing w:line="380" w:lineRule="exact"/>
        <w:ind w:firstLine="525" w:firstLineChars="250"/>
        <w:rPr>
          <w:rFonts w:hint="eastAsia" w:ascii="宋体" w:hAnsi="宋体" w:cs="宋体"/>
          <w:b/>
          <w:bCs/>
          <w:color w:val="auto"/>
          <w:sz w:val="21"/>
          <w:szCs w:val="24"/>
          <w:highlight w:val="none"/>
        </w:rPr>
      </w:pPr>
      <w:r>
        <w:rPr>
          <w:rFonts w:hint="eastAsia" w:ascii="宋体" w:hAnsi="宋体" w:cs="宋体"/>
          <w:color w:val="auto"/>
          <w:sz w:val="21"/>
          <w:szCs w:val="24"/>
          <w:highlight w:val="none"/>
        </w:rPr>
        <w:t>一、服务要求</w:t>
      </w:r>
      <w:r>
        <w:rPr>
          <w:rFonts w:hint="eastAsia" w:ascii="宋体" w:hAnsi="宋体" w:cs="宋体"/>
          <w:b/>
          <w:bCs/>
          <w:color w:val="auto"/>
          <w:sz w:val="21"/>
          <w:szCs w:val="24"/>
          <w:highlight w:val="none"/>
        </w:rPr>
        <w:t xml:space="preserve"> </w:t>
      </w:r>
    </w:p>
    <w:p w14:paraId="1D636B5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（一）监测范围 </w:t>
      </w:r>
    </w:p>
    <w:p w14:paraId="337EA68F">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olor w:val="auto"/>
          <w:sz w:val="21"/>
          <w:szCs w:val="24"/>
          <w:highlight w:val="none"/>
        </w:rPr>
        <w:t>乙方在</w:t>
      </w:r>
      <w:r>
        <w:rPr>
          <w:rFonts w:hint="eastAsia" w:ascii="宋体" w:hAnsi="宋体" w:cs="宋体"/>
          <w:color w:val="auto"/>
          <w:sz w:val="21"/>
          <w:szCs w:val="24"/>
          <w:highlight w:val="none"/>
        </w:rPr>
        <w:t>服务区域范围内提供以下服务：</w:t>
      </w:r>
      <w:r>
        <w:rPr>
          <w:rFonts w:hint="eastAsia" w:ascii="宋体" w:hAnsi="宋体" w:cs="宋体"/>
          <w:color w:val="auto"/>
          <w:sz w:val="21"/>
          <w:szCs w:val="21"/>
          <w:highlight w:val="none"/>
        </w:rPr>
        <w:t xml:space="preserve">区域内日常监督检查、查处环境违法行为、各项环保专项执法检查、交叉帮扶检查、信访投诉案件调查及其他执法检查工作等需要开展的执法监测。 </w:t>
      </w:r>
    </w:p>
    <w:p w14:paraId="1108709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（二）质量技术及服务要求 </w:t>
      </w:r>
    </w:p>
    <w:p w14:paraId="6E6D1E4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1.乙方应当按照相关技术规范或标准实施样品的采集、传送、制备、贮存、处置以及样品分析和数据处理等检测活动，保证检测数据和信息的代表性、准确性、精密性、可比性和完整性。 </w:t>
      </w:r>
    </w:p>
    <w:p w14:paraId="5AF665D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2.根据工作需要，甲方有权按实际工作需要要求乙方进行生态环境执法监测。 </w:t>
      </w:r>
    </w:p>
    <w:p w14:paraId="56DF768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乙方应当独立承担监测业务工作，如遇下列特殊情况需要分包，须由乙方负责联系受托分包商，并将分包商名称、监测具体项目及收费标准以书面形式告知甲方，经甲方同意后，方可分包。需分包的监测业务应由甲方进行委托，所需费用由乙方从本分标合同款中支出。 </w:t>
      </w:r>
    </w:p>
    <w:p w14:paraId="60ABED05">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（1）辐射类、机动车排放污染物、非道路移动机械排放污染物等特殊项目。 </w:t>
      </w:r>
    </w:p>
    <w:p w14:paraId="377FF8A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（2）其他特殊情况经甲方同意确需分包的。 </w:t>
      </w:r>
    </w:p>
    <w:p w14:paraId="4C96E41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4.乙方接到甲方执法监测通知后应在甲方规定的时间内到达目的地。 </w:t>
      </w:r>
    </w:p>
    <w:p w14:paraId="6E570664">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5.乙方监测过程应按环境监测质量控制相关要求实施质控措施，确保监测质量。 </w:t>
      </w:r>
    </w:p>
    <w:p w14:paraId="1DE29DC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6.乙方监测过程不得故意影响监测结果的客观性、不得编造数据，或者有其他弄虚作假行为，对结果的真实性负法律责任。 </w:t>
      </w:r>
    </w:p>
    <w:p w14:paraId="481FC582">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7.乙方应当严格遵守法律法规，按照合同要求开展监测活动并在规定时间提交监测报告（采样完成之日起计），保证监测结果的时效性。 </w:t>
      </w:r>
    </w:p>
    <w:p w14:paraId="7690FA5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8.所有环境监测数据、资料、成果，乙方应当按照国家有关保密的规定进行管理，未经甲方许可不得擅自对外发布监测数据。 </w:t>
      </w:r>
    </w:p>
    <w:p w14:paraId="4A14305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9.如乙方接到甲方监测服务工作任务后，出现下列情形之一时，甲方可以无条件更换本项目其他分标的乙方提供相应的执法监测服务：</w:t>
      </w:r>
    </w:p>
    <w:p w14:paraId="72B99B9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（1）未能按照甲方要求及时完成区域内监测采样并出具监测报告的；</w:t>
      </w:r>
    </w:p>
    <w:p w14:paraId="585870C4">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（2）乙方在同一时期同时接受甲方委派的多个监测服务工作，经乙方确认，拟配备人员、设备或时间无法满足监测服务工作的；</w:t>
      </w:r>
    </w:p>
    <w:p w14:paraId="1B0E115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（3）其他不可抗力因素等无法满足监测服务工作的。</w:t>
      </w:r>
    </w:p>
    <w:p w14:paraId="71FA02A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二、实验室及人员要求 </w:t>
      </w:r>
    </w:p>
    <w:p w14:paraId="6033738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（一）实验室要求 </w:t>
      </w:r>
    </w:p>
    <w:p w14:paraId="7535CFB4">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1.实验场所、设备、人员等需满足《检验检测机构资质认定评审准则》（国家市场监督管理总局公告2023年第21号）及《检验检测机构资质认定生态环境监测机构评审补充要求》。 </w:t>
      </w:r>
    </w:p>
    <w:p w14:paraId="051D9D9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2.仪器设备要求 </w:t>
      </w:r>
    </w:p>
    <w:p w14:paraId="192B86C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配备数量充足、技术指标符合相关检测方法要求的各类主要检测仪器设备；与检测结果的准确性和有效性相关的仪器设备在投入使用前，必须进行量值溯源，并保持其在有效期内。 </w:t>
      </w:r>
    </w:p>
    <w:p w14:paraId="6A1EC3C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3.送实验室监测时间：自采样结束后须2小时内送实验室进行监测。</w:t>
      </w:r>
    </w:p>
    <w:p w14:paraId="3B687968">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（二）人员要求 </w:t>
      </w:r>
    </w:p>
    <w:p w14:paraId="049190B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乙方应具有与其承担本分标检测任务相关的技术人员和管理人员，数量和能力应满足本分标检测任务的需要，具体要求如下： </w:t>
      </w:r>
    </w:p>
    <w:p w14:paraId="7B943B1C">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1.项目负责人（1人）：负责项目组织实施、沟通协调，能有效推进项目整体工作，保证服务质量和时效性。</w:t>
      </w:r>
    </w:p>
    <w:p w14:paraId="4D34D945">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2.技术人员（包括现场监测人员、实验室分析人员、质量管理人员） </w:t>
      </w:r>
    </w:p>
    <w:p w14:paraId="27D3015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2.1技术人员基本要求</w:t>
      </w:r>
    </w:p>
    <w:p w14:paraId="6E95F86F">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（1）现场监测人员（人数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人）：熟悉监测点位布设、样品采集、样品保存方式和有效时间、样品运输等的相关技术规范和要求，具备环境类现场监测项目能力。 </w:t>
      </w:r>
    </w:p>
    <w:p w14:paraId="13A20882">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（2）实验室分析人员（人数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人）：必须熟悉分析方法和实验操作，熟悉分析过程中的质控手段。 </w:t>
      </w:r>
    </w:p>
    <w:p w14:paraId="4F56F79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（3）质量管理人员（人数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人）：须具备专职质量管理人员，熟悉环境监测工作。应熟悉样品采集、保存、分析等环节，及时督促并采取适当的纠正和预防措施。 </w:t>
      </w:r>
    </w:p>
    <w:p w14:paraId="6AD3D95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191ABC1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①现场监测人员、实验室分析人员及质量管理人员均不能相互任职。</w:t>
      </w:r>
    </w:p>
    <w:p w14:paraId="3A92341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②以上人员在承担本项目的监测工作前，须按《检验检测机构资质认定生态环境监测机构评审补充要求》经过相应的培训和能力确认。</w:t>
      </w:r>
    </w:p>
    <w:p w14:paraId="4AB5FD5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三、质量控制措施 </w:t>
      </w:r>
    </w:p>
    <w:p w14:paraId="1C4E91F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（一）总体要求 </w:t>
      </w:r>
    </w:p>
    <w:p w14:paraId="016ABC55">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1.本分标所涉及的所有现场及实验室分析项目必须严格按照现行有效的标准方法执行。 </w:t>
      </w:r>
    </w:p>
    <w:p w14:paraId="0C55C0B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2.乙方的各种监测活动应满足《环境监测质量管理技术导则》（HJ630-2011）的质量管理要求。 </w:t>
      </w:r>
    </w:p>
    <w:p w14:paraId="16388ECC">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3.乙方的各个监测项目必须满足所依据的标准方法中规定的所有质控要求。 </w:t>
      </w:r>
    </w:p>
    <w:p w14:paraId="3BA4247B">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4.监测数据的处理必须满足《数据的统计处理和解释正态样本离群值的判断和处理》（GB/T 4883-2008）和《数值修约规则与极限数值的表示和判定》（GB/T 8170-2008）的要求。 </w:t>
      </w:r>
    </w:p>
    <w:p w14:paraId="53CBD80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5.乙方应对受委托的每个监测任务下达质控计划，包括现场采样、现场监测、实验室分析、检测报告等过程的质量保证措施和质量控制指标，并接受甲方的质控抽查考核。 </w:t>
      </w:r>
    </w:p>
    <w:p w14:paraId="4A1CA83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6.固定污染源废水、废气污染物排放的环境监测，固定污染源废水排放、废气排放手工监测和比对监测过程中采样及测定必须满足《固定污染源监测质量保证与质量控制技术规范（试行）》（HJ/T 373-2007）的质控要求。 </w:t>
      </w:r>
    </w:p>
    <w:p w14:paraId="16BFC4A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7.检测全过程（采样、运输、保存、分析）的安全责任（人员、环境、交通）由乙方自行负责。 </w:t>
      </w:r>
    </w:p>
    <w:p w14:paraId="71222BAB">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（二）重点要求 </w:t>
      </w:r>
    </w:p>
    <w:p w14:paraId="6856D6A8">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1.水和废水现场采样质量控制</w:t>
      </w:r>
    </w:p>
    <w:p w14:paraId="47D9AE4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（1）应按相应的规范要求采集、保存、运输样品， 并对采样准备工作和采样过程实行必要的质量监督。应使用定位仪及照相机等辅助设备证实采样点位置。 </w:t>
      </w:r>
    </w:p>
    <w:p w14:paraId="7A85F005">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（2）按照标准方法要求准备采样容器，每个项目必须严格按照标准要求选择对应的采样容器。 </w:t>
      </w:r>
    </w:p>
    <w:p w14:paraId="1C79E982">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采样点位的设置与频次须根据甲方要求进行，采样记录要描述详细准确，采样全过程重要节点要求依靠电子技术进行拍照或录像留存，由甲方检查。采样过程中出现突发状况无法在规定的点位采样或频次有变，或其他特殊情况，应及时与甲方沟通，不能擅自改变及自行处理。 </w:t>
      </w:r>
    </w:p>
    <w:p w14:paraId="63B2299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（4）涉及重点源比对监测，每次监测时，手工监测与在线监测数据对不少于3对。比对监测与在线连续监测采样时间和采样点位应保持一致，比对监测过程中应尽可能保证比对样品均匀一致。 </w:t>
      </w:r>
    </w:p>
    <w:p w14:paraId="3EAC83C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（5）各分析项目严格按照监测技术规范及分析方法中的质控要求执行，并做好留样、存样。 </w:t>
      </w:r>
    </w:p>
    <w:p w14:paraId="707403E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2.实验室分析质量控制 </w:t>
      </w:r>
    </w:p>
    <w:p w14:paraId="38D3B549">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实验室分析的质控措施应包括实验室空白、平行、加标回收、有证标准样品、留样、实验室间（内）比对实验、能力验证、比对（人员、方法、仪器）、结果的相关性等质控手段进行有效技术核查。 </w:t>
      </w:r>
    </w:p>
    <w:p w14:paraId="0F54F244">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3.环境空气和废气监测质量控制 </w:t>
      </w:r>
    </w:p>
    <w:p w14:paraId="5EBF27D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（1）环境空气监测 </w:t>
      </w:r>
    </w:p>
    <w:p w14:paraId="3E80429B">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应按照监测技术规范要求检查采样系统，采样前应进行流量校准、气密性检查及气象参数标定，气象参数的测量及读取、样品的保存与运输要符合规范要求，每个监测任务至少做 2 个现场空白，采集不少于10%的平行样品。颗粒物采样后称量的同时应称量“标准滤膜”。 </w:t>
      </w:r>
    </w:p>
    <w:p w14:paraId="72504AF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（2）废气监测 </w:t>
      </w:r>
    </w:p>
    <w:p w14:paraId="4D5CA94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①烟气分析仪应在测试前后按监测因子分别用与实测浓度相近的标准气体和流量计对其进行校核（标定）。 </w:t>
      </w:r>
    </w:p>
    <w:p w14:paraId="0BB5CAA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②对气体状态参数测量装置至少半年自行校正一次。 校正方法按照 《固定污染源排气中颗粒物测定与气态污染物采样方法》（GB/T16157-1996）及《固定污染源排气中颗粒物测定与气态污染物采样方法》行业标准第1号修改单（GB/T 16157-1996/XG1-2017）中相关要求执行。 </w:t>
      </w:r>
    </w:p>
    <w:p w14:paraId="29FA3BDB">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③定电位电解法烟气测定仪，应用仪器量程中值附近浓度的标准气校准，根据仪器使用频率，每 3 个月至半年校准一次，使用频率较高的情况下，应增加校准次数。 </w:t>
      </w:r>
    </w:p>
    <w:p w14:paraId="743E675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④测氧仪至少每季度检查校验一次，使用高纯氮检查零点，用干净的环境空气应能调整其示值为 20.9%。 </w:t>
      </w:r>
    </w:p>
    <w:p w14:paraId="0B7AB4B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⑤自动等速采样仪和含湿量测定装置的温度计、电子压差计、流量计应定期进行校准。 </w:t>
      </w:r>
    </w:p>
    <w:p w14:paraId="4D34534B">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⑥采样的工况、监测点位、采样量等应符合监测规范要求。 </w:t>
      </w:r>
    </w:p>
    <w:p w14:paraId="09CB36B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4.土壤监测质量控制 </w:t>
      </w:r>
    </w:p>
    <w:p w14:paraId="0004C2A2">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（1）土壤监测点位布设方法和布设数量应根据其目的和要求，并结合现场勘察结果确定该区域内土壤监测点位。土壤样品采集和运输保存符合标准规范要求。 </w:t>
      </w:r>
    </w:p>
    <w:p w14:paraId="1BDDC34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（2）实验室分析应采用实验室空白、平行、加标回收、有证标准样品、留样等质控手段。 </w:t>
      </w:r>
    </w:p>
    <w:p w14:paraId="4158E65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5.固体废物监测质量控制 </w:t>
      </w:r>
    </w:p>
    <w:p w14:paraId="7DF5F8E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（1）固体废物危险特性鉴别检测项目的确定应以工艺分析为主要手段，综合原辅材料特性、生产工艺、固体废物产生工艺等信息，确定可能具有的危险特性及相应检测项目。 </w:t>
      </w:r>
    </w:p>
    <w:p w14:paraId="6B3AF965">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（2）样品采集应记录必要的信息，包括（但不限于）：样品编号、采样时间、采样地点、企业生产工况。样品的采集、包装、运输和保存应符合相应检测项目的有关要求。 </w:t>
      </w:r>
    </w:p>
    <w:p w14:paraId="4A4B888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（3）固体废物危险特性鉴别的检测应符合相应检测方法的质量保证与质量控制要求。 </w:t>
      </w:r>
    </w:p>
    <w:p w14:paraId="73209BD8">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6.噪声和振动监测质量控制 </w:t>
      </w:r>
    </w:p>
    <w:p w14:paraId="5E7B2EE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（1）用于测量噪声的仪器和校准仪器应定期检定合格，并在有效使用期内使用；每次测量前、后必须在测量现场进行声学校准。 </w:t>
      </w:r>
    </w:p>
    <w:p w14:paraId="1663C28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（2）用于测量环境振动的仪器，其性能必须符合国家及行业的有关条款的规定。测量系统每年至少送计量部门校准一次。 </w:t>
      </w:r>
    </w:p>
    <w:p w14:paraId="3A255BA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（3）测量条件、测量点位、测量时段及测量记录须符合相应标准规范要求。 </w:t>
      </w:r>
    </w:p>
    <w:p w14:paraId="78FE9E2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7.数据处理和报告抽查质量控制 </w:t>
      </w:r>
    </w:p>
    <w:p w14:paraId="3792294F">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监测结果应采用法定计量单位；平行样的测定结果在允许偏差范围内时，用其平均值报告测定结果；监测结果低于方法检出限时，用“ND”表示，并注明“ND”表示未检出，同时给出方法检出限值；甲方需要时，应给出监测结果的不确定度范围。 </w:t>
      </w:r>
    </w:p>
    <w:p w14:paraId="7516991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严格按要求做好三级审核工作。对数据的计算、有效位数、数据的合理性进行审查，确保数据真实、可靠、有效。加强数据敏感性，若出现超标情况，及时上报甲方，并分析超标原因，如需复测，须征得甲方同意。 </w:t>
      </w:r>
    </w:p>
    <w:p w14:paraId="1D1D16B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（3）监测报告应按时提交甲方。 </w:t>
      </w:r>
    </w:p>
    <w:p w14:paraId="0DFB1E28">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（4）委托检测项目的监测数据和结果的一次交验合格率≥99%；监测报告交付及时率要达到 100%。 </w:t>
      </w:r>
    </w:p>
    <w:p w14:paraId="05A15AD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（三）质量控制考核办法 </w:t>
      </w:r>
    </w:p>
    <w:p w14:paraId="24CAB14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1.甲方视需要对乙方的质量控制情况进行考核。 </w:t>
      </w:r>
    </w:p>
    <w:p w14:paraId="5948718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2.考核内容 </w:t>
      </w:r>
    </w:p>
    <w:p w14:paraId="1B1FE35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考核包括但不限于以下内容： </w:t>
      </w:r>
    </w:p>
    <w:p w14:paraId="6D3BA61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（1）采样规范性考核，通过现场采样核查、调取图片、视频核查等方式对现场采样、样品保存及样品运输过程进行考核。 </w:t>
      </w:r>
    </w:p>
    <w:p w14:paraId="2F73241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（2）监测报告及分析原始资料记录考核，通过抽查现场采样、样品交接记录、实验室分析记录、质控记录及监测报告等方式进行考核。 </w:t>
      </w:r>
    </w:p>
    <w:p w14:paraId="6EE3F8A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3.违反质量控制措施的情况 </w:t>
      </w:r>
    </w:p>
    <w:p w14:paraId="594CC01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（1）甲方随时对乙方受委托的检测工作进行质量监督，确保乙方能按时按质完成相关的质量控制措施，如出现不可预测的情况，视情况的轻重程度进行处理。 </w:t>
      </w:r>
    </w:p>
    <w:p w14:paraId="4CCB286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（2）检查过程中如发现有数据造假情况（判定方法按照《环境监测数据弄虚作假行为判定及处理办法》及相关的法律法规规定）立即终止合同，退赔全部服务费用。 </w:t>
      </w:r>
    </w:p>
    <w:p w14:paraId="6D52986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（3）年度内对采购项目质控措施整改后仍不满足要求达到三次的即终止合同，退赔全部服务费用。 </w:t>
      </w:r>
    </w:p>
    <w:p w14:paraId="26B5AEA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（4）乙方提供的监测报告如经相关有权部门认定不符合规范的，甲方有权要求乙方退赔相关服务费用。</w:t>
      </w:r>
    </w:p>
    <w:p w14:paraId="554C42B5">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（5）监测过程中不得故意影响结果的客观性，不得编造数据，或者有其他弄虚作假行为，对结果的真实性负法律责任。</w:t>
      </w:r>
    </w:p>
    <w:p w14:paraId="64F0B05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（四）执法监测相关要求</w:t>
      </w:r>
    </w:p>
    <w:p w14:paraId="6F9327D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1.现场要求</w:t>
      </w:r>
    </w:p>
    <w:p w14:paraId="1750E3E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（1）监测现场统一着装，现场人员至少</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名全程佩戴摄像记录仪；</w:t>
      </w:r>
    </w:p>
    <w:p w14:paraId="06C4520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（2）每个监测项目现场配备至少</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名工作人员，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名负责记录工况，</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名负责现场监测采样，采样完成样品要求封箱保存；</w:t>
      </w:r>
    </w:p>
    <w:p w14:paraId="321B30E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（3）摄像要求：采样前校准、采样过程、样品封箱、交接样品过程均要求全程录像、拍照保存。</w:t>
      </w:r>
    </w:p>
    <w:p w14:paraId="5C4BC27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（4）样品保存及封箱：样品应放在密封袋，固定放置样品箱，要求每个受监测的单位的样品单独封箱。</w:t>
      </w:r>
    </w:p>
    <w:p w14:paraId="6F4CFCDB">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2.记录签字要求</w:t>
      </w:r>
    </w:p>
    <w:p w14:paraId="3A9CF54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原始采样记录单及封条须环保相关部门人员签字，仪器采样信息的打印记录条要求受监测单位相关人员签字确认。</w:t>
      </w:r>
    </w:p>
    <w:p w14:paraId="19C2C62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3.监测报告要求</w:t>
      </w:r>
    </w:p>
    <w:p w14:paraId="0C592D7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3.1监测报告提交时间要求</w:t>
      </w:r>
    </w:p>
    <w:p w14:paraId="6CBFB01A">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（1）水质监测报告：</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个工作日内（如有 BOD</w:t>
      </w:r>
      <w:r>
        <w:rPr>
          <w:rFonts w:hint="eastAsia" w:ascii="宋体" w:hAnsi="宋体" w:cs="宋体"/>
          <w:color w:val="auto"/>
          <w:kern w:val="0"/>
          <w:sz w:val="21"/>
          <w:szCs w:val="21"/>
          <w:highlight w:val="none"/>
          <w:vertAlign w:val="subscript"/>
        </w:rPr>
        <w:t>5</w:t>
      </w:r>
      <w:r>
        <w:rPr>
          <w:rFonts w:hint="eastAsia" w:ascii="宋体" w:hAnsi="宋体" w:cs="宋体"/>
          <w:color w:val="auto"/>
          <w:kern w:val="0"/>
          <w:sz w:val="21"/>
          <w:szCs w:val="21"/>
          <w:highlight w:val="none"/>
        </w:rPr>
        <w:t>、微生物等指标的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个工作日内）提交。 </w:t>
      </w:r>
    </w:p>
    <w:p w14:paraId="43A091AC">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（2）环境空气和废气监测报告：</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个工作日内提交。 </w:t>
      </w:r>
    </w:p>
    <w:p w14:paraId="64BB403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（3）固体废物浸出毒性监测报告：</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个工作日内提交。 </w:t>
      </w:r>
    </w:p>
    <w:p w14:paraId="11B275BC">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（4）土壤、沉积物及固体废物全量分析监测报告：</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个工作日内提交。 </w:t>
      </w:r>
    </w:p>
    <w:p w14:paraId="0A725797">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（5）振动和噪声监测报告：</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个工作日内提交。</w:t>
      </w:r>
    </w:p>
    <w:p w14:paraId="183B7C4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3.2监测报告内容及其他要求</w:t>
      </w:r>
    </w:p>
    <w:p w14:paraId="07D3A453">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乙方须向甲方提交的监测报告包括纸质版2份和电子版1份（①监测报告：按顺序扫描成PDF格式；②视频、照片：光盘或U盘）：</w:t>
      </w:r>
    </w:p>
    <w:p w14:paraId="191B8ED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纸质版材料顺序及要求（监测报告须包含本次监测所涉及的相关人员及设备）：</w:t>
      </w:r>
    </w:p>
    <w:p w14:paraId="4FA9BEF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（1）监测报告：比对监测报告原件（并列出比对的情况）；</w:t>
      </w:r>
    </w:p>
    <w:p w14:paraId="5A2142E1">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（2）监测机构的资质（须附所监测因子相应监测资质的相关页面，不需附完整全套资质文件）；</w:t>
      </w:r>
    </w:p>
    <w:p w14:paraId="7F3C71FE">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（3）人员要求（附：拟投入相应监测项目的工作人员在承担监测工作前经过相应的培训和能力确认的证明材料，可以是乙方提供的材料、上岗证、培训合格证等任一证明材料）；</w:t>
      </w:r>
    </w:p>
    <w:p w14:paraId="30A4DC0C">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（4）一氧化碳干扰试验测试报告（大气类）；</w:t>
      </w:r>
    </w:p>
    <w:p w14:paraId="08B58E9C">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（5）监测仪器检定证书、校准证书；</w:t>
      </w:r>
    </w:p>
    <w:p w14:paraId="672684B6">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（6）监测设备的校准记录（监测设备在监测前及监测结束后的校准记录页面，包括采样前有效性审查）；</w:t>
      </w:r>
    </w:p>
    <w:p w14:paraId="3636DA10">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（7）原始采样单【原始记录表，要求包含比对情况（比对数据记录单、烟气分析仪打印凭条要求受监测单位相关人员签字）】；</w:t>
      </w:r>
    </w:p>
    <w:p w14:paraId="4055E4FD">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（8）样品交接记录；</w:t>
      </w:r>
    </w:p>
    <w:p w14:paraId="0FFB81D9">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（9）原始分析记录（分析记录须要求复核人员签字）。</w:t>
      </w:r>
    </w:p>
    <w:p w14:paraId="2B24DB1B">
      <w:pPr>
        <w:spacing w:line="380" w:lineRule="exact"/>
        <w:ind w:firstLine="315" w:firstLineChars="1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每份监测报告按此顺序进行排列。</w:t>
      </w:r>
    </w:p>
    <w:p w14:paraId="25C0C6FC">
      <w:pPr>
        <w:spacing w:line="400" w:lineRule="exact"/>
        <w:ind w:firstLine="413" w:firstLineChars="196"/>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第三条 服务期限、服务区域</w:t>
      </w:r>
    </w:p>
    <w:p w14:paraId="033686C4">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1.服务期限</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自签订合同之日起3年</w:t>
      </w:r>
      <w:r>
        <w:rPr>
          <w:rFonts w:ascii="宋体" w:hAnsi="宋体" w:cs="宋体"/>
          <w:color w:val="auto"/>
          <w:kern w:val="0"/>
          <w:sz w:val="21"/>
          <w:szCs w:val="21"/>
          <w:highlight w:val="none"/>
        </w:rPr>
        <w:t>。</w:t>
      </w:r>
    </w:p>
    <w:p w14:paraId="31260921">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2.服务区域</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 xml:space="preserve">                           </w:t>
      </w:r>
      <w:r>
        <w:rPr>
          <w:rFonts w:ascii="宋体" w:hAnsi="宋体" w:cs="宋体"/>
          <w:color w:val="auto"/>
          <w:kern w:val="0"/>
          <w:sz w:val="21"/>
          <w:szCs w:val="21"/>
          <w:highlight w:val="none"/>
        </w:rPr>
        <w:t>。</w:t>
      </w:r>
    </w:p>
    <w:p w14:paraId="02244F28">
      <w:pPr>
        <w:adjustRightInd w:val="0"/>
        <w:snapToGrid w:val="0"/>
        <w:spacing w:line="380" w:lineRule="exact"/>
        <w:ind w:firstLine="42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第四条  质量标准和验收标准</w:t>
      </w:r>
    </w:p>
    <w:p w14:paraId="697A80B3">
      <w:pPr>
        <w:pStyle w:val="26"/>
        <w:adjustRightInd w:val="0"/>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1.质量标准：采购标的需执行国家相关标准、行业标准等相关标准、规范。</w:t>
      </w:r>
    </w:p>
    <w:p w14:paraId="0849C424">
      <w:pPr>
        <w:spacing w:line="360" w:lineRule="exact"/>
        <w:ind w:firstLine="420"/>
        <w:rPr>
          <w:rFonts w:hint="eastAsia" w:ascii="宋体" w:hAnsi="宋体" w:cs="宋体"/>
          <w:color w:val="auto"/>
          <w:kern w:val="44"/>
          <w:sz w:val="21"/>
          <w:szCs w:val="21"/>
          <w:highlight w:val="none"/>
          <w:shd w:val="clear" w:color="auto" w:fill="FFFFFF"/>
          <w:lang w:bidi="ar"/>
        </w:rPr>
      </w:pPr>
      <w:r>
        <w:rPr>
          <w:rFonts w:hint="eastAsia" w:ascii="宋体" w:hAnsi="宋体" w:cs="宋体"/>
          <w:color w:val="auto"/>
          <w:sz w:val="21"/>
          <w:szCs w:val="21"/>
          <w:highlight w:val="none"/>
        </w:rPr>
        <w:t>2.验收标准：按照竞争性磋商文件要求、响应文件承诺以及合同条款进行评估验收。</w:t>
      </w:r>
    </w:p>
    <w:p w14:paraId="2905DFEA">
      <w:pPr>
        <w:autoSpaceDE w:val="0"/>
        <w:autoSpaceDN w:val="0"/>
        <w:adjustRightInd w:val="0"/>
        <w:spacing w:line="400" w:lineRule="exact"/>
        <w:ind w:firstLine="422"/>
        <w:rPr>
          <w:rFonts w:hint="eastAsia" w:ascii="宋体" w:hAnsi="宋体" w:cs="宋体"/>
          <w:b/>
          <w:bCs/>
          <w:color w:val="auto"/>
          <w:sz w:val="21"/>
          <w:szCs w:val="21"/>
          <w:highlight w:val="none"/>
        </w:rPr>
      </w:pPr>
      <w:r>
        <w:rPr>
          <w:rFonts w:hint="eastAsia" w:ascii="宋体" w:hAnsi="宋体" w:cs="宋体"/>
          <w:b/>
          <w:color w:val="auto"/>
          <w:sz w:val="21"/>
          <w:szCs w:val="21"/>
          <w:highlight w:val="none"/>
        </w:rPr>
        <w:t xml:space="preserve">第五条  </w:t>
      </w:r>
      <w:r>
        <w:rPr>
          <w:rFonts w:hint="eastAsia" w:ascii="宋体" w:hAnsi="宋体" w:cs="宋体"/>
          <w:b/>
          <w:bCs/>
          <w:color w:val="auto"/>
          <w:sz w:val="21"/>
          <w:szCs w:val="21"/>
          <w:highlight w:val="none"/>
        </w:rPr>
        <w:t>付款方式</w:t>
      </w:r>
    </w:p>
    <w:p w14:paraId="28A558E2">
      <w:pPr>
        <w:spacing w:line="400" w:lineRule="exact"/>
        <w:ind w:firstLine="413" w:firstLineChars="196"/>
        <w:rPr>
          <w:rFonts w:hint="eastAsia" w:ascii="宋体" w:hAnsi="宋体" w:cs="宋体"/>
          <w:b/>
          <w:color w:val="auto"/>
          <w:sz w:val="21"/>
          <w:szCs w:val="21"/>
          <w:highlight w:val="none"/>
        </w:rPr>
      </w:pPr>
      <w:r>
        <w:rPr>
          <w:rFonts w:hint="eastAsia" w:ascii="宋体" w:hAnsi="宋体" w:cs="宋体"/>
          <w:b/>
          <w:bCs/>
          <w:color w:val="auto"/>
          <w:kern w:val="44"/>
          <w:sz w:val="21"/>
          <w:szCs w:val="21"/>
          <w:highlight w:val="none"/>
          <w:shd w:val="clear" w:color="auto" w:fill="FFFFFF"/>
          <w:lang w:bidi="ar"/>
        </w:rPr>
        <w:t>本项目按乙方每个季度实际完成的服务工作量进行结算，甲方在收到乙方开具的相应发票后10个工作日内支付（无息）。</w:t>
      </w:r>
    </w:p>
    <w:p w14:paraId="2BD7C2F4">
      <w:pPr>
        <w:spacing w:line="400" w:lineRule="exact"/>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第六条  履约保证金</w:t>
      </w:r>
    </w:p>
    <w:p w14:paraId="5E9B3425">
      <w:pPr>
        <w:pStyle w:val="169"/>
        <w:spacing w:line="38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本项目各分标履约保证金金额各按壹万元整（¥10000.00）收取（若乙方为小微企业的，则免收履约保证金）。乙方在成交通知书发出之日起8个工作日内且必须在与甲方签订合同前将履约保证金以支票、汇票、本票或者金融机构、担保机构出具的保函（含电子保函）等非现金形式提交至甲方指定账户。</w:t>
      </w:r>
    </w:p>
    <w:p w14:paraId="3511CE4E">
      <w:pPr>
        <w:snapToGrid w:val="0"/>
        <w:spacing w:line="360" w:lineRule="exact"/>
        <w:ind w:firstLine="413" w:firstLineChars="196"/>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注：</w:t>
      </w:r>
    </w:p>
    <w:p w14:paraId="14A57173">
      <w:pPr>
        <w:snapToGrid w:val="0"/>
        <w:spacing w:line="36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①如果乙方没能按上述规定执行，甲方将上报桂林市政府采购监督管理机构，取消该成交资格，并有权授予第二成交候选供应商为乙方资格或重新组织采购。</w:t>
      </w:r>
    </w:p>
    <w:p w14:paraId="4682486D">
      <w:pPr>
        <w:snapToGrid w:val="0"/>
        <w:spacing w:line="36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kern w:val="0"/>
          <w:sz w:val="21"/>
          <w:szCs w:val="21"/>
          <w:highlight w:val="none"/>
        </w:rPr>
        <w:t>②乙方履行完合同约定权利义务事项，若无违约情况，凭《桂林市政府采购项目合同验收书》和履约保证金交纳凭证向甲方申请办理退还手续，甲方不得额外要求乙方提交其他证明材料，并应当自收到退还资料之日起5个工作日内退还其履约保证金（无息）。如乙方不按双方签订的合同规定履约，则没收其全部履约保证金，履约保证金不足以赔偿损失的，按实际损失赔偿。</w:t>
      </w:r>
    </w:p>
    <w:p w14:paraId="09B7B103">
      <w:pPr>
        <w:adjustRightInd w:val="0"/>
        <w:snapToGrid w:val="0"/>
        <w:spacing w:line="380" w:lineRule="exact"/>
        <w:ind w:firstLine="422"/>
        <w:rPr>
          <w:rFonts w:hint="eastAsia" w:ascii="宋体" w:hAnsi="宋体" w:cs="宋体"/>
          <w:b/>
          <w:bCs/>
          <w:color w:val="auto"/>
          <w:sz w:val="21"/>
          <w:szCs w:val="21"/>
          <w:highlight w:val="none"/>
        </w:rPr>
      </w:pPr>
      <w:r>
        <w:rPr>
          <w:rFonts w:hint="eastAsia" w:ascii="宋体" w:hAnsi="宋体" w:cs="宋体"/>
          <w:b/>
          <w:color w:val="auto"/>
          <w:kern w:val="0"/>
          <w:sz w:val="21"/>
          <w:szCs w:val="21"/>
          <w:highlight w:val="none"/>
        </w:rPr>
        <w:t xml:space="preserve">第七条  </w:t>
      </w:r>
      <w:r>
        <w:rPr>
          <w:rFonts w:hint="eastAsia" w:ascii="宋体" w:hAnsi="宋体" w:cs="宋体"/>
          <w:b/>
          <w:bCs/>
          <w:color w:val="auto"/>
          <w:sz w:val="21"/>
          <w:szCs w:val="21"/>
          <w:highlight w:val="none"/>
        </w:rPr>
        <w:t>知识产权要求</w:t>
      </w:r>
    </w:p>
    <w:p w14:paraId="09F889A3">
      <w:pPr>
        <w:snapToGrid w:val="0"/>
        <w:spacing w:line="36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1.乙方应保证甲方在使用本采购合同项下的标的时免受第三方侵犯其知识产权、商标权的起诉。</w:t>
      </w:r>
    </w:p>
    <w:p w14:paraId="61C538C0">
      <w:pPr>
        <w:snapToGrid w:val="0"/>
        <w:spacing w:line="36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2.甲方不对乙方提供的标的内容是否侵犯他人的权利负责，如因乙方提供的内容引发争议或违法导致甲方受损的，乙方应赔偿。</w:t>
      </w:r>
    </w:p>
    <w:p w14:paraId="6B868945">
      <w:pPr>
        <w:spacing w:line="380" w:lineRule="exact"/>
        <w:ind w:firstLine="413" w:firstLineChars="196"/>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第八条  </w:t>
      </w:r>
      <w:r>
        <w:rPr>
          <w:rFonts w:ascii="宋体" w:hAnsi="宋体" w:cs="宋体"/>
          <w:b/>
          <w:color w:val="auto"/>
          <w:kern w:val="0"/>
          <w:sz w:val="21"/>
          <w:szCs w:val="21"/>
          <w:highlight w:val="none"/>
        </w:rPr>
        <w:t>违约责任</w:t>
      </w:r>
    </w:p>
    <w:p w14:paraId="47BE3BA6">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1.合同生效后，无法定或约定原因，任意一方不得擅自解除本合同，否则违约方应向守约方支付采购预算金额10%的违约金；</w:t>
      </w:r>
    </w:p>
    <w:p w14:paraId="7CF5B50C">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甲乙双方按照乙方形成的工作计划推进工作时，因甲方无法及时完成相关工作</w:t>
      </w:r>
      <w:r>
        <w:rPr>
          <w:rFonts w:hint="eastAsia" w:ascii="宋体" w:hAnsi="宋体" w:cs="宋体"/>
          <w:color w:val="auto"/>
          <w:kern w:val="0"/>
          <w:sz w:val="21"/>
          <w:szCs w:val="21"/>
          <w:highlight w:val="none"/>
        </w:rPr>
        <w:t>事</w:t>
      </w:r>
      <w:r>
        <w:rPr>
          <w:rFonts w:ascii="宋体" w:hAnsi="宋体" w:cs="宋体"/>
          <w:color w:val="auto"/>
          <w:kern w:val="0"/>
          <w:sz w:val="21"/>
          <w:szCs w:val="21"/>
          <w:highlight w:val="none"/>
        </w:rPr>
        <w:t>项，导致</w:t>
      </w:r>
      <w:r>
        <w:rPr>
          <w:rFonts w:hint="eastAsia" w:ascii="宋体" w:hAnsi="宋体" w:cs="宋体"/>
          <w:color w:val="auto"/>
          <w:kern w:val="0"/>
          <w:sz w:val="21"/>
          <w:szCs w:val="21"/>
          <w:highlight w:val="none"/>
        </w:rPr>
        <w:t>监测工作</w:t>
      </w:r>
      <w:r>
        <w:rPr>
          <w:rFonts w:ascii="宋体" w:hAnsi="宋体" w:cs="宋体"/>
          <w:color w:val="auto"/>
          <w:kern w:val="0"/>
          <w:sz w:val="21"/>
          <w:szCs w:val="21"/>
          <w:highlight w:val="none"/>
        </w:rPr>
        <w:t>出现延期的，</w:t>
      </w:r>
      <w:r>
        <w:rPr>
          <w:rFonts w:hint="eastAsia" w:ascii="宋体" w:hAnsi="宋体" w:cs="宋体"/>
          <w:color w:val="auto"/>
          <w:kern w:val="0"/>
          <w:sz w:val="21"/>
          <w:szCs w:val="21"/>
          <w:highlight w:val="none"/>
        </w:rPr>
        <w:t>提交监测报告时间相应顺延</w:t>
      </w:r>
      <w:r>
        <w:rPr>
          <w:rFonts w:ascii="宋体" w:hAnsi="宋体" w:cs="宋体"/>
          <w:color w:val="auto"/>
          <w:kern w:val="0"/>
          <w:sz w:val="21"/>
          <w:szCs w:val="21"/>
          <w:highlight w:val="none"/>
        </w:rPr>
        <w:t>；因</w:t>
      </w:r>
      <w:r>
        <w:rPr>
          <w:rFonts w:hint="eastAsia" w:ascii="宋体" w:hAnsi="宋体" w:cs="宋体"/>
          <w:color w:val="auto"/>
          <w:kern w:val="0"/>
          <w:sz w:val="21"/>
          <w:szCs w:val="21"/>
          <w:highlight w:val="none"/>
        </w:rPr>
        <w:t>乙方原因无法按期完成的，每逾期一天应按该相应监测服务结算金额的10%支付违约金</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逾期超过合同约定提交监测报告时间的，且乙方无甲方认可的不可抗力理由的，甲方有权不予支付相应监测服务结算金额。</w:t>
      </w:r>
    </w:p>
    <w:p w14:paraId="38C474A1">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乙方的服务经甲方验收不合格的，乙方需按甲方要求限时整改，经整改合格后，甲方向乙方支付该相应监测项目合同款项；乙方未进行整改或整改不合格，甲方有权不予支付该相应监测服务合同款项，乙方并向甲方支付该相应监测服务合同款项的20%；</w:t>
      </w:r>
    </w:p>
    <w:p w14:paraId="7DCC8604">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乙方必须保证完成本合同约定的服务成果，不得侵犯任何第三方的知识产权或其他合同权益。如乙方提供的服务侵犯了第三方知识产权或其他合法权益造成甲方损失或涉诉（包括但不限于甲方对第三人承担赔偿、诉讼费、律师费、保全费、鉴定费、调查费、公证费、诉讼财产保全责任保险费等），甲方有权向乙方追偿，要求乙方赔偿全部损失及结算合同总金额10%的违约金。</w:t>
      </w:r>
    </w:p>
    <w:p w14:paraId="70BE244B">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如乙方与其工作人员在履行本合同过程中发生劳资纠纷或因履行本合同过程中的伤亡、责任或导致他人遭受人身、财产损失的均由乙方承担，甲方概不负责，如造成甲方损失或涉诉（包括但不限于甲方对第三人承担赔偿、诉讼费、律师费、保全费、鉴定费、调查费、公证费、诉讼财产保全责任保险费等）的，要求乙方赔偿全部损失以及结算合同总金额的10%作为违约金。</w:t>
      </w:r>
    </w:p>
    <w:p w14:paraId="25677B14">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无论因何种原因导致合同解除，在违约方承担违约责任后（违约解除情况适用），乙方已提供的服务成果经验收合格部分，甲方同意利用的可据实结算。乙方多收取的合同费用应在合同解除之日起5日内返还，逾期返还的，按0.1%/天支付资金占用费。</w:t>
      </w:r>
    </w:p>
    <w:p w14:paraId="2621B8C1">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7.合同约定的违约金不足以弥补甲方全部损失的，乙方除支付合同约定的违约金外，还应承担全部赔偿责任，因乙方违约造成的甲方损失或应向甲方支付的违约金、赔偿金，甲方有权直接从未付款中扣除。</w:t>
      </w:r>
    </w:p>
    <w:p w14:paraId="7961D6C7">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8.因乙方违约，造成的甲方支出的争议处理费用以及实现债权的费用（包括但不限于诉讼费、律师费、保全费、鉴定费、调查费、公证费、公告费、诉讼财产保全责任保险费等）由乙方承担。</w:t>
      </w:r>
    </w:p>
    <w:p w14:paraId="72639C3E">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r>
        <w:rPr>
          <w:rFonts w:ascii="宋体" w:hAnsi="宋体" w:cs="宋体"/>
          <w:color w:val="auto"/>
          <w:kern w:val="0"/>
          <w:sz w:val="21"/>
          <w:szCs w:val="21"/>
          <w:highlight w:val="none"/>
        </w:rPr>
        <w:t>甲方向乙方提供的任何资料，乙方应严格保密并仅用于本项目，不能用作他途，否则乙方将承担由此带来的法律</w:t>
      </w:r>
      <w:r>
        <w:rPr>
          <w:rFonts w:hint="eastAsia" w:ascii="宋体" w:hAnsi="宋体" w:cs="宋体"/>
          <w:color w:val="auto"/>
          <w:kern w:val="0"/>
          <w:sz w:val="21"/>
          <w:szCs w:val="21"/>
          <w:highlight w:val="none"/>
        </w:rPr>
        <w:t>责</w:t>
      </w:r>
      <w:r>
        <w:rPr>
          <w:rFonts w:ascii="宋体" w:hAnsi="宋体" w:cs="宋体"/>
          <w:color w:val="auto"/>
          <w:kern w:val="0"/>
          <w:sz w:val="21"/>
          <w:szCs w:val="21"/>
          <w:highlight w:val="none"/>
        </w:rPr>
        <w:t>任，并且赔偿因此造成的甲方的损失。</w:t>
      </w:r>
    </w:p>
    <w:p w14:paraId="12E245EB">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10.乙方存在其他违约情形的，除本合同另有约定外，甲方有权要求乙方支付合同结算总金额的5%作为违约金。</w:t>
      </w:r>
    </w:p>
    <w:p w14:paraId="58112FD1">
      <w:pPr>
        <w:spacing w:line="380" w:lineRule="exact"/>
        <w:ind w:firstLine="413" w:firstLineChars="196"/>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 xml:space="preserve">第九条  </w:t>
      </w:r>
      <w:r>
        <w:rPr>
          <w:rFonts w:ascii="宋体" w:hAnsi="宋体" w:cs="宋体"/>
          <w:b/>
          <w:color w:val="auto"/>
          <w:kern w:val="0"/>
          <w:sz w:val="21"/>
          <w:szCs w:val="21"/>
          <w:highlight w:val="none"/>
        </w:rPr>
        <w:t>不可抗力事件处理</w:t>
      </w:r>
    </w:p>
    <w:p w14:paraId="37532DF9">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在合同有效期内，任何一方因不可抗力事件（指不能预见、不能避免且不能克服的自然事件和社会事件，包括甲乙双方任何一方因疫情防控遇到的不可抗力因素）导致不能履行合同，则合同履行期可延长，其延长期与不可抗力影响期相同；</w:t>
      </w:r>
    </w:p>
    <w:p w14:paraId="49E56D68">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不可抗力事件发生后，应立即通知对方，并寄送有关权威机构出具的证明；</w:t>
      </w:r>
    </w:p>
    <w:p w14:paraId="088F07C5">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r>
        <w:rPr>
          <w:rFonts w:ascii="宋体" w:hAnsi="宋体" w:cs="宋体"/>
          <w:color w:val="auto"/>
          <w:kern w:val="0"/>
          <w:sz w:val="21"/>
          <w:szCs w:val="21"/>
          <w:highlight w:val="none"/>
        </w:rPr>
        <w:t>不可抗力事件延续120天以上</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 xml:space="preserve"> 三方应通过友好协商，确定是否继续履行合同。</w:t>
      </w:r>
    </w:p>
    <w:p w14:paraId="027630E5">
      <w:pPr>
        <w:spacing w:line="380" w:lineRule="exact"/>
        <w:ind w:firstLine="413" w:firstLineChars="196"/>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第</w:t>
      </w:r>
      <w:r>
        <w:rPr>
          <w:rFonts w:ascii="宋体" w:hAnsi="宋体" w:cs="宋体"/>
          <w:b/>
          <w:color w:val="auto"/>
          <w:kern w:val="0"/>
          <w:sz w:val="21"/>
          <w:szCs w:val="21"/>
          <w:highlight w:val="none"/>
        </w:rPr>
        <w:t>十</w:t>
      </w:r>
      <w:r>
        <w:rPr>
          <w:rFonts w:hint="eastAsia" w:ascii="宋体" w:hAnsi="宋体" w:cs="宋体"/>
          <w:b/>
          <w:color w:val="auto"/>
          <w:kern w:val="0"/>
          <w:sz w:val="21"/>
          <w:szCs w:val="21"/>
          <w:highlight w:val="none"/>
        </w:rPr>
        <w:t xml:space="preserve">条  </w:t>
      </w:r>
      <w:r>
        <w:rPr>
          <w:rFonts w:ascii="宋体" w:hAnsi="宋体" w:cs="宋体"/>
          <w:b/>
          <w:color w:val="auto"/>
          <w:kern w:val="0"/>
          <w:sz w:val="21"/>
          <w:szCs w:val="21"/>
          <w:highlight w:val="none"/>
        </w:rPr>
        <w:t>争议处理</w:t>
      </w:r>
    </w:p>
    <w:p w14:paraId="56DCDECE">
      <w:pPr>
        <w:spacing w:line="380" w:lineRule="exact"/>
        <w:ind w:firstLine="411" w:firstLineChars="196"/>
        <w:rPr>
          <w:rFonts w:hint="eastAsia" w:ascii="宋体" w:hAnsi="宋体" w:cs="宋体"/>
          <w:color w:val="auto"/>
          <w:kern w:val="0"/>
          <w:sz w:val="21"/>
          <w:szCs w:val="21"/>
          <w:highlight w:val="none"/>
        </w:rPr>
      </w:pPr>
      <w:r>
        <w:rPr>
          <w:rFonts w:ascii="宋体" w:hAnsi="宋体" w:cs="宋体"/>
          <w:color w:val="auto"/>
          <w:kern w:val="0"/>
          <w:sz w:val="21"/>
          <w:szCs w:val="21"/>
          <w:highlight w:val="none"/>
        </w:rPr>
        <w:t>在执行本合同中发生的或与本合同有关的争端，双方应通过友好协商解决。协商不成的，任何一方均可向</w:t>
      </w:r>
      <w:r>
        <w:rPr>
          <w:rFonts w:hint="eastAsia" w:ascii="宋体" w:hAnsi="宋体" w:cs="宋体"/>
          <w:color w:val="auto"/>
          <w:kern w:val="0"/>
          <w:sz w:val="21"/>
          <w:szCs w:val="21"/>
          <w:highlight w:val="none"/>
        </w:rPr>
        <w:t>甲方</w:t>
      </w:r>
      <w:r>
        <w:rPr>
          <w:rFonts w:ascii="宋体" w:hAnsi="宋体" w:cs="宋体"/>
          <w:color w:val="auto"/>
          <w:kern w:val="0"/>
          <w:sz w:val="21"/>
          <w:szCs w:val="21"/>
          <w:highlight w:val="none"/>
        </w:rPr>
        <w:t>有管辖权的人民法院提起诉讼。诉讼期间，本合同按照有关法律规定执行。</w:t>
      </w:r>
    </w:p>
    <w:p w14:paraId="61BF2860">
      <w:pPr>
        <w:spacing w:line="380" w:lineRule="exact"/>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第十一条  签订本合同依据</w:t>
      </w:r>
    </w:p>
    <w:p w14:paraId="4E2B8E15">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1.竞争性磋商文件；</w:t>
      </w:r>
    </w:p>
    <w:p w14:paraId="75E68F10">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2.乙方的磋商报价表、</w:t>
      </w:r>
      <w:r>
        <w:rPr>
          <w:rFonts w:hint="eastAsia" w:ascii="宋体" w:hAnsi="宋体" w:cs="宋体"/>
          <w:color w:val="auto"/>
          <w:kern w:val="0"/>
          <w:sz w:val="21"/>
          <w:szCs w:val="21"/>
          <w:highlight w:val="none"/>
        </w:rPr>
        <w:t>服务内容及要求响应表；</w:t>
      </w:r>
    </w:p>
    <w:p w14:paraId="603DF1DE">
      <w:pPr>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3.乙方的项目实施方案（如有）；</w:t>
      </w:r>
    </w:p>
    <w:p w14:paraId="0C45A6D3">
      <w:pPr>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4.成交通知书</w:t>
      </w:r>
      <w:r>
        <w:rPr>
          <w:rFonts w:hint="eastAsia" w:ascii="宋体" w:hAnsi="宋体" w:cs="宋体"/>
          <w:color w:val="auto"/>
          <w:kern w:val="0"/>
          <w:sz w:val="21"/>
          <w:szCs w:val="21"/>
          <w:highlight w:val="none"/>
        </w:rPr>
        <w:t>。</w:t>
      </w:r>
    </w:p>
    <w:p w14:paraId="2ECE6F6C">
      <w:pPr>
        <w:spacing w:line="380" w:lineRule="exact"/>
        <w:ind w:firstLine="420"/>
        <w:rPr>
          <w:rFonts w:hint="eastAsia" w:ascii="宋体" w:hAnsi="宋体" w:cs="宋体"/>
          <w:color w:val="auto"/>
          <w:sz w:val="21"/>
          <w:szCs w:val="21"/>
          <w:highlight w:val="none"/>
        </w:rPr>
      </w:pPr>
      <w:r>
        <w:rPr>
          <w:rFonts w:hint="eastAsia" w:ascii="宋体" w:hAnsi="宋体"/>
          <w:color w:val="auto"/>
          <w:sz w:val="21"/>
          <w:szCs w:val="21"/>
          <w:highlight w:val="none"/>
        </w:rPr>
        <w:t>本合同经甲乙双方盖章后生效。政府采购合同双方自签订之日起2个工作日内在省级以上人民政府财政部门指定媒体上公告。</w:t>
      </w:r>
    </w:p>
    <w:p w14:paraId="69186346">
      <w:pPr>
        <w:tabs>
          <w:tab w:val="left" w:pos="4320"/>
          <w:tab w:val="left" w:pos="4500"/>
        </w:tabs>
        <w:spacing w:line="360" w:lineRule="exact"/>
        <w:ind w:firstLine="420"/>
        <w:rPr>
          <w:rFonts w:hint="eastAsia" w:ascii="宋体" w:hAnsi="宋体" w:cs="宋体"/>
          <w:color w:val="auto"/>
          <w:kern w:val="0"/>
          <w:sz w:val="21"/>
          <w:szCs w:val="21"/>
          <w:highlight w:val="none"/>
        </w:rPr>
      </w:pPr>
    </w:p>
    <w:p w14:paraId="7C23B45A">
      <w:pPr>
        <w:tabs>
          <w:tab w:val="left" w:pos="4320"/>
          <w:tab w:val="left" w:pos="4500"/>
        </w:tabs>
        <w:spacing w:line="36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甲方名称（公章）：</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乙方（公章）：</w:t>
      </w:r>
      <w:r>
        <w:rPr>
          <w:rFonts w:hint="eastAsia" w:ascii="宋体" w:hAnsi="宋体" w:cs="宋体"/>
          <w:color w:val="auto"/>
          <w:kern w:val="0"/>
          <w:sz w:val="21"/>
          <w:szCs w:val="21"/>
          <w:highlight w:val="none"/>
          <w:u w:val="single"/>
        </w:rPr>
        <w:t xml:space="preserve">                  </w:t>
      </w:r>
    </w:p>
    <w:p w14:paraId="4BF02988">
      <w:pPr>
        <w:spacing w:line="360" w:lineRule="exact"/>
        <w:ind w:left="5400" w:leftChars="150" w:hanging="5040" w:hangingChars="240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法定代表人：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u w:val="single"/>
        </w:rPr>
        <w:t xml:space="preserve">                        </w:t>
      </w:r>
    </w:p>
    <w:p w14:paraId="5D0D380A">
      <w:pPr>
        <w:tabs>
          <w:tab w:val="left" w:pos="4680"/>
        </w:tabs>
        <w:spacing w:line="36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委托代理人：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委托代理人：</w:t>
      </w:r>
      <w:r>
        <w:rPr>
          <w:rFonts w:hint="eastAsia" w:ascii="宋体" w:hAnsi="宋体" w:cs="宋体"/>
          <w:color w:val="auto"/>
          <w:kern w:val="0"/>
          <w:sz w:val="21"/>
          <w:szCs w:val="21"/>
          <w:highlight w:val="none"/>
          <w:u w:val="single"/>
        </w:rPr>
        <w:t xml:space="preserve">                               </w:t>
      </w:r>
    </w:p>
    <w:p w14:paraId="78DF30AA">
      <w:pPr>
        <w:tabs>
          <w:tab w:val="left" w:pos="5040"/>
        </w:tabs>
        <w:spacing w:line="36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电  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电   话：  </w:t>
      </w:r>
      <w:r>
        <w:rPr>
          <w:rFonts w:hint="eastAsia" w:ascii="宋体" w:hAnsi="宋体" w:cs="宋体"/>
          <w:color w:val="auto"/>
          <w:kern w:val="0"/>
          <w:sz w:val="21"/>
          <w:szCs w:val="21"/>
          <w:highlight w:val="none"/>
          <w:u w:val="single"/>
        </w:rPr>
        <w:t xml:space="preserve">                                  </w:t>
      </w:r>
    </w:p>
    <w:p w14:paraId="2E6026B7">
      <w:pPr>
        <w:tabs>
          <w:tab w:val="left" w:pos="5040"/>
        </w:tabs>
        <w:spacing w:line="36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开户名称：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开户名称：</w:t>
      </w:r>
      <w:r>
        <w:rPr>
          <w:rFonts w:hint="eastAsia" w:ascii="宋体" w:hAnsi="宋体" w:cs="宋体"/>
          <w:color w:val="auto"/>
          <w:kern w:val="0"/>
          <w:sz w:val="21"/>
          <w:szCs w:val="21"/>
          <w:highlight w:val="none"/>
          <w:u w:val="single"/>
        </w:rPr>
        <w:t xml:space="preserve">                                   </w:t>
      </w:r>
    </w:p>
    <w:p w14:paraId="4DB678C1">
      <w:pPr>
        <w:tabs>
          <w:tab w:val="left" w:pos="5040"/>
        </w:tabs>
        <w:spacing w:line="36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开户银行：</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开户银行：</w:t>
      </w:r>
      <w:r>
        <w:rPr>
          <w:rFonts w:hint="eastAsia" w:ascii="宋体" w:hAnsi="宋体" w:cs="宋体"/>
          <w:color w:val="auto"/>
          <w:kern w:val="0"/>
          <w:sz w:val="21"/>
          <w:szCs w:val="21"/>
          <w:highlight w:val="none"/>
          <w:u w:val="single"/>
        </w:rPr>
        <w:t xml:space="preserve">                                  </w:t>
      </w:r>
    </w:p>
    <w:p w14:paraId="5107839D">
      <w:pPr>
        <w:tabs>
          <w:tab w:val="left" w:pos="5040"/>
        </w:tabs>
        <w:spacing w:line="36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银行账号：</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银行账号：</w:t>
      </w:r>
      <w:r>
        <w:rPr>
          <w:rFonts w:hint="eastAsia" w:ascii="宋体" w:hAnsi="宋体" w:cs="宋体"/>
          <w:color w:val="auto"/>
          <w:kern w:val="0"/>
          <w:sz w:val="21"/>
          <w:szCs w:val="21"/>
          <w:highlight w:val="none"/>
          <w:u w:val="single"/>
        </w:rPr>
        <w:t xml:space="preserve">                               </w:t>
      </w:r>
    </w:p>
    <w:p w14:paraId="61BE8EDF">
      <w:pPr>
        <w:tabs>
          <w:tab w:val="left" w:pos="5040"/>
        </w:tabs>
        <w:spacing w:line="340" w:lineRule="exact"/>
        <w:ind w:firstLine="420"/>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日    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    期：</w:t>
      </w:r>
      <w:r>
        <w:rPr>
          <w:rFonts w:hint="eastAsia" w:ascii="宋体" w:hAnsi="宋体" w:cs="宋体"/>
          <w:color w:val="auto"/>
          <w:kern w:val="0"/>
          <w:sz w:val="21"/>
          <w:szCs w:val="21"/>
          <w:highlight w:val="none"/>
          <w:u w:val="single"/>
        </w:rPr>
        <w:t xml:space="preserve">                             </w:t>
      </w:r>
    </w:p>
    <w:p w14:paraId="27652646">
      <w:pPr>
        <w:spacing w:line="440" w:lineRule="atLeast"/>
        <w:ind w:firstLine="420"/>
        <w:jc w:val="left"/>
        <w:outlineLvl w:val="1"/>
        <w:rPr>
          <w:rFonts w:hint="eastAsia" w:ascii="宋体" w:hAnsi="宋体" w:cs="宋体"/>
          <w:color w:val="auto"/>
          <w:kern w:val="0"/>
          <w:sz w:val="21"/>
          <w:szCs w:val="21"/>
          <w:highlight w:val="none"/>
        </w:rPr>
      </w:pPr>
    </w:p>
    <w:p w14:paraId="4E7B0A01">
      <w:pPr>
        <w:spacing w:line="440" w:lineRule="atLeast"/>
        <w:ind w:firstLine="420"/>
        <w:jc w:val="left"/>
        <w:outlineLvl w:val="1"/>
        <w:rPr>
          <w:rFonts w:hint="eastAsia" w:ascii="宋体" w:hAnsi="宋体" w:cs="宋体"/>
          <w:color w:val="auto"/>
          <w:kern w:val="0"/>
          <w:sz w:val="21"/>
          <w:szCs w:val="21"/>
          <w:highlight w:val="none"/>
        </w:rPr>
      </w:pPr>
    </w:p>
    <w:p w14:paraId="2A3E213E">
      <w:pPr>
        <w:spacing w:line="440" w:lineRule="atLeast"/>
        <w:ind w:firstLine="0" w:firstLineChars="0"/>
        <w:jc w:val="center"/>
        <w:outlineLvl w:val="1"/>
        <w:rPr>
          <w:rFonts w:hint="eastAsia" w:ascii="宋体" w:hAnsi="宋体" w:cs="宋体"/>
          <w:b/>
          <w:color w:val="auto"/>
          <w:kern w:val="0"/>
          <w:sz w:val="32"/>
          <w:szCs w:val="32"/>
          <w:highlight w:val="none"/>
        </w:rPr>
      </w:pPr>
    </w:p>
    <w:p w14:paraId="2824FBAD">
      <w:pPr>
        <w:spacing w:line="440" w:lineRule="atLeast"/>
        <w:ind w:firstLine="0" w:firstLineChars="0"/>
        <w:jc w:val="center"/>
        <w:outlineLvl w:val="1"/>
        <w:rPr>
          <w:rFonts w:hint="eastAsia" w:ascii="宋体" w:hAnsi="宋体" w:cs="宋体"/>
          <w:b/>
          <w:color w:val="auto"/>
          <w:kern w:val="0"/>
          <w:sz w:val="32"/>
          <w:szCs w:val="32"/>
          <w:highlight w:val="none"/>
        </w:rPr>
      </w:pPr>
    </w:p>
    <w:p w14:paraId="205DB997">
      <w:pPr>
        <w:spacing w:line="440" w:lineRule="atLeast"/>
        <w:ind w:firstLine="0" w:firstLineChars="0"/>
        <w:jc w:val="center"/>
        <w:outlineLvl w:val="1"/>
        <w:rPr>
          <w:rFonts w:hint="eastAsia" w:ascii="宋体" w:hAnsi="宋体" w:cs="宋体"/>
          <w:b/>
          <w:color w:val="auto"/>
          <w:kern w:val="0"/>
          <w:sz w:val="32"/>
          <w:szCs w:val="32"/>
          <w:highlight w:val="none"/>
        </w:rPr>
      </w:pPr>
    </w:p>
    <w:p w14:paraId="2045A728">
      <w:pPr>
        <w:spacing w:line="440" w:lineRule="atLeast"/>
        <w:ind w:firstLine="0" w:firstLineChars="0"/>
        <w:jc w:val="center"/>
        <w:outlineLvl w:val="1"/>
        <w:rPr>
          <w:rFonts w:hint="eastAsia" w:ascii="宋体" w:hAnsi="宋体" w:cs="宋体"/>
          <w:b/>
          <w:color w:val="auto"/>
          <w:kern w:val="0"/>
          <w:sz w:val="32"/>
          <w:szCs w:val="32"/>
          <w:highlight w:val="none"/>
        </w:rPr>
      </w:pPr>
    </w:p>
    <w:p w14:paraId="0EC22924">
      <w:pPr>
        <w:spacing w:line="440" w:lineRule="atLeast"/>
        <w:ind w:firstLine="0" w:firstLineChars="0"/>
        <w:jc w:val="center"/>
        <w:outlineLvl w:val="1"/>
        <w:rPr>
          <w:rFonts w:hint="eastAsia" w:ascii="宋体" w:hAnsi="宋体" w:cs="宋体"/>
          <w:b/>
          <w:color w:val="auto"/>
          <w:kern w:val="0"/>
          <w:sz w:val="32"/>
          <w:szCs w:val="32"/>
          <w:highlight w:val="none"/>
        </w:rPr>
      </w:pPr>
    </w:p>
    <w:p w14:paraId="43D4D5B7">
      <w:pPr>
        <w:spacing w:line="440" w:lineRule="atLeast"/>
        <w:ind w:firstLine="0" w:firstLineChars="0"/>
        <w:jc w:val="center"/>
        <w:outlineLvl w:val="1"/>
        <w:rPr>
          <w:rFonts w:hint="eastAsia" w:ascii="宋体" w:hAnsi="宋体" w:cs="宋体"/>
          <w:b/>
          <w:color w:val="auto"/>
          <w:kern w:val="0"/>
          <w:sz w:val="32"/>
          <w:szCs w:val="32"/>
          <w:highlight w:val="none"/>
        </w:rPr>
      </w:pPr>
    </w:p>
    <w:p w14:paraId="579D2C25">
      <w:pPr>
        <w:spacing w:line="440" w:lineRule="atLeast"/>
        <w:ind w:firstLine="0" w:firstLineChars="0"/>
        <w:jc w:val="center"/>
        <w:outlineLvl w:val="1"/>
        <w:rPr>
          <w:rFonts w:hint="eastAsia" w:ascii="宋体" w:hAnsi="宋体" w:cs="宋体"/>
          <w:b/>
          <w:color w:val="auto"/>
          <w:kern w:val="0"/>
          <w:sz w:val="32"/>
          <w:szCs w:val="32"/>
          <w:highlight w:val="none"/>
        </w:rPr>
      </w:pPr>
    </w:p>
    <w:p w14:paraId="73DE3D82">
      <w:pPr>
        <w:spacing w:line="440" w:lineRule="atLeast"/>
        <w:ind w:firstLine="0" w:firstLineChars="0"/>
        <w:jc w:val="center"/>
        <w:outlineLvl w:val="1"/>
        <w:rPr>
          <w:rFonts w:hint="eastAsia" w:ascii="宋体" w:hAnsi="宋体" w:cs="宋体"/>
          <w:b/>
          <w:color w:val="auto"/>
          <w:kern w:val="0"/>
          <w:sz w:val="32"/>
          <w:szCs w:val="32"/>
          <w:highlight w:val="none"/>
        </w:rPr>
      </w:pPr>
    </w:p>
    <w:p w14:paraId="378BE326">
      <w:pPr>
        <w:spacing w:line="440" w:lineRule="atLeast"/>
        <w:ind w:firstLine="0" w:firstLineChars="0"/>
        <w:jc w:val="center"/>
        <w:outlineLvl w:val="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第六章 响应文件（格式）</w:t>
      </w:r>
      <w:bookmarkEnd w:id="40"/>
    </w:p>
    <w:p w14:paraId="05EFD826">
      <w:pPr>
        <w:spacing w:line="240" w:lineRule="auto"/>
        <w:ind w:firstLine="0" w:firstLineChars="0"/>
        <w:rPr>
          <w:rFonts w:hint="eastAsia" w:ascii="宋体" w:hAnsi="宋体" w:cs="宋体"/>
          <w:b/>
          <w:color w:val="auto"/>
          <w:kern w:val="0"/>
          <w:sz w:val="32"/>
          <w:szCs w:val="32"/>
          <w:highlight w:val="none"/>
        </w:rPr>
      </w:pPr>
    </w:p>
    <w:p w14:paraId="11EC701F">
      <w:pPr>
        <w:spacing w:line="400" w:lineRule="exact"/>
        <w:ind w:firstLine="0" w:firstLineChars="0"/>
        <w:outlineLvl w:val="2"/>
        <w:rPr>
          <w:rFonts w:hint="eastAsia" w:ascii="宋体" w:hAnsi="宋体" w:cs="宋体"/>
          <w:b/>
          <w:color w:val="auto"/>
          <w:kern w:val="0"/>
          <w:sz w:val="32"/>
          <w:szCs w:val="32"/>
          <w:highlight w:val="none"/>
        </w:rPr>
      </w:pPr>
      <w:bookmarkStart w:id="41" w:name="_Toc82016594"/>
      <w:r>
        <w:rPr>
          <w:rFonts w:hint="eastAsia" w:ascii="宋体" w:hAnsi="宋体" w:cs="宋体"/>
          <w:b/>
          <w:color w:val="auto"/>
          <w:kern w:val="0"/>
          <w:sz w:val="32"/>
          <w:szCs w:val="32"/>
          <w:highlight w:val="none"/>
        </w:rPr>
        <w:t>一、响应文件封面标记</w:t>
      </w:r>
      <w:bookmarkEnd w:id="41"/>
    </w:p>
    <w:p w14:paraId="46A14767">
      <w:pPr>
        <w:snapToGrid w:val="0"/>
        <w:spacing w:before="120" w:beforeLines="50" w:after="50" w:line="240" w:lineRule="auto"/>
        <w:ind w:firstLine="0" w:firstLineChars="0"/>
        <w:jc w:val="center"/>
        <w:rPr>
          <w:rFonts w:hint="eastAsia" w:ascii="宋体" w:hAnsi="宋体" w:cs="宋体"/>
          <w:bCs/>
          <w:color w:val="auto"/>
          <w:kern w:val="0"/>
          <w:sz w:val="32"/>
          <w:szCs w:val="32"/>
          <w:highlight w:val="none"/>
        </w:rPr>
      </w:pPr>
    </w:p>
    <w:p w14:paraId="630072F0">
      <w:pPr>
        <w:snapToGrid w:val="0"/>
        <w:spacing w:before="120" w:beforeLines="50" w:after="50" w:line="240" w:lineRule="auto"/>
        <w:ind w:firstLine="0" w:firstLineChars="0"/>
        <w:jc w:val="center"/>
        <w:rPr>
          <w:rFonts w:hint="eastAsia" w:ascii="宋体" w:hAnsi="宋体" w:cs="宋体"/>
          <w:bCs/>
          <w:color w:val="auto"/>
          <w:kern w:val="0"/>
          <w:sz w:val="32"/>
          <w:szCs w:val="32"/>
          <w:highlight w:val="none"/>
        </w:rPr>
      </w:pPr>
      <w:r>
        <w:rPr>
          <w:rFonts w:hint="eastAsia" w:ascii="宋体" w:hAnsi="宋体" w:cs="宋体"/>
          <w:bCs/>
          <w:color w:val="auto"/>
          <w:kern w:val="0"/>
          <w:sz w:val="32"/>
          <w:szCs w:val="32"/>
          <w:highlight w:val="none"/>
        </w:rPr>
        <w:t>响 应 文 件</w:t>
      </w:r>
    </w:p>
    <w:p w14:paraId="05D55A8E">
      <w:pPr>
        <w:snapToGrid w:val="0"/>
        <w:spacing w:before="120" w:beforeLines="50" w:after="50" w:line="240" w:lineRule="auto"/>
        <w:ind w:firstLine="0" w:firstLineChars="0"/>
        <w:rPr>
          <w:rFonts w:hint="eastAsia" w:ascii="宋体" w:hAnsi="宋体" w:cs="宋体"/>
          <w:bCs/>
          <w:color w:val="auto"/>
          <w:kern w:val="0"/>
          <w:szCs w:val="20"/>
          <w:highlight w:val="none"/>
        </w:rPr>
      </w:pPr>
    </w:p>
    <w:p w14:paraId="7319DD71">
      <w:pPr>
        <w:snapToGrid w:val="0"/>
        <w:spacing w:before="120" w:beforeLines="50" w:after="50" w:line="240" w:lineRule="auto"/>
        <w:ind w:firstLine="360" w:firstLineChars="150"/>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项目名称：</w:t>
      </w:r>
    </w:p>
    <w:p w14:paraId="4883F66D">
      <w:pPr>
        <w:snapToGrid w:val="0"/>
        <w:spacing w:before="120" w:beforeLines="50" w:after="50" w:line="240" w:lineRule="auto"/>
        <w:ind w:firstLine="360" w:firstLineChars="150"/>
        <w:rPr>
          <w:rFonts w:hint="eastAsia" w:ascii="宋体" w:hAnsi="宋体" w:cs="宋体"/>
          <w:bCs/>
          <w:color w:val="auto"/>
          <w:kern w:val="0"/>
          <w:szCs w:val="20"/>
          <w:highlight w:val="none"/>
        </w:rPr>
      </w:pPr>
    </w:p>
    <w:p w14:paraId="75CDB71E">
      <w:pPr>
        <w:snapToGrid w:val="0"/>
        <w:spacing w:before="120" w:beforeLines="50" w:after="50" w:line="240" w:lineRule="auto"/>
        <w:ind w:firstLine="360" w:firstLineChars="150"/>
        <w:rPr>
          <w:rFonts w:hint="eastAsia" w:ascii="宋体" w:hAnsi="宋体" w:cs="宋体"/>
          <w:bCs/>
          <w:color w:val="auto"/>
          <w:kern w:val="0"/>
          <w:szCs w:val="20"/>
          <w:highlight w:val="none"/>
        </w:rPr>
      </w:pPr>
    </w:p>
    <w:p w14:paraId="133EDDB1">
      <w:pPr>
        <w:snapToGrid w:val="0"/>
        <w:spacing w:before="120" w:beforeLines="50" w:after="50" w:line="240" w:lineRule="auto"/>
        <w:ind w:firstLine="360" w:firstLineChars="150"/>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项目编号：</w:t>
      </w:r>
    </w:p>
    <w:p w14:paraId="16F9AABE">
      <w:pPr>
        <w:snapToGrid w:val="0"/>
        <w:spacing w:before="120" w:beforeLines="50" w:after="50" w:line="240" w:lineRule="auto"/>
        <w:ind w:firstLine="360" w:firstLineChars="150"/>
        <w:rPr>
          <w:rFonts w:hint="eastAsia" w:ascii="宋体" w:hAnsi="宋体" w:cs="宋体"/>
          <w:bCs/>
          <w:color w:val="auto"/>
          <w:kern w:val="0"/>
          <w:szCs w:val="20"/>
          <w:highlight w:val="none"/>
        </w:rPr>
      </w:pPr>
    </w:p>
    <w:p w14:paraId="5AA4FE4B">
      <w:pPr>
        <w:spacing w:line="400" w:lineRule="exact"/>
        <w:ind w:firstLine="1050" w:firstLineChars="500"/>
        <w:rPr>
          <w:rFonts w:hint="eastAsia" w:ascii="宋体" w:hAnsi="宋体" w:cs="宋体"/>
          <w:color w:val="auto"/>
          <w:kern w:val="0"/>
          <w:sz w:val="21"/>
          <w:szCs w:val="21"/>
          <w:highlight w:val="none"/>
        </w:rPr>
      </w:pPr>
    </w:p>
    <w:p w14:paraId="5C202EA9">
      <w:pPr>
        <w:snapToGrid w:val="0"/>
        <w:spacing w:before="120" w:beforeLines="50" w:after="50" w:line="240" w:lineRule="auto"/>
        <w:ind w:firstLine="360" w:firstLineChars="150"/>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采购代理机构：云之龙咨询集团有限公司</w:t>
      </w:r>
    </w:p>
    <w:p w14:paraId="6420BEA0">
      <w:pPr>
        <w:snapToGrid w:val="0"/>
        <w:spacing w:before="120" w:beforeLines="50" w:after="50" w:line="240" w:lineRule="auto"/>
        <w:ind w:firstLine="360" w:firstLineChars="150"/>
        <w:rPr>
          <w:rFonts w:hint="eastAsia" w:ascii="宋体" w:hAnsi="宋体" w:cs="宋体"/>
          <w:bCs/>
          <w:color w:val="auto"/>
          <w:kern w:val="0"/>
          <w:szCs w:val="24"/>
          <w:highlight w:val="none"/>
        </w:rPr>
      </w:pPr>
    </w:p>
    <w:p w14:paraId="1BBDF56B">
      <w:pPr>
        <w:snapToGrid w:val="0"/>
        <w:spacing w:before="120" w:beforeLines="50" w:after="50" w:line="240" w:lineRule="auto"/>
        <w:ind w:firstLine="360" w:firstLineChars="150"/>
        <w:rPr>
          <w:rFonts w:hint="eastAsia" w:ascii="宋体" w:hAnsi="宋体" w:cs="宋体"/>
          <w:bCs/>
          <w:color w:val="auto"/>
          <w:kern w:val="0"/>
          <w:szCs w:val="24"/>
          <w:highlight w:val="none"/>
        </w:rPr>
      </w:pPr>
    </w:p>
    <w:p w14:paraId="569700D1">
      <w:pPr>
        <w:snapToGrid w:val="0"/>
        <w:spacing w:before="120" w:beforeLines="50" w:after="50" w:line="240" w:lineRule="auto"/>
        <w:ind w:firstLine="360" w:firstLineChars="150"/>
        <w:rPr>
          <w:rFonts w:hint="eastAsia"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5D21666C">
      <w:pPr>
        <w:snapToGrid w:val="0"/>
        <w:spacing w:before="120" w:beforeLines="50" w:after="50" w:line="240" w:lineRule="auto"/>
        <w:ind w:firstLine="360" w:firstLineChars="150"/>
        <w:rPr>
          <w:rFonts w:hint="eastAsia" w:ascii="宋体" w:hAnsi="宋体"/>
          <w:bCs/>
          <w:color w:val="auto"/>
          <w:kern w:val="0"/>
          <w:szCs w:val="24"/>
          <w:highlight w:val="none"/>
        </w:rPr>
      </w:pPr>
    </w:p>
    <w:p w14:paraId="4B043941">
      <w:pPr>
        <w:snapToGrid w:val="0"/>
        <w:spacing w:before="120" w:beforeLines="50" w:after="50" w:line="240" w:lineRule="auto"/>
        <w:ind w:firstLine="360" w:firstLineChars="150"/>
        <w:rPr>
          <w:rFonts w:hint="eastAsia" w:ascii="宋体" w:hAnsi="宋体"/>
          <w:bCs/>
          <w:color w:val="auto"/>
          <w:kern w:val="0"/>
          <w:szCs w:val="24"/>
          <w:highlight w:val="none"/>
        </w:rPr>
      </w:pPr>
    </w:p>
    <w:p w14:paraId="7C25F8C8">
      <w:pPr>
        <w:spacing w:line="440" w:lineRule="atLeast"/>
        <w:ind w:firstLine="0" w:firstLineChars="0"/>
        <w:rPr>
          <w:rFonts w:hint="eastAsia" w:ascii="宋体" w:hAnsi="宋体"/>
          <w:b/>
          <w:color w:val="auto"/>
          <w:kern w:val="0"/>
          <w:sz w:val="32"/>
          <w:szCs w:val="32"/>
          <w:highlight w:val="none"/>
        </w:rPr>
      </w:pPr>
    </w:p>
    <w:p w14:paraId="23FD4B63">
      <w:pPr>
        <w:spacing w:line="440" w:lineRule="atLeast"/>
        <w:ind w:firstLine="0" w:firstLineChars="0"/>
        <w:rPr>
          <w:rFonts w:hint="eastAsia" w:ascii="宋体" w:hAnsi="宋体"/>
          <w:b/>
          <w:color w:val="auto"/>
          <w:kern w:val="0"/>
          <w:sz w:val="32"/>
          <w:szCs w:val="32"/>
          <w:highlight w:val="none"/>
        </w:rPr>
      </w:pPr>
    </w:p>
    <w:p w14:paraId="64EA5FC9">
      <w:pPr>
        <w:spacing w:line="440" w:lineRule="atLeast"/>
        <w:ind w:firstLine="0" w:firstLineChars="0"/>
        <w:rPr>
          <w:rFonts w:hint="eastAsia" w:ascii="宋体" w:hAnsi="宋体"/>
          <w:b/>
          <w:color w:val="auto"/>
          <w:kern w:val="0"/>
          <w:sz w:val="32"/>
          <w:szCs w:val="32"/>
          <w:highlight w:val="none"/>
        </w:rPr>
      </w:pPr>
    </w:p>
    <w:p w14:paraId="7711766D">
      <w:pPr>
        <w:spacing w:line="440" w:lineRule="atLeast"/>
        <w:ind w:firstLine="0" w:firstLineChars="0"/>
        <w:rPr>
          <w:rFonts w:hint="eastAsia" w:ascii="宋体" w:hAnsi="宋体"/>
          <w:b/>
          <w:color w:val="auto"/>
          <w:kern w:val="0"/>
          <w:sz w:val="32"/>
          <w:szCs w:val="32"/>
          <w:highlight w:val="none"/>
        </w:rPr>
      </w:pPr>
    </w:p>
    <w:p w14:paraId="4CF385A8">
      <w:pPr>
        <w:spacing w:line="440" w:lineRule="atLeast"/>
        <w:ind w:firstLine="0" w:firstLineChars="0"/>
        <w:rPr>
          <w:rFonts w:hint="eastAsia" w:ascii="宋体" w:hAnsi="宋体"/>
          <w:b/>
          <w:color w:val="auto"/>
          <w:kern w:val="0"/>
          <w:sz w:val="32"/>
          <w:szCs w:val="32"/>
          <w:highlight w:val="none"/>
        </w:rPr>
      </w:pPr>
    </w:p>
    <w:p w14:paraId="18D41883">
      <w:pPr>
        <w:spacing w:line="440" w:lineRule="atLeast"/>
        <w:ind w:firstLine="0" w:firstLineChars="0"/>
        <w:rPr>
          <w:rFonts w:hint="eastAsia" w:ascii="宋体" w:hAnsi="宋体"/>
          <w:b/>
          <w:color w:val="auto"/>
          <w:kern w:val="0"/>
          <w:sz w:val="32"/>
          <w:szCs w:val="32"/>
          <w:highlight w:val="none"/>
        </w:rPr>
      </w:pPr>
    </w:p>
    <w:p w14:paraId="6BEC1D13">
      <w:pPr>
        <w:spacing w:line="440" w:lineRule="atLeast"/>
        <w:ind w:firstLine="0" w:firstLineChars="0"/>
        <w:rPr>
          <w:rFonts w:hint="eastAsia" w:ascii="宋体" w:hAnsi="宋体"/>
          <w:b/>
          <w:color w:val="auto"/>
          <w:kern w:val="0"/>
          <w:sz w:val="32"/>
          <w:szCs w:val="32"/>
          <w:highlight w:val="none"/>
        </w:rPr>
      </w:pPr>
    </w:p>
    <w:p w14:paraId="74C593D6">
      <w:pPr>
        <w:spacing w:line="440" w:lineRule="atLeast"/>
        <w:ind w:firstLine="0" w:firstLineChars="0"/>
        <w:rPr>
          <w:rFonts w:hint="eastAsia" w:ascii="宋体" w:hAnsi="宋体"/>
          <w:b/>
          <w:color w:val="auto"/>
          <w:kern w:val="0"/>
          <w:sz w:val="32"/>
          <w:szCs w:val="32"/>
          <w:highlight w:val="none"/>
        </w:rPr>
      </w:pPr>
    </w:p>
    <w:p w14:paraId="2D8C6C10">
      <w:pPr>
        <w:spacing w:line="440" w:lineRule="atLeast"/>
        <w:ind w:firstLine="0" w:firstLineChars="0"/>
        <w:rPr>
          <w:rFonts w:hint="eastAsia" w:ascii="宋体" w:hAnsi="宋体"/>
          <w:b/>
          <w:color w:val="auto"/>
          <w:kern w:val="0"/>
          <w:sz w:val="32"/>
          <w:szCs w:val="32"/>
          <w:highlight w:val="none"/>
        </w:rPr>
      </w:pPr>
    </w:p>
    <w:p w14:paraId="0076F1EF">
      <w:pPr>
        <w:spacing w:line="440" w:lineRule="atLeast"/>
        <w:ind w:firstLine="0" w:firstLineChars="0"/>
        <w:rPr>
          <w:rFonts w:hint="eastAsia" w:ascii="宋体" w:hAnsi="宋体"/>
          <w:b/>
          <w:color w:val="auto"/>
          <w:kern w:val="0"/>
          <w:sz w:val="32"/>
          <w:szCs w:val="32"/>
          <w:highlight w:val="none"/>
        </w:rPr>
      </w:pPr>
    </w:p>
    <w:p w14:paraId="16CA7CB6">
      <w:pPr>
        <w:spacing w:line="440" w:lineRule="atLeast"/>
        <w:ind w:firstLine="0" w:firstLineChars="0"/>
        <w:rPr>
          <w:rFonts w:hint="eastAsia" w:ascii="宋体" w:hAnsi="宋体"/>
          <w:b/>
          <w:color w:val="auto"/>
          <w:kern w:val="0"/>
          <w:sz w:val="32"/>
          <w:szCs w:val="32"/>
          <w:highlight w:val="none"/>
        </w:rPr>
      </w:pPr>
    </w:p>
    <w:p w14:paraId="14C65044">
      <w:pPr>
        <w:spacing w:line="440" w:lineRule="atLeast"/>
        <w:ind w:firstLine="0" w:firstLineChars="0"/>
        <w:rPr>
          <w:rFonts w:hint="eastAsia" w:ascii="宋体" w:hAnsi="宋体"/>
          <w:b/>
          <w:color w:val="auto"/>
          <w:kern w:val="0"/>
          <w:sz w:val="32"/>
          <w:szCs w:val="32"/>
          <w:highlight w:val="none"/>
        </w:rPr>
      </w:pPr>
    </w:p>
    <w:p w14:paraId="3D7D5B66">
      <w:pPr>
        <w:spacing w:line="400" w:lineRule="exact"/>
        <w:ind w:firstLine="0" w:firstLineChars="0"/>
        <w:outlineLvl w:val="2"/>
        <w:rPr>
          <w:rFonts w:hint="eastAsia" w:ascii="宋体" w:hAnsi="宋体" w:cs="宋体"/>
          <w:b/>
          <w:color w:val="auto"/>
          <w:kern w:val="0"/>
          <w:sz w:val="32"/>
          <w:szCs w:val="32"/>
          <w:highlight w:val="none"/>
        </w:rPr>
      </w:pPr>
      <w:bookmarkStart w:id="42" w:name="_Toc82016595"/>
      <w:r>
        <w:rPr>
          <w:rFonts w:hint="eastAsia" w:ascii="宋体" w:hAnsi="宋体" w:cs="宋体"/>
          <w:b/>
          <w:color w:val="auto"/>
          <w:kern w:val="0"/>
          <w:sz w:val="32"/>
          <w:szCs w:val="32"/>
          <w:highlight w:val="none"/>
        </w:rPr>
        <w:t>二、响应文件组成</w:t>
      </w:r>
      <w:bookmarkEnd w:id="42"/>
    </w:p>
    <w:p w14:paraId="6526C76C">
      <w:pPr>
        <w:spacing w:line="400" w:lineRule="exact"/>
        <w:ind w:firstLine="0" w:firstLineChars="0"/>
        <w:rPr>
          <w:rFonts w:hint="eastAsia" w:ascii="宋体" w:hAnsi="宋体" w:cs="宋体"/>
          <w:b/>
          <w:bCs/>
          <w:color w:val="auto"/>
          <w:kern w:val="0"/>
          <w:szCs w:val="24"/>
          <w:highlight w:val="none"/>
        </w:rPr>
      </w:pPr>
    </w:p>
    <w:p w14:paraId="1D882533">
      <w:pPr>
        <w:spacing w:line="400" w:lineRule="exact"/>
        <w:ind w:firstLine="0" w:firstLineChars="0"/>
        <w:rPr>
          <w:rFonts w:hint="eastAsia" w:ascii="宋体" w:hAnsi="宋体" w:cs="宋体"/>
          <w:b/>
          <w:bCs/>
          <w:color w:val="auto"/>
          <w:kern w:val="0"/>
          <w:szCs w:val="24"/>
          <w:highlight w:val="none"/>
        </w:rPr>
      </w:pPr>
    </w:p>
    <w:p w14:paraId="42756337">
      <w:pPr>
        <w:spacing w:line="400" w:lineRule="exact"/>
        <w:ind w:firstLine="0" w:firstLineChars="0"/>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（一）</w:t>
      </w:r>
      <w:r>
        <w:rPr>
          <w:rFonts w:hint="eastAsia" w:ascii="宋体" w:hAnsi="宋体" w:cs="宋体"/>
          <w:b/>
          <w:color w:val="auto"/>
          <w:kern w:val="0"/>
          <w:sz w:val="32"/>
          <w:szCs w:val="32"/>
          <w:highlight w:val="none"/>
        </w:rPr>
        <w:t>资格性响应证明材料</w:t>
      </w:r>
    </w:p>
    <w:p w14:paraId="093688E8">
      <w:pPr>
        <w:spacing w:line="400" w:lineRule="exact"/>
        <w:ind w:firstLine="0" w:firstLineChars="0"/>
        <w:rPr>
          <w:rFonts w:hint="eastAsia" w:ascii="宋体" w:hAnsi="宋体" w:cs="宋体"/>
          <w:b/>
          <w:bCs/>
          <w:color w:val="auto"/>
          <w:kern w:val="0"/>
          <w:szCs w:val="24"/>
          <w:highlight w:val="none"/>
        </w:rPr>
      </w:pPr>
    </w:p>
    <w:p w14:paraId="31EF662D">
      <w:pPr>
        <w:spacing w:line="400" w:lineRule="exact"/>
        <w:ind w:firstLine="0" w:firstLineChars="0"/>
        <w:rPr>
          <w:rFonts w:hint="eastAsia" w:ascii="宋体" w:hAnsi="宋体" w:cs="宋体"/>
          <w:b/>
          <w:bCs/>
          <w:color w:val="auto"/>
          <w:kern w:val="0"/>
          <w:szCs w:val="24"/>
          <w:highlight w:val="none"/>
        </w:rPr>
      </w:pPr>
    </w:p>
    <w:p w14:paraId="270B9306">
      <w:pPr>
        <w:spacing w:line="400" w:lineRule="exact"/>
        <w:ind w:firstLine="0" w:firstLineChars="0"/>
        <w:rPr>
          <w:rFonts w:hint="eastAsia" w:ascii="宋体" w:hAnsi="宋体" w:cs="宋体"/>
          <w:b/>
          <w:bCs/>
          <w:color w:val="auto"/>
          <w:kern w:val="0"/>
          <w:szCs w:val="24"/>
          <w:highlight w:val="none"/>
        </w:rPr>
      </w:pPr>
    </w:p>
    <w:p w14:paraId="1F4D7179">
      <w:pPr>
        <w:spacing w:line="400" w:lineRule="exact"/>
        <w:ind w:firstLine="0" w:firstLineChars="0"/>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（二）</w:t>
      </w:r>
      <w:r>
        <w:rPr>
          <w:rFonts w:hint="eastAsia" w:ascii="宋体" w:hAnsi="宋体" w:cs="宋体"/>
          <w:b/>
          <w:color w:val="auto"/>
          <w:kern w:val="0"/>
          <w:sz w:val="32"/>
          <w:szCs w:val="32"/>
          <w:highlight w:val="none"/>
        </w:rPr>
        <w:t>符合性响应证明材料</w:t>
      </w:r>
    </w:p>
    <w:p w14:paraId="26007D4F">
      <w:pPr>
        <w:spacing w:line="400" w:lineRule="exact"/>
        <w:ind w:firstLine="0" w:firstLineChars="0"/>
        <w:rPr>
          <w:rFonts w:hint="eastAsia" w:ascii="宋体" w:hAnsi="宋体" w:cs="宋体"/>
          <w:b/>
          <w:bCs/>
          <w:color w:val="auto"/>
          <w:kern w:val="0"/>
          <w:szCs w:val="24"/>
          <w:highlight w:val="none"/>
        </w:rPr>
      </w:pPr>
    </w:p>
    <w:p w14:paraId="686054C6">
      <w:pPr>
        <w:spacing w:line="400" w:lineRule="exact"/>
        <w:ind w:firstLine="0" w:firstLineChars="0"/>
        <w:rPr>
          <w:rFonts w:hint="eastAsia" w:ascii="宋体" w:hAnsi="宋体" w:cs="宋体"/>
          <w:b/>
          <w:bCs/>
          <w:color w:val="auto"/>
          <w:kern w:val="0"/>
          <w:szCs w:val="24"/>
          <w:highlight w:val="none"/>
        </w:rPr>
      </w:pPr>
    </w:p>
    <w:p w14:paraId="307D1ACB">
      <w:pPr>
        <w:spacing w:line="400" w:lineRule="exact"/>
        <w:ind w:firstLine="0" w:firstLineChars="0"/>
        <w:rPr>
          <w:rFonts w:hint="eastAsia" w:ascii="宋体" w:hAnsi="宋体" w:cs="宋体"/>
          <w:b/>
          <w:bCs/>
          <w:color w:val="auto"/>
          <w:kern w:val="0"/>
          <w:szCs w:val="24"/>
          <w:highlight w:val="none"/>
        </w:rPr>
      </w:pPr>
    </w:p>
    <w:p w14:paraId="5CA8B0CF">
      <w:pPr>
        <w:spacing w:line="400" w:lineRule="exact"/>
        <w:ind w:firstLine="0" w:firstLineChars="0"/>
        <w:rPr>
          <w:rFonts w:hint="eastAsia" w:ascii="宋体" w:hAnsi="宋体" w:cs="宋体"/>
          <w:b/>
          <w:bCs/>
          <w:color w:val="auto"/>
          <w:kern w:val="0"/>
          <w:szCs w:val="24"/>
          <w:highlight w:val="none"/>
        </w:rPr>
      </w:pPr>
      <w:r>
        <w:rPr>
          <w:rFonts w:hint="eastAsia" w:ascii="宋体" w:hAnsi="宋体" w:cs="宋体"/>
          <w:b/>
          <w:bCs/>
          <w:color w:val="auto"/>
          <w:kern w:val="0"/>
          <w:szCs w:val="24"/>
          <w:highlight w:val="none"/>
        </w:rPr>
        <w:t>（三）其他有效</w:t>
      </w:r>
      <w:r>
        <w:rPr>
          <w:rFonts w:hint="eastAsia" w:ascii="宋体" w:hAnsi="宋体" w:cs="宋体"/>
          <w:b/>
          <w:color w:val="auto"/>
          <w:kern w:val="0"/>
          <w:sz w:val="32"/>
          <w:szCs w:val="32"/>
          <w:highlight w:val="none"/>
        </w:rPr>
        <w:t>证明材料</w:t>
      </w:r>
    </w:p>
    <w:p w14:paraId="6598BD3A">
      <w:pPr>
        <w:tabs>
          <w:tab w:val="left" w:pos="1305"/>
        </w:tabs>
        <w:spacing w:line="520" w:lineRule="exact"/>
        <w:ind w:firstLine="0" w:firstLineChars="0"/>
        <w:jc w:val="center"/>
        <w:rPr>
          <w:rFonts w:hint="eastAsia" w:ascii="宋体" w:hAnsi="宋体" w:cs="宋体"/>
          <w:b/>
          <w:color w:val="auto"/>
          <w:kern w:val="0"/>
          <w:sz w:val="32"/>
          <w:szCs w:val="32"/>
          <w:highlight w:val="none"/>
        </w:rPr>
      </w:pPr>
    </w:p>
    <w:p w14:paraId="171EF2E8">
      <w:pPr>
        <w:tabs>
          <w:tab w:val="left" w:pos="1305"/>
        </w:tabs>
        <w:spacing w:line="520" w:lineRule="exact"/>
        <w:ind w:firstLine="0" w:firstLineChars="0"/>
        <w:jc w:val="center"/>
        <w:rPr>
          <w:rFonts w:hint="eastAsia" w:ascii="宋体" w:hAnsi="宋体"/>
          <w:b/>
          <w:color w:val="auto"/>
          <w:kern w:val="0"/>
          <w:sz w:val="32"/>
          <w:szCs w:val="32"/>
          <w:highlight w:val="none"/>
        </w:rPr>
      </w:pPr>
    </w:p>
    <w:p w14:paraId="1317BD3A">
      <w:pPr>
        <w:tabs>
          <w:tab w:val="left" w:pos="1305"/>
        </w:tabs>
        <w:spacing w:line="520" w:lineRule="exact"/>
        <w:ind w:firstLine="0" w:firstLineChars="0"/>
        <w:jc w:val="center"/>
        <w:rPr>
          <w:rFonts w:hint="eastAsia" w:ascii="宋体" w:hAnsi="宋体"/>
          <w:b/>
          <w:color w:val="auto"/>
          <w:kern w:val="0"/>
          <w:sz w:val="32"/>
          <w:szCs w:val="32"/>
          <w:highlight w:val="none"/>
        </w:rPr>
      </w:pPr>
    </w:p>
    <w:p w14:paraId="44D814A2">
      <w:pPr>
        <w:tabs>
          <w:tab w:val="left" w:pos="1305"/>
        </w:tabs>
        <w:spacing w:line="520" w:lineRule="exact"/>
        <w:ind w:firstLine="0" w:firstLineChars="0"/>
        <w:jc w:val="center"/>
        <w:rPr>
          <w:rFonts w:hint="eastAsia" w:ascii="宋体" w:hAnsi="宋体"/>
          <w:b/>
          <w:color w:val="auto"/>
          <w:kern w:val="0"/>
          <w:sz w:val="32"/>
          <w:szCs w:val="32"/>
          <w:highlight w:val="none"/>
        </w:rPr>
      </w:pPr>
    </w:p>
    <w:p w14:paraId="20DA980B">
      <w:pPr>
        <w:tabs>
          <w:tab w:val="left" w:pos="1305"/>
        </w:tabs>
        <w:spacing w:line="520" w:lineRule="exact"/>
        <w:ind w:firstLine="0" w:firstLineChars="0"/>
        <w:jc w:val="center"/>
        <w:rPr>
          <w:rFonts w:hint="eastAsia" w:ascii="宋体" w:hAnsi="宋体"/>
          <w:b/>
          <w:color w:val="auto"/>
          <w:kern w:val="0"/>
          <w:sz w:val="32"/>
          <w:szCs w:val="32"/>
          <w:highlight w:val="none"/>
        </w:rPr>
      </w:pPr>
    </w:p>
    <w:p w14:paraId="4E85B0A3">
      <w:pPr>
        <w:tabs>
          <w:tab w:val="left" w:pos="1305"/>
        </w:tabs>
        <w:spacing w:line="520" w:lineRule="exact"/>
        <w:ind w:firstLine="0" w:firstLineChars="0"/>
        <w:jc w:val="center"/>
        <w:rPr>
          <w:rFonts w:hint="eastAsia" w:ascii="宋体" w:hAnsi="宋体"/>
          <w:b/>
          <w:color w:val="auto"/>
          <w:kern w:val="0"/>
          <w:sz w:val="32"/>
          <w:szCs w:val="32"/>
          <w:highlight w:val="none"/>
        </w:rPr>
      </w:pPr>
    </w:p>
    <w:p w14:paraId="4E683E7A">
      <w:pPr>
        <w:tabs>
          <w:tab w:val="left" w:pos="1305"/>
        </w:tabs>
        <w:spacing w:line="520" w:lineRule="exact"/>
        <w:ind w:firstLine="0" w:firstLineChars="0"/>
        <w:jc w:val="center"/>
        <w:rPr>
          <w:rFonts w:hint="eastAsia" w:ascii="宋体" w:hAnsi="宋体"/>
          <w:b/>
          <w:color w:val="auto"/>
          <w:kern w:val="0"/>
          <w:sz w:val="32"/>
          <w:szCs w:val="32"/>
          <w:highlight w:val="none"/>
        </w:rPr>
      </w:pPr>
    </w:p>
    <w:p w14:paraId="7DA462D1">
      <w:pPr>
        <w:tabs>
          <w:tab w:val="left" w:pos="1305"/>
        </w:tabs>
        <w:spacing w:line="520" w:lineRule="exact"/>
        <w:ind w:firstLine="0" w:firstLineChars="0"/>
        <w:jc w:val="center"/>
        <w:rPr>
          <w:b/>
          <w:color w:val="auto"/>
          <w:kern w:val="0"/>
          <w:sz w:val="32"/>
          <w:szCs w:val="32"/>
          <w:highlight w:val="none"/>
        </w:rPr>
      </w:pPr>
    </w:p>
    <w:p w14:paraId="7F9E5966">
      <w:pPr>
        <w:spacing w:line="240" w:lineRule="auto"/>
        <w:ind w:firstLine="0" w:firstLineChars="0"/>
        <w:jc w:val="center"/>
        <w:rPr>
          <w:rFonts w:hint="eastAsia" w:ascii="宋体" w:hAnsi="宋体" w:cs="宋体"/>
          <w:color w:val="auto"/>
          <w:kern w:val="0"/>
          <w:szCs w:val="24"/>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57E71C8B">
      <w:pPr>
        <w:tabs>
          <w:tab w:val="left" w:pos="1305"/>
        </w:tabs>
        <w:spacing w:line="520" w:lineRule="exact"/>
        <w:ind w:firstLine="600" w:firstLineChars="250"/>
        <w:rPr>
          <w:rFonts w:hint="eastAsia" w:ascii="宋体" w:hAnsi="宋体" w:cs="宋体"/>
          <w:color w:val="auto"/>
          <w:kern w:val="0"/>
          <w:szCs w:val="24"/>
          <w:highlight w:val="none"/>
        </w:rPr>
      </w:pPr>
    </w:p>
    <w:p w14:paraId="206BEF2C">
      <w:pPr>
        <w:tabs>
          <w:tab w:val="left" w:pos="1305"/>
        </w:tabs>
        <w:spacing w:line="400" w:lineRule="exact"/>
        <w:ind w:firstLine="420"/>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 xml:space="preserve">（必须提供） </w:t>
      </w:r>
    </w:p>
    <w:p w14:paraId="1020E77A">
      <w:pPr>
        <w:tabs>
          <w:tab w:val="left" w:pos="1305"/>
        </w:tabs>
        <w:spacing w:line="400" w:lineRule="exact"/>
        <w:ind w:firstLine="420"/>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2.供应商相应的法定代表人身份证正反两面复印件</w:t>
      </w:r>
      <w:r>
        <w:rPr>
          <w:rFonts w:hint="eastAsia" w:ascii="宋体" w:hAnsi="宋体" w:cs="宋体"/>
          <w:b/>
          <w:color w:val="auto"/>
          <w:kern w:val="0"/>
          <w:sz w:val="21"/>
          <w:szCs w:val="21"/>
          <w:highlight w:val="none"/>
        </w:rPr>
        <w:t xml:space="preserve">（必须提供） </w:t>
      </w:r>
    </w:p>
    <w:p w14:paraId="45C63FBA">
      <w:pPr>
        <w:tabs>
          <w:tab w:val="left" w:pos="1305"/>
        </w:tabs>
        <w:spacing w:line="400" w:lineRule="exact"/>
        <w:ind w:firstLine="420"/>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复印件以及由社保经办机构出具的供应商</w:t>
      </w:r>
      <w:r>
        <w:rPr>
          <w:rFonts w:hint="eastAsia" w:ascii="宋体" w:hAnsi="宋体" w:cs="宋体"/>
          <w:color w:val="auto"/>
          <w:kern w:val="0"/>
          <w:sz w:val="21"/>
          <w:szCs w:val="21"/>
          <w:highlight w:val="none"/>
        </w:rPr>
        <w:t>2024年12月以来任意1个月</w:t>
      </w:r>
      <w:r>
        <w:rPr>
          <w:rFonts w:hint="eastAsia" w:ascii="宋体" w:hAnsi="宋体" w:cs="宋体"/>
          <w:color w:val="auto"/>
          <w:sz w:val="21"/>
          <w:szCs w:val="21"/>
          <w:highlight w:val="none"/>
        </w:rPr>
        <w:t>为委托代理人缴纳的社保证明复印件</w:t>
      </w:r>
      <w:r>
        <w:rPr>
          <w:rFonts w:hint="eastAsia" w:ascii="宋体" w:hAnsi="宋体" w:cs="宋体"/>
          <w:b/>
          <w:color w:val="auto"/>
          <w:sz w:val="21"/>
          <w:szCs w:val="21"/>
          <w:highlight w:val="none"/>
        </w:rPr>
        <w:t>【属于自然人的应提供由社保经办机构出具的自然人本人及委托代理人2024年12月以来任意1个月所缴纳的社保证明复印件】（委托代理时必须提供）</w:t>
      </w:r>
      <w:r>
        <w:rPr>
          <w:rFonts w:hint="eastAsia" w:ascii="宋体" w:hAnsi="宋体" w:cs="宋体"/>
          <w:b/>
          <w:color w:val="auto"/>
          <w:kern w:val="0"/>
          <w:sz w:val="21"/>
          <w:szCs w:val="21"/>
          <w:highlight w:val="none"/>
        </w:rPr>
        <w:t xml:space="preserve"> </w:t>
      </w:r>
    </w:p>
    <w:p w14:paraId="3E0FBB03">
      <w:pPr>
        <w:tabs>
          <w:tab w:val="left" w:pos="1305"/>
        </w:tabs>
        <w:spacing w:line="400" w:lineRule="exact"/>
        <w:ind w:firstLine="420"/>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kern w:val="0"/>
          <w:sz w:val="21"/>
          <w:szCs w:val="21"/>
          <w:highlight w:val="none"/>
        </w:rPr>
        <w:t>（必须提供，自然人除外）</w:t>
      </w:r>
    </w:p>
    <w:p w14:paraId="62A36BB1">
      <w:pPr>
        <w:tabs>
          <w:tab w:val="left" w:pos="1305"/>
        </w:tabs>
        <w:spacing w:line="400" w:lineRule="exact"/>
        <w:ind w:firstLine="420"/>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5.特定资格证明材料：供应商有效的检验检测机构资质认定证书（</w:t>
      </w:r>
      <w:r>
        <w:rPr>
          <w:rFonts w:ascii="宋体" w:hAnsi="宋体" w:cs="宋体"/>
          <w:color w:val="auto"/>
          <w:sz w:val="21"/>
          <w:szCs w:val="21"/>
          <w:highlight w:val="none"/>
        </w:rPr>
        <w:t>CMA</w:t>
      </w:r>
      <w:r>
        <w:rPr>
          <w:rFonts w:hint="eastAsia" w:ascii="宋体" w:hAnsi="宋体" w:cs="宋体"/>
          <w:color w:val="auto"/>
          <w:sz w:val="21"/>
          <w:szCs w:val="21"/>
          <w:highlight w:val="none"/>
        </w:rPr>
        <w:t>）复印件</w:t>
      </w:r>
      <w:r>
        <w:rPr>
          <w:rFonts w:hint="eastAsia" w:ascii="宋体" w:hAnsi="宋体" w:cs="宋体"/>
          <w:color w:val="auto"/>
          <w:kern w:val="0"/>
          <w:sz w:val="21"/>
          <w:szCs w:val="21"/>
          <w:highlight w:val="none"/>
        </w:rPr>
        <w:t>及证书检验检测能力附表复印件（检测能力范围至少包含：水和废水、环境空气和废气、土壤、固体废物、噪声排放等类别）</w:t>
      </w:r>
      <w:r>
        <w:rPr>
          <w:rFonts w:hint="eastAsia" w:ascii="宋体" w:hAnsi="宋体" w:cs="宋体"/>
          <w:b/>
          <w:color w:val="auto"/>
          <w:kern w:val="0"/>
          <w:sz w:val="21"/>
          <w:szCs w:val="21"/>
          <w:highlight w:val="none"/>
        </w:rPr>
        <w:t>（必须提供）</w:t>
      </w:r>
    </w:p>
    <w:p w14:paraId="24942EDE">
      <w:pPr>
        <w:tabs>
          <w:tab w:val="left" w:pos="1305"/>
        </w:tabs>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供应商依法缴纳税收的相关材料（2024年12月以来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AFF5356">
      <w:pPr>
        <w:tabs>
          <w:tab w:val="left" w:pos="1305"/>
        </w:tabs>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供应商依法缴纳社会保障资金的相关材料【2024年12月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0563E89E">
      <w:pPr>
        <w:tabs>
          <w:tab w:val="left" w:pos="1305"/>
        </w:tabs>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供应商财务状况报告【2023年度以来任意年度内的财务报表复印件，或者2024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755C4D5C">
      <w:pPr>
        <w:tabs>
          <w:tab w:val="left" w:pos="1305"/>
        </w:tabs>
        <w:spacing w:line="40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9.供应商参加政府采购活动前3年内在经营活动中没有重大违法记录及有关信用信息的书面声明（必须提供） </w:t>
      </w:r>
    </w:p>
    <w:p w14:paraId="5FFC0BCF">
      <w:pPr>
        <w:spacing w:line="40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10.供应商参加本项目无围标串标行为的承诺函</w:t>
      </w:r>
      <w:r>
        <w:rPr>
          <w:rFonts w:hint="eastAsia" w:ascii="宋体" w:hAnsi="宋体" w:cs="宋体"/>
          <w:b/>
          <w:color w:val="auto"/>
          <w:kern w:val="0"/>
          <w:sz w:val="21"/>
          <w:szCs w:val="21"/>
          <w:highlight w:val="none"/>
        </w:rPr>
        <w:t>（必须提供）</w:t>
      </w:r>
    </w:p>
    <w:p w14:paraId="6FB63570">
      <w:pPr>
        <w:spacing w:line="40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11.供应商属于中小企业的相关证明材料</w:t>
      </w:r>
      <w:r>
        <w:rPr>
          <w:rFonts w:hint="eastAsia" w:ascii="宋体" w:hAnsi="宋体" w:cs="宋体"/>
          <w:b/>
          <w:color w:val="auto"/>
          <w:kern w:val="0"/>
          <w:sz w:val="21"/>
          <w:szCs w:val="21"/>
          <w:highlight w:val="none"/>
        </w:rPr>
        <w:t>（必须提供）</w:t>
      </w:r>
    </w:p>
    <w:p w14:paraId="7F4FA765">
      <w:pPr>
        <w:tabs>
          <w:tab w:val="left" w:pos="1305"/>
        </w:tabs>
        <w:spacing w:line="380" w:lineRule="exact"/>
        <w:ind w:firstLine="422"/>
        <w:rPr>
          <w:rFonts w:hint="eastAsia" w:ascii="宋体" w:hAnsi="宋体" w:cs="宋体"/>
          <w:b/>
          <w:color w:val="auto"/>
          <w:kern w:val="0"/>
          <w:sz w:val="21"/>
          <w:szCs w:val="21"/>
          <w:highlight w:val="none"/>
        </w:rPr>
      </w:pPr>
    </w:p>
    <w:p w14:paraId="170052A4">
      <w:pPr>
        <w:tabs>
          <w:tab w:val="left" w:pos="1305"/>
        </w:tabs>
        <w:spacing w:line="520" w:lineRule="exact"/>
        <w:ind w:firstLine="420"/>
        <w:rPr>
          <w:rFonts w:hint="eastAsia" w:ascii="宋体" w:hAnsi="宋体" w:cs="宋体"/>
          <w:color w:val="auto"/>
          <w:sz w:val="21"/>
          <w:szCs w:val="21"/>
          <w:highlight w:val="none"/>
        </w:rPr>
      </w:pPr>
    </w:p>
    <w:p w14:paraId="2A221518">
      <w:pPr>
        <w:spacing w:line="440" w:lineRule="atLeast"/>
        <w:ind w:firstLine="0" w:firstLineChars="0"/>
        <w:rPr>
          <w:rFonts w:hint="eastAsia" w:ascii="宋体" w:hAnsi="宋体"/>
          <w:b/>
          <w:color w:val="auto"/>
          <w:kern w:val="0"/>
          <w:sz w:val="28"/>
          <w:szCs w:val="28"/>
          <w:highlight w:val="none"/>
        </w:rPr>
      </w:pPr>
    </w:p>
    <w:p w14:paraId="0DBEAEF2">
      <w:pPr>
        <w:spacing w:line="440" w:lineRule="atLeast"/>
        <w:ind w:firstLine="0" w:firstLineChars="0"/>
        <w:rPr>
          <w:rFonts w:hint="eastAsia" w:ascii="宋体" w:hAnsi="宋体"/>
          <w:b/>
          <w:color w:val="auto"/>
          <w:kern w:val="0"/>
          <w:sz w:val="28"/>
          <w:szCs w:val="28"/>
          <w:highlight w:val="none"/>
        </w:rPr>
      </w:pPr>
    </w:p>
    <w:p w14:paraId="21BBC2E4">
      <w:pPr>
        <w:spacing w:line="440" w:lineRule="atLeast"/>
        <w:ind w:firstLine="0" w:firstLineChars="0"/>
        <w:rPr>
          <w:rFonts w:hint="eastAsia" w:ascii="宋体" w:hAnsi="宋体"/>
          <w:b/>
          <w:color w:val="auto"/>
          <w:kern w:val="0"/>
          <w:sz w:val="28"/>
          <w:szCs w:val="28"/>
          <w:highlight w:val="none"/>
        </w:rPr>
      </w:pPr>
    </w:p>
    <w:p w14:paraId="1E3BA6C3">
      <w:pPr>
        <w:spacing w:line="240" w:lineRule="auto"/>
        <w:ind w:firstLine="0" w:firstLineChars="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 响应函（必须提供）</w:t>
      </w:r>
    </w:p>
    <w:p w14:paraId="28B1F1A3">
      <w:pPr>
        <w:spacing w:line="440" w:lineRule="atLeast"/>
        <w:ind w:firstLine="0" w:firstLineChars="0"/>
        <w:rPr>
          <w:rFonts w:hint="eastAsia" w:ascii="宋体" w:hAnsi="宋体" w:cs="宋体"/>
          <w:b/>
          <w:color w:val="auto"/>
          <w:kern w:val="0"/>
          <w:szCs w:val="24"/>
          <w:highlight w:val="none"/>
        </w:rPr>
      </w:pPr>
      <w:r>
        <w:rPr>
          <w:rFonts w:hint="eastAsia" w:ascii="宋体" w:hAnsi="宋体" w:cs="宋体"/>
          <w:b/>
          <w:color w:val="auto"/>
          <w:kern w:val="0"/>
          <w:szCs w:val="24"/>
          <w:highlight w:val="none"/>
        </w:rPr>
        <w:t>附件：</w:t>
      </w:r>
    </w:p>
    <w:p w14:paraId="66194F29">
      <w:pPr>
        <w:spacing w:line="240" w:lineRule="auto"/>
        <w:ind w:firstLine="803" w:firstLineChars="250"/>
        <w:jc w:val="center"/>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7B3D394">
      <w:pPr>
        <w:spacing w:line="400" w:lineRule="exact"/>
        <w:ind w:firstLine="0" w:firstLineChars="0"/>
        <w:rPr>
          <w:rFonts w:hint="eastAsia"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rPr>
        <w:t xml:space="preserve">云之龙咨询集团有限公司 </w:t>
      </w:r>
    </w:p>
    <w:p w14:paraId="54DEEB3A">
      <w:pPr>
        <w:spacing w:line="400" w:lineRule="exact"/>
        <w:ind w:firstLine="0" w:firstLineChars="0"/>
        <w:rPr>
          <w:rFonts w:hint="eastAsia" w:ascii="宋体" w:hAnsi="宋体" w:cs="宋体"/>
          <w:color w:val="auto"/>
          <w:kern w:val="0"/>
          <w:sz w:val="21"/>
          <w:szCs w:val="21"/>
          <w:highlight w:val="none"/>
        </w:rPr>
      </w:pPr>
    </w:p>
    <w:p w14:paraId="0BEEADF4">
      <w:pPr>
        <w:spacing w:line="320" w:lineRule="exact"/>
        <w:ind w:left="120" w:leftChars="50" w:firstLine="315" w:firstLineChars="15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根据贵方项目磋商文件，项目编号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0C4A8543">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1C919808">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1.按磋商文件采购需求，磋商报价详见“磋商报价表”。</w:t>
      </w:r>
    </w:p>
    <w:p w14:paraId="5EA2832B">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0B903DB4">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3.我方已详细审核磋商文件，包括修改文件（如有）和有关附件，将自行承担因对全部磋商文件理解不正确或误解而产生的相应后果。 </w:t>
      </w:r>
    </w:p>
    <w:p w14:paraId="55F4C1D0">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r>
        <w:rPr>
          <w:rFonts w:hint="eastAsia" w:ascii="宋体" w:hAnsi="宋体" w:cs="宋体"/>
          <w:color w:val="auto"/>
          <w:kern w:val="0"/>
          <w:sz w:val="21"/>
          <w:szCs w:val="20"/>
          <w:highlight w:val="none"/>
        </w:rPr>
        <w:t xml:space="preserve"> </w:t>
      </w:r>
    </w:p>
    <w:p w14:paraId="6F96A0B2">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2BC3F607">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（1）我方承诺在收到成交通知书后，在成交通知书规定的期限内与采购人签订合同。</w:t>
      </w:r>
    </w:p>
    <w:p w14:paraId="37C6F8C8">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（2）我方承诺按照磋商文件规定提交履约担保。</w:t>
      </w:r>
    </w:p>
    <w:p w14:paraId="54F133B9">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（3）我方承诺本响应文件至本项目合同履行完毕止均保持有效，按磋商文件及政府采购法律、法规的规定履行合同责任和义务。</w:t>
      </w:r>
    </w:p>
    <w:p w14:paraId="29B8619F">
      <w:pPr>
        <w:spacing w:line="32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（4）我方保证在</w:t>
      </w:r>
      <w:r>
        <w:rPr>
          <w:rFonts w:hint="eastAsia" w:ascii="宋体" w:hAnsi="宋体" w:cs="宋体"/>
          <w:color w:val="auto"/>
          <w:kern w:val="0"/>
          <w:sz w:val="21"/>
          <w:szCs w:val="21"/>
          <w:highlight w:val="none"/>
        </w:rPr>
        <w:t>成交供应商于成交公告发出之日起5个工作日内</w:t>
      </w:r>
      <w:r>
        <w:rPr>
          <w:rFonts w:hint="eastAsia" w:ascii="宋体" w:hAnsi="宋体" w:cs="宋体"/>
          <w:color w:val="auto"/>
          <w:kern w:val="0"/>
          <w:sz w:val="21"/>
          <w:szCs w:val="20"/>
          <w:highlight w:val="none"/>
        </w:rPr>
        <w:t>，按本项目竞争性磋商文件的规定及标准向贵单位一次性足额支付采购代理服务费。代理服务费发票我方选择开具：□增值税普通发票、□增值税专用发票。</w:t>
      </w:r>
    </w:p>
    <w:p w14:paraId="182BD25D">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68A1AB1C">
      <w:pPr>
        <w:spacing w:line="320" w:lineRule="exact"/>
        <w:ind w:firstLine="420" w:firstLineChars="0"/>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28135D20">
      <w:pPr>
        <w:spacing w:line="320" w:lineRule="exact"/>
        <w:ind w:firstLine="420" w:firstLineChars="0"/>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511CB036">
      <w:pPr>
        <w:spacing w:line="320" w:lineRule="exact"/>
        <w:ind w:firstLine="420" w:firstLineChars="0"/>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0C4FF5F">
      <w:pPr>
        <w:spacing w:line="320" w:lineRule="exact"/>
        <w:ind w:firstLine="420" w:firstLineChars="0"/>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44589D49">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94CBFDB">
      <w:pPr>
        <w:spacing w:line="320" w:lineRule="exact"/>
        <w:ind w:firstLine="420" w:firstLineChars="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6935BD4">
      <w:pPr>
        <w:spacing w:line="340" w:lineRule="exact"/>
        <w:ind w:firstLine="420" w:firstLineChars="0"/>
        <w:rPr>
          <w:rFonts w:hint="eastAsia" w:ascii="宋体" w:hAnsi="宋体" w:cs="宋体"/>
          <w:color w:val="auto"/>
          <w:kern w:val="0"/>
          <w:sz w:val="21"/>
          <w:szCs w:val="20"/>
          <w:highlight w:val="none"/>
        </w:rPr>
      </w:pPr>
    </w:p>
    <w:p w14:paraId="1CFDA840">
      <w:pPr>
        <w:spacing w:line="340" w:lineRule="exact"/>
        <w:ind w:firstLine="420" w:firstLineChars="0"/>
        <w:rPr>
          <w:rFonts w:hint="eastAsia" w:ascii="宋体" w:hAnsi="宋体" w:cs="宋体"/>
          <w:color w:val="auto"/>
          <w:sz w:val="21"/>
          <w:szCs w:val="20"/>
          <w:highlight w:val="none"/>
        </w:rPr>
      </w:pPr>
    </w:p>
    <w:p w14:paraId="1261D885">
      <w:pPr>
        <w:spacing w:line="340" w:lineRule="exact"/>
        <w:ind w:firstLine="420" w:firstLineChars="0"/>
        <w:rPr>
          <w:rFonts w:hint="eastAsia" w:ascii="宋体" w:hAnsi="宋体" w:cs="宋体"/>
          <w:color w:val="auto"/>
          <w:sz w:val="21"/>
          <w:szCs w:val="20"/>
          <w:highlight w:val="none"/>
        </w:rPr>
      </w:pPr>
    </w:p>
    <w:p w14:paraId="604F89AA">
      <w:pPr>
        <w:spacing w:line="340" w:lineRule="exact"/>
        <w:ind w:firstLine="420" w:firstLineChars="0"/>
        <w:rPr>
          <w:rFonts w:hint="eastAsia" w:ascii="宋体" w:hAnsi="宋体" w:cs="宋体"/>
          <w:color w:val="auto"/>
          <w:sz w:val="21"/>
          <w:szCs w:val="20"/>
          <w:highlight w:val="non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r>
        <w:rPr>
          <w:rFonts w:hint="eastAsia" w:ascii="宋体" w:hAnsi="宋体" w:cs="宋体"/>
          <w:color w:val="auto"/>
          <w:sz w:val="21"/>
          <w:szCs w:val="20"/>
          <w:highlight w:val="none"/>
          <w:u w:val="single"/>
        </w:rPr>
        <w:t xml:space="preserve">                                              </w:t>
      </w:r>
    </w:p>
    <w:p w14:paraId="669C604D">
      <w:pPr>
        <w:spacing w:line="340" w:lineRule="exact"/>
        <w:ind w:firstLine="420" w:firstLineChars="0"/>
        <w:rPr>
          <w:rFonts w:hint="eastAsia" w:ascii="宋体" w:hAnsi="宋体" w:cs="宋体"/>
          <w:color w:val="auto"/>
          <w:sz w:val="21"/>
          <w:szCs w:val="20"/>
          <w:highlight w:val="none"/>
        </w:rPr>
      </w:pPr>
      <w:r>
        <w:rPr>
          <w:rFonts w:hint="eastAsia" w:ascii="宋体" w:hAnsi="宋体" w:cs="宋体"/>
          <w:color w:val="auto"/>
          <w:sz w:val="21"/>
          <w:szCs w:val="20"/>
          <w:highlight w:val="none"/>
        </w:rPr>
        <w:t>法定代表人或相应的委托代理人签字（或电子签名）：</w:t>
      </w:r>
      <w:r>
        <w:rPr>
          <w:rFonts w:hint="eastAsia" w:ascii="宋体" w:hAnsi="宋体" w:cs="宋体"/>
          <w:color w:val="auto"/>
          <w:sz w:val="21"/>
          <w:szCs w:val="20"/>
          <w:highlight w:val="none"/>
          <w:u w:val="single"/>
        </w:rPr>
        <w:t xml:space="preserve">        </w:t>
      </w:r>
    </w:p>
    <w:p w14:paraId="0977CC7E">
      <w:pPr>
        <w:spacing w:line="340" w:lineRule="exact"/>
        <w:ind w:firstLine="420" w:firstLineChars="0"/>
        <w:rPr>
          <w:rFonts w:hint="eastAsia"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r>
        <w:rPr>
          <w:rFonts w:hint="eastAsia" w:ascii="宋体" w:hAnsi="宋体" w:cs="宋体"/>
          <w:color w:val="auto"/>
          <w:sz w:val="21"/>
          <w:szCs w:val="20"/>
          <w:highlight w:val="none"/>
          <w:u w:val="single"/>
        </w:rPr>
        <w:t xml:space="preserve">                               </w:t>
      </w:r>
    </w:p>
    <w:p w14:paraId="7CBEE905">
      <w:pPr>
        <w:spacing w:line="340" w:lineRule="exact"/>
        <w:ind w:firstLine="420"/>
        <w:rPr>
          <w:rFonts w:hint="eastAsia" w:ascii="宋体" w:hAnsi="宋体" w:cs="宋体"/>
          <w:bCs/>
          <w:color w:val="auto"/>
          <w:kern w:val="0"/>
          <w:sz w:val="21"/>
          <w:szCs w:val="20"/>
          <w:highlight w:val="none"/>
        </w:rPr>
      </w:pPr>
    </w:p>
    <w:p w14:paraId="74BBCD52">
      <w:pPr>
        <w:spacing w:line="340" w:lineRule="exact"/>
        <w:ind w:left="900" w:leftChars="200" w:hanging="420" w:hangingChars="200"/>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注：1.未按照本响应函（格式）要求填报的应函将被视为非实质性响应竞争性磋商文件要求，从而导致该响应被拒绝。</w:t>
      </w:r>
    </w:p>
    <w:p w14:paraId="5EFEAA88">
      <w:pPr>
        <w:spacing w:line="340" w:lineRule="exact"/>
        <w:ind w:left="960" w:leftChars="400" w:firstLine="0" w:firstLineChars="0"/>
        <w:rPr>
          <w:rFonts w:hint="eastAsia" w:ascii="宋体" w:hAnsi="宋体" w:cs="宋体"/>
          <w:bCs/>
          <w:color w:val="auto"/>
          <w:sz w:val="21"/>
          <w:szCs w:val="20"/>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0ADD3831">
      <w:pPr>
        <w:spacing w:line="340" w:lineRule="exact"/>
        <w:ind w:left="960" w:leftChars="40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3.响应函须由法定代表人或相应的委托代理人签字</w:t>
      </w:r>
      <w:r>
        <w:rPr>
          <w:rFonts w:hint="eastAsia" w:ascii="宋体" w:hAnsi="宋体" w:cs="宋体"/>
          <w:color w:val="auto"/>
          <w:sz w:val="21"/>
          <w:szCs w:val="20"/>
          <w:highlight w:val="none"/>
        </w:rPr>
        <w:t>（或电子签名），</w:t>
      </w:r>
      <w:r>
        <w:rPr>
          <w:rFonts w:hint="eastAsia" w:ascii="宋体" w:hAnsi="宋体" w:cs="宋体"/>
          <w:bCs/>
          <w:color w:val="auto"/>
          <w:sz w:val="21"/>
          <w:szCs w:val="21"/>
          <w:highlight w:val="none"/>
        </w:rPr>
        <w:t>并加盖供应商电子签章。</w:t>
      </w:r>
    </w:p>
    <w:p w14:paraId="450F6876">
      <w:pPr>
        <w:spacing w:line="340" w:lineRule="exact"/>
        <w:ind w:left="960" w:leftChars="400" w:firstLine="0" w:firstLineChars="0"/>
        <w:rPr>
          <w:rFonts w:hint="eastAsia" w:ascii="宋体" w:hAnsi="宋体" w:cs="宋体"/>
          <w:bCs/>
          <w:color w:val="auto"/>
          <w:sz w:val="21"/>
          <w:szCs w:val="21"/>
          <w:highlight w:val="none"/>
        </w:rPr>
      </w:pPr>
    </w:p>
    <w:p w14:paraId="3D7AD575">
      <w:pPr>
        <w:spacing w:line="240" w:lineRule="auto"/>
        <w:ind w:left="2940" w:firstLine="0" w:firstLineChars="0"/>
        <w:rPr>
          <w:color w:val="auto"/>
          <w:sz w:val="21"/>
          <w:szCs w:val="24"/>
          <w:highlight w:val="none"/>
        </w:rPr>
      </w:pPr>
    </w:p>
    <w:p w14:paraId="7A7D256D">
      <w:pPr>
        <w:tabs>
          <w:tab w:val="left" w:pos="1305"/>
        </w:tabs>
        <w:spacing w:line="380" w:lineRule="exact"/>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6DA01E18">
      <w:pPr>
        <w:tabs>
          <w:tab w:val="left" w:pos="1305"/>
        </w:tabs>
        <w:spacing w:line="380" w:lineRule="exact"/>
        <w:ind w:firstLine="0" w:firstLineChars="0"/>
        <w:rPr>
          <w:rFonts w:hint="eastAsia" w:ascii="宋体" w:hAnsi="宋体" w:cs="宋体"/>
          <w:color w:val="auto"/>
          <w:kern w:val="0"/>
          <w:sz w:val="21"/>
          <w:szCs w:val="21"/>
          <w:highlight w:val="none"/>
        </w:rPr>
      </w:pPr>
    </w:p>
    <w:p w14:paraId="30856AB5">
      <w:pPr>
        <w:tabs>
          <w:tab w:val="left" w:pos="1305"/>
        </w:tabs>
        <w:spacing w:line="380" w:lineRule="exact"/>
        <w:ind w:firstLine="0" w:firstLineChars="0"/>
        <w:rPr>
          <w:rFonts w:hint="eastAsia" w:ascii="宋体" w:hAnsi="宋体" w:cs="宋体"/>
          <w:color w:val="auto"/>
          <w:kern w:val="0"/>
          <w:sz w:val="21"/>
          <w:szCs w:val="21"/>
          <w:highlight w:val="none"/>
        </w:rPr>
      </w:pPr>
    </w:p>
    <w:p w14:paraId="06D92DFE">
      <w:pPr>
        <w:spacing w:line="300" w:lineRule="exact"/>
        <w:ind w:firstLine="0" w:firstLineChars="0"/>
        <w:rPr>
          <w:rFonts w:hint="eastAsia" w:ascii="宋体" w:hAnsi="宋体" w:cs="宋体"/>
          <w:b/>
          <w:color w:val="auto"/>
          <w:kern w:val="0"/>
          <w:sz w:val="28"/>
          <w:szCs w:val="28"/>
          <w:highlight w:val="none"/>
        </w:rPr>
      </w:pPr>
    </w:p>
    <w:p w14:paraId="1B9D2471">
      <w:pPr>
        <w:spacing w:line="300" w:lineRule="exact"/>
        <w:ind w:firstLine="0" w:firstLineChars="0"/>
        <w:rPr>
          <w:rFonts w:hint="eastAsia" w:ascii="宋体" w:hAnsi="宋体" w:cs="宋体"/>
          <w:b/>
          <w:color w:val="auto"/>
          <w:sz w:val="28"/>
          <w:szCs w:val="28"/>
          <w:highlight w:val="none"/>
        </w:rPr>
      </w:pPr>
    </w:p>
    <w:p w14:paraId="2B41AF7A">
      <w:pPr>
        <w:spacing w:line="300" w:lineRule="exact"/>
        <w:ind w:firstLine="0" w:firstLineChars="0"/>
        <w:rPr>
          <w:rFonts w:hint="eastAsia" w:ascii="宋体" w:hAnsi="宋体" w:cs="宋体"/>
          <w:b/>
          <w:color w:val="auto"/>
          <w:sz w:val="28"/>
          <w:szCs w:val="28"/>
          <w:highlight w:val="none"/>
        </w:rPr>
      </w:pPr>
    </w:p>
    <w:p w14:paraId="3569CCDB">
      <w:pPr>
        <w:spacing w:line="300" w:lineRule="exact"/>
        <w:ind w:firstLine="0" w:firstLineChars="0"/>
        <w:rPr>
          <w:rFonts w:hint="eastAsia" w:ascii="宋体" w:hAnsi="宋体" w:cs="宋体"/>
          <w:b/>
          <w:color w:val="auto"/>
          <w:sz w:val="28"/>
          <w:szCs w:val="28"/>
          <w:highlight w:val="none"/>
        </w:rPr>
      </w:pPr>
    </w:p>
    <w:p w14:paraId="704A6FF9">
      <w:pPr>
        <w:spacing w:line="300" w:lineRule="exact"/>
        <w:ind w:firstLine="0" w:firstLineChars="0"/>
        <w:rPr>
          <w:rFonts w:hint="eastAsia" w:ascii="宋体" w:hAnsi="宋体" w:cs="宋体"/>
          <w:b/>
          <w:color w:val="auto"/>
          <w:sz w:val="28"/>
          <w:szCs w:val="28"/>
          <w:highlight w:val="none"/>
        </w:rPr>
      </w:pPr>
    </w:p>
    <w:p w14:paraId="4F884E0F">
      <w:pPr>
        <w:spacing w:line="300" w:lineRule="exact"/>
        <w:ind w:firstLine="0" w:firstLineChars="0"/>
        <w:rPr>
          <w:rFonts w:hint="eastAsia" w:ascii="宋体" w:hAnsi="宋体" w:cs="宋体"/>
          <w:b/>
          <w:color w:val="auto"/>
          <w:sz w:val="28"/>
          <w:szCs w:val="28"/>
          <w:highlight w:val="none"/>
        </w:rPr>
      </w:pPr>
    </w:p>
    <w:p w14:paraId="5BB0CBCD">
      <w:pPr>
        <w:spacing w:line="300" w:lineRule="exact"/>
        <w:ind w:firstLine="0" w:firstLineChars="0"/>
        <w:rPr>
          <w:rFonts w:hint="eastAsia" w:ascii="宋体" w:hAnsi="宋体" w:cs="宋体"/>
          <w:b/>
          <w:color w:val="auto"/>
          <w:sz w:val="28"/>
          <w:szCs w:val="28"/>
          <w:highlight w:val="none"/>
        </w:rPr>
      </w:pPr>
    </w:p>
    <w:p w14:paraId="19E57002">
      <w:pPr>
        <w:spacing w:line="300" w:lineRule="exact"/>
        <w:ind w:firstLine="0" w:firstLineChars="0"/>
        <w:rPr>
          <w:rFonts w:hint="eastAsia" w:ascii="宋体" w:hAnsi="宋体" w:cs="宋体"/>
          <w:b/>
          <w:color w:val="auto"/>
          <w:sz w:val="28"/>
          <w:szCs w:val="28"/>
          <w:highlight w:val="none"/>
        </w:rPr>
      </w:pPr>
    </w:p>
    <w:p w14:paraId="5B9F0C40">
      <w:pPr>
        <w:spacing w:line="300" w:lineRule="exact"/>
        <w:ind w:firstLine="0" w:firstLineChars="0"/>
        <w:rPr>
          <w:rFonts w:hint="eastAsia" w:ascii="宋体" w:hAnsi="宋体" w:cs="宋体"/>
          <w:b/>
          <w:color w:val="auto"/>
          <w:sz w:val="28"/>
          <w:szCs w:val="28"/>
          <w:highlight w:val="none"/>
        </w:rPr>
      </w:pPr>
    </w:p>
    <w:p w14:paraId="0B08111F">
      <w:pPr>
        <w:spacing w:line="300" w:lineRule="exact"/>
        <w:ind w:firstLine="0" w:firstLineChars="0"/>
        <w:rPr>
          <w:rFonts w:hint="eastAsia" w:ascii="宋体" w:hAnsi="宋体" w:cs="宋体"/>
          <w:b/>
          <w:color w:val="auto"/>
          <w:sz w:val="28"/>
          <w:szCs w:val="28"/>
          <w:highlight w:val="none"/>
        </w:rPr>
      </w:pPr>
    </w:p>
    <w:p w14:paraId="631789FD">
      <w:pPr>
        <w:spacing w:line="300" w:lineRule="exact"/>
        <w:ind w:firstLine="0" w:firstLineChars="0"/>
        <w:rPr>
          <w:rFonts w:hint="eastAsia" w:ascii="宋体" w:hAnsi="宋体" w:cs="宋体"/>
          <w:b/>
          <w:color w:val="auto"/>
          <w:sz w:val="28"/>
          <w:szCs w:val="28"/>
          <w:highlight w:val="none"/>
        </w:rPr>
      </w:pPr>
    </w:p>
    <w:p w14:paraId="6508C93D">
      <w:pPr>
        <w:spacing w:line="300" w:lineRule="exact"/>
        <w:ind w:firstLine="0" w:firstLineChars="0"/>
        <w:rPr>
          <w:rFonts w:hint="eastAsia" w:ascii="宋体" w:hAnsi="宋体" w:cs="宋体"/>
          <w:b/>
          <w:color w:val="auto"/>
          <w:sz w:val="28"/>
          <w:szCs w:val="28"/>
          <w:highlight w:val="none"/>
        </w:rPr>
      </w:pPr>
    </w:p>
    <w:p w14:paraId="6F4BC1E3">
      <w:pPr>
        <w:spacing w:line="300" w:lineRule="exact"/>
        <w:ind w:firstLine="0" w:firstLineChars="0"/>
        <w:rPr>
          <w:rFonts w:hint="eastAsia" w:ascii="宋体" w:hAnsi="宋体" w:cs="宋体"/>
          <w:b/>
          <w:color w:val="auto"/>
          <w:sz w:val="28"/>
          <w:szCs w:val="28"/>
          <w:highlight w:val="none"/>
        </w:rPr>
      </w:pPr>
    </w:p>
    <w:p w14:paraId="5D163B97">
      <w:pPr>
        <w:spacing w:line="300" w:lineRule="exact"/>
        <w:ind w:firstLine="0" w:firstLineChars="0"/>
        <w:rPr>
          <w:rFonts w:hint="eastAsia" w:ascii="宋体" w:hAnsi="宋体" w:cs="宋体"/>
          <w:b/>
          <w:color w:val="auto"/>
          <w:sz w:val="28"/>
          <w:szCs w:val="28"/>
          <w:highlight w:val="none"/>
        </w:rPr>
      </w:pPr>
    </w:p>
    <w:p w14:paraId="5564B364">
      <w:pPr>
        <w:spacing w:line="300" w:lineRule="exact"/>
        <w:ind w:firstLine="0" w:firstLineChars="0"/>
        <w:rPr>
          <w:rFonts w:hint="eastAsia" w:ascii="宋体" w:hAnsi="宋体" w:cs="宋体"/>
          <w:b/>
          <w:color w:val="auto"/>
          <w:sz w:val="28"/>
          <w:szCs w:val="28"/>
          <w:highlight w:val="none"/>
        </w:rPr>
      </w:pPr>
    </w:p>
    <w:p w14:paraId="7DC4FAE2">
      <w:pPr>
        <w:spacing w:line="300" w:lineRule="exact"/>
        <w:ind w:firstLine="0" w:firstLineChars="0"/>
        <w:rPr>
          <w:rFonts w:hint="eastAsia" w:ascii="宋体" w:hAnsi="宋体" w:cs="宋体"/>
          <w:b/>
          <w:color w:val="auto"/>
          <w:sz w:val="28"/>
          <w:szCs w:val="28"/>
          <w:highlight w:val="none"/>
        </w:rPr>
      </w:pPr>
    </w:p>
    <w:p w14:paraId="6B307D45">
      <w:pPr>
        <w:spacing w:line="300" w:lineRule="exact"/>
        <w:ind w:firstLine="0" w:firstLineChars="0"/>
        <w:rPr>
          <w:rFonts w:hint="eastAsia" w:ascii="宋体" w:hAnsi="宋体" w:cs="宋体"/>
          <w:b/>
          <w:color w:val="auto"/>
          <w:sz w:val="28"/>
          <w:szCs w:val="28"/>
          <w:highlight w:val="none"/>
        </w:rPr>
      </w:pPr>
    </w:p>
    <w:p w14:paraId="1C1EB1DA">
      <w:pPr>
        <w:spacing w:line="300" w:lineRule="exact"/>
        <w:ind w:firstLine="0" w:firstLineChars="0"/>
        <w:rPr>
          <w:rFonts w:hint="eastAsia" w:ascii="宋体" w:hAnsi="宋体" w:cs="宋体"/>
          <w:b/>
          <w:color w:val="auto"/>
          <w:sz w:val="28"/>
          <w:szCs w:val="28"/>
          <w:highlight w:val="none"/>
        </w:rPr>
      </w:pPr>
    </w:p>
    <w:p w14:paraId="6CCB6E78">
      <w:pPr>
        <w:spacing w:line="300" w:lineRule="exact"/>
        <w:ind w:firstLine="0" w:firstLineChars="0"/>
        <w:rPr>
          <w:rFonts w:hint="eastAsia" w:ascii="宋体" w:hAnsi="宋体" w:cs="宋体"/>
          <w:b/>
          <w:color w:val="auto"/>
          <w:sz w:val="28"/>
          <w:szCs w:val="28"/>
          <w:highlight w:val="none"/>
        </w:rPr>
      </w:pPr>
    </w:p>
    <w:p w14:paraId="20A8C12C">
      <w:pPr>
        <w:spacing w:line="300" w:lineRule="exact"/>
        <w:ind w:firstLine="0" w:firstLineChars="0"/>
        <w:rPr>
          <w:rFonts w:hint="eastAsia" w:ascii="宋体" w:hAnsi="宋体" w:cs="宋体"/>
          <w:b/>
          <w:color w:val="auto"/>
          <w:sz w:val="28"/>
          <w:szCs w:val="28"/>
          <w:highlight w:val="none"/>
        </w:rPr>
      </w:pPr>
    </w:p>
    <w:p w14:paraId="5334F591">
      <w:pPr>
        <w:spacing w:line="300" w:lineRule="exact"/>
        <w:ind w:firstLine="0" w:firstLineChars="0"/>
        <w:rPr>
          <w:rFonts w:hint="eastAsia" w:ascii="宋体" w:hAnsi="宋体" w:cs="宋体"/>
          <w:b/>
          <w:color w:val="auto"/>
          <w:sz w:val="28"/>
          <w:szCs w:val="28"/>
          <w:highlight w:val="none"/>
        </w:rPr>
      </w:pPr>
    </w:p>
    <w:p w14:paraId="5DB07009">
      <w:pPr>
        <w:spacing w:line="300" w:lineRule="exact"/>
        <w:ind w:firstLine="0" w:firstLineChars="0"/>
        <w:rPr>
          <w:rFonts w:hint="eastAsia" w:ascii="宋体" w:hAnsi="宋体" w:cs="宋体"/>
          <w:b/>
          <w:color w:val="auto"/>
          <w:sz w:val="28"/>
          <w:szCs w:val="28"/>
          <w:highlight w:val="none"/>
        </w:rPr>
      </w:pPr>
    </w:p>
    <w:p w14:paraId="43B6D3E8">
      <w:pPr>
        <w:spacing w:line="300" w:lineRule="exact"/>
        <w:ind w:firstLine="0" w:firstLineChars="0"/>
        <w:rPr>
          <w:rFonts w:hint="eastAsia" w:ascii="宋体" w:hAnsi="宋体" w:cs="宋体"/>
          <w:b/>
          <w:color w:val="auto"/>
          <w:sz w:val="28"/>
          <w:szCs w:val="28"/>
          <w:highlight w:val="none"/>
        </w:rPr>
      </w:pPr>
    </w:p>
    <w:p w14:paraId="3410BB73">
      <w:pPr>
        <w:spacing w:line="300" w:lineRule="exact"/>
        <w:ind w:firstLine="0" w:firstLineChars="0"/>
        <w:rPr>
          <w:rFonts w:hint="eastAsia" w:ascii="宋体" w:hAnsi="宋体" w:cs="宋体"/>
          <w:b/>
          <w:color w:val="auto"/>
          <w:sz w:val="28"/>
          <w:szCs w:val="28"/>
          <w:highlight w:val="none"/>
        </w:rPr>
      </w:pPr>
    </w:p>
    <w:p w14:paraId="44801CA3">
      <w:pPr>
        <w:spacing w:line="300" w:lineRule="exact"/>
        <w:ind w:firstLine="0" w:firstLineChars="0"/>
        <w:rPr>
          <w:rFonts w:hint="eastAsia" w:ascii="宋体" w:hAnsi="宋体" w:cs="宋体"/>
          <w:b/>
          <w:color w:val="auto"/>
          <w:sz w:val="28"/>
          <w:szCs w:val="28"/>
          <w:highlight w:val="none"/>
        </w:rPr>
      </w:pPr>
    </w:p>
    <w:p w14:paraId="37F7E466">
      <w:pPr>
        <w:spacing w:line="300" w:lineRule="exact"/>
        <w:ind w:firstLine="0" w:firstLineChars="0"/>
        <w:rPr>
          <w:rFonts w:hint="eastAsia" w:ascii="宋体" w:hAnsi="宋体" w:cs="宋体"/>
          <w:b/>
          <w:color w:val="auto"/>
          <w:sz w:val="28"/>
          <w:szCs w:val="28"/>
          <w:highlight w:val="none"/>
        </w:rPr>
      </w:pPr>
    </w:p>
    <w:p w14:paraId="0326B857">
      <w:pPr>
        <w:spacing w:line="300" w:lineRule="exact"/>
        <w:ind w:firstLine="0" w:firstLineChars="0"/>
        <w:rPr>
          <w:rFonts w:hint="eastAsia" w:ascii="宋体" w:hAnsi="宋体" w:cs="宋体"/>
          <w:b/>
          <w:color w:val="auto"/>
          <w:sz w:val="28"/>
          <w:szCs w:val="28"/>
          <w:highlight w:val="none"/>
        </w:rPr>
      </w:pPr>
    </w:p>
    <w:p w14:paraId="15EAD158">
      <w:pPr>
        <w:spacing w:line="300" w:lineRule="exact"/>
        <w:ind w:firstLine="0" w:firstLineChars="0"/>
        <w:rPr>
          <w:rFonts w:hint="eastAsia" w:ascii="宋体" w:hAnsi="宋体" w:cs="宋体"/>
          <w:b/>
          <w:color w:val="auto"/>
          <w:sz w:val="28"/>
          <w:szCs w:val="28"/>
          <w:highlight w:val="none"/>
        </w:rPr>
      </w:pPr>
    </w:p>
    <w:p w14:paraId="0F766EA4">
      <w:pPr>
        <w:spacing w:line="300" w:lineRule="exact"/>
        <w:ind w:firstLine="0" w:firstLineChars="0"/>
        <w:rPr>
          <w:rFonts w:hint="eastAsia" w:ascii="宋体" w:hAnsi="宋体" w:cs="宋体"/>
          <w:b/>
          <w:color w:val="auto"/>
          <w:sz w:val="28"/>
          <w:szCs w:val="28"/>
          <w:highlight w:val="none"/>
        </w:rPr>
      </w:pPr>
    </w:p>
    <w:p w14:paraId="1E71B442">
      <w:pPr>
        <w:spacing w:line="300" w:lineRule="exact"/>
        <w:ind w:firstLine="0" w:firstLineChars="0"/>
        <w:rPr>
          <w:rFonts w:hint="eastAsia" w:ascii="宋体" w:hAnsi="宋体" w:cs="宋体"/>
          <w:b/>
          <w:color w:val="auto"/>
          <w:sz w:val="28"/>
          <w:szCs w:val="28"/>
          <w:highlight w:val="none"/>
        </w:rPr>
      </w:pPr>
    </w:p>
    <w:p w14:paraId="5DD39043">
      <w:pPr>
        <w:spacing w:line="300" w:lineRule="exact"/>
        <w:ind w:firstLine="0" w:firstLineChars="0"/>
        <w:rPr>
          <w:rFonts w:hint="eastAsia" w:ascii="宋体" w:hAnsi="宋体" w:cs="宋体"/>
          <w:b/>
          <w:color w:val="auto"/>
          <w:sz w:val="28"/>
          <w:szCs w:val="28"/>
          <w:highlight w:val="none"/>
        </w:rPr>
      </w:pPr>
    </w:p>
    <w:p w14:paraId="47862213">
      <w:pPr>
        <w:spacing w:line="300" w:lineRule="exact"/>
        <w:ind w:firstLine="0" w:firstLineChars="0"/>
        <w:rPr>
          <w:rFonts w:hint="eastAsia" w:ascii="宋体" w:hAnsi="宋体" w:cs="宋体"/>
          <w:b/>
          <w:color w:val="auto"/>
          <w:sz w:val="28"/>
          <w:szCs w:val="28"/>
          <w:highlight w:val="none"/>
        </w:rPr>
      </w:pPr>
    </w:p>
    <w:p w14:paraId="698FE53C">
      <w:pPr>
        <w:spacing w:line="300" w:lineRule="exact"/>
        <w:ind w:firstLine="0" w:firstLineChars="0"/>
        <w:rPr>
          <w:rFonts w:hint="eastAsia" w:ascii="宋体" w:hAnsi="宋体" w:cs="宋体"/>
          <w:b/>
          <w:color w:val="auto"/>
          <w:sz w:val="28"/>
          <w:szCs w:val="28"/>
          <w:highlight w:val="none"/>
        </w:rPr>
      </w:pPr>
    </w:p>
    <w:p w14:paraId="174875D3">
      <w:pPr>
        <w:spacing w:line="300" w:lineRule="exact"/>
        <w:ind w:firstLine="0" w:firstLineChars="0"/>
        <w:rPr>
          <w:rFonts w:hint="eastAsia" w:ascii="宋体" w:hAnsi="宋体" w:cs="宋体"/>
          <w:b/>
          <w:color w:val="auto"/>
          <w:sz w:val="28"/>
          <w:szCs w:val="28"/>
          <w:highlight w:val="none"/>
        </w:rPr>
      </w:pPr>
    </w:p>
    <w:p w14:paraId="31641120">
      <w:pPr>
        <w:spacing w:line="300" w:lineRule="exact"/>
        <w:ind w:firstLine="0" w:firstLineChars="0"/>
        <w:rPr>
          <w:rFonts w:hint="eastAsia" w:ascii="宋体" w:hAnsi="宋体" w:cs="宋体"/>
          <w:b/>
          <w:color w:val="auto"/>
          <w:sz w:val="28"/>
          <w:szCs w:val="28"/>
          <w:highlight w:val="none"/>
        </w:rPr>
      </w:pPr>
    </w:p>
    <w:p w14:paraId="230136DC">
      <w:pPr>
        <w:spacing w:line="300" w:lineRule="exact"/>
        <w:ind w:firstLine="0" w:firstLineChars="0"/>
        <w:rPr>
          <w:rFonts w:hint="eastAsia" w:ascii="宋体" w:hAnsi="宋体" w:cs="宋体"/>
          <w:b/>
          <w:color w:val="auto"/>
          <w:sz w:val="28"/>
          <w:szCs w:val="28"/>
          <w:highlight w:val="none"/>
        </w:rPr>
      </w:pPr>
    </w:p>
    <w:p w14:paraId="7B801EF4">
      <w:pPr>
        <w:spacing w:line="300" w:lineRule="exact"/>
        <w:ind w:firstLine="0" w:firstLineChars="0"/>
        <w:rPr>
          <w:rFonts w:hint="eastAsia" w:ascii="宋体" w:hAnsi="宋体" w:cs="宋体"/>
          <w:b/>
          <w:color w:val="auto"/>
          <w:sz w:val="28"/>
          <w:szCs w:val="28"/>
          <w:highlight w:val="none"/>
        </w:rPr>
      </w:pPr>
    </w:p>
    <w:p w14:paraId="1D6E3E12">
      <w:pPr>
        <w:spacing w:line="300" w:lineRule="exact"/>
        <w:ind w:firstLine="0" w:firstLineChars="0"/>
        <w:rPr>
          <w:rFonts w:hint="eastAsia" w:ascii="宋体" w:hAnsi="宋体" w:cs="宋体"/>
          <w:b/>
          <w:color w:val="auto"/>
          <w:sz w:val="28"/>
          <w:szCs w:val="28"/>
          <w:highlight w:val="none"/>
        </w:rPr>
      </w:pPr>
    </w:p>
    <w:p w14:paraId="08364606">
      <w:pPr>
        <w:spacing w:line="300" w:lineRule="exact"/>
        <w:ind w:firstLine="0" w:firstLineChars="0"/>
        <w:rPr>
          <w:rFonts w:hint="eastAsia" w:ascii="宋体" w:hAnsi="宋体" w:cs="宋体"/>
          <w:b/>
          <w:color w:val="auto"/>
          <w:sz w:val="28"/>
          <w:szCs w:val="28"/>
          <w:highlight w:val="none"/>
        </w:rPr>
      </w:pPr>
    </w:p>
    <w:p w14:paraId="076EE073">
      <w:pPr>
        <w:spacing w:line="300" w:lineRule="exact"/>
        <w:ind w:firstLine="0" w:firstLineChars="0"/>
        <w:rPr>
          <w:rFonts w:hint="eastAsia" w:ascii="宋体" w:hAnsi="宋体" w:cs="宋体"/>
          <w:b/>
          <w:color w:val="auto"/>
          <w:sz w:val="28"/>
          <w:szCs w:val="28"/>
          <w:highlight w:val="none"/>
        </w:rPr>
      </w:pPr>
    </w:p>
    <w:p w14:paraId="0C659664">
      <w:pPr>
        <w:spacing w:line="300" w:lineRule="exact"/>
        <w:ind w:firstLine="0" w:firstLineChars="0"/>
        <w:rPr>
          <w:rFonts w:hint="eastAsia" w:ascii="宋体" w:hAnsi="宋体" w:cs="宋体"/>
          <w:b/>
          <w:color w:val="auto"/>
          <w:sz w:val="28"/>
          <w:szCs w:val="28"/>
          <w:highlight w:val="none"/>
        </w:rPr>
      </w:pPr>
    </w:p>
    <w:p w14:paraId="38E15F91">
      <w:pPr>
        <w:spacing w:line="300" w:lineRule="exact"/>
        <w:ind w:firstLine="0" w:firstLineChars="0"/>
        <w:rPr>
          <w:rFonts w:hint="eastAsia" w:ascii="宋体" w:hAnsi="宋体" w:cs="宋体"/>
          <w:b/>
          <w:color w:val="auto"/>
          <w:sz w:val="28"/>
          <w:szCs w:val="28"/>
          <w:highlight w:val="none"/>
        </w:rPr>
      </w:pPr>
    </w:p>
    <w:p w14:paraId="7CB386E3">
      <w:pPr>
        <w:spacing w:line="300" w:lineRule="exact"/>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的授权委托书、委托代理人身份证正反面复印件以及由社保经办机构出具的供应商2024年12月以来任意1个月为委托代理人缴纳的社保证明复印件【属于自然人的应提供由社保经办机构出具的自然人本人及委托代理人2024年12月以来任意1个月所缴纳的社保证明复印件】（委托代理时必须提供）</w:t>
      </w:r>
    </w:p>
    <w:p w14:paraId="59D5E780">
      <w:pPr>
        <w:spacing w:line="300" w:lineRule="exact"/>
        <w:ind w:firstLine="0" w:firstLineChars="0"/>
        <w:rPr>
          <w:rFonts w:hint="eastAsia" w:ascii="宋体" w:hAnsi="宋体" w:cs="宋体"/>
          <w:b/>
          <w:color w:val="auto"/>
          <w:kern w:val="0"/>
          <w:sz w:val="28"/>
          <w:szCs w:val="28"/>
          <w:highlight w:val="none"/>
        </w:rPr>
      </w:pPr>
    </w:p>
    <w:p w14:paraId="452CBD8B">
      <w:pPr>
        <w:spacing w:line="400" w:lineRule="exact"/>
        <w:ind w:left="480" w:leftChars="200" w:firstLine="157" w:firstLineChars="49"/>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633886F9">
      <w:pPr>
        <w:spacing w:line="240" w:lineRule="auto"/>
        <w:ind w:firstLine="482"/>
        <w:rPr>
          <w:rFonts w:hint="eastAsia" w:ascii="宋体" w:hAnsi="宋体" w:cs="宋体"/>
          <w:b/>
          <w:color w:val="auto"/>
          <w:szCs w:val="24"/>
          <w:highlight w:val="none"/>
        </w:rPr>
      </w:pPr>
    </w:p>
    <w:p w14:paraId="23F1C3B7">
      <w:pPr>
        <w:spacing w:line="240" w:lineRule="auto"/>
        <w:ind w:firstLine="0" w:firstLineChars="0"/>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32CA74D8">
      <w:pPr>
        <w:snapToGrid w:val="0"/>
        <w:spacing w:line="400" w:lineRule="exact"/>
        <w:ind w:firstLine="0" w:firstLineChars="0"/>
        <w:rPr>
          <w:rFonts w:hint="eastAsia" w:ascii="宋体" w:hAnsi="宋体" w:cs="宋体"/>
          <w:color w:val="auto"/>
          <w:sz w:val="21"/>
          <w:szCs w:val="24"/>
          <w:highlight w:val="none"/>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rPr>
        <w:t>云之龙咨询集团有限公司</w:t>
      </w:r>
    </w:p>
    <w:p w14:paraId="28A12168">
      <w:pPr>
        <w:snapToGrid w:val="0"/>
        <w:spacing w:line="400" w:lineRule="exact"/>
        <w:ind w:firstLine="0" w:firstLineChars="0"/>
        <w:rPr>
          <w:rFonts w:hint="eastAsia" w:ascii="宋体" w:hAnsi="宋体" w:cs="宋体"/>
          <w:color w:val="auto"/>
          <w:sz w:val="21"/>
          <w:szCs w:val="21"/>
          <w:highlight w:val="none"/>
          <w:u w:val="single"/>
        </w:rPr>
      </w:pPr>
    </w:p>
    <w:p w14:paraId="53C3F62A">
      <w:pPr>
        <w:spacing w:line="400" w:lineRule="exact"/>
        <w:ind w:firstLine="525" w:firstLineChars="250"/>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（供应商名称）的法定代表人（负责人），现授权委托本单位在职职工</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（姓名）以我公司名义参加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69C6246B">
      <w:pPr>
        <w:spacing w:line="400" w:lineRule="exact"/>
        <w:ind w:firstLine="420"/>
        <w:rPr>
          <w:rFonts w:hint="eastAsia"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476254EE">
      <w:pPr>
        <w:spacing w:line="400" w:lineRule="exact"/>
        <w:ind w:firstLine="420"/>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03E19E27">
      <w:pPr>
        <w:spacing w:line="400" w:lineRule="exact"/>
        <w:ind w:firstLine="0" w:firstLineChars="0"/>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45ADF540">
      <w:pPr>
        <w:spacing w:line="400" w:lineRule="exact"/>
        <w:ind w:firstLine="420"/>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5FA7DA14">
      <w:pPr>
        <w:spacing w:line="240" w:lineRule="auto"/>
        <w:ind w:firstLine="0" w:firstLineChars="0"/>
        <w:rPr>
          <w:rFonts w:hint="eastAsia" w:ascii="宋体" w:hAnsi="宋体" w:cs="宋体"/>
          <w:color w:val="auto"/>
          <w:sz w:val="21"/>
          <w:szCs w:val="24"/>
          <w:highlight w:val="none"/>
        </w:rPr>
      </w:pPr>
    </w:p>
    <w:p w14:paraId="1E20E1F2">
      <w:pPr>
        <w:snapToGrid w:val="0"/>
        <w:spacing w:line="400" w:lineRule="exact"/>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3063A304">
      <w:pPr>
        <w:widowControl/>
        <w:spacing w:line="240" w:lineRule="auto"/>
        <w:ind w:firstLine="480"/>
        <w:jc w:val="left"/>
        <w:rPr>
          <w:rFonts w:hint="eastAsia" w:ascii="宋体" w:hAnsi="宋体" w:cs="宋体"/>
          <w:color w:val="auto"/>
          <w:kern w:val="0"/>
          <w:szCs w:val="28"/>
          <w:highlight w:val="none"/>
        </w:rPr>
      </w:pPr>
    </w:p>
    <w:p w14:paraId="053D0CD6">
      <w:pPr>
        <w:widowControl/>
        <w:spacing w:line="240" w:lineRule="auto"/>
        <w:ind w:firstLine="48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供应商（电子签章）：                                   </w:t>
      </w:r>
    </w:p>
    <w:p w14:paraId="715135CD">
      <w:pPr>
        <w:widowControl/>
        <w:spacing w:line="240" w:lineRule="auto"/>
        <w:ind w:firstLine="480"/>
        <w:jc w:val="left"/>
        <w:rPr>
          <w:rFonts w:hint="eastAsia" w:ascii="宋体" w:hAnsi="宋体" w:cs="宋体"/>
          <w:color w:val="auto"/>
          <w:kern w:val="0"/>
          <w:szCs w:val="21"/>
          <w:highlight w:val="none"/>
        </w:rPr>
      </w:pPr>
    </w:p>
    <w:p w14:paraId="0C980670">
      <w:pPr>
        <w:widowControl/>
        <w:spacing w:line="240" w:lineRule="auto"/>
        <w:ind w:firstLine="48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法定代表人（负责人）签字（或电子签名）：                       　    </w:t>
      </w:r>
    </w:p>
    <w:p w14:paraId="3B79459A">
      <w:pPr>
        <w:widowControl/>
        <w:spacing w:line="240" w:lineRule="auto"/>
        <w:ind w:firstLine="480"/>
        <w:jc w:val="left"/>
        <w:rPr>
          <w:rFonts w:hint="eastAsia" w:ascii="宋体" w:hAnsi="宋体" w:cs="宋体"/>
          <w:color w:val="auto"/>
          <w:kern w:val="0"/>
          <w:szCs w:val="28"/>
          <w:highlight w:val="none"/>
        </w:rPr>
      </w:pPr>
    </w:p>
    <w:p w14:paraId="7FF265AD">
      <w:pPr>
        <w:widowControl/>
        <w:spacing w:line="240" w:lineRule="auto"/>
        <w:ind w:firstLine="480"/>
        <w:jc w:val="left"/>
        <w:rPr>
          <w:rFonts w:hint="eastAsia" w:ascii="宋体" w:hAnsi="宋体" w:cs="宋体"/>
          <w:color w:val="auto"/>
          <w:kern w:val="0"/>
          <w:szCs w:val="28"/>
          <w:highlight w:val="none"/>
        </w:rPr>
      </w:pPr>
      <w:r>
        <w:rPr>
          <w:rFonts w:hint="eastAsia" w:ascii="宋体" w:hAnsi="宋体" w:cs="宋体"/>
          <w:color w:val="auto"/>
          <w:kern w:val="0"/>
          <w:szCs w:val="28"/>
          <w:highlight w:val="none"/>
        </w:rPr>
        <w:t>年      月     日</w:t>
      </w:r>
    </w:p>
    <w:p w14:paraId="2EC9406D">
      <w:pPr>
        <w:spacing w:line="400" w:lineRule="exact"/>
        <w:ind w:firstLine="602" w:firstLineChars="250"/>
        <w:rPr>
          <w:rFonts w:hint="eastAsia" w:ascii="宋体" w:hAnsi="宋体" w:cs="宋体"/>
          <w:b/>
          <w:color w:val="auto"/>
          <w:szCs w:val="24"/>
          <w:highlight w:val="none"/>
        </w:rPr>
      </w:pPr>
    </w:p>
    <w:p w14:paraId="111BAEAB">
      <w:pPr>
        <w:spacing w:line="400" w:lineRule="exact"/>
        <w:ind w:firstLine="602" w:firstLineChars="250"/>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附：委托代理人身份证正反面复印件以及由社保经办机构出具的供应商2024年12月以来任意1个月为委托代理人缴纳社保证明复印件（委托代理时必须提供）。</w:t>
      </w:r>
    </w:p>
    <w:p w14:paraId="62C7F051">
      <w:pPr>
        <w:spacing w:line="240" w:lineRule="auto"/>
        <w:ind w:firstLine="0" w:firstLineChars="0"/>
        <w:rPr>
          <w:rFonts w:hint="eastAsia" w:ascii="宋体" w:hAnsi="宋体" w:cs="宋体"/>
          <w:color w:val="auto"/>
          <w:sz w:val="21"/>
          <w:szCs w:val="24"/>
          <w:highlight w:val="none"/>
        </w:rPr>
      </w:pPr>
    </w:p>
    <w:p w14:paraId="5C9B3EDE">
      <w:pPr>
        <w:spacing w:line="240" w:lineRule="auto"/>
        <w:ind w:firstLine="0" w:firstLineChars="0"/>
        <w:rPr>
          <w:rFonts w:hint="eastAsia" w:ascii="宋体" w:hAnsi="宋体" w:cs="宋体"/>
          <w:color w:val="auto"/>
          <w:sz w:val="21"/>
          <w:szCs w:val="24"/>
          <w:highlight w:val="none"/>
        </w:rPr>
      </w:pPr>
    </w:p>
    <w:p w14:paraId="7C737B9D">
      <w:pPr>
        <w:spacing w:line="240" w:lineRule="auto"/>
        <w:ind w:firstLine="0" w:firstLineChars="0"/>
        <w:rPr>
          <w:rFonts w:hint="eastAsia" w:ascii="宋体" w:hAnsi="宋体" w:cs="宋体"/>
          <w:color w:val="auto"/>
          <w:sz w:val="21"/>
          <w:szCs w:val="24"/>
          <w:highlight w:val="none"/>
        </w:rPr>
      </w:pPr>
    </w:p>
    <w:p w14:paraId="01FDAE90">
      <w:pPr>
        <w:spacing w:line="240" w:lineRule="auto"/>
        <w:ind w:firstLine="0" w:firstLineChars="0"/>
        <w:rPr>
          <w:rFonts w:hint="eastAsia" w:ascii="宋体" w:hAnsi="宋体" w:cs="宋体"/>
          <w:color w:val="auto"/>
          <w:sz w:val="21"/>
          <w:szCs w:val="24"/>
          <w:highlight w:val="none"/>
        </w:rPr>
      </w:pPr>
    </w:p>
    <w:p w14:paraId="4AAD8E8B">
      <w:pPr>
        <w:spacing w:line="240" w:lineRule="auto"/>
        <w:ind w:firstLine="0" w:firstLineChars="0"/>
        <w:rPr>
          <w:rFonts w:hint="eastAsia" w:ascii="宋体" w:hAnsi="宋体" w:cs="宋体"/>
          <w:color w:val="auto"/>
          <w:sz w:val="21"/>
          <w:szCs w:val="24"/>
          <w:highlight w:val="none"/>
        </w:rPr>
      </w:pPr>
    </w:p>
    <w:p w14:paraId="3768B3F0">
      <w:pPr>
        <w:spacing w:line="240" w:lineRule="auto"/>
        <w:ind w:firstLine="0" w:firstLineChars="0"/>
        <w:rPr>
          <w:rFonts w:hint="eastAsia" w:ascii="宋体" w:hAnsi="宋体" w:cs="宋体"/>
          <w:color w:val="auto"/>
          <w:sz w:val="21"/>
          <w:szCs w:val="24"/>
          <w:highlight w:val="none"/>
        </w:rPr>
      </w:pPr>
    </w:p>
    <w:p w14:paraId="13340EEE">
      <w:pPr>
        <w:spacing w:line="240" w:lineRule="auto"/>
        <w:ind w:firstLine="0" w:firstLineChars="0"/>
        <w:rPr>
          <w:rFonts w:hint="eastAsia" w:ascii="宋体" w:hAnsi="宋体" w:cs="宋体"/>
          <w:color w:val="auto"/>
          <w:sz w:val="21"/>
          <w:szCs w:val="24"/>
          <w:highlight w:val="none"/>
        </w:rPr>
      </w:pPr>
    </w:p>
    <w:p w14:paraId="6F8F8592">
      <w:pPr>
        <w:spacing w:line="240" w:lineRule="auto"/>
        <w:ind w:firstLine="0" w:firstLineChars="0"/>
        <w:rPr>
          <w:rFonts w:hint="eastAsia" w:ascii="宋体" w:hAnsi="宋体" w:cs="宋体"/>
          <w:color w:val="auto"/>
          <w:sz w:val="21"/>
          <w:szCs w:val="24"/>
          <w:highlight w:val="none"/>
        </w:rPr>
      </w:pPr>
    </w:p>
    <w:p w14:paraId="075A7769">
      <w:pPr>
        <w:spacing w:line="240" w:lineRule="auto"/>
        <w:ind w:firstLine="0" w:firstLineChars="0"/>
        <w:rPr>
          <w:rFonts w:hint="eastAsia" w:ascii="宋体" w:hAnsi="宋体" w:cs="宋体"/>
          <w:color w:val="auto"/>
          <w:sz w:val="21"/>
          <w:szCs w:val="24"/>
          <w:highlight w:val="none"/>
        </w:rPr>
      </w:pPr>
    </w:p>
    <w:p w14:paraId="666D5A39">
      <w:pPr>
        <w:spacing w:line="240" w:lineRule="auto"/>
        <w:ind w:firstLine="0" w:firstLineChars="0"/>
        <w:rPr>
          <w:rFonts w:hint="eastAsia" w:ascii="宋体" w:hAnsi="宋体" w:cs="宋体"/>
          <w:color w:val="auto"/>
          <w:sz w:val="21"/>
          <w:szCs w:val="24"/>
          <w:highlight w:val="none"/>
        </w:rPr>
      </w:pPr>
    </w:p>
    <w:p w14:paraId="210AF5B2">
      <w:pPr>
        <w:spacing w:line="240" w:lineRule="auto"/>
        <w:ind w:firstLine="0" w:firstLineChars="0"/>
        <w:rPr>
          <w:rFonts w:hint="eastAsia" w:ascii="宋体" w:hAnsi="宋体" w:cs="宋体"/>
          <w:color w:val="auto"/>
          <w:sz w:val="21"/>
          <w:szCs w:val="24"/>
          <w:highlight w:val="none"/>
        </w:rPr>
      </w:pPr>
    </w:p>
    <w:p w14:paraId="625D5D57">
      <w:pPr>
        <w:spacing w:line="240" w:lineRule="auto"/>
        <w:ind w:firstLine="0" w:firstLineChars="0"/>
        <w:rPr>
          <w:rFonts w:hint="eastAsia" w:ascii="宋体" w:hAnsi="宋体" w:cs="宋体"/>
          <w:color w:val="auto"/>
          <w:sz w:val="21"/>
          <w:szCs w:val="24"/>
          <w:highlight w:val="none"/>
        </w:rPr>
      </w:pPr>
    </w:p>
    <w:p w14:paraId="1027D2E8">
      <w:pPr>
        <w:spacing w:line="240" w:lineRule="auto"/>
        <w:ind w:firstLine="0" w:firstLineChars="0"/>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5210BA72">
      <w:pPr>
        <w:snapToGrid w:val="0"/>
        <w:spacing w:line="400" w:lineRule="exact"/>
        <w:ind w:firstLine="0" w:firstLineChars="0"/>
        <w:rPr>
          <w:rFonts w:hint="eastAsia" w:ascii="宋体" w:hAnsi="宋体" w:cs="宋体"/>
          <w:color w:val="auto"/>
          <w:sz w:val="21"/>
          <w:szCs w:val="24"/>
          <w:highlight w:val="none"/>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rPr>
        <w:t>云之龙咨询集团有限公司</w:t>
      </w:r>
    </w:p>
    <w:p w14:paraId="48613373">
      <w:pPr>
        <w:spacing w:line="240" w:lineRule="auto"/>
        <w:ind w:firstLine="0" w:firstLineChars="0"/>
        <w:rPr>
          <w:rFonts w:hint="eastAsia" w:ascii="宋体" w:hAnsi="宋体" w:cs="宋体"/>
          <w:color w:val="auto"/>
          <w:sz w:val="21"/>
          <w:szCs w:val="24"/>
          <w:highlight w:val="none"/>
        </w:rPr>
      </w:pPr>
    </w:p>
    <w:p w14:paraId="6A706529">
      <w:pPr>
        <w:spacing w:line="340" w:lineRule="exact"/>
        <w:ind w:firstLine="420"/>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（姓名）系自然人，现授权委托</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 名）以本人名义参加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33AA3B7C">
      <w:pPr>
        <w:spacing w:line="340" w:lineRule="exact"/>
        <w:ind w:firstLine="420"/>
        <w:rPr>
          <w:rFonts w:hint="eastAsia"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674D2487">
      <w:pPr>
        <w:spacing w:line="340" w:lineRule="exact"/>
        <w:ind w:firstLine="420"/>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677F7193">
      <w:pPr>
        <w:spacing w:line="340" w:lineRule="exact"/>
        <w:ind w:firstLine="0" w:firstLineChars="0"/>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37B5175B">
      <w:pPr>
        <w:spacing w:line="340" w:lineRule="exact"/>
        <w:ind w:firstLine="420"/>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336E3F70">
      <w:pPr>
        <w:spacing w:line="240" w:lineRule="auto"/>
        <w:ind w:firstLine="0" w:firstLineChars="0"/>
        <w:rPr>
          <w:rFonts w:hint="eastAsia" w:ascii="宋体" w:hAnsi="宋体" w:cs="宋体"/>
          <w:color w:val="auto"/>
          <w:sz w:val="21"/>
          <w:szCs w:val="24"/>
          <w:highlight w:val="none"/>
        </w:rPr>
      </w:pPr>
    </w:p>
    <w:p w14:paraId="2CEE279A">
      <w:pPr>
        <w:snapToGrid w:val="0"/>
        <w:spacing w:line="340" w:lineRule="exact"/>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6407C09E">
      <w:pPr>
        <w:spacing w:line="240" w:lineRule="auto"/>
        <w:ind w:firstLine="0" w:firstLineChars="0"/>
        <w:rPr>
          <w:rFonts w:hint="eastAsia" w:ascii="宋体" w:hAnsi="宋体" w:cs="宋体"/>
          <w:color w:val="auto"/>
          <w:sz w:val="21"/>
          <w:szCs w:val="24"/>
          <w:highlight w:val="none"/>
        </w:rPr>
      </w:pPr>
    </w:p>
    <w:p w14:paraId="24BCFAD3">
      <w:pPr>
        <w:snapToGrid w:val="0"/>
        <w:spacing w:line="340" w:lineRule="exact"/>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32955C8">
      <w:pPr>
        <w:snapToGrid w:val="0"/>
        <w:spacing w:line="340" w:lineRule="exact"/>
        <w:ind w:firstLine="420" w:firstLineChars="0"/>
        <w:rPr>
          <w:rFonts w:hint="eastAsia" w:ascii="宋体" w:hAnsi="宋体" w:cs="宋体"/>
          <w:color w:val="auto"/>
          <w:sz w:val="21"/>
          <w:szCs w:val="21"/>
          <w:highlight w:val="none"/>
        </w:rPr>
      </w:pPr>
    </w:p>
    <w:p w14:paraId="5AF4660C">
      <w:pPr>
        <w:snapToGrid w:val="0"/>
        <w:spacing w:line="340" w:lineRule="exact"/>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3FC7F7">
      <w:pPr>
        <w:spacing w:line="240" w:lineRule="auto"/>
        <w:ind w:firstLine="0" w:firstLineChars="0"/>
        <w:rPr>
          <w:rFonts w:hint="eastAsia" w:ascii="宋体" w:hAnsi="宋体" w:cs="宋体"/>
          <w:color w:val="auto"/>
          <w:sz w:val="21"/>
          <w:szCs w:val="24"/>
          <w:highlight w:val="none"/>
        </w:rPr>
      </w:pPr>
    </w:p>
    <w:p w14:paraId="01D5913C">
      <w:pPr>
        <w:spacing w:line="400" w:lineRule="exact"/>
        <w:ind w:firstLine="602" w:firstLineChars="250"/>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附：委托代理人身份证正反面复印件以及由社保经办机构出具的自然人本人及委托代理人2024年12月以来任意1个月所缴纳的社保证明复印件（委托代理时必须提供）。</w:t>
      </w:r>
    </w:p>
    <w:p w14:paraId="42B3F3AD">
      <w:pPr>
        <w:spacing w:line="240" w:lineRule="auto"/>
        <w:ind w:firstLine="0" w:firstLineChars="0"/>
        <w:rPr>
          <w:rFonts w:hint="eastAsia" w:ascii="宋体" w:hAnsi="宋体" w:cs="宋体"/>
          <w:color w:val="auto"/>
          <w:kern w:val="0"/>
          <w:sz w:val="21"/>
          <w:szCs w:val="24"/>
          <w:highlight w:val="none"/>
        </w:rPr>
      </w:pPr>
    </w:p>
    <w:p w14:paraId="02976812">
      <w:pPr>
        <w:spacing w:line="240" w:lineRule="auto"/>
        <w:ind w:firstLine="0" w:firstLineChars="0"/>
        <w:rPr>
          <w:rFonts w:hint="eastAsia" w:ascii="宋体" w:hAnsi="宋体" w:cs="宋体"/>
          <w:b/>
          <w:color w:val="auto"/>
          <w:kern w:val="0"/>
          <w:sz w:val="32"/>
          <w:szCs w:val="32"/>
          <w:highlight w:val="none"/>
        </w:rPr>
      </w:pPr>
    </w:p>
    <w:p w14:paraId="4DA4A3DE">
      <w:pPr>
        <w:spacing w:line="240" w:lineRule="auto"/>
        <w:ind w:firstLine="0" w:firstLineChars="0"/>
        <w:rPr>
          <w:rFonts w:hint="eastAsia" w:ascii="宋体" w:hAnsi="宋体" w:cs="宋体"/>
          <w:b/>
          <w:color w:val="auto"/>
          <w:kern w:val="0"/>
          <w:sz w:val="32"/>
          <w:szCs w:val="32"/>
          <w:highlight w:val="none"/>
        </w:rPr>
      </w:pPr>
    </w:p>
    <w:p w14:paraId="1E19C54D">
      <w:pPr>
        <w:spacing w:line="240" w:lineRule="auto"/>
        <w:ind w:firstLine="0" w:firstLineChars="0"/>
        <w:rPr>
          <w:rFonts w:hint="eastAsia" w:ascii="宋体" w:hAnsi="宋体" w:cs="宋体"/>
          <w:b/>
          <w:color w:val="auto"/>
          <w:sz w:val="32"/>
          <w:szCs w:val="20"/>
          <w:highlight w:val="none"/>
        </w:rPr>
      </w:pPr>
      <w:r>
        <w:rPr>
          <w:rFonts w:hint="eastAsia" w:ascii="宋体" w:hAnsi="宋体" w:cs="宋体"/>
          <w:b/>
          <w:color w:val="auto"/>
          <w:sz w:val="32"/>
          <w:szCs w:val="32"/>
          <w:highlight w:val="none"/>
        </w:rPr>
        <w:t>4.</w:t>
      </w:r>
      <w:r>
        <w:rPr>
          <w:rFonts w:hint="eastAsia" w:ascii="宋体" w:hAnsi="宋体" w:cs="宋体"/>
          <w:b/>
          <w:color w:val="auto"/>
          <w:sz w:val="28"/>
          <w:szCs w:val="28"/>
          <w:highlight w:val="none"/>
        </w:rPr>
        <w:t>供应商的法人或者其他组织营业执照等证明文件复印件（必须提供，自然人除外）</w:t>
      </w:r>
    </w:p>
    <w:p w14:paraId="5597DE3E">
      <w:pPr>
        <w:tabs>
          <w:tab w:val="left" w:pos="1305"/>
        </w:tabs>
        <w:spacing w:line="380" w:lineRule="exact"/>
        <w:ind w:firstLine="422"/>
        <w:rPr>
          <w:rFonts w:hint="eastAsia" w:ascii="宋体" w:hAnsi="宋体"/>
          <w:color w:val="auto"/>
          <w:szCs w:val="21"/>
          <w:highlight w:val="none"/>
        </w:rPr>
      </w:pPr>
      <w:r>
        <w:rPr>
          <w:rFonts w:hint="eastAsia" w:ascii="宋体" w:hAnsi="宋体" w:cs="宋体"/>
          <w:b/>
          <w:color w:val="auto"/>
          <w:sz w:val="21"/>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5A51158B">
      <w:pPr>
        <w:spacing w:line="240" w:lineRule="auto"/>
        <w:ind w:firstLine="0" w:firstLineChars="0"/>
        <w:rPr>
          <w:rFonts w:hint="eastAsia" w:ascii="宋体" w:hAnsi="宋体" w:cs="宋体"/>
          <w:b/>
          <w:color w:val="auto"/>
          <w:sz w:val="28"/>
          <w:szCs w:val="28"/>
          <w:highlight w:val="none"/>
        </w:rPr>
      </w:pPr>
    </w:p>
    <w:p w14:paraId="2896F098">
      <w:pPr>
        <w:spacing w:line="240" w:lineRule="auto"/>
        <w:ind w:firstLine="0" w:firstLineChars="0"/>
        <w:rPr>
          <w:rFonts w:hint="eastAsia" w:ascii="宋体" w:hAnsi="宋体" w:cs="宋体"/>
          <w:b/>
          <w:color w:val="auto"/>
          <w:sz w:val="28"/>
          <w:szCs w:val="28"/>
          <w:highlight w:val="none"/>
        </w:rPr>
      </w:pPr>
    </w:p>
    <w:p w14:paraId="7897F29B">
      <w:pPr>
        <w:spacing w:line="240" w:lineRule="auto"/>
        <w:ind w:firstLine="0" w:firstLineChars="0"/>
        <w:rPr>
          <w:rFonts w:hint="eastAsia" w:ascii="宋体" w:hAnsi="宋体" w:cs="宋体"/>
          <w:b/>
          <w:color w:val="auto"/>
          <w:sz w:val="28"/>
          <w:szCs w:val="28"/>
          <w:highlight w:val="none"/>
        </w:rPr>
      </w:pPr>
    </w:p>
    <w:p w14:paraId="082B5267">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5.特定资格证明材料：供应商有效的检验检测机构资质认定证书（CMA）复印件及证书检验检测能力附表复印件（检测能力范围至少包含：水和废水、环境空气和废气、土壤、固体废物、噪声排放等类别）（必须提供）</w:t>
      </w:r>
    </w:p>
    <w:p w14:paraId="74D1091B">
      <w:pPr>
        <w:spacing w:line="240" w:lineRule="auto"/>
        <w:ind w:firstLine="0" w:firstLineChars="0"/>
        <w:rPr>
          <w:rFonts w:hint="eastAsia" w:ascii="宋体" w:hAnsi="宋体" w:cs="宋体"/>
          <w:b/>
          <w:color w:val="auto"/>
          <w:sz w:val="28"/>
          <w:szCs w:val="28"/>
          <w:highlight w:val="none"/>
        </w:rPr>
      </w:pPr>
    </w:p>
    <w:p w14:paraId="3CDC27B1">
      <w:pPr>
        <w:spacing w:line="240" w:lineRule="auto"/>
        <w:ind w:firstLine="0" w:firstLineChars="0"/>
        <w:rPr>
          <w:rFonts w:hint="eastAsia" w:ascii="宋体" w:hAnsi="宋体" w:cs="宋体"/>
          <w:b/>
          <w:color w:val="auto"/>
          <w:sz w:val="28"/>
          <w:szCs w:val="28"/>
          <w:highlight w:val="none"/>
        </w:rPr>
      </w:pPr>
    </w:p>
    <w:p w14:paraId="0EA09039">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6.供应商依法缴纳税收的相关材料（2024年12月以来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6BAC1218">
      <w:pPr>
        <w:spacing w:line="240" w:lineRule="auto"/>
        <w:ind w:firstLine="0" w:firstLineChars="0"/>
        <w:rPr>
          <w:rFonts w:hint="eastAsia" w:ascii="宋体" w:hAnsi="宋体" w:cs="宋体"/>
          <w:b/>
          <w:color w:val="auto"/>
          <w:sz w:val="28"/>
          <w:szCs w:val="28"/>
          <w:highlight w:val="none"/>
        </w:rPr>
      </w:pPr>
    </w:p>
    <w:p w14:paraId="517A8AA5">
      <w:pPr>
        <w:spacing w:line="240" w:lineRule="auto"/>
        <w:ind w:firstLine="0" w:firstLineChars="0"/>
        <w:rPr>
          <w:rFonts w:hint="eastAsia" w:ascii="宋体" w:hAnsi="宋体" w:cs="宋体"/>
          <w:b/>
          <w:color w:val="auto"/>
          <w:sz w:val="28"/>
          <w:szCs w:val="28"/>
          <w:highlight w:val="none"/>
        </w:rPr>
      </w:pPr>
    </w:p>
    <w:p w14:paraId="79540813">
      <w:pPr>
        <w:spacing w:line="240" w:lineRule="auto"/>
        <w:ind w:firstLine="0" w:firstLineChars="0"/>
        <w:rPr>
          <w:rFonts w:hint="eastAsia" w:ascii="宋体" w:hAnsi="宋体" w:cs="宋体"/>
          <w:b/>
          <w:color w:val="auto"/>
          <w:sz w:val="28"/>
          <w:szCs w:val="28"/>
          <w:highlight w:val="none"/>
        </w:rPr>
      </w:pPr>
    </w:p>
    <w:p w14:paraId="5C7CCD9F">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7.供应商依法缴纳社会保障资金的相关材料【2024年12月以来任意1个月的依法缴纳社会保障资金的缴费证明材料（如：专用收据、社会保险缴纳清单或者社保部门的证明）复印件；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287DB6F6">
      <w:pPr>
        <w:spacing w:line="240" w:lineRule="auto"/>
        <w:ind w:firstLine="0" w:firstLineChars="0"/>
        <w:rPr>
          <w:rFonts w:hint="eastAsia" w:ascii="宋体" w:hAnsi="宋体" w:cs="宋体"/>
          <w:b/>
          <w:color w:val="auto"/>
          <w:sz w:val="28"/>
          <w:szCs w:val="28"/>
          <w:highlight w:val="none"/>
        </w:rPr>
      </w:pPr>
    </w:p>
    <w:p w14:paraId="4DBFFDA2">
      <w:pPr>
        <w:spacing w:line="240" w:lineRule="auto"/>
        <w:ind w:firstLine="0" w:firstLineChars="0"/>
        <w:rPr>
          <w:rFonts w:hint="eastAsia" w:ascii="宋体" w:hAnsi="宋体" w:cs="宋体"/>
          <w:b/>
          <w:color w:val="auto"/>
          <w:sz w:val="28"/>
          <w:szCs w:val="28"/>
          <w:highlight w:val="none"/>
        </w:rPr>
      </w:pPr>
    </w:p>
    <w:p w14:paraId="38C5EE83">
      <w:pPr>
        <w:spacing w:line="240" w:lineRule="auto"/>
        <w:ind w:firstLine="0" w:firstLineChars="0"/>
        <w:rPr>
          <w:rFonts w:hint="eastAsia" w:ascii="宋体" w:hAnsi="宋体" w:cs="宋体"/>
          <w:b/>
          <w:color w:val="auto"/>
          <w:sz w:val="28"/>
          <w:szCs w:val="28"/>
          <w:highlight w:val="none"/>
        </w:rPr>
      </w:pPr>
    </w:p>
    <w:p w14:paraId="321B8704">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8.供应商财务状况报告【2023年度以来任意年度内的财务报表复印件，或者2024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79CA7536">
      <w:pPr>
        <w:spacing w:line="240" w:lineRule="auto"/>
        <w:ind w:firstLine="0" w:firstLineChars="0"/>
        <w:rPr>
          <w:rFonts w:hint="eastAsia" w:ascii="宋体" w:hAnsi="宋体" w:cs="宋体"/>
          <w:b/>
          <w:color w:val="auto"/>
          <w:sz w:val="28"/>
          <w:szCs w:val="28"/>
          <w:highlight w:val="none"/>
        </w:rPr>
      </w:pPr>
    </w:p>
    <w:p w14:paraId="0DB456B9">
      <w:pPr>
        <w:spacing w:line="240" w:lineRule="auto"/>
        <w:ind w:firstLine="0" w:firstLineChars="0"/>
        <w:rPr>
          <w:rFonts w:hint="eastAsia" w:ascii="宋体" w:hAnsi="宋体" w:cs="宋体"/>
          <w:b/>
          <w:color w:val="auto"/>
          <w:sz w:val="28"/>
          <w:szCs w:val="28"/>
          <w:highlight w:val="none"/>
        </w:rPr>
      </w:pPr>
    </w:p>
    <w:p w14:paraId="1E89C6C9">
      <w:pPr>
        <w:spacing w:line="240" w:lineRule="auto"/>
        <w:ind w:firstLine="0" w:firstLineChars="0"/>
        <w:rPr>
          <w:rFonts w:hint="eastAsia" w:ascii="宋体" w:hAnsi="宋体" w:cs="宋体"/>
          <w:b/>
          <w:color w:val="auto"/>
          <w:sz w:val="28"/>
          <w:szCs w:val="28"/>
          <w:highlight w:val="none"/>
        </w:rPr>
      </w:pPr>
    </w:p>
    <w:p w14:paraId="7AA31E21">
      <w:pPr>
        <w:spacing w:line="240" w:lineRule="auto"/>
        <w:ind w:firstLine="0" w:firstLineChars="0"/>
        <w:rPr>
          <w:rFonts w:hint="eastAsia" w:ascii="宋体" w:hAnsi="宋体" w:cs="宋体"/>
          <w:b/>
          <w:color w:val="auto"/>
          <w:sz w:val="28"/>
          <w:szCs w:val="28"/>
          <w:highlight w:val="none"/>
        </w:rPr>
      </w:pPr>
    </w:p>
    <w:p w14:paraId="026A061F">
      <w:pPr>
        <w:spacing w:line="340" w:lineRule="exact"/>
        <w:ind w:firstLine="0" w:firstLineChars="0"/>
        <w:rPr>
          <w:rFonts w:hint="eastAsia" w:ascii="宋体" w:hAnsi="宋体" w:cs="宋体"/>
          <w:b/>
          <w:color w:val="auto"/>
          <w:kern w:val="0"/>
          <w:sz w:val="28"/>
          <w:szCs w:val="28"/>
          <w:highlight w:val="none"/>
        </w:rPr>
      </w:pPr>
    </w:p>
    <w:p w14:paraId="445AA69C">
      <w:pPr>
        <w:spacing w:line="340" w:lineRule="exact"/>
        <w:ind w:firstLine="0" w:firstLineChars="0"/>
        <w:rPr>
          <w:rFonts w:hint="eastAsia" w:ascii="宋体" w:hAnsi="宋体" w:cs="宋体"/>
          <w:b/>
          <w:color w:val="auto"/>
          <w:kern w:val="0"/>
          <w:sz w:val="28"/>
          <w:szCs w:val="28"/>
          <w:highlight w:val="none"/>
        </w:rPr>
      </w:pPr>
    </w:p>
    <w:p w14:paraId="6DD01249">
      <w:pPr>
        <w:spacing w:line="340" w:lineRule="exact"/>
        <w:ind w:firstLine="0" w:firstLineChars="0"/>
        <w:rPr>
          <w:rFonts w:hint="eastAsia" w:ascii="宋体" w:hAnsi="宋体" w:cs="宋体"/>
          <w:b/>
          <w:color w:val="auto"/>
          <w:kern w:val="0"/>
          <w:sz w:val="28"/>
          <w:szCs w:val="28"/>
          <w:highlight w:val="none"/>
        </w:rPr>
      </w:pPr>
    </w:p>
    <w:p w14:paraId="36D7D040">
      <w:pPr>
        <w:spacing w:line="340" w:lineRule="exact"/>
        <w:ind w:firstLine="0" w:firstLineChars="0"/>
        <w:rPr>
          <w:rFonts w:hint="eastAsia" w:ascii="宋体" w:hAnsi="宋体" w:cs="宋体"/>
          <w:b/>
          <w:color w:val="auto"/>
          <w:kern w:val="0"/>
          <w:sz w:val="28"/>
          <w:szCs w:val="28"/>
          <w:highlight w:val="none"/>
        </w:rPr>
      </w:pPr>
    </w:p>
    <w:p w14:paraId="7308C80D">
      <w:pPr>
        <w:spacing w:line="340" w:lineRule="exact"/>
        <w:ind w:firstLine="0" w:firstLineChars="0"/>
        <w:rPr>
          <w:rFonts w:hint="eastAsia" w:ascii="宋体" w:hAnsi="宋体" w:cs="宋体"/>
          <w:b/>
          <w:color w:val="auto"/>
          <w:kern w:val="0"/>
          <w:sz w:val="28"/>
          <w:szCs w:val="28"/>
          <w:highlight w:val="none"/>
        </w:rPr>
      </w:pPr>
    </w:p>
    <w:p w14:paraId="47517457">
      <w:pPr>
        <w:spacing w:line="340" w:lineRule="exact"/>
        <w:ind w:firstLine="0" w:firstLineChars="0"/>
        <w:rPr>
          <w:rFonts w:hint="eastAsia" w:ascii="宋体" w:hAnsi="宋体" w:cs="宋体"/>
          <w:b/>
          <w:color w:val="auto"/>
          <w:kern w:val="0"/>
          <w:sz w:val="28"/>
          <w:szCs w:val="28"/>
          <w:highlight w:val="none"/>
        </w:rPr>
      </w:pPr>
    </w:p>
    <w:p w14:paraId="766540B7">
      <w:pPr>
        <w:spacing w:line="340" w:lineRule="exact"/>
        <w:ind w:firstLine="0" w:firstLineChars="0"/>
        <w:rPr>
          <w:rFonts w:hint="eastAsia" w:ascii="宋体" w:hAnsi="宋体" w:cs="宋体"/>
          <w:b/>
          <w:color w:val="auto"/>
          <w:kern w:val="0"/>
          <w:sz w:val="28"/>
          <w:szCs w:val="28"/>
          <w:highlight w:val="none"/>
        </w:rPr>
      </w:pPr>
    </w:p>
    <w:p w14:paraId="7F6CE0BA">
      <w:pPr>
        <w:spacing w:line="340" w:lineRule="exact"/>
        <w:ind w:firstLine="0" w:firstLineChars="0"/>
        <w:rPr>
          <w:rFonts w:hint="eastAsia" w:ascii="宋体" w:hAnsi="宋体" w:cs="宋体"/>
          <w:b/>
          <w:color w:val="auto"/>
          <w:kern w:val="0"/>
          <w:sz w:val="28"/>
          <w:szCs w:val="28"/>
          <w:highlight w:val="none"/>
        </w:rPr>
      </w:pPr>
    </w:p>
    <w:p w14:paraId="1BE0EA8A">
      <w:pPr>
        <w:spacing w:line="340" w:lineRule="exact"/>
        <w:ind w:firstLine="0" w:firstLineChars="0"/>
        <w:rPr>
          <w:rFonts w:hint="eastAsia" w:ascii="宋体" w:hAnsi="宋体" w:cs="宋体"/>
          <w:b/>
          <w:color w:val="auto"/>
          <w:kern w:val="0"/>
          <w:sz w:val="28"/>
          <w:szCs w:val="28"/>
          <w:highlight w:val="none"/>
        </w:rPr>
      </w:pPr>
    </w:p>
    <w:p w14:paraId="65238A3F">
      <w:pPr>
        <w:spacing w:line="340" w:lineRule="exact"/>
        <w:ind w:firstLine="0" w:firstLineChars="0"/>
        <w:rPr>
          <w:rFonts w:hint="eastAsia" w:ascii="宋体" w:hAnsi="宋体" w:cs="宋体"/>
          <w:b/>
          <w:color w:val="auto"/>
          <w:kern w:val="0"/>
          <w:sz w:val="28"/>
          <w:szCs w:val="28"/>
          <w:highlight w:val="none"/>
        </w:rPr>
      </w:pPr>
    </w:p>
    <w:p w14:paraId="3D0D348F">
      <w:pPr>
        <w:spacing w:line="340" w:lineRule="exact"/>
        <w:ind w:firstLine="0" w:firstLineChars="0"/>
        <w:rPr>
          <w:rFonts w:hint="eastAsia" w:ascii="宋体" w:hAnsi="宋体" w:cs="宋体"/>
          <w:b/>
          <w:color w:val="auto"/>
          <w:kern w:val="0"/>
          <w:sz w:val="28"/>
          <w:szCs w:val="28"/>
          <w:highlight w:val="none"/>
        </w:rPr>
      </w:pPr>
    </w:p>
    <w:p w14:paraId="3C63F0B7">
      <w:pPr>
        <w:spacing w:line="340" w:lineRule="exact"/>
        <w:ind w:firstLine="0" w:firstLineChars="0"/>
        <w:rPr>
          <w:rFonts w:hint="eastAsia" w:ascii="宋体" w:hAnsi="宋体" w:cs="宋体"/>
          <w:b/>
          <w:color w:val="auto"/>
          <w:kern w:val="0"/>
          <w:sz w:val="28"/>
          <w:szCs w:val="28"/>
          <w:highlight w:val="none"/>
        </w:rPr>
      </w:pPr>
    </w:p>
    <w:p w14:paraId="6E29CE1E">
      <w:pPr>
        <w:spacing w:line="340" w:lineRule="exact"/>
        <w:ind w:firstLine="0" w:firstLineChars="0"/>
        <w:rPr>
          <w:rFonts w:hint="eastAsia" w:ascii="宋体" w:hAnsi="宋体" w:cs="宋体"/>
          <w:b/>
          <w:color w:val="auto"/>
          <w:kern w:val="0"/>
          <w:sz w:val="28"/>
          <w:szCs w:val="28"/>
          <w:highlight w:val="none"/>
        </w:rPr>
      </w:pPr>
    </w:p>
    <w:p w14:paraId="582DE5C9">
      <w:pPr>
        <w:spacing w:line="340" w:lineRule="exact"/>
        <w:ind w:firstLine="0" w:firstLineChars="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9.供应商参加政府采购活动前3年内在经营活动中没有重大违法记录及有关信用信息的书面声明（必须提供）</w:t>
      </w:r>
    </w:p>
    <w:p w14:paraId="72AC762D">
      <w:pPr>
        <w:spacing w:line="400" w:lineRule="exact"/>
        <w:ind w:left="480" w:leftChars="200" w:firstLine="157" w:firstLineChars="49"/>
        <w:rPr>
          <w:rFonts w:hint="eastAsia" w:ascii="宋体" w:hAnsi="宋体" w:cs="宋体"/>
          <w:b/>
          <w:color w:val="auto"/>
          <w:kern w:val="0"/>
          <w:sz w:val="32"/>
          <w:szCs w:val="32"/>
          <w:highlight w:val="none"/>
        </w:rPr>
      </w:pPr>
    </w:p>
    <w:p w14:paraId="6DF10BB2">
      <w:pPr>
        <w:spacing w:line="400" w:lineRule="exact"/>
        <w:ind w:left="480" w:leftChars="200" w:firstLine="157" w:firstLineChars="4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2620AECC">
      <w:pPr>
        <w:spacing w:line="400" w:lineRule="exact"/>
        <w:ind w:firstLine="0" w:firstLineChars="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782E9FB">
      <w:pPr>
        <w:snapToGrid w:val="0"/>
        <w:spacing w:line="400" w:lineRule="exact"/>
        <w:ind w:firstLine="0" w:firstLineChars="0"/>
        <w:rPr>
          <w:rFonts w:hint="eastAsia" w:ascii="宋体" w:hAnsi="宋体" w:cs="宋体"/>
          <w:color w:val="auto"/>
          <w:kern w:val="0"/>
          <w:sz w:val="21"/>
          <w:szCs w:val="24"/>
          <w:highlight w:val="none"/>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rPr>
        <w:t>云之龙咨询集团有限公司</w:t>
      </w:r>
    </w:p>
    <w:p w14:paraId="6BB9AFA1">
      <w:pPr>
        <w:spacing w:line="240" w:lineRule="auto"/>
        <w:ind w:firstLine="0" w:firstLineChars="0"/>
        <w:rPr>
          <w:rFonts w:hint="eastAsia" w:ascii="宋体" w:hAnsi="宋体" w:cs="宋体"/>
          <w:color w:val="auto"/>
          <w:kern w:val="0"/>
          <w:sz w:val="21"/>
          <w:szCs w:val="24"/>
          <w:highlight w:val="none"/>
        </w:rPr>
      </w:pPr>
    </w:p>
    <w:p w14:paraId="22D8AA7B">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3CDB73C">
      <w:pPr>
        <w:spacing w:line="400" w:lineRule="exact"/>
        <w:ind w:firstLine="420"/>
        <w:rPr>
          <w:rFonts w:hint="eastAsia" w:ascii="宋体" w:hAnsi="宋体" w:cs="宋体"/>
          <w:color w:val="auto"/>
          <w:kern w:val="0"/>
          <w:sz w:val="21"/>
          <w:szCs w:val="20"/>
          <w:highlight w:val="none"/>
        </w:rPr>
      </w:pPr>
    </w:p>
    <w:p w14:paraId="67BBE5D5">
      <w:pPr>
        <w:snapToGrid w:val="0"/>
        <w:spacing w:line="400" w:lineRule="exact"/>
        <w:ind w:firstLine="0" w:firstLineChars="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电子签章</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388A7D1">
      <w:pPr>
        <w:spacing w:line="34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color w:val="auto"/>
          <w:sz w:val="21"/>
          <w:szCs w:val="20"/>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2AFA2A5B">
      <w:pPr>
        <w:spacing w:line="4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18A4AA92">
      <w:pPr>
        <w:spacing w:line="400" w:lineRule="exact"/>
        <w:ind w:left="480" w:leftChars="200" w:firstLine="3780" w:firstLineChars="1800"/>
        <w:rPr>
          <w:rFonts w:hint="eastAsia" w:ascii="宋体" w:hAnsi="宋体" w:cs="宋体"/>
          <w:color w:val="auto"/>
          <w:sz w:val="21"/>
          <w:szCs w:val="21"/>
          <w:highlight w:val="none"/>
        </w:rPr>
      </w:pPr>
    </w:p>
    <w:p w14:paraId="0AB685E2">
      <w:pPr>
        <w:spacing w:line="400" w:lineRule="exact"/>
        <w:ind w:left="480" w:leftChars="200" w:firstLine="3780" w:firstLineChars="1800"/>
        <w:rPr>
          <w:rFonts w:hint="eastAsia" w:ascii="宋体" w:hAnsi="宋体" w:cs="宋体"/>
          <w:color w:val="auto"/>
          <w:kern w:val="0"/>
          <w:sz w:val="21"/>
          <w:szCs w:val="21"/>
          <w:highlight w:val="none"/>
        </w:rPr>
      </w:pPr>
    </w:p>
    <w:p w14:paraId="7EE490FC">
      <w:pPr>
        <w:spacing w:line="440" w:lineRule="exact"/>
        <w:ind w:firstLine="735" w:firstLineChars="350"/>
        <w:rPr>
          <w:rFonts w:hint="eastAsia" w:ascii="宋体" w:hAnsi="宋体" w:cs="宋体"/>
          <w:color w:val="auto"/>
          <w:kern w:val="0"/>
          <w:sz w:val="21"/>
          <w:szCs w:val="21"/>
          <w:highlight w:val="none"/>
        </w:rPr>
      </w:pPr>
    </w:p>
    <w:p w14:paraId="1A645EC2">
      <w:pPr>
        <w:spacing w:line="240" w:lineRule="auto"/>
        <w:ind w:firstLine="0" w:firstLineChars="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注：供应商参加政府采购活动前3年内在经营活动中没有重大违法记录及有关信用信息的书面声明须由法定代表人或相应的委托代理人签字（或电子签名），并加盖供应商电子签章。</w:t>
      </w:r>
    </w:p>
    <w:p w14:paraId="6BB112A7">
      <w:pPr>
        <w:spacing w:line="340" w:lineRule="exact"/>
        <w:ind w:firstLine="0" w:firstLineChars="0"/>
        <w:rPr>
          <w:rFonts w:hint="eastAsia" w:ascii="宋体" w:hAnsi="宋体" w:cs="宋体"/>
          <w:b/>
          <w:color w:val="auto"/>
          <w:sz w:val="21"/>
          <w:szCs w:val="21"/>
          <w:highlight w:val="none"/>
        </w:rPr>
      </w:pPr>
    </w:p>
    <w:p w14:paraId="5BD31888">
      <w:pPr>
        <w:spacing w:line="340" w:lineRule="exact"/>
        <w:ind w:firstLine="0" w:firstLineChars="0"/>
        <w:rPr>
          <w:rFonts w:hint="eastAsia" w:ascii="宋体" w:hAnsi="宋体" w:cs="宋体"/>
          <w:b/>
          <w:color w:val="auto"/>
          <w:kern w:val="0"/>
          <w:sz w:val="28"/>
          <w:szCs w:val="28"/>
          <w:highlight w:val="none"/>
        </w:rPr>
      </w:pPr>
    </w:p>
    <w:p w14:paraId="465A1045">
      <w:pPr>
        <w:spacing w:line="340" w:lineRule="exact"/>
        <w:ind w:firstLine="0" w:firstLineChars="0"/>
        <w:rPr>
          <w:rFonts w:hint="eastAsia" w:ascii="宋体" w:hAnsi="宋体" w:cs="宋体"/>
          <w:b/>
          <w:color w:val="auto"/>
          <w:kern w:val="0"/>
          <w:sz w:val="28"/>
          <w:szCs w:val="28"/>
          <w:highlight w:val="none"/>
        </w:rPr>
      </w:pPr>
    </w:p>
    <w:p w14:paraId="335F6595">
      <w:pPr>
        <w:spacing w:line="340" w:lineRule="exact"/>
        <w:ind w:firstLine="0" w:firstLineChars="0"/>
        <w:rPr>
          <w:rFonts w:hint="eastAsia" w:ascii="宋体" w:hAnsi="宋体" w:cs="宋体"/>
          <w:b/>
          <w:color w:val="auto"/>
          <w:kern w:val="0"/>
          <w:sz w:val="28"/>
          <w:szCs w:val="28"/>
          <w:highlight w:val="none"/>
        </w:rPr>
      </w:pPr>
    </w:p>
    <w:p w14:paraId="58B95296">
      <w:pPr>
        <w:spacing w:line="340" w:lineRule="exact"/>
        <w:ind w:firstLine="0" w:firstLineChars="0"/>
        <w:rPr>
          <w:rFonts w:hint="eastAsia" w:ascii="宋体" w:hAnsi="宋体" w:cs="宋体"/>
          <w:b/>
          <w:color w:val="auto"/>
          <w:kern w:val="0"/>
          <w:sz w:val="28"/>
          <w:szCs w:val="28"/>
          <w:highlight w:val="none"/>
        </w:rPr>
      </w:pPr>
    </w:p>
    <w:p w14:paraId="587B902F">
      <w:pPr>
        <w:spacing w:line="340" w:lineRule="exact"/>
        <w:ind w:firstLine="0" w:firstLineChars="0"/>
        <w:rPr>
          <w:rFonts w:hint="eastAsia" w:ascii="宋体" w:hAnsi="宋体" w:cs="宋体"/>
          <w:b/>
          <w:color w:val="auto"/>
          <w:kern w:val="0"/>
          <w:sz w:val="28"/>
          <w:szCs w:val="28"/>
          <w:highlight w:val="none"/>
        </w:rPr>
      </w:pPr>
    </w:p>
    <w:p w14:paraId="0A81AF4C">
      <w:pPr>
        <w:spacing w:line="340" w:lineRule="exact"/>
        <w:ind w:firstLine="0" w:firstLineChars="0"/>
        <w:rPr>
          <w:rFonts w:hint="eastAsia" w:ascii="宋体" w:hAnsi="宋体" w:cs="宋体"/>
          <w:b/>
          <w:color w:val="auto"/>
          <w:kern w:val="0"/>
          <w:sz w:val="28"/>
          <w:szCs w:val="28"/>
          <w:highlight w:val="none"/>
        </w:rPr>
      </w:pPr>
    </w:p>
    <w:p w14:paraId="1946CE70">
      <w:pPr>
        <w:spacing w:line="340" w:lineRule="exact"/>
        <w:ind w:firstLine="0" w:firstLineChars="0"/>
        <w:rPr>
          <w:rFonts w:hint="eastAsia" w:ascii="宋体" w:hAnsi="宋体" w:cs="宋体"/>
          <w:b/>
          <w:color w:val="auto"/>
          <w:kern w:val="0"/>
          <w:sz w:val="28"/>
          <w:szCs w:val="28"/>
          <w:highlight w:val="none"/>
        </w:rPr>
      </w:pPr>
    </w:p>
    <w:p w14:paraId="036DAE57">
      <w:pPr>
        <w:spacing w:line="340" w:lineRule="exact"/>
        <w:ind w:firstLine="0" w:firstLineChars="0"/>
        <w:rPr>
          <w:rFonts w:hint="eastAsia" w:ascii="宋体" w:hAnsi="宋体" w:cs="宋体"/>
          <w:b/>
          <w:color w:val="auto"/>
          <w:kern w:val="0"/>
          <w:sz w:val="28"/>
          <w:szCs w:val="28"/>
          <w:highlight w:val="none"/>
        </w:rPr>
      </w:pPr>
    </w:p>
    <w:p w14:paraId="2B35E999">
      <w:pPr>
        <w:spacing w:line="340" w:lineRule="exact"/>
        <w:ind w:firstLine="0" w:firstLineChars="0"/>
        <w:rPr>
          <w:rFonts w:hint="eastAsia" w:ascii="宋体" w:hAnsi="宋体" w:cs="宋体"/>
          <w:b/>
          <w:color w:val="auto"/>
          <w:kern w:val="0"/>
          <w:sz w:val="28"/>
          <w:szCs w:val="28"/>
          <w:highlight w:val="none"/>
        </w:rPr>
      </w:pPr>
    </w:p>
    <w:p w14:paraId="4ED7990F">
      <w:pPr>
        <w:spacing w:line="340" w:lineRule="exact"/>
        <w:ind w:firstLine="0" w:firstLineChars="0"/>
        <w:rPr>
          <w:rFonts w:hint="eastAsia" w:ascii="宋体" w:hAnsi="宋体" w:cs="宋体"/>
          <w:b/>
          <w:color w:val="auto"/>
          <w:kern w:val="0"/>
          <w:sz w:val="28"/>
          <w:szCs w:val="28"/>
          <w:highlight w:val="none"/>
        </w:rPr>
      </w:pPr>
    </w:p>
    <w:p w14:paraId="47207DD8">
      <w:pPr>
        <w:spacing w:line="340" w:lineRule="exact"/>
        <w:ind w:firstLine="0" w:firstLineChars="0"/>
        <w:rPr>
          <w:rFonts w:hint="eastAsia" w:ascii="宋体" w:hAnsi="宋体" w:cs="宋体"/>
          <w:b/>
          <w:color w:val="auto"/>
          <w:kern w:val="0"/>
          <w:sz w:val="28"/>
          <w:szCs w:val="28"/>
          <w:highlight w:val="none"/>
        </w:rPr>
      </w:pPr>
    </w:p>
    <w:p w14:paraId="72145E50">
      <w:pPr>
        <w:spacing w:line="340" w:lineRule="exact"/>
        <w:ind w:firstLine="0" w:firstLineChars="0"/>
        <w:rPr>
          <w:rFonts w:hint="eastAsia" w:ascii="宋体" w:hAnsi="宋体" w:cs="宋体"/>
          <w:b/>
          <w:color w:val="auto"/>
          <w:kern w:val="0"/>
          <w:sz w:val="28"/>
          <w:szCs w:val="28"/>
          <w:highlight w:val="none"/>
        </w:rPr>
      </w:pPr>
    </w:p>
    <w:p w14:paraId="6DF8E104">
      <w:pPr>
        <w:spacing w:line="340" w:lineRule="exact"/>
        <w:ind w:firstLine="0" w:firstLineChars="0"/>
        <w:rPr>
          <w:rFonts w:hint="eastAsia" w:ascii="宋体" w:hAnsi="宋体" w:cs="宋体"/>
          <w:b/>
          <w:color w:val="auto"/>
          <w:kern w:val="0"/>
          <w:sz w:val="28"/>
          <w:szCs w:val="28"/>
          <w:highlight w:val="none"/>
        </w:rPr>
      </w:pPr>
    </w:p>
    <w:p w14:paraId="4CAAD807">
      <w:pPr>
        <w:spacing w:line="340" w:lineRule="exact"/>
        <w:ind w:firstLine="0" w:firstLineChars="0"/>
        <w:rPr>
          <w:rFonts w:hint="eastAsia" w:ascii="宋体" w:hAnsi="宋体" w:cs="宋体"/>
          <w:b/>
          <w:color w:val="auto"/>
          <w:kern w:val="0"/>
          <w:sz w:val="28"/>
          <w:szCs w:val="28"/>
          <w:highlight w:val="none"/>
        </w:rPr>
      </w:pPr>
    </w:p>
    <w:p w14:paraId="59BC1B86">
      <w:pPr>
        <w:spacing w:line="340" w:lineRule="exact"/>
        <w:ind w:firstLine="0" w:firstLineChars="0"/>
        <w:rPr>
          <w:rFonts w:hint="eastAsia" w:ascii="宋体" w:hAnsi="宋体" w:cs="宋体"/>
          <w:b/>
          <w:color w:val="auto"/>
          <w:kern w:val="0"/>
          <w:sz w:val="28"/>
          <w:szCs w:val="28"/>
          <w:highlight w:val="none"/>
        </w:rPr>
      </w:pPr>
    </w:p>
    <w:p w14:paraId="52A0BF3E">
      <w:pPr>
        <w:spacing w:line="340" w:lineRule="exact"/>
        <w:ind w:firstLine="0" w:firstLineChars="0"/>
        <w:rPr>
          <w:rFonts w:hint="eastAsia" w:ascii="宋体" w:hAnsi="宋体" w:cs="宋体"/>
          <w:b/>
          <w:color w:val="auto"/>
          <w:kern w:val="0"/>
          <w:sz w:val="28"/>
          <w:szCs w:val="28"/>
          <w:highlight w:val="none"/>
        </w:rPr>
      </w:pPr>
    </w:p>
    <w:p w14:paraId="419AB778">
      <w:pPr>
        <w:spacing w:line="340" w:lineRule="exact"/>
        <w:ind w:firstLine="0" w:firstLineChars="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10.供应商参加本项目无围标串标行为的承诺函（必须提供）</w:t>
      </w:r>
    </w:p>
    <w:p w14:paraId="6C488630">
      <w:pPr>
        <w:spacing w:line="400" w:lineRule="exact"/>
        <w:ind w:firstLine="0" w:firstLineChars="0"/>
        <w:rPr>
          <w:rFonts w:hint="eastAsia" w:ascii="宋体" w:hAnsi="宋体" w:cs="宋体"/>
          <w:b/>
          <w:color w:val="auto"/>
          <w:kern w:val="0"/>
          <w:sz w:val="32"/>
          <w:szCs w:val="32"/>
          <w:highlight w:val="none"/>
        </w:rPr>
      </w:pPr>
    </w:p>
    <w:p w14:paraId="27D3AECF">
      <w:pPr>
        <w:spacing w:line="400" w:lineRule="exact"/>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1CA82E8">
      <w:pPr>
        <w:spacing w:line="400" w:lineRule="exact"/>
        <w:ind w:firstLine="0" w:firstLineChars="0"/>
        <w:jc w:val="center"/>
        <w:rPr>
          <w:rFonts w:hint="eastAsia" w:ascii="宋体" w:hAnsi="宋体" w:cs="宋体"/>
          <w:b/>
          <w:color w:val="auto"/>
          <w:kern w:val="0"/>
          <w:sz w:val="32"/>
          <w:szCs w:val="32"/>
          <w:highlight w:val="none"/>
        </w:rPr>
      </w:pPr>
    </w:p>
    <w:p w14:paraId="15509429">
      <w:pPr>
        <w:spacing w:line="400" w:lineRule="exact"/>
        <w:ind w:firstLine="0" w:firstLineChars="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6B98AC8B">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3D6B2098">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0732600A">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37906E80">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62993389">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536E58CC">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D4B8511">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4C90F0F6">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6D2BD187">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1778C0EC">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7744253E">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22D60E3D">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0603D454">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0D3A950E">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419BAB5C">
      <w:pPr>
        <w:spacing w:line="400" w:lineRule="exact"/>
        <w:ind w:firstLine="420"/>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1BAE100E">
      <w:pPr>
        <w:spacing w:line="240" w:lineRule="auto"/>
        <w:ind w:firstLine="0" w:firstLineChars="0"/>
        <w:rPr>
          <w:rFonts w:hint="eastAsia" w:ascii="宋体" w:hAnsi="宋体" w:cs="宋体"/>
          <w:color w:val="auto"/>
          <w:sz w:val="21"/>
          <w:szCs w:val="24"/>
          <w:highlight w:val="none"/>
        </w:rPr>
      </w:pPr>
    </w:p>
    <w:p w14:paraId="3C2909ED">
      <w:pPr>
        <w:spacing w:line="240" w:lineRule="auto"/>
        <w:ind w:firstLine="0" w:firstLineChars="0"/>
        <w:rPr>
          <w:rFonts w:hint="eastAsia" w:ascii="宋体" w:hAnsi="宋体" w:cs="宋体"/>
          <w:color w:val="auto"/>
          <w:sz w:val="21"/>
          <w:szCs w:val="24"/>
          <w:highlight w:val="none"/>
        </w:rPr>
      </w:pPr>
    </w:p>
    <w:p w14:paraId="2E3C73CE">
      <w:pPr>
        <w:snapToGrid w:val="0"/>
        <w:spacing w:line="400" w:lineRule="exact"/>
        <w:ind w:firstLine="0" w:firstLineChars="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101EBC8">
      <w:pPr>
        <w:spacing w:line="34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74BA6B93">
      <w:pPr>
        <w:spacing w:line="4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051198">
      <w:pPr>
        <w:spacing w:line="400" w:lineRule="exact"/>
        <w:ind w:left="420" w:firstLine="0" w:firstLineChars="0"/>
        <w:jc w:val="center"/>
        <w:rPr>
          <w:rFonts w:hint="eastAsia" w:ascii="宋体" w:hAnsi="宋体" w:cs="宋体"/>
          <w:b/>
          <w:color w:val="auto"/>
          <w:sz w:val="21"/>
          <w:szCs w:val="21"/>
          <w:highlight w:val="none"/>
        </w:rPr>
      </w:pPr>
    </w:p>
    <w:p w14:paraId="4F6E08E0">
      <w:pPr>
        <w:spacing w:line="240" w:lineRule="auto"/>
        <w:ind w:firstLine="0" w:firstLineChars="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注：供应商参加本项目无围标串标行为的承诺函须由法定代表人或相应的委托代理人签字（或电子签名），并加盖供应商电子签章。</w:t>
      </w:r>
    </w:p>
    <w:p w14:paraId="09C95E9B">
      <w:pPr>
        <w:spacing w:line="240" w:lineRule="auto"/>
        <w:ind w:firstLine="0" w:firstLineChars="0"/>
        <w:rPr>
          <w:color w:val="auto"/>
          <w:sz w:val="21"/>
          <w:szCs w:val="24"/>
          <w:highlight w:val="none"/>
        </w:rPr>
      </w:pPr>
    </w:p>
    <w:p w14:paraId="6C61E2E7">
      <w:pPr>
        <w:spacing w:line="240" w:lineRule="auto"/>
        <w:ind w:firstLine="0" w:firstLineChars="0"/>
        <w:rPr>
          <w:color w:val="auto"/>
          <w:sz w:val="21"/>
          <w:szCs w:val="24"/>
          <w:highlight w:val="none"/>
        </w:rPr>
      </w:pPr>
    </w:p>
    <w:p w14:paraId="0CEAFF8C">
      <w:pPr>
        <w:spacing w:line="240" w:lineRule="auto"/>
        <w:ind w:firstLine="0" w:firstLineChars="0"/>
        <w:rPr>
          <w:color w:val="auto"/>
          <w:sz w:val="21"/>
          <w:szCs w:val="24"/>
          <w:highlight w:val="none"/>
        </w:rPr>
      </w:pPr>
    </w:p>
    <w:p w14:paraId="12C4F5C7">
      <w:pPr>
        <w:spacing w:line="240" w:lineRule="auto"/>
        <w:ind w:firstLine="0" w:firstLineChars="0"/>
        <w:rPr>
          <w:color w:val="auto"/>
          <w:sz w:val="21"/>
          <w:szCs w:val="24"/>
          <w:highlight w:val="none"/>
        </w:rPr>
      </w:pPr>
    </w:p>
    <w:p w14:paraId="0CDBDFEB">
      <w:pPr>
        <w:spacing w:line="240" w:lineRule="auto"/>
        <w:ind w:firstLine="0" w:firstLineChars="0"/>
        <w:rPr>
          <w:color w:val="auto"/>
          <w:sz w:val="21"/>
          <w:szCs w:val="24"/>
          <w:highlight w:val="none"/>
        </w:rPr>
      </w:pPr>
    </w:p>
    <w:p w14:paraId="6A7D377B">
      <w:pPr>
        <w:spacing w:line="240" w:lineRule="auto"/>
        <w:ind w:firstLine="0" w:firstLineChars="0"/>
        <w:rPr>
          <w:color w:val="auto"/>
          <w:sz w:val="21"/>
          <w:szCs w:val="24"/>
          <w:highlight w:val="none"/>
        </w:rPr>
      </w:pPr>
    </w:p>
    <w:p w14:paraId="10D6DBA6">
      <w:pPr>
        <w:spacing w:line="240" w:lineRule="auto"/>
        <w:ind w:left="2940" w:firstLine="0" w:firstLineChars="0"/>
        <w:rPr>
          <w:color w:val="auto"/>
          <w:sz w:val="21"/>
          <w:szCs w:val="24"/>
          <w:highlight w:val="none"/>
        </w:rPr>
      </w:pPr>
    </w:p>
    <w:p w14:paraId="0297BEAB">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11.供应商属于中小企业的相关证明材料（必须提供）</w:t>
      </w:r>
    </w:p>
    <w:p w14:paraId="2CF1B4EB">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42C293DB">
      <w:pPr>
        <w:pStyle w:val="26"/>
        <w:rPr>
          <w:rFonts w:hint="eastAsia" w:ascii="宋体" w:hAnsi="宋体"/>
          <w:b/>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p>
    <w:p w14:paraId="3FAD0ACA">
      <w:pPr>
        <w:pStyle w:val="26"/>
        <w:rPr>
          <w:rFonts w:hint="eastAsia" w:ascii="宋体" w:hAnsi="宋体"/>
          <w:b/>
          <w:color w:val="auto"/>
          <w:sz w:val="28"/>
          <w:szCs w:val="28"/>
          <w:highlight w:val="none"/>
        </w:rPr>
      </w:pPr>
    </w:p>
    <w:p w14:paraId="0B9D2692">
      <w:pPr>
        <w:pStyle w:val="26"/>
        <w:rPr>
          <w:rFonts w:hint="eastAsia" w:ascii="宋体" w:hAnsi="宋体"/>
          <w:color w:val="auto"/>
          <w:sz w:val="28"/>
          <w:szCs w:val="28"/>
          <w:highlight w:val="none"/>
        </w:rPr>
      </w:pPr>
      <w:r>
        <w:rPr>
          <w:rFonts w:hint="eastAsia" w:ascii="宋体" w:hAnsi="宋体"/>
          <w:b/>
          <w:color w:val="auto"/>
          <w:sz w:val="28"/>
          <w:szCs w:val="28"/>
          <w:highlight w:val="none"/>
        </w:rPr>
        <w:t>附件：</w:t>
      </w:r>
    </w:p>
    <w:p w14:paraId="4928B494">
      <w:pPr>
        <w:snapToGrid w:val="0"/>
        <w:spacing w:before="120" w:beforeLines="50" w:after="50" w:line="320" w:lineRule="exact"/>
        <w:ind w:firstLine="643"/>
        <w:jc w:val="center"/>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3F9CF88B">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本公司郑重声明，根据《政府采购促进中小企业发展管理办法》（财库﹝2020﹞46 号）的规定，本公司参加</w:t>
      </w:r>
      <w:r>
        <w:rPr>
          <w:rFonts w:hint="eastAsia" w:ascii="宋体" w:hAnsi="宋体" w:cs="宋体"/>
          <w:color w:val="auto"/>
          <w:kern w:val="0"/>
          <w:sz w:val="28"/>
          <w:szCs w:val="28"/>
          <w:highlight w:val="none"/>
          <w:u w:val="single"/>
        </w:rPr>
        <w:t>桂林市生态环境局</w:t>
      </w:r>
      <w:r>
        <w:rPr>
          <w:rFonts w:hint="eastAsia" w:ascii="宋体" w:hAnsi="宋体" w:cs="宋体"/>
          <w:color w:val="auto"/>
          <w:kern w:val="0"/>
          <w:sz w:val="28"/>
          <w:szCs w:val="28"/>
          <w:highlight w:val="none"/>
        </w:rPr>
        <w:t>的</w:t>
      </w:r>
      <w:r>
        <w:rPr>
          <w:rFonts w:hint="eastAsia" w:ascii="宋体" w:hAnsi="宋体" w:cs="宋体"/>
          <w:color w:val="auto"/>
          <w:kern w:val="0"/>
          <w:sz w:val="28"/>
          <w:szCs w:val="28"/>
          <w:highlight w:val="none"/>
          <w:u w:val="single"/>
        </w:rPr>
        <w:t>桂林市生态环境执法监测服务</w:t>
      </w:r>
      <w:r>
        <w:rPr>
          <w:rFonts w:hint="eastAsia" w:ascii="宋体" w:hAnsi="宋体" w:cs="宋体"/>
          <w:color w:val="auto"/>
          <w:kern w:val="0"/>
          <w:sz w:val="28"/>
          <w:szCs w:val="28"/>
          <w:highlight w:val="none"/>
        </w:rPr>
        <w:t>采购活动，服务全部由符合政策要求的中小企业承接。相关企业的具体情况如下：</w:t>
      </w:r>
    </w:p>
    <w:p w14:paraId="516DEF16">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桂林市生态环境执法监测服务</w:t>
      </w:r>
      <w:r>
        <w:rPr>
          <w:rFonts w:hint="eastAsia" w:ascii="宋体" w:hAnsi="宋体" w:cs="宋体"/>
          <w:color w:val="auto"/>
          <w:kern w:val="0"/>
          <w:sz w:val="28"/>
          <w:szCs w:val="28"/>
          <w:highlight w:val="none"/>
        </w:rPr>
        <w:t>，属于</w:t>
      </w:r>
      <w:r>
        <w:rPr>
          <w:rFonts w:hint="eastAsia" w:ascii="宋体" w:hAnsi="宋体" w:cs="宋体"/>
          <w:color w:val="auto"/>
          <w:kern w:val="0"/>
          <w:sz w:val="28"/>
          <w:szCs w:val="28"/>
          <w:highlight w:val="none"/>
          <w:u w:val="single"/>
        </w:rPr>
        <w:t>其他未列明</w:t>
      </w:r>
      <w:r>
        <w:rPr>
          <w:rFonts w:hint="eastAsia" w:ascii="宋体" w:hAnsi="宋体" w:cs="宋体"/>
          <w:color w:val="auto"/>
          <w:kern w:val="0"/>
          <w:sz w:val="28"/>
          <w:szCs w:val="28"/>
          <w:highlight w:val="none"/>
        </w:rPr>
        <w:t>行业；承接企业为</w:t>
      </w:r>
      <w:r>
        <w:rPr>
          <w:rFonts w:hint="eastAsia" w:ascii="宋体" w:hAnsi="宋体" w:cs="宋体"/>
          <w:color w:val="auto"/>
          <w:kern w:val="0"/>
          <w:sz w:val="28"/>
          <w:szCs w:val="28"/>
          <w:highlight w:val="none"/>
          <w:u w:val="single"/>
        </w:rPr>
        <w:t>（企业名称）</w:t>
      </w:r>
      <w:r>
        <w:rPr>
          <w:rFonts w:hint="eastAsia" w:ascii="宋体" w:hAnsi="宋体" w:cs="宋体"/>
          <w:color w:val="auto"/>
          <w:kern w:val="0"/>
          <w:sz w:val="28"/>
          <w:szCs w:val="28"/>
          <w:highlight w:val="none"/>
        </w:rPr>
        <w:t>，从业人员</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人，营业收入为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万元，资产总额为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万元，属于</w:t>
      </w:r>
      <w:r>
        <w:rPr>
          <w:rFonts w:hint="eastAsia" w:ascii="宋体" w:hAnsi="宋体" w:cs="宋体"/>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w:t>
      </w:r>
    </w:p>
    <w:p w14:paraId="689B36E6">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以上企业，不属于大企业的分支机构，不存在控股股东为大企业的情形，也不存在与大企业的负责人为同一人的情形。</w:t>
      </w:r>
    </w:p>
    <w:p w14:paraId="1A8E70C6">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本企业对上述声明内容的真实性负责。如有虚假，将依法承担相应责任。</w:t>
      </w:r>
    </w:p>
    <w:p w14:paraId="6636AAF2">
      <w:pPr>
        <w:tabs>
          <w:tab w:val="left" w:pos="4860"/>
        </w:tabs>
        <w:spacing w:line="588" w:lineRule="exact"/>
        <w:ind w:right="1560" w:firstLine="560"/>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olor w:val="auto"/>
          <w:sz w:val="28"/>
          <w:szCs w:val="28"/>
          <w:highlight w:val="none"/>
        </w:rPr>
        <w:t>供应商</w:t>
      </w:r>
      <w:r>
        <w:rPr>
          <w:rFonts w:hint="eastAsia" w:ascii="宋体" w:hAnsi="宋体" w:cs="宋体"/>
          <w:color w:val="auto"/>
          <w:sz w:val="28"/>
          <w:szCs w:val="28"/>
          <w:highlight w:val="none"/>
        </w:rPr>
        <w:t>电子签章</w:t>
      </w:r>
      <w:r>
        <w:rPr>
          <w:rFonts w:hint="eastAsia" w:ascii="宋体" w:hAnsi="宋体" w:cs="宋体"/>
          <w:color w:val="auto"/>
          <w:kern w:val="0"/>
          <w:sz w:val="28"/>
          <w:szCs w:val="28"/>
          <w:highlight w:val="none"/>
        </w:rPr>
        <w:t xml:space="preserve">： </w:t>
      </w:r>
    </w:p>
    <w:p w14:paraId="56627174">
      <w:pPr>
        <w:snapToGrid w:val="0"/>
        <w:spacing w:before="120" w:beforeLines="50" w:after="50"/>
        <w:ind w:firstLine="56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日  期：</w:t>
      </w:r>
    </w:p>
    <w:p w14:paraId="4D387D8D">
      <w:pPr>
        <w:snapToGrid w:val="0"/>
        <w:spacing w:before="120" w:beforeLines="50" w:after="50"/>
        <w:ind w:firstLine="360"/>
        <w:jc w:val="left"/>
        <w:rPr>
          <w:rFonts w:hint="eastAsia" w:ascii="宋体" w:hAnsi="宋体" w:cs="宋体"/>
          <w:color w:val="auto"/>
          <w:kern w:val="0"/>
          <w:sz w:val="18"/>
          <w:szCs w:val="18"/>
          <w:highlight w:val="none"/>
        </w:rPr>
      </w:pPr>
    </w:p>
    <w:p w14:paraId="1C65F3E6">
      <w:pPr>
        <w:snapToGrid w:val="0"/>
        <w:spacing w:before="120" w:beforeLines="50" w:after="50"/>
        <w:ind w:firstLine="36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注：《中小企业声明函》中从业人员、营业收入、资产总额填报上一年度数据，无上一年度数据的新成立企业可不填报。</w:t>
      </w:r>
    </w:p>
    <w:p w14:paraId="2205D618">
      <w:pPr>
        <w:pStyle w:val="26"/>
        <w:spacing w:line="400" w:lineRule="exact"/>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28F9B2EA">
      <w:pPr>
        <w:pStyle w:val="11"/>
        <w:rPr>
          <w:color w:val="auto"/>
          <w:highlight w:val="none"/>
          <w:lang w:val="en-GB"/>
        </w:rPr>
      </w:pPr>
    </w:p>
    <w:p w14:paraId="195FAEA2">
      <w:pPr>
        <w:pStyle w:val="170"/>
        <w:rPr>
          <w:rFonts w:hint="eastAsia" w:hAnsi="宋体"/>
          <w:color w:val="auto"/>
          <w:sz w:val="28"/>
          <w:szCs w:val="28"/>
          <w:highlight w:val="none"/>
        </w:rPr>
      </w:pPr>
    </w:p>
    <w:p w14:paraId="3E7B2C40">
      <w:pPr>
        <w:pStyle w:val="26"/>
        <w:spacing w:line="400" w:lineRule="exact"/>
        <w:rPr>
          <w:rFonts w:hint="eastAsia" w:ascii="宋体" w:hAnsi="宋体"/>
          <w:b/>
          <w:color w:val="auto"/>
          <w:sz w:val="28"/>
          <w:szCs w:val="28"/>
          <w:highlight w:val="none"/>
        </w:rPr>
      </w:pPr>
      <w:r>
        <w:rPr>
          <w:rFonts w:hint="eastAsia" w:ascii="宋体" w:hAnsi="宋体"/>
          <w:b/>
          <w:color w:val="auto"/>
          <w:sz w:val="28"/>
          <w:szCs w:val="28"/>
          <w:highlight w:val="none"/>
        </w:rPr>
        <w:t>（3）供应商如属于符合条件的残疾人福利性单位且承接本项目全部服务的，提供《残疾人福利性单位声明函》（并对声明的真实性负责）</w:t>
      </w:r>
    </w:p>
    <w:p w14:paraId="368D46A8">
      <w:pPr>
        <w:pStyle w:val="26"/>
        <w:ind w:firstLine="413" w:firstLineChars="147"/>
        <w:rPr>
          <w:rFonts w:hint="eastAsia" w:ascii="宋体" w:hAnsi="宋体"/>
          <w:b/>
          <w:color w:val="auto"/>
          <w:sz w:val="28"/>
          <w:szCs w:val="28"/>
          <w:highlight w:val="none"/>
        </w:rPr>
      </w:pPr>
      <w:r>
        <w:rPr>
          <w:rFonts w:hint="eastAsia" w:ascii="宋体" w:hAnsi="宋体"/>
          <w:b/>
          <w:color w:val="auto"/>
          <w:sz w:val="28"/>
          <w:szCs w:val="28"/>
          <w:highlight w:val="none"/>
        </w:rPr>
        <w:t>附件：</w:t>
      </w:r>
    </w:p>
    <w:p w14:paraId="60476C17">
      <w:pPr>
        <w:pStyle w:val="26"/>
        <w:jc w:val="center"/>
        <w:rPr>
          <w:rFonts w:hint="eastAsia" w:hAnsi="宋体"/>
          <w:b/>
          <w:bCs/>
          <w:color w:val="auto"/>
          <w:sz w:val="32"/>
          <w:szCs w:val="32"/>
          <w:highlight w:val="none"/>
        </w:rPr>
      </w:pPr>
      <w:r>
        <w:rPr>
          <w:rFonts w:hint="eastAsia" w:hAnsi="宋体"/>
          <w:b/>
          <w:bCs/>
          <w:color w:val="auto"/>
          <w:sz w:val="32"/>
          <w:szCs w:val="32"/>
          <w:highlight w:val="none"/>
        </w:rPr>
        <w:t>残疾人福利性单位声明函（格式）</w:t>
      </w:r>
    </w:p>
    <w:p w14:paraId="2C4E5D98">
      <w:pPr>
        <w:spacing w:line="588" w:lineRule="exact"/>
        <w:ind w:firstLine="626"/>
        <w:rPr>
          <w:rFonts w:ascii="仿宋_GB2312" w:eastAsia="仿宋_GB2312"/>
          <w:b/>
          <w:color w:val="auto"/>
          <w:spacing w:val="6"/>
          <w:sz w:val="30"/>
          <w:szCs w:val="30"/>
          <w:highlight w:val="none"/>
        </w:rPr>
      </w:pPr>
    </w:p>
    <w:p w14:paraId="09C574CC">
      <w:pPr>
        <w:spacing w:line="588" w:lineRule="exact"/>
        <w:ind w:firstLine="584"/>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D65D0F">
      <w:pPr>
        <w:spacing w:line="588" w:lineRule="exact"/>
        <w:ind w:firstLine="584"/>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7896F531">
      <w:pPr>
        <w:spacing w:line="588" w:lineRule="exact"/>
        <w:ind w:firstLine="624"/>
        <w:rPr>
          <w:rFonts w:hint="eastAsia" w:ascii="宋体" w:hAnsi="宋体"/>
          <w:color w:val="auto"/>
          <w:spacing w:val="6"/>
          <w:sz w:val="30"/>
          <w:szCs w:val="30"/>
          <w:highlight w:val="none"/>
        </w:rPr>
      </w:pPr>
    </w:p>
    <w:p w14:paraId="1E5A0DEF">
      <w:pPr>
        <w:tabs>
          <w:tab w:val="left" w:pos="4860"/>
        </w:tabs>
        <w:spacing w:line="588" w:lineRule="exact"/>
        <w:ind w:right="1560" w:firstLine="624"/>
        <w:jc w:val="center"/>
        <w:rPr>
          <w:rFonts w:hint="eastAsia"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7D8CBE96">
      <w:pPr>
        <w:tabs>
          <w:tab w:val="left" w:pos="4860"/>
        </w:tabs>
        <w:spacing w:line="588" w:lineRule="exact"/>
        <w:ind w:right="1560" w:firstLine="624"/>
        <w:jc w:val="center"/>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44C1DA97">
      <w:pPr>
        <w:spacing w:line="340" w:lineRule="exact"/>
        <w:ind w:firstLine="2160" w:firstLineChars="900"/>
        <w:rPr>
          <w:rFonts w:hint="eastAsia" w:hAnsi="宋体"/>
          <w:color w:val="auto"/>
          <w:highlight w:val="none"/>
          <w:u w:val="single"/>
        </w:rPr>
      </w:pPr>
    </w:p>
    <w:p w14:paraId="1514BD57">
      <w:pPr>
        <w:spacing w:line="500" w:lineRule="exact"/>
        <w:ind w:firstLine="422"/>
        <w:rPr>
          <w:rFonts w:hint="eastAsia" w:ascii="宋体" w:hAnsi="宋体" w:cs="宋体"/>
          <w:b/>
          <w:color w:val="auto"/>
          <w:kern w:val="0"/>
          <w:sz w:val="21"/>
          <w:szCs w:val="21"/>
          <w:highlight w:val="none"/>
        </w:rPr>
      </w:pPr>
    </w:p>
    <w:p w14:paraId="74475C01">
      <w:pPr>
        <w:spacing w:line="500" w:lineRule="exact"/>
        <w:ind w:firstLine="422"/>
        <w:rPr>
          <w:rFonts w:hint="eastAsia" w:ascii="宋体" w:hAnsi="宋体" w:cs="宋体"/>
          <w:b/>
          <w:color w:val="auto"/>
          <w:kern w:val="0"/>
          <w:sz w:val="21"/>
          <w:szCs w:val="21"/>
          <w:highlight w:val="none"/>
        </w:rPr>
      </w:pPr>
    </w:p>
    <w:p w14:paraId="185004DA">
      <w:pPr>
        <w:spacing w:line="50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010F94A5">
      <w:pPr>
        <w:spacing w:line="340" w:lineRule="exact"/>
        <w:ind w:firstLine="0" w:firstLineChars="0"/>
        <w:rPr>
          <w:rFonts w:hint="eastAsia" w:ascii="宋体" w:hAnsi="宋体"/>
          <w:b/>
          <w:color w:val="auto"/>
          <w:kern w:val="0"/>
          <w:sz w:val="32"/>
          <w:szCs w:val="32"/>
          <w:highlight w:val="none"/>
        </w:rPr>
      </w:pPr>
      <w:r>
        <w:rPr>
          <w:rFonts w:ascii="宋体" w:hAnsi="宋体" w:cs="宋体"/>
          <w:b/>
          <w:color w:val="auto"/>
          <w:kern w:val="0"/>
          <w:sz w:val="28"/>
          <w:szCs w:val="28"/>
          <w:highlight w:val="none"/>
        </w:rPr>
        <w:br w:type="page"/>
      </w:r>
      <w:r>
        <w:rPr>
          <w:rFonts w:hint="eastAsia" w:ascii="宋体" w:hAnsi="宋体"/>
          <w:b/>
          <w:color w:val="auto"/>
          <w:kern w:val="0"/>
          <w:sz w:val="32"/>
          <w:szCs w:val="32"/>
          <w:highlight w:val="none"/>
        </w:rPr>
        <w:t>（二）符合性响应证明材料目录</w:t>
      </w:r>
    </w:p>
    <w:p w14:paraId="763068DB">
      <w:pPr>
        <w:tabs>
          <w:tab w:val="left" w:pos="1305"/>
        </w:tabs>
        <w:spacing w:line="440" w:lineRule="exact"/>
        <w:ind w:firstLine="420"/>
        <w:rPr>
          <w:rFonts w:hint="eastAsia" w:ascii="宋体" w:hAnsi="宋体"/>
          <w:color w:val="auto"/>
          <w:kern w:val="0"/>
          <w:sz w:val="21"/>
          <w:szCs w:val="21"/>
          <w:highlight w:val="none"/>
        </w:rPr>
      </w:pPr>
    </w:p>
    <w:p w14:paraId="7AF4733D">
      <w:pPr>
        <w:tabs>
          <w:tab w:val="left" w:pos="1305"/>
        </w:tabs>
        <w:spacing w:line="520" w:lineRule="exact"/>
        <w:ind w:firstLine="720" w:firstLineChars="300"/>
        <w:rPr>
          <w:rFonts w:hint="eastAsia" w:ascii="宋体" w:hAnsi="宋体" w:cs="宋体"/>
          <w:b/>
          <w:color w:val="auto"/>
          <w:kern w:val="0"/>
          <w:highlight w:val="none"/>
        </w:rPr>
      </w:pPr>
      <w:r>
        <w:rPr>
          <w:rFonts w:hint="eastAsia" w:ascii="宋体" w:hAnsi="宋体" w:cs="宋体"/>
          <w:color w:val="auto"/>
          <w:kern w:val="0"/>
          <w:highlight w:val="none"/>
        </w:rPr>
        <w:t>1.磋商报价表</w:t>
      </w:r>
      <w:r>
        <w:rPr>
          <w:rFonts w:hint="eastAsia" w:ascii="宋体" w:hAnsi="宋体" w:cs="宋体"/>
          <w:b/>
          <w:color w:val="auto"/>
          <w:kern w:val="0"/>
          <w:highlight w:val="none"/>
        </w:rPr>
        <w:t>（必须提供）</w:t>
      </w:r>
    </w:p>
    <w:p w14:paraId="465F5A4B">
      <w:pPr>
        <w:tabs>
          <w:tab w:val="left" w:pos="1305"/>
        </w:tabs>
        <w:spacing w:line="520" w:lineRule="exact"/>
        <w:ind w:firstLine="720" w:firstLineChars="300"/>
        <w:rPr>
          <w:rFonts w:hint="eastAsia" w:ascii="宋体" w:hAnsi="宋体" w:cs="宋体"/>
          <w:color w:val="auto"/>
          <w:kern w:val="0"/>
          <w:highlight w:val="none"/>
        </w:rPr>
      </w:pPr>
      <w:r>
        <w:rPr>
          <w:rFonts w:hint="eastAsia" w:ascii="宋体" w:hAnsi="宋体" w:cs="宋体"/>
          <w:color w:val="auto"/>
          <w:kern w:val="0"/>
          <w:highlight w:val="none"/>
        </w:rPr>
        <w:t>2.服务内容要求及商务要求响应表</w:t>
      </w:r>
      <w:r>
        <w:rPr>
          <w:rFonts w:hint="eastAsia" w:ascii="宋体" w:hAnsi="宋体" w:cs="宋体"/>
          <w:b/>
          <w:color w:val="auto"/>
          <w:kern w:val="0"/>
          <w:highlight w:val="none"/>
        </w:rPr>
        <w:t>（必须提供）</w:t>
      </w:r>
    </w:p>
    <w:p w14:paraId="2906C78F">
      <w:pPr>
        <w:pStyle w:val="26"/>
        <w:spacing w:line="320" w:lineRule="exact"/>
        <w:rPr>
          <w:rFonts w:hint="eastAsia" w:hAnsi="宋体"/>
          <w:b/>
          <w:color w:val="auto"/>
          <w:kern w:val="0"/>
          <w:sz w:val="28"/>
          <w:szCs w:val="28"/>
          <w:highlight w:val="none"/>
        </w:rPr>
      </w:pPr>
    </w:p>
    <w:p w14:paraId="0CD0A772">
      <w:pPr>
        <w:spacing w:line="320" w:lineRule="exact"/>
        <w:ind w:firstLine="0" w:firstLineChars="0"/>
        <w:rPr>
          <w:rFonts w:hint="eastAsia" w:ascii="宋体" w:hAnsi="宋体"/>
          <w:b/>
          <w:color w:val="auto"/>
          <w:kern w:val="0"/>
          <w:sz w:val="28"/>
          <w:szCs w:val="28"/>
          <w:highlight w:val="none"/>
        </w:rPr>
      </w:pPr>
    </w:p>
    <w:p w14:paraId="71D0250E">
      <w:pPr>
        <w:spacing w:line="320" w:lineRule="exact"/>
        <w:ind w:firstLine="0" w:firstLineChars="0"/>
        <w:rPr>
          <w:rFonts w:hint="eastAsia" w:ascii="宋体" w:hAnsi="宋体"/>
          <w:b/>
          <w:color w:val="auto"/>
          <w:kern w:val="0"/>
          <w:sz w:val="28"/>
          <w:szCs w:val="28"/>
          <w:highlight w:val="none"/>
        </w:rPr>
      </w:pPr>
    </w:p>
    <w:p w14:paraId="5895F50D">
      <w:pPr>
        <w:spacing w:line="320" w:lineRule="exact"/>
        <w:ind w:firstLine="0" w:firstLineChars="0"/>
        <w:rPr>
          <w:rFonts w:hint="eastAsia" w:ascii="宋体" w:hAnsi="宋体"/>
          <w:b/>
          <w:color w:val="auto"/>
          <w:kern w:val="0"/>
          <w:sz w:val="28"/>
          <w:szCs w:val="28"/>
          <w:highlight w:val="none"/>
        </w:rPr>
      </w:pPr>
    </w:p>
    <w:p w14:paraId="5309377C">
      <w:pPr>
        <w:spacing w:line="320" w:lineRule="exact"/>
        <w:ind w:firstLine="0" w:firstLineChars="0"/>
        <w:rPr>
          <w:rFonts w:hint="eastAsia" w:ascii="宋体" w:hAnsi="宋体"/>
          <w:b/>
          <w:color w:val="auto"/>
          <w:kern w:val="0"/>
          <w:sz w:val="28"/>
          <w:szCs w:val="28"/>
          <w:highlight w:val="none"/>
        </w:rPr>
      </w:pPr>
    </w:p>
    <w:p w14:paraId="4A962E88">
      <w:pPr>
        <w:spacing w:line="320" w:lineRule="exact"/>
        <w:ind w:firstLine="0" w:firstLineChars="0"/>
        <w:rPr>
          <w:rFonts w:hint="eastAsia" w:ascii="宋体" w:hAnsi="宋体"/>
          <w:b/>
          <w:color w:val="auto"/>
          <w:kern w:val="0"/>
          <w:sz w:val="28"/>
          <w:szCs w:val="28"/>
          <w:highlight w:val="none"/>
        </w:rPr>
      </w:pPr>
    </w:p>
    <w:p w14:paraId="4D17369F">
      <w:pPr>
        <w:spacing w:line="320" w:lineRule="exact"/>
        <w:ind w:firstLine="0" w:firstLineChars="0"/>
        <w:rPr>
          <w:rFonts w:hint="eastAsia" w:ascii="宋体" w:hAnsi="宋体"/>
          <w:b/>
          <w:color w:val="auto"/>
          <w:kern w:val="0"/>
          <w:sz w:val="28"/>
          <w:szCs w:val="28"/>
          <w:highlight w:val="none"/>
        </w:rPr>
      </w:pPr>
    </w:p>
    <w:p w14:paraId="5FB93AA9">
      <w:pPr>
        <w:spacing w:line="320" w:lineRule="exact"/>
        <w:ind w:firstLine="0" w:firstLineChars="0"/>
        <w:rPr>
          <w:rFonts w:hint="eastAsia" w:ascii="宋体" w:hAnsi="宋体"/>
          <w:b/>
          <w:color w:val="auto"/>
          <w:kern w:val="0"/>
          <w:sz w:val="28"/>
          <w:szCs w:val="28"/>
          <w:highlight w:val="none"/>
        </w:rPr>
      </w:pPr>
    </w:p>
    <w:p w14:paraId="06283095">
      <w:pPr>
        <w:spacing w:line="320" w:lineRule="exact"/>
        <w:ind w:firstLine="0" w:firstLineChars="0"/>
        <w:rPr>
          <w:rFonts w:hint="eastAsia" w:ascii="宋体" w:hAnsi="宋体"/>
          <w:b/>
          <w:color w:val="auto"/>
          <w:kern w:val="0"/>
          <w:sz w:val="28"/>
          <w:szCs w:val="28"/>
          <w:highlight w:val="none"/>
        </w:rPr>
      </w:pPr>
    </w:p>
    <w:p w14:paraId="2EE04D2C">
      <w:pPr>
        <w:spacing w:line="320" w:lineRule="exact"/>
        <w:ind w:firstLine="0" w:firstLineChars="0"/>
        <w:rPr>
          <w:rFonts w:hint="eastAsia" w:ascii="宋体" w:hAnsi="宋体"/>
          <w:b/>
          <w:color w:val="auto"/>
          <w:kern w:val="0"/>
          <w:sz w:val="28"/>
          <w:szCs w:val="28"/>
          <w:highlight w:val="none"/>
        </w:rPr>
      </w:pPr>
    </w:p>
    <w:p w14:paraId="1DF20C2A">
      <w:pPr>
        <w:spacing w:line="320" w:lineRule="exact"/>
        <w:ind w:firstLine="0" w:firstLineChars="0"/>
        <w:rPr>
          <w:rFonts w:hint="eastAsia" w:ascii="宋体" w:hAnsi="宋体"/>
          <w:b/>
          <w:color w:val="auto"/>
          <w:kern w:val="0"/>
          <w:sz w:val="28"/>
          <w:szCs w:val="28"/>
          <w:highlight w:val="none"/>
        </w:rPr>
      </w:pPr>
    </w:p>
    <w:p w14:paraId="4802C151">
      <w:pPr>
        <w:spacing w:line="320" w:lineRule="exact"/>
        <w:ind w:firstLine="0" w:firstLineChars="0"/>
        <w:rPr>
          <w:rFonts w:hint="eastAsia" w:ascii="宋体" w:hAnsi="宋体"/>
          <w:b/>
          <w:color w:val="auto"/>
          <w:kern w:val="0"/>
          <w:sz w:val="28"/>
          <w:szCs w:val="28"/>
          <w:highlight w:val="none"/>
        </w:rPr>
      </w:pPr>
    </w:p>
    <w:p w14:paraId="0F092322">
      <w:pPr>
        <w:spacing w:line="320" w:lineRule="exact"/>
        <w:ind w:firstLine="0" w:firstLineChars="0"/>
        <w:rPr>
          <w:rFonts w:hint="eastAsia" w:ascii="宋体" w:hAnsi="宋体"/>
          <w:b/>
          <w:color w:val="auto"/>
          <w:kern w:val="0"/>
          <w:sz w:val="28"/>
          <w:szCs w:val="28"/>
          <w:highlight w:val="none"/>
        </w:rPr>
      </w:pPr>
    </w:p>
    <w:p w14:paraId="2C3D0831">
      <w:pPr>
        <w:spacing w:line="320" w:lineRule="exact"/>
        <w:ind w:firstLine="0" w:firstLineChars="0"/>
        <w:rPr>
          <w:rFonts w:hint="eastAsia" w:ascii="宋体" w:hAnsi="宋体"/>
          <w:b/>
          <w:color w:val="auto"/>
          <w:kern w:val="0"/>
          <w:sz w:val="28"/>
          <w:szCs w:val="28"/>
          <w:highlight w:val="none"/>
        </w:rPr>
      </w:pPr>
    </w:p>
    <w:p w14:paraId="0CAA2845">
      <w:pPr>
        <w:spacing w:line="320" w:lineRule="exact"/>
        <w:ind w:firstLine="0" w:firstLineChars="0"/>
        <w:rPr>
          <w:rFonts w:hint="eastAsia" w:ascii="宋体" w:hAnsi="宋体"/>
          <w:b/>
          <w:color w:val="auto"/>
          <w:kern w:val="0"/>
          <w:sz w:val="28"/>
          <w:szCs w:val="28"/>
          <w:highlight w:val="none"/>
        </w:rPr>
      </w:pPr>
    </w:p>
    <w:p w14:paraId="1749143C">
      <w:pPr>
        <w:spacing w:line="320" w:lineRule="exact"/>
        <w:ind w:firstLine="0" w:firstLineChars="0"/>
        <w:rPr>
          <w:rFonts w:hint="eastAsia" w:ascii="宋体" w:hAnsi="宋体"/>
          <w:b/>
          <w:color w:val="auto"/>
          <w:kern w:val="0"/>
          <w:sz w:val="28"/>
          <w:szCs w:val="28"/>
          <w:highlight w:val="none"/>
        </w:rPr>
      </w:pPr>
    </w:p>
    <w:p w14:paraId="084DC1AB">
      <w:pPr>
        <w:spacing w:line="320" w:lineRule="exact"/>
        <w:ind w:firstLine="0" w:firstLineChars="0"/>
        <w:rPr>
          <w:rFonts w:hint="eastAsia" w:ascii="宋体" w:hAnsi="宋体"/>
          <w:b/>
          <w:color w:val="auto"/>
          <w:kern w:val="0"/>
          <w:sz w:val="28"/>
          <w:szCs w:val="28"/>
          <w:highlight w:val="none"/>
        </w:rPr>
      </w:pPr>
    </w:p>
    <w:p w14:paraId="41A3A15B">
      <w:pPr>
        <w:spacing w:line="320" w:lineRule="exact"/>
        <w:ind w:firstLine="0" w:firstLineChars="0"/>
        <w:rPr>
          <w:rFonts w:hint="eastAsia" w:ascii="宋体" w:hAnsi="宋体"/>
          <w:b/>
          <w:color w:val="auto"/>
          <w:kern w:val="0"/>
          <w:sz w:val="28"/>
          <w:szCs w:val="28"/>
          <w:highlight w:val="none"/>
        </w:rPr>
      </w:pPr>
    </w:p>
    <w:p w14:paraId="3F1D8AEF">
      <w:pPr>
        <w:spacing w:line="320" w:lineRule="exact"/>
        <w:ind w:firstLine="0" w:firstLineChars="0"/>
        <w:rPr>
          <w:rFonts w:hint="eastAsia" w:ascii="宋体" w:hAnsi="宋体"/>
          <w:b/>
          <w:color w:val="auto"/>
          <w:kern w:val="0"/>
          <w:sz w:val="28"/>
          <w:szCs w:val="28"/>
          <w:highlight w:val="none"/>
        </w:rPr>
      </w:pPr>
    </w:p>
    <w:p w14:paraId="35A3337F">
      <w:pPr>
        <w:spacing w:line="320" w:lineRule="exact"/>
        <w:ind w:firstLine="0" w:firstLineChars="0"/>
        <w:rPr>
          <w:rFonts w:hint="eastAsia" w:ascii="宋体" w:hAnsi="宋体"/>
          <w:b/>
          <w:color w:val="auto"/>
          <w:kern w:val="0"/>
          <w:sz w:val="28"/>
          <w:szCs w:val="28"/>
          <w:highlight w:val="none"/>
        </w:rPr>
      </w:pPr>
    </w:p>
    <w:p w14:paraId="136F5635">
      <w:pPr>
        <w:spacing w:line="320" w:lineRule="exact"/>
        <w:ind w:firstLine="0" w:firstLineChars="0"/>
        <w:rPr>
          <w:rFonts w:hint="eastAsia" w:ascii="宋体" w:hAnsi="宋体"/>
          <w:b/>
          <w:color w:val="auto"/>
          <w:kern w:val="0"/>
          <w:sz w:val="28"/>
          <w:szCs w:val="28"/>
          <w:highlight w:val="none"/>
        </w:rPr>
      </w:pPr>
    </w:p>
    <w:p w14:paraId="77779C60">
      <w:pPr>
        <w:spacing w:line="320" w:lineRule="exact"/>
        <w:ind w:firstLine="0" w:firstLineChars="0"/>
        <w:rPr>
          <w:rFonts w:hint="eastAsia" w:ascii="宋体" w:hAnsi="宋体"/>
          <w:b/>
          <w:color w:val="auto"/>
          <w:kern w:val="0"/>
          <w:sz w:val="28"/>
          <w:szCs w:val="28"/>
          <w:highlight w:val="none"/>
        </w:rPr>
      </w:pPr>
    </w:p>
    <w:p w14:paraId="79487F84">
      <w:pPr>
        <w:spacing w:line="320" w:lineRule="exact"/>
        <w:ind w:firstLine="0" w:firstLineChars="0"/>
        <w:rPr>
          <w:rFonts w:hint="eastAsia" w:ascii="宋体" w:hAnsi="宋体"/>
          <w:b/>
          <w:color w:val="auto"/>
          <w:kern w:val="0"/>
          <w:sz w:val="28"/>
          <w:szCs w:val="28"/>
          <w:highlight w:val="none"/>
        </w:rPr>
      </w:pPr>
    </w:p>
    <w:p w14:paraId="5B3D4F5D">
      <w:pPr>
        <w:spacing w:line="320" w:lineRule="exact"/>
        <w:ind w:firstLine="0" w:firstLineChars="0"/>
        <w:rPr>
          <w:rFonts w:hint="eastAsia" w:ascii="宋体" w:hAnsi="宋体"/>
          <w:b/>
          <w:color w:val="auto"/>
          <w:kern w:val="0"/>
          <w:sz w:val="28"/>
          <w:szCs w:val="28"/>
          <w:highlight w:val="none"/>
        </w:rPr>
      </w:pPr>
    </w:p>
    <w:p w14:paraId="19E4F991">
      <w:pPr>
        <w:spacing w:line="320" w:lineRule="exact"/>
        <w:ind w:firstLine="0" w:firstLineChars="0"/>
        <w:rPr>
          <w:rFonts w:hint="eastAsia" w:ascii="宋体" w:hAnsi="宋体"/>
          <w:b/>
          <w:color w:val="auto"/>
          <w:kern w:val="0"/>
          <w:sz w:val="28"/>
          <w:szCs w:val="28"/>
          <w:highlight w:val="none"/>
        </w:rPr>
      </w:pPr>
    </w:p>
    <w:p w14:paraId="3518F755">
      <w:pPr>
        <w:spacing w:line="320" w:lineRule="exact"/>
        <w:ind w:firstLine="0" w:firstLineChars="0"/>
        <w:rPr>
          <w:rFonts w:hint="eastAsia" w:ascii="宋体" w:hAnsi="宋体"/>
          <w:b/>
          <w:color w:val="auto"/>
          <w:kern w:val="0"/>
          <w:sz w:val="28"/>
          <w:szCs w:val="28"/>
          <w:highlight w:val="none"/>
        </w:rPr>
      </w:pPr>
    </w:p>
    <w:p w14:paraId="5ABFF048">
      <w:pPr>
        <w:spacing w:line="320" w:lineRule="exact"/>
        <w:ind w:firstLine="0" w:firstLineChars="0"/>
        <w:rPr>
          <w:rFonts w:hint="eastAsia" w:ascii="宋体" w:hAnsi="宋体"/>
          <w:b/>
          <w:color w:val="auto"/>
          <w:kern w:val="0"/>
          <w:sz w:val="28"/>
          <w:szCs w:val="28"/>
          <w:highlight w:val="none"/>
        </w:rPr>
      </w:pPr>
    </w:p>
    <w:p w14:paraId="60FB224E">
      <w:pPr>
        <w:spacing w:line="320" w:lineRule="exact"/>
        <w:ind w:firstLine="0" w:firstLineChars="0"/>
        <w:rPr>
          <w:rFonts w:hint="eastAsia" w:ascii="宋体" w:hAnsi="宋体"/>
          <w:b/>
          <w:color w:val="auto"/>
          <w:kern w:val="0"/>
          <w:sz w:val="28"/>
          <w:szCs w:val="28"/>
          <w:highlight w:val="none"/>
        </w:rPr>
      </w:pPr>
    </w:p>
    <w:p w14:paraId="31161229">
      <w:pPr>
        <w:spacing w:line="320" w:lineRule="exact"/>
        <w:ind w:firstLine="0" w:firstLineChars="0"/>
        <w:rPr>
          <w:rFonts w:hint="eastAsia" w:ascii="宋体" w:hAnsi="宋体"/>
          <w:b/>
          <w:color w:val="auto"/>
          <w:kern w:val="0"/>
          <w:sz w:val="28"/>
          <w:szCs w:val="28"/>
          <w:highlight w:val="none"/>
        </w:rPr>
      </w:pPr>
    </w:p>
    <w:p w14:paraId="788F3700">
      <w:pPr>
        <w:spacing w:line="320" w:lineRule="exact"/>
        <w:ind w:firstLine="0" w:firstLineChars="0"/>
        <w:rPr>
          <w:rFonts w:hint="eastAsia" w:ascii="宋体" w:hAnsi="宋体"/>
          <w:b/>
          <w:color w:val="auto"/>
          <w:kern w:val="0"/>
          <w:sz w:val="28"/>
          <w:szCs w:val="28"/>
          <w:highlight w:val="none"/>
        </w:rPr>
      </w:pPr>
    </w:p>
    <w:p w14:paraId="2E3019D7">
      <w:pPr>
        <w:spacing w:line="320" w:lineRule="exact"/>
        <w:ind w:firstLine="0" w:firstLineChars="0"/>
        <w:rPr>
          <w:rFonts w:hint="eastAsia" w:ascii="宋体" w:hAnsi="宋体"/>
          <w:b/>
          <w:color w:val="auto"/>
          <w:kern w:val="0"/>
          <w:sz w:val="28"/>
          <w:szCs w:val="28"/>
          <w:highlight w:val="none"/>
        </w:rPr>
      </w:pPr>
    </w:p>
    <w:p w14:paraId="5B62C900">
      <w:pPr>
        <w:spacing w:line="320" w:lineRule="exact"/>
        <w:ind w:firstLine="0" w:firstLineChars="0"/>
        <w:rPr>
          <w:rFonts w:hint="eastAsia" w:ascii="宋体" w:hAnsi="宋体"/>
          <w:b/>
          <w:color w:val="auto"/>
          <w:kern w:val="0"/>
          <w:sz w:val="28"/>
          <w:szCs w:val="28"/>
          <w:highlight w:val="none"/>
        </w:rPr>
      </w:pPr>
    </w:p>
    <w:p w14:paraId="1DF35FF8">
      <w:pPr>
        <w:spacing w:line="320" w:lineRule="exact"/>
        <w:ind w:firstLine="0" w:firstLineChars="0"/>
        <w:rPr>
          <w:rFonts w:hint="eastAsia" w:ascii="宋体" w:hAnsi="宋体"/>
          <w:b/>
          <w:color w:val="auto"/>
          <w:kern w:val="0"/>
          <w:sz w:val="28"/>
          <w:szCs w:val="28"/>
          <w:highlight w:val="none"/>
        </w:rPr>
      </w:pPr>
    </w:p>
    <w:p w14:paraId="54EB465A">
      <w:pPr>
        <w:pStyle w:val="18"/>
        <w:rPr>
          <w:rFonts w:hint="eastAsia"/>
          <w:b/>
          <w:color w:val="auto"/>
          <w:sz w:val="28"/>
          <w:szCs w:val="28"/>
          <w:highlight w:val="none"/>
        </w:rPr>
      </w:pPr>
    </w:p>
    <w:p w14:paraId="6ECD4708">
      <w:pPr>
        <w:pStyle w:val="44"/>
        <w:ind w:left="480"/>
        <w:rPr>
          <w:color w:val="auto"/>
          <w:highlight w:val="none"/>
        </w:rPr>
      </w:pPr>
    </w:p>
    <w:p w14:paraId="309365F9">
      <w:pPr>
        <w:spacing w:line="320" w:lineRule="exact"/>
        <w:ind w:firstLine="0" w:firstLineChars="0"/>
        <w:rPr>
          <w:rFonts w:hint="eastAsia" w:ascii="宋体" w:hAnsi="宋体"/>
          <w:b/>
          <w:color w:val="auto"/>
          <w:kern w:val="0"/>
          <w:sz w:val="28"/>
          <w:szCs w:val="28"/>
          <w:highlight w:val="none"/>
        </w:rPr>
      </w:pPr>
    </w:p>
    <w:p w14:paraId="136828A3">
      <w:pPr>
        <w:spacing w:line="320" w:lineRule="exact"/>
        <w:ind w:firstLine="0" w:firstLineChars="0"/>
        <w:rPr>
          <w:rFonts w:hint="eastAsia" w:ascii="宋体" w:hAnsi="宋体" w:cs="宋体"/>
          <w:b/>
          <w:color w:val="auto"/>
          <w:kern w:val="0"/>
          <w:sz w:val="28"/>
          <w:szCs w:val="28"/>
          <w:highlight w:val="none"/>
        </w:rPr>
      </w:pPr>
    </w:p>
    <w:p w14:paraId="267C18D4">
      <w:pPr>
        <w:spacing w:line="320" w:lineRule="exact"/>
        <w:ind w:firstLine="0" w:firstLineChars="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1.磋商报价表（必须提供）</w:t>
      </w:r>
    </w:p>
    <w:p w14:paraId="6EFCC041">
      <w:pPr>
        <w:spacing w:line="300" w:lineRule="exact"/>
        <w:ind w:left="420" w:firstLine="0" w:firstLineChars="0"/>
        <w:jc w:val="left"/>
        <w:rPr>
          <w:rFonts w:hint="eastAsia" w:ascii="宋体" w:hAnsi="宋体" w:cs="宋体"/>
          <w:b/>
          <w:color w:val="auto"/>
          <w:kern w:val="0"/>
          <w:sz w:val="30"/>
          <w:szCs w:val="30"/>
          <w:highlight w:val="none"/>
        </w:rPr>
      </w:pPr>
    </w:p>
    <w:p w14:paraId="1459D856">
      <w:pPr>
        <w:spacing w:line="300" w:lineRule="exact"/>
        <w:ind w:firstLine="0" w:firstLineChars="0"/>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182A756F">
      <w:pPr>
        <w:spacing w:line="300" w:lineRule="exact"/>
        <w:ind w:left="420" w:firstLine="0" w:firstLineChars="0"/>
        <w:jc w:val="left"/>
        <w:rPr>
          <w:rFonts w:hint="eastAsia" w:ascii="宋体" w:hAnsi="宋体" w:cs="宋体"/>
          <w:b/>
          <w:color w:val="auto"/>
          <w:kern w:val="0"/>
          <w:sz w:val="30"/>
          <w:szCs w:val="30"/>
          <w:highlight w:val="none"/>
        </w:rPr>
      </w:pPr>
    </w:p>
    <w:p w14:paraId="366D7E12">
      <w:pPr>
        <w:spacing w:line="500" w:lineRule="exact"/>
        <w:ind w:left="420" w:firstLine="0" w:firstLineChars="0"/>
        <w:jc w:val="center"/>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p w14:paraId="30B9611B">
      <w:pPr>
        <w:spacing w:line="500" w:lineRule="exact"/>
        <w:ind w:left="420" w:firstLine="0" w:firstLineChars="0"/>
        <w:rPr>
          <w:rFonts w:hint="eastAsia" w:ascii="宋体" w:hAnsi="宋体" w:cs="宋体"/>
          <w:b/>
          <w:color w:val="auto"/>
          <w:kern w:val="0"/>
          <w:sz w:val="32"/>
          <w:szCs w:val="20"/>
          <w:highlight w:val="none"/>
          <w:u w:val="single"/>
        </w:rPr>
      </w:pPr>
      <w:r>
        <w:rPr>
          <w:rFonts w:hint="eastAsia" w:ascii="宋体" w:hAnsi="宋体" w:cs="宋体"/>
          <w:b/>
          <w:color w:val="auto"/>
          <w:kern w:val="0"/>
          <w:szCs w:val="24"/>
          <w:highlight w:val="none"/>
        </w:rPr>
        <w:t>分标</w:t>
      </w:r>
      <w:r>
        <w:rPr>
          <w:rFonts w:hint="eastAsia" w:ascii="宋体" w:hAnsi="宋体" w:cs="宋体"/>
          <w:b/>
          <w:color w:val="auto"/>
          <w:kern w:val="0"/>
          <w:szCs w:val="24"/>
          <w:highlight w:val="none"/>
          <w:u w:val="single"/>
        </w:rPr>
        <w:t xml:space="preserve">    </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8"/>
        <w:gridCol w:w="850"/>
        <w:gridCol w:w="993"/>
        <w:gridCol w:w="2551"/>
      </w:tblGrid>
      <w:tr w14:paraId="792EA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928" w:type="dxa"/>
            <w:tcBorders>
              <w:top w:val="single" w:color="auto" w:sz="4" w:space="0"/>
              <w:left w:val="single" w:color="auto" w:sz="4" w:space="0"/>
              <w:bottom w:val="single" w:color="auto" w:sz="4" w:space="0"/>
              <w:right w:val="single" w:color="auto" w:sz="4" w:space="0"/>
            </w:tcBorders>
            <w:vAlign w:val="center"/>
          </w:tcPr>
          <w:p w14:paraId="469A2993">
            <w:pPr>
              <w:spacing w:line="300" w:lineRule="exact"/>
              <w:ind w:firstLine="4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采购标的名称</w:t>
            </w:r>
          </w:p>
        </w:tc>
        <w:tc>
          <w:tcPr>
            <w:tcW w:w="850" w:type="dxa"/>
            <w:tcBorders>
              <w:top w:val="single" w:color="auto" w:sz="4" w:space="0"/>
              <w:left w:val="single" w:color="auto" w:sz="4" w:space="0"/>
              <w:bottom w:val="single" w:color="auto" w:sz="4" w:space="0"/>
              <w:right w:val="single" w:color="auto" w:sz="4" w:space="0"/>
            </w:tcBorders>
            <w:vAlign w:val="center"/>
          </w:tcPr>
          <w:p w14:paraId="6E95F701">
            <w:pPr>
              <w:spacing w:line="30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50E6BC65">
            <w:pPr>
              <w:spacing w:line="30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单位</w:t>
            </w:r>
          </w:p>
        </w:tc>
        <w:tc>
          <w:tcPr>
            <w:tcW w:w="2551" w:type="dxa"/>
            <w:tcBorders>
              <w:top w:val="single" w:color="auto" w:sz="4" w:space="0"/>
              <w:left w:val="nil"/>
              <w:bottom w:val="single" w:color="auto" w:sz="4" w:space="0"/>
              <w:right w:val="single" w:color="auto" w:sz="4" w:space="0"/>
            </w:tcBorders>
            <w:vAlign w:val="center"/>
          </w:tcPr>
          <w:p w14:paraId="19014381">
            <w:pPr>
              <w:spacing w:line="340" w:lineRule="exact"/>
              <w:ind w:firstLine="422"/>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720E3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928" w:type="dxa"/>
            <w:tcBorders>
              <w:top w:val="single" w:color="auto" w:sz="4" w:space="0"/>
              <w:left w:val="single" w:color="auto" w:sz="4" w:space="0"/>
              <w:right w:val="single" w:color="auto" w:sz="4" w:space="0"/>
            </w:tcBorders>
            <w:vAlign w:val="center"/>
          </w:tcPr>
          <w:p w14:paraId="75D65253">
            <w:pPr>
              <w:spacing w:line="320" w:lineRule="exact"/>
              <w:ind w:firstLine="0" w:firstLineChars="0"/>
              <w:jc w:val="center"/>
              <w:rPr>
                <w:rFonts w:hint="eastAsia" w:ascii="宋体" w:hAnsi="宋体" w:cs="宋体"/>
                <w:color w:val="auto"/>
                <w:kern w:val="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79931E7">
            <w:pPr>
              <w:spacing w:line="32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7214FA2E">
            <w:pPr>
              <w:spacing w:line="32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w:t>
            </w:r>
          </w:p>
        </w:tc>
        <w:tc>
          <w:tcPr>
            <w:tcW w:w="2551" w:type="dxa"/>
            <w:tcBorders>
              <w:top w:val="nil"/>
              <w:left w:val="nil"/>
              <w:bottom w:val="single" w:color="auto" w:sz="4" w:space="0"/>
              <w:right w:val="single" w:color="auto" w:sz="4" w:space="0"/>
            </w:tcBorders>
            <w:vAlign w:val="center"/>
          </w:tcPr>
          <w:p w14:paraId="0C3F12D9">
            <w:pPr>
              <w:spacing w:line="32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供应商于响应文件中提供“服务内容及要求响应表”</w:t>
            </w:r>
          </w:p>
        </w:tc>
      </w:tr>
      <w:tr w14:paraId="7C23D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322" w:type="dxa"/>
            <w:gridSpan w:val="4"/>
            <w:tcBorders>
              <w:top w:val="single" w:color="auto" w:sz="4" w:space="0"/>
              <w:left w:val="single" w:color="auto" w:sz="4" w:space="0"/>
              <w:right w:val="single" w:color="auto" w:sz="4" w:space="0"/>
            </w:tcBorders>
            <w:vAlign w:val="center"/>
          </w:tcPr>
          <w:p w14:paraId="1FE174C1">
            <w:pPr>
              <w:spacing w:line="320" w:lineRule="exact"/>
              <w:ind w:firstLine="0" w:firstLineChars="0"/>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磋商报价（综合折扣率）：</w:t>
            </w:r>
            <w:r>
              <w:rPr>
                <w:rFonts w:hint="eastAsia" w:ascii="宋体" w:hAnsi="宋体" w:cs="宋体"/>
                <w:b/>
                <w:color w:val="auto"/>
                <w:kern w:val="0"/>
                <w:sz w:val="21"/>
                <w:szCs w:val="21"/>
                <w:highlight w:val="none"/>
                <w:u w:val="single"/>
              </w:rPr>
              <w:t xml:space="preserve">       </w:t>
            </w:r>
            <w:r>
              <w:rPr>
                <w:rFonts w:hint="eastAsia" w:ascii="宋体" w:hAnsi="宋体" w:cs="宋体"/>
                <w:b/>
                <w:color w:val="auto"/>
                <w:kern w:val="0"/>
                <w:sz w:val="21"/>
                <w:szCs w:val="21"/>
                <w:highlight w:val="none"/>
              </w:rPr>
              <w:t>%</w:t>
            </w:r>
          </w:p>
        </w:tc>
      </w:tr>
      <w:tr w14:paraId="2CE0A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3" w:hRule="atLeast"/>
        </w:trPr>
        <w:tc>
          <w:tcPr>
            <w:tcW w:w="9322" w:type="dxa"/>
            <w:gridSpan w:val="4"/>
            <w:tcBorders>
              <w:top w:val="single" w:color="auto" w:sz="4" w:space="0"/>
              <w:left w:val="single" w:color="auto" w:sz="4" w:space="0"/>
              <w:bottom w:val="single" w:color="auto" w:sz="4" w:space="0"/>
              <w:right w:val="single" w:color="auto" w:sz="4" w:space="0"/>
            </w:tcBorders>
            <w:vAlign w:val="center"/>
          </w:tcPr>
          <w:p w14:paraId="7508D3D1">
            <w:pPr>
              <w:spacing w:line="300" w:lineRule="exact"/>
              <w:ind w:firstLine="0" w:firstLineChars="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服务期限、服务区域</w:t>
            </w:r>
          </w:p>
          <w:p w14:paraId="3E262EB3">
            <w:pPr>
              <w:spacing w:line="30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1.服务期限：</w:t>
            </w:r>
            <w:r>
              <w:rPr>
                <w:rFonts w:hint="eastAsia" w:ascii="宋体" w:hAnsi="宋体" w:cs="宋体"/>
                <w:color w:val="auto"/>
                <w:kern w:val="0"/>
                <w:sz w:val="21"/>
                <w:szCs w:val="21"/>
                <w:highlight w:val="none"/>
                <w:u w:val="single"/>
              </w:rPr>
              <w:t>自签订合同之日起3年</w:t>
            </w:r>
            <w:r>
              <w:rPr>
                <w:rFonts w:hint="eastAsia" w:ascii="宋体" w:hAnsi="宋体" w:cs="宋体"/>
                <w:color w:val="auto"/>
                <w:kern w:val="0"/>
                <w:sz w:val="21"/>
                <w:szCs w:val="21"/>
                <w:highlight w:val="none"/>
              </w:rPr>
              <w:t>。</w:t>
            </w:r>
          </w:p>
          <w:p w14:paraId="0690BFA0">
            <w:pPr>
              <w:spacing w:line="300" w:lineRule="exact"/>
              <w:ind w:firstLine="0" w:firstLineChars="0"/>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2.服务区域：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tc>
      </w:tr>
      <w:tr w14:paraId="4955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9322" w:type="dxa"/>
            <w:gridSpan w:val="4"/>
            <w:tcBorders>
              <w:top w:val="single" w:color="auto" w:sz="4" w:space="0"/>
              <w:left w:val="single" w:color="auto" w:sz="4" w:space="0"/>
              <w:bottom w:val="single" w:color="auto" w:sz="4" w:space="0"/>
              <w:right w:val="single" w:color="auto" w:sz="4" w:space="0"/>
            </w:tcBorders>
            <w:vAlign w:val="center"/>
          </w:tcPr>
          <w:p w14:paraId="63C3D4BE">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0FEB73D1">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1.基准价：本项目各分标以《关于重新核定环境监测收费标准的函》（桂价费字〔2004〕301号）的收费标准作为基准价【如《关于重新核定环境监测收费标准的函》（桂价费字〔2004〕301 号）中未列出收费标准的部分，以采购人根据与成交供应商协商确认的市场价作为基准价】。</w:t>
            </w:r>
          </w:p>
          <w:p w14:paraId="2586441B">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本项目磋商报价采用综合折扣率报价方式（以%表示，最多精确到小数点后两位）。供应商必须就“采购需求”中所竞分标的所有服务内容作完整唯一综合折扣率报价。供应商所竞分标的报价必须≤80%，否则，响应文件按分标作无效处理。 </w:t>
            </w:r>
          </w:p>
          <w:p w14:paraId="2F1FE1EC">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供应商磋商报价应包含完成“采购需求”中所竞分标所列所有服务内容产生的所有成本【包含但不限于供应商完成本项目的一切工作内容而发生的所有技术服务费（现场人员采样费、实验室分析费、数据处理费、报告编制费等）、相关仪器设备费、车辆费、人工费、办公费、专家咨询/评审费、资料印刷费等】、利润、税金及其他所有可能发生的一切费用。</w:t>
            </w:r>
          </w:p>
          <w:p w14:paraId="33CB7347">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4.结算办法</w:t>
            </w:r>
          </w:p>
          <w:p w14:paraId="76420308">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（1）采购人根据成交供应商实际发生的服务工作量进行结算，即：结算金额=∑【实际发生的服务工作量×基准价×成交综合折扣率】。</w:t>
            </w:r>
          </w:p>
          <w:p w14:paraId="12D46B63">
            <w:pPr>
              <w:spacing w:line="3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注：其中∑表示将各类相应服务工作量结算后的金额进行相加汇总。</w:t>
            </w:r>
          </w:p>
          <w:p w14:paraId="6637B6AC">
            <w:pPr>
              <w:spacing w:line="300" w:lineRule="exact"/>
              <w:ind w:firstLine="0" w:firstLineChars="0"/>
              <w:rPr>
                <w:rFonts w:hint="eastAsia" w:ascii="宋体" w:hAnsi="宋体"/>
                <w:color w:val="auto"/>
                <w:sz w:val="21"/>
                <w:szCs w:val="21"/>
                <w:highlight w:val="none"/>
              </w:rPr>
            </w:pPr>
            <w:r>
              <w:rPr>
                <w:rFonts w:hint="eastAsia" w:ascii="宋体" w:hAnsi="宋体" w:cs="宋体"/>
                <w:color w:val="auto"/>
                <w:sz w:val="21"/>
                <w:szCs w:val="21"/>
                <w:highlight w:val="none"/>
              </w:rPr>
              <w:t>（2）各分标的结算金额不得超出相应分标的采购预算金额。</w:t>
            </w:r>
          </w:p>
        </w:tc>
      </w:tr>
    </w:tbl>
    <w:p w14:paraId="56E840B3">
      <w:pPr>
        <w:spacing w:line="340" w:lineRule="exact"/>
        <w:ind w:firstLine="0" w:firstLineChars="0"/>
        <w:rPr>
          <w:rFonts w:hint="eastAsia" w:ascii="宋体" w:hAnsi="宋体" w:cs="宋体"/>
          <w:color w:val="auto"/>
          <w:kern w:val="0"/>
          <w:sz w:val="21"/>
          <w:szCs w:val="21"/>
          <w:highlight w:val="none"/>
        </w:rPr>
      </w:pPr>
    </w:p>
    <w:p w14:paraId="60E8796D">
      <w:pPr>
        <w:snapToGrid w:val="0"/>
        <w:spacing w:line="400" w:lineRule="exact"/>
        <w:ind w:firstLine="0" w:firstLineChars="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36A82D">
      <w:pPr>
        <w:spacing w:line="34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56AFEB14">
      <w:pPr>
        <w:spacing w:line="4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C821F03">
      <w:pPr>
        <w:spacing w:line="400" w:lineRule="exact"/>
        <w:ind w:left="480" w:leftChars="200" w:firstLine="3780" w:firstLineChars="1800"/>
        <w:rPr>
          <w:rFonts w:hint="eastAsia" w:ascii="宋体" w:hAnsi="宋体" w:cs="宋体"/>
          <w:color w:val="auto"/>
          <w:sz w:val="21"/>
          <w:szCs w:val="21"/>
          <w:highlight w:val="none"/>
        </w:rPr>
      </w:pPr>
    </w:p>
    <w:p w14:paraId="34331090">
      <w:pPr>
        <w:tabs>
          <w:tab w:val="left" w:pos="1305"/>
        </w:tabs>
        <w:spacing w:line="340" w:lineRule="exact"/>
        <w:ind w:firstLine="0" w:firstLineChars="0"/>
        <w:rPr>
          <w:rFonts w:hint="eastAsia" w:ascii="宋体" w:hAnsi="宋体" w:cs="宋体"/>
          <w:bCs/>
          <w:color w:val="auto"/>
          <w:kern w:val="0"/>
          <w:sz w:val="21"/>
          <w:szCs w:val="21"/>
          <w:highlight w:val="none"/>
        </w:rPr>
      </w:pPr>
    </w:p>
    <w:p w14:paraId="4CBAA86B">
      <w:pPr>
        <w:tabs>
          <w:tab w:val="left" w:pos="1305"/>
        </w:tabs>
        <w:spacing w:line="390" w:lineRule="exact"/>
        <w:ind w:firstLine="0" w:firstLineChars="0"/>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注：</w:t>
      </w:r>
      <w:r>
        <w:rPr>
          <w:rFonts w:hint="eastAsia" w:ascii="宋体" w:hAnsi="宋体" w:cs="宋体"/>
          <w:b/>
          <w:color w:val="auto"/>
          <w:sz w:val="21"/>
          <w:szCs w:val="21"/>
          <w:highlight w:val="none"/>
        </w:rPr>
        <w:t>供应商应如实填写磋商报价表的各项内容，否则，响应无效。</w:t>
      </w:r>
    </w:p>
    <w:p w14:paraId="46DE6ED4">
      <w:pPr>
        <w:spacing w:line="400" w:lineRule="exact"/>
        <w:ind w:firstLine="0" w:firstLineChars="0"/>
        <w:rPr>
          <w:rFonts w:hint="eastAsia" w:ascii="宋体" w:hAnsi="宋体" w:cs="宋体"/>
          <w:b/>
          <w:bCs/>
          <w:color w:val="auto"/>
          <w:sz w:val="32"/>
          <w:szCs w:val="32"/>
          <w:highlight w:val="none"/>
        </w:rPr>
      </w:pPr>
    </w:p>
    <w:p w14:paraId="67C8C85F">
      <w:pPr>
        <w:spacing w:line="400" w:lineRule="exact"/>
        <w:ind w:firstLine="0" w:firstLineChars="0"/>
        <w:rPr>
          <w:rFonts w:hint="eastAsia" w:ascii="宋体" w:hAnsi="宋体" w:cs="宋体"/>
          <w:b/>
          <w:bCs/>
          <w:color w:val="auto"/>
          <w:sz w:val="32"/>
          <w:szCs w:val="32"/>
          <w:highlight w:val="none"/>
        </w:rPr>
      </w:pPr>
    </w:p>
    <w:p w14:paraId="07441928">
      <w:pPr>
        <w:spacing w:line="400" w:lineRule="exact"/>
        <w:ind w:firstLine="0" w:firstLineChars="0"/>
        <w:rPr>
          <w:rFonts w:hint="eastAsia" w:ascii="宋体" w:hAnsi="宋体" w:cs="宋体"/>
          <w:b/>
          <w:color w:val="auto"/>
          <w:sz w:val="32"/>
          <w:szCs w:val="32"/>
          <w:highlight w:val="none"/>
        </w:rPr>
      </w:pPr>
      <w:r>
        <w:rPr>
          <w:rFonts w:hint="eastAsia" w:ascii="宋体" w:hAnsi="宋体" w:cs="宋体"/>
          <w:b/>
          <w:bCs/>
          <w:color w:val="auto"/>
          <w:sz w:val="32"/>
          <w:szCs w:val="32"/>
          <w:highlight w:val="none"/>
        </w:rPr>
        <w:t>2.服务内容要求及商务要求响应表（必须提供）</w:t>
      </w:r>
    </w:p>
    <w:p w14:paraId="2F36332E">
      <w:pPr>
        <w:spacing w:line="400" w:lineRule="exact"/>
        <w:ind w:firstLine="0" w:firstLineChars="0"/>
        <w:rPr>
          <w:rFonts w:hint="eastAsia" w:ascii="宋体" w:hAnsi="宋体" w:cs="宋体"/>
          <w:b/>
          <w:color w:val="auto"/>
          <w:szCs w:val="24"/>
          <w:highlight w:val="none"/>
        </w:rPr>
      </w:pPr>
      <w:r>
        <w:rPr>
          <w:rFonts w:hint="eastAsia" w:ascii="宋体" w:hAnsi="宋体" w:cs="宋体"/>
          <w:b/>
          <w:color w:val="auto"/>
          <w:sz w:val="30"/>
          <w:szCs w:val="30"/>
          <w:highlight w:val="none"/>
        </w:rPr>
        <w:t>附件：</w:t>
      </w:r>
    </w:p>
    <w:p w14:paraId="7F80BCA7">
      <w:pPr>
        <w:spacing w:line="240" w:lineRule="auto"/>
        <w:ind w:firstLine="0" w:firstLineChars="0"/>
        <w:jc w:val="center"/>
        <w:rPr>
          <w:rFonts w:hint="eastAsia" w:ascii="宋体" w:hAnsi="宋体" w:cs="宋体"/>
          <w:b/>
          <w:bCs/>
          <w:color w:val="auto"/>
          <w:sz w:val="32"/>
          <w:szCs w:val="20"/>
          <w:highlight w:val="none"/>
        </w:rPr>
      </w:pPr>
      <w:r>
        <w:rPr>
          <w:rFonts w:hint="eastAsia" w:ascii="宋体" w:hAnsi="宋体" w:cs="宋体"/>
          <w:b/>
          <w:bCs/>
          <w:color w:val="auto"/>
          <w:sz w:val="32"/>
          <w:szCs w:val="32"/>
          <w:highlight w:val="none"/>
        </w:rPr>
        <w:t>服务内容要求及商务要求响应表</w:t>
      </w:r>
      <w:r>
        <w:rPr>
          <w:rFonts w:hint="eastAsia" w:ascii="宋体" w:hAnsi="宋体" w:cs="宋体"/>
          <w:b/>
          <w:bCs/>
          <w:color w:val="auto"/>
          <w:sz w:val="32"/>
          <w:szCs w:val="20"/>
          <w:highlight w:val="none"/>
        </w:rPr>
        <w:t>（格式）</w:t>
      </w:r>
    </w:p>
    <w:p w14:paraId="038B79DC">
      <w:pPr>
        <w:spacing w:line="240" w:lineRule="auto"/>
        <w:ind w:firstLine="0" w:firstLineChars="0"/>
        <w:rPr>
          <w:color w:val="auto"/>
          <w:sz w:val="21"/>
          <w:szCs w:val="24"/>
          <w:highlight w:val="none"/>
        </w:rPr>
      </w:pPr>
    </w:p>
    <w:tbl>
      <w:tblPr>
        <w:tblStyle w:val="4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266"/>
        <w:gridCol w:w="2927"/>
      </w:tblGrid>
      <w:tr w14:paraId="3E58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2" w:type="dxa"/>
            <w:vAlign w:val="center"/>
          </w:tcPr>
          <w:p w14:paraId="43FBCB22">
            <w:pPr>
              <w:pStyle w:val="26"/>
              <w:spacing w:line="400" w:lineRule="exact"/>
              <w:jc w:val="center"/>
              <w:rPr>
                <w:rFonts w:hint="eastAsia" w:hAnsi="宋体" w:cs="宋体"/>
                <w:color w:val="auto"/>
                <w:highlight w:val="none"/>
              </w:rPr>
            </w:pPr>
            <w:r>
              <w:rPr>
                <w:rFonts w:hint="eastAsia" w:hAnsi="宋体" w:cs="宋体"/>
                <w:color w:val="auto"/>
                <w:highlight w:val="none"/>
              </w:rPr>
              <w:t>服务项目</w:t>
            </w:r>
          </w:p>
        </w:tc>
        <w:tc>
          <w:tcPr>
            <w:tcW w:w="3266" w:type="dxa"/>
            <w:vAlign w:val="center"/>
          </w:tcPr>
          <w:p w14:paraId="5E9F7161">
            <w:pPr>
              <w:pStyle w:val="26"/>
              <w:spacing w:line="400" w:lineRule="exact"/>
              <w:jc w:val="center"/>
              <w:rPr>
                <w:rFonts w:hint="eastAsia" w:hAnsi="宋体" w:cs="宋体"/>
                <w:color w:val="auto"/>
                <w:highlight w:val="none"/>
              </w:rPr>
            </w:pPr>
            <w:r>
              <w:rPr>
                <w:rFonts w:hint="eastAsia" w:hAnsi="宋体" w:cs="宋体"/>
                <w:color w:val="auto"/>
                <w:highlight w:val="none"/>
              </w:rPr>
              <w:t>竞争性磋商文件要求</w:t>
            </w:r>
          </w:p>
        </w:tc>
        <w:tc>
          <w:tcPr>
            <w:tcW w:w="2927" w:type="dxa"/>
            <w:vAlign w:val="center"/>
          </w:tcPr>
          <w:p w14:paraId="45C34923">
            <w:pPr>
              <w:pStyle w:val="26"/>
              <w:spacing w:line="340" w:lineRule="exact"/>
              <w:jc w:val="center"/>
              <w:rPr>
                <w:rFonts w:hint="eastAsia" w:hAnsi="宋体" w:cs="宋体"/>
                <w:color w:val="auto"/>
                <w:highlight w:val="none"/>
              </w:rPr>
            </w:pPr>
            <w:r>
              <w:rPr>
                <w:rFonts w:hint="eastAsia" w:hAnsi="宋体" w:cs="宋体"/>
                <w:color w:val="auto"/>
                <w:highlight w:val="none"/>
              </w:rPr>
              <w:t>响应文件的详细响应情况（对服务内容及要求的承诺）</w:t>
            </w:r>
          </w:p>
        </w:tc>
      </w:tr>
      <w:tr w14:paraId="15DD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5" w:type="dxa"/>
            <w:gridSpan w:val="3"/>
            <w:vAlign w:val="center"/>
          </w:tcPr>
          <w:p w14:paraId="5A859129">
            <w:pPr>
              <w:pStyle w:val="26"/>
              <w:spacing w:line="340" w:lineRule="exact"/>
              <w:jc w:val="left"/>
              <w:rPr>
                <w:rFonts w:hint="eastAsia" w:hAnsi="宋体" w:cs="宋体"/>
                <w:color w:val="auto"/>
                <w:highlight w:val="none"/>
              </w:rPr>
            </w:pPr>
            <w:r>
              <w:rPr>
                <w:rFonts w:hint="eastAsia"/>
                <w:color w:val="auto"/>
                <w:highlight w:val="none"/>
              </w:rPr>
              <w:t>Ⅰ</w:t>
            </w:r>
            <w:r>
              <w:rPr>
                <w:rFonts w:hint="eastAsia" w:hAnsi="宋体" w:cs="宋体"/>
                <w:b/>
                <w:color w:val="auto"/>
                <w:kern w:val="0"/>
                <w:highlight w:val="none"/>
                <w:lang w:val="en-US"/>
              </w:rPr>
              <w:t>、</w:t>
            </w:r>
            <w:r>
              <w:rPr>
                <w:rFonts w:hint="eastAsia" w:hAnsi="宋体" w:cs="宋体"/>
                <w:b/>
                <w:color w:val="auto"/>
                <w:kern w:val="0"/>
                <w:highlight w:val="none"/>
              </w:rPr>
              <w:t>服务内容及要求</w:t>
            </w:r>
          </w:p>
        </w:tc>
      </w:tr>
      <w:tr w14:paraId="28DB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32" w:type="dxa"/>
            <w:vAlign w:val="center"/>
          </w:tcPr>
          <w:p w14:paraId="28BED1DB">
            <w:pPr>
              <w:spacing w:line="380" w:lineRule="exact"/>
              <w:ind w:firstLine="0" w:firstLineChars="0"/>
              <w:rPr>
                <w:rFonts w:hint="eastAsia" w:ascii="宋体" w:hAnsi="宋体" w:cs="宋体"/>
                <w:color w:val="auto"/>
                <w:kern w:val="0"/>
                <w:sz w:val="21"/>
                <w:szCs w:val="21"/>
                <w:highlight w:val="none"/>
                <w:lang w:bidi="ar"/>
              </w:rPr>
            </w:pPr>
            <w:r>
              <w:rPr>
                <w:rFonts w:hint="eastAsia" w:ascii="宋体" w:hAnsi="宋体" w:cs="宋体"/>
                <w:color w:val="auto"/>
                <w:sz w:val="21"/>
                <w:szCs w:val="24"/>
                <w:highlight w:val="none"/>
              </w:rPr>
              <w:t>一、服务要求</w:t>
            </w:r>
          </w:p>
        </w:tc>
        <w:tc>
          <w:tcPr>
            <w:tcW w:w="3266" w:type="dxa"/>
            <w:vAlign w:val="center"/>
          </w:tcPr>
          <w:p w14:paraId="197CA97A">
            <w:pPr>
              <w:pStyle w:val="26"/>
              <w:spacing w:line="400" w:lineRule="exact"/>
              <w:rPr>
                <w:rFonts w:hint="eastAsia" w:hAnsi="宋体" w:cs="宋体"/>
                <w:color w:val="auto"/>
                <w:highlight w:val="none"/>
              </w:rPr>
            </w:pPr>
          </w:p>
        </w:tc>
        <w:tc>
          <w:tcPr>
            <w:tcW w:w="2927" w:type="dxa"/>
            <w:vAlign w:val="center"/>
          </w:tcPr>
          <w:p w14:paraId="25382A30">
            <w:pPr>
              <w:pStyle w:val="26"/>
              <w:spacing w:line="400" w:lineRule="exact"/>
              <w:jc w:val="center"/>
              <w:rPr>
                <w:rFonts w:hint="eastAsia" w:hAnsi="宋体" w:cs="宋体"/>
                <w:color w:val="auto"/>
                <w:highlight w:val="none"/>
              </w:rPr>
            </w:pPr>
          </w:p>
        </w:tc>
      </w:tr>
      <w:tr w14:paraId="3D10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32" w:type="dxa"/>
            <w:vAlign w:val="center"/>
          </w:tcPr>
          <w:p w14:paraId="3B2CD7A2">
            <w:pPr>
              <w:spacing w:line="380" w:lineRule="exact"/>
              <w:ind w:firstLine="0" w:firstLineChars="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rPr>
              <w:t>二、实验室及人员要求</w:t>
            </w:r>
          </w:p>
        </w:tc>
        <w:tc>
          <w:tcPr>
            <w:tcW w:w="3266" w:type="dxa"/>
            <w:vAlign w:val="center"/>
          </w:tcPr>
          <w:p w14:paraId="686937E0">
            <w:pPr>
              <w:pStyle w:val="26"/>
              <w:spacing w:line="400" w:lineRule="exact"/>
              <w:rPr>
                <w:rFonts w:hint="eastAsia" w:hAnsi="宋体" w:cs="宋体"/>
                <w:color w:val="auto"/>
                <w:highlight w:val="none"/>
              </w:rPr>
            </w:pPr>
          </w:p>
        </w:tc>
        <w:tc>
          <w:tcPr>
            <w:tcW w:w="2927" w:type="dxa"/>
            <w:vAlign w:val="center"/>
          </w:tcPr>
          <w:p w14:paraId="05991AA4">
            <w:pPr>
              <w:pStyle w:val="26"/>
              <w:spacing w:line="400" w:lineRule="exact"/>
              <w:jc w:val="center"/>
              <w:rPr>
                <w:rFonts w:hint="eastAsia" w:hAnsi="宋体" w:cs="宋体"/>
                <w:color w:val="auto"/>
                <w:highlight w:val="none"/>
              </w:rPr>
            </w:pPr>
          </w:p>
        </w:tc>
      </w:tr>
      <w:tr w14:paraId="78F0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132" w:type="dxa"/>
            <w:vAlign w:val="center"/>
          </w:tcPr>
          <w:p w14:paraId="250A4D3A">
            <w:pPr>
              <w:spacing w:line="380" w:lineRule="exact"/>
              <w:ind w:firstLine="0" w:firstLineChars="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rPr>
              <w:t>三、质量控制措施</w:t>
            </w:r>
          </w:p>
        </w:tc>
        <w:tc>
          <w:tcPr>
            <w:tcW w:w="3266" w:type="dxa"/>
            <w:vAlign w:val="center"/>
          </w:tcPr>
          <w:p w14:paraId="1F534247">
            <w:pPr>
              <w:pStyle w:val="26"/>
              <w:spacing w:line="400" w:lineRule="exact"/>
              <w:rPr>
                <w:rFonts w:hint="eastAsia" w:hAnsi="宋体" w:cs="宋体"/>
                <w:color w:val="auto"/>
                <w:highlight w:val="none"/>
              </w:rPr>
            </w:pPr>
          </w:p>
        </w:tc>
        <w:tc>
          <w:tcPr>
            <w:tcW w:w="2927" w:type="dxa"/>
            <w:vAlign w:val="center"/>
          </w:tcPr>
          <w:p w14:paraId="6A6B7669">
            <w:pPr>
              <w:pStyle w:val="26"/>
              <w:spacing w:line="400" w:lineRule="exact"/>
              <w:jc w:val="center"/>
              <w:rPr>
                <w:rFonts w:hint="eastAsia" w:hAnsi="宋体" w:cs="宋体"/>
                <w:color w:val="auto"/>
                <w:highlight w:val="none"/>
              </w:rPr>
            </w:pPr>
          </w:p>
        </w:tc>
      </w:tr>
      <w:tr w14:paraId="07E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25" w:type="dxa"/>
            <w:gridSpan w:val="3"/>
            <w:vAlign w:val="center"/>
          </w:tcPr>
          <w:p w14:paraId="7A537AB8">
            <w:pPr>
              <w:adjustRightInd w:val="0"/>
              <w:snapToGrid w:val="0"/>
              <w:spacing w:line="360" w:lineRule="exact"/>
              <w:ind w:firstLine="0" w:firstLineChars="0"/>
              <w:rPr>
                <w:rFonts w:hint="eastAsia" w:ascii="宋体" w:hAnsi="宋体" w:cs="宋体"/>
                <w:color w:val="auto"/>
                <w:highlight w:val="none"/>
              </w:rPr>
            </w:pPr>
            <w:r>
              <w:rPr>
                <w:rFonts w:hint="eastAsia" w:hAnsi="宋体" w:cs="宋体"/>
                <w:b/>
                <w:color w:val="auto"/>
                <w:kern w:val="0"/>
                <w:highlight w:val="none"/>
              </w:rPr>
              <w:t>Ⅱ、商务要求</w:t>
            </w:r>
          </w:p>
        </w:tc>
      </w:tr>
      <w:tr w14:paraId="14C5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32" w:type="dxa"/>
            <w:vAlign w:val="center"/>
          </w:tcPr>
          <w:p w14:paraId="4289BE36">
            <w:pPr>
              <w:spacing w:line="38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一、 服务期限、服务区域</w:t>
            </w:r>
          </w:p>
        </w:tc>
        <w:tc>
          <w:tcPr>
            <w:tcW w:w="3266" w:type="dxa"/>
          </w:tcPr>
          <w:p w14:paraId="7553F656">
            <w:pPr>
              <w:pStyle w:val="26"/>
              <w:spacing w:line="400" w:lineRule="exact"/>
              <w:jc w:val="center"/>
              <w:rPr>
                <w:rFonts w:hint="eastAsia" w:hAnsi="宋体" w:cs="宋体"/>
                <w:bCs/>
                <w:color w:val="auto"/>
                <w:highlight w:val="none"/>
              </w:rPr>
            </w:pPr>
          </w:p>
        </w:tc>
        <w:tc>
          <w:tcPr>
            <w:tcW w:w="2927" w:type="dxa"/>
            <w:vAlign w:val="center"/>
          </w:tcPr>
          <w:p w14:paraId="7BCA9EB2">
            <w:pPr>
              <w:pStyle w:val="26"/>
              <w:spacing w:line="400" w:lineRule="exact"/>
              <w:jc w:val="center"/>
              <w:rPr>
                <w:rFonts w:hint="eastAsia" w:hAnsi="宋体" w:cs="宋体"/>
                <w:bCs/>
                <w:color w:val="auto"/>
                <w:highlight w:val="none"/>
              </w:rPr>
            </w:pPr>
          </w:p>
        </w:tc>
      </w:tr>
      <w:tr w14:paraId="5658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32" w:type="dxa"/>
            <w:vAlign w:val="center"/>
          </w:tcPr>
          <w:p w14:paraId="48C206DF">
            <w:pPr>
              <w:spacing w:line="38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二、采购预算金额、磋商报价、结算办法</w:t>
            </w:r>
          </w:p>
        </w:tc>
        <w:tc>
          <w:tcPr>
            <w:tcW w:w="3266" w:type="dxa"/>
          </w:tcPr>
          <w:p w14:paraId="5E11B833">
            <w:pPr>
              <w:pStyle w:val="26"/>
              <w:spacing w:line="400" w:lineRule="exact"/>
              <w:jc w:val="center"/>
              <w:rPr>
                <w:rFonts w:hint="eastAsia" w:hAnsi="宋体" w:cs="宋体"/>
                <w:bCs/>
                <w:color w:val="auto"/>
                <w:highlight w:val="none"/>
              </w:rPr>
            </w:pPr>
          </w:p>
        </w:tc>
        <w:tc>
          <w:tcPr>
            <w:tcW w:w="2927" w:type="dxa"/>
            <w:vAlign w:val="center"/>
          </w:tcPr>
          <w:p w14:paraId="0090891F">
            <w:pPr>
              <w:pStyle w:val="26"/>
              <w:spacing w:line="400" w:lineRule="exact"/>
              <w:jc w:val="center"/>
              <w:rPr>
                <w:rFonts w:hint="eastAsia" w:hAnsi="宋体" w:cs="宋体"/>
                <w:bCs/>
                <w:color w:val="auto"/>
                <w:highlight w:val="none"/>
              </w:rPr>
            </w:pPr>
          </w:p>
        </w:tc>
      </w:tr>
      <w:tr w14:paraId="1776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32" w:type="dxa"/>
            <w:vAlign w:val="center"/>
          </w:tcPr>
          <w:p w14:paraId="5FB10AC6">
            <w:pPr>
              <w:spacing w:line="38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三、付款方式</w:t>
            </w:r>
          </w:p>
        </w:tc>
        <w:tc>
          <w:tcPr>
            <w:tcW w:w="3266" w:type="dxa"/>
            <w:vAlign w:val="center"/>
          </w:tcPr>
          <w:p w14:paraId="563B8F97">
            <w:pPr>
              <w:pStyle w:val="26"/>
              <w:spacing w:line="400" w:lineRule="exact"/>
              <w:rPr>
                <w:rFonts w:hint="eastAsia" w:hAnsi="宋体"/>
                <w:color w:val="auto"/>
                <w:szCs w:val="21"/>
                <w:highlight w:val="none"/>
                <w:lang w:val="en-US"/>
              </w:rPr>
            </w:pPr>
          </w:p>
        </w:tc>
        <w:tc>
          <w:tcPr>
            <w:tcW w:w="2927" w:type="dxa"/>
            <w:vAlign w:val="center"/>
          </w:tcPr>
          <w:p w14:paraId="39DEA9FD">
            <w:pPr>
              <w:pStyle w:val="26"/>
              <w:spacing w:line="400" w:lineRule="exact"/>
              <w:rPr>
                <w:rFonts w:hint="eastAsia" w:hAnsi="宋体"/>
                <w:color w:val="auto"/>
                <w:szCs w:val="21"/>
                <w:highlight w:val="none"/>
              </w:rPr>
            </w:pPr>
          </w:p>
        </w:tc>
      </w:tr>
      <w:tr w14:paraId="4B31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32" w:type="dxa"/>
            <w:vAlign w:val="center"/>
          </w:tcPr>
          <w:p w14:paraId="24338F21">
            <w:pPr>
              <w:spacing w:line="38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四、质量标准和验收标准</w:t>
            </w:r>
          </w:p>
        </w:tc>
        <w:tc>
          <w:tcPr>
            <w:tcW w:w="3266" w:type="dxa"/>
            <w:vAlign w:val="center"/>
          </w:tcPr>
          <w:p w14:paraId="0AB1A770">
            <w:pPr>
              <w:spacing w:line="320" w:lineRule="exact"/>
              <w:ind w:firstLine="482"/>
              <w:jc w:val="left"/>
              <w:rPr>
                <w:rFonts w:hint="eastAsia" w:ascii="宋体" w:hAnsi="宋体" w:cs="宋体"/>
                <w:b/>
                <w:color w:val="auto"/>
                <w:szCs w:val="21"/>
                <w:highlight w:val="none"/>
              </w:rPr>
            </w:pPr>
          </w:p>
        </w:tc>
        <w:tc>
          <w:tcPr>
            <w:tcW w:w="2927" w:type="dxa"/>
            <w:vAlign w:val="center"/>
          </w:tcPr>
          <w:p w14:paraId="48D8E090">
            <w:pPr>
              <w:spacing w:line="320" w:lineRule="exact"/>
              <w:ind w:firstLine="482"/>
              <w:jc w:val="left"/>
              <w:rPr>
                <w:rFonts w:hint="eastAsia" w:ascii="宋体" w:hAnsi="宋体" w:cs="宋体"/>
                <w:b/>
                <w:color w:val="auto"/>
                <w:szCs w:val="21"/>
                <w:highlight w:val="none"/>
              </w:rPr>
            </w:pPr>
          </w:p>
        </w:tc>
      </w:tr>
      <w:tr w14:paraId="41CD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32" w:type="dxa"/>
            <w:vAlign w:val="center"/>
          </w:tcPr>
          <w:p w14:paraId="33FEE9E1">
            <w:pPr>
              <w:spacing w:line="38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五、知识产权要求</w:t>
            </w:r>
          </w:p>
        </w:tc>
        <w:tc>
          <w:tcPr>
            <w:tcW w:w="3266" w:type="dxa"/>
            <w:vAlign w:val="center"/>
          </w:tcPr>
          <w:p w14:paraId="4F3830DA">
            <w:pPr>
              <w:spacing w:line="320" w:lineRule="exact"/>
              <w:ind w:firstLine="482"/>
              <w:jc w:val="left"/>
              <w:rPr>
                <w:rFonts w:hint="eastAsia" w:ascii="宋体" w:hAnsi="宋体" w:cs="宋体"/>
                <w:b/>
                <w:color w:val="auto"/>
                <w:szCs w:val="21"/>
                <w:highlight w:val="none"/>
              </w:rPr>
            </w:pPr>
          </w:p>
        </w:tc>
        <w:tc>
          <w:tcPr>
            <w:tcW w:w="2927" w:type="dxa"/>
            <w:vAlign w:val="center"/>
          </w:tcPr>
          <w:p w14:paraId="17DDF373">
            <w:pPr>
              <w:spacing w:line="320" w:lineRule="exact"/>
              <w:ind w:firstLine="482"/>
              <w:jc w:val="left"/>
              <w:rPr>
                <w:rFonts w:hint="eastAsia" w:ascii="宋体" w:hAnsi="宋体" w:cs="宋体"/>
                <w:b/>
                <w:color w:val="auto"/>
                <w:szCs w:val="21"/>
                <w:highlight w:val="none"/>
              </w:rPr>
            </w:pPr>
          </w:p>
        </w:tc>
      </w:tr>
    </w:tbl>
    <w:p w14:paraId="734ADD5E">
      <w:pPr>
        <w:snapToGrid w:val="0"/>
        <w:spacing w:line="400" w:lineRule="exact"/>
        <w:ind w:firstLine="0" w:firstLineChars="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AA52B24">
      <w:pPr>
        <w:spacing w:line="34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4624F1D5">
      <w:pPr>
        <w:spacing w:line="4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4B86CE9D">
      <w:pPr>
        <w:spacing w:line="240" w:lineRule="auto"/>
        <w:ind w:firstLine="4200" w:firstLineChars="2000"/>
        <w:rPr>
          <w:rFonts w:hint="eastAsia" w:ascii="宋体" w:hAnsi="宋体"/>
          <w:color w:val="auto"/>
          <w:sz w:val="21"/>
          <w:szCs w:val="20"/>
          <w:highlight w:val="none"/>
          <w:u w:val="single"/>
        </w:rPr>
      </w:pPr>
    </w:p>
    <w:p w14:paraId="3EA9D9F1">
      <w:pPr>
        <w:spacing w:line="240" w:lineRule="auto"/>
        <w:ind w:firstLine="0" w:firstLineChars="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注：服务内容及要求响应表须由法定代表人或相应的委托代理人签字（或电子签名），并加盖供应商电子签章。</w:t>
      </w:r>
    </w:p>
    <w:p w14:paraId="095E781C">
      <w:pPr>
        <w:spacing w:line="240" w:lineRule="auto"/>
        <w:ind w:firstLine="4200" w:firstLineChars="2000"/>
        <w:rPr>
          <w:rFonts w:hint="eastAsia" w:ascii="宋体" w:hAnsi="宋体"/>
          <w:color w:val="auto"/>
          <w:sz w:val="21"/>
          <w:szCs w:val="20"/>
          <w:highlight w:val="none"/>
          <w:u w:val="single"/>
        </w:rPr>
      </w:pPr>
    </w:p>
    <w:p w14:paraId="44938032">
      <w:pPr>
        <w:spacing w:line="240" w:lineRule="auto"/>
        <w:ind w:firstLine="0" w:firstLineChars="0"/>
        <w:rPr>
          <w:color w:val="auto"/>
          <w:sz w:val="21"/>
          <w:szCs w:val="24"/>
          <w:highlight w:val="none"/>
        </w:rPr>
      </w:pPr>
    </w:p>
    <w:p w14:paraId="52E2E8D0">
      <w:pPr>
        <w:spacing w:line="240" w:lineRule="auto"/>
        <w:ind w:firstLine="0" w:firstLineChars="0"/>
        <w:rPr>
          <w:color w:val="auto"/>
          <w:sz w:val="21"/>
          <w:szCs w:val="24"/>
          <w:highlight w:val="none"/>
        </w:rPr>
      </w:pPr>
    </w:p>
    <w:p w14:paraId="7CE1EC08">
      <w:pPr>
        <w:spacing w:line="240" w:lineRule="auto"/>
        <w:ind w:firstLine="0" w:firstLineChars="0"/>
        <w:rPr>
          <w:color w:val="auto"/>
          <w:sz w:val="21"/>
          <w:szCs w:val="24"/>
          <w:highlight w:val="none"/>
        </w:rPr>
      </w:pPr>
    </w:p>
    <w:p w14:paraId="20A3F252">
      <w:pPr>
        <w:spacing w:line="240" w:lineRule="auto"/>
        <w:ind w:firstLine="0" w:firstLineChars="0"/>
        <w:rPr>
          <w:color w:val="auto"/>
          <w:sz w:val="21"/>
          <w:szCs w:val="24"/>
          <w:highlight w:val="none"/>
        </w:rPr>
      </w:pPr>
    </w:p>
    <w:p w14:paraId="3C5BDB23">
      <w:pPr>
        <w:spacing w:line="240" w:lineRule="auto"/>
        <w:ind w:firstLine="0" w:firstLineChars="0"/>
        <w:rPr>
          <w:color w:val="auto"/>
          <w:sz w:val="21"/>
          <w:szCs w:val="24"/>
          <w:highlight w:val="none"/>
        </w:rPr>
      </w:pPr>
    </w:p>
    <w:p w14:paraId="206706B5">
      <w:pPr>
        <w:spacing w:line="240" w:lineRule="auto"/>
        <w:ind w:firstLine="0" w:firstLineChars="0"/>
        <w:rPr>
          <w:color w:val="auto"/>
          <w:sz w:val="21"/>
          <w:szCs w:val="24"/>
          <w:highlight w:val="none"/>
        </w:rPr>
      </w:pPr>
    </w:p>
    <w:p w14:paraId="61CA0B5F">
      <w:pPr>
        <w:spacing w:line="240" w:lineRule="auto"/>
        <w:ind w:firstLine="0" w:firstLineChars="0"/>
        <w:rPr>
          <w:color w:val="auto"/>
          <w:sz w:val="21"/>
          <w:szCs w:val="24"/>
          <w:highlight w:val="none"/>
        </w:rPr>
      </w:pPr>
    </w:p>
    <w:p w14:paraId="2F05648E">
      <w:pPr>
        <w:spacing w:line="240" w:lineRule="auto"/>
        <w:ind w:firstLine="0" w:firstLineChars="0"/>
        <w:rPr>
          <w:color w:val="auto"/>
          <w:sz w:val="21"/>
          <w:szCs w:val="24"/>
          <w:highlight w:val="none"/>
        </w:rPr>
      </w:pPr>
    </w:p>
    <w:p w14:paraId="221FB42E">
      <w:pPr>
        <w:spacing w:line="240" w:lineRule="auto"/>
        <w:ind w:firstLine="0" w:firstLineChars="0"/>
        <w:rPr>
          <w:color w:val="auto"/>
          <w:sz w:val="21"/>
          <w:szCs w:val="24"/>
          <w:highlight w:val="none"/>
        </w:rPr>
      </w:pPr>
    </w:p>
    <w:p w14:paraId="1E431F18">
      <w:pPr>
        <w:spacing w:line="240" w:lineRule="auto"/>
        <w:ind w:firstLine="0" w:firstLineChars="0"/>
        <w:rPr>
          <w:color w:val="auto"/>
          <w:sz w:val="21"/>
          <w:szCs w:val="24"/>
          <w:highlight w:val="none"/>
        </w:rPr>
      </w:pPr>
    </w:p>
    <w:p w14:paraId="0ABC23DF">
      <w:pPr>
        <w:spacing w:line="240" w:lineRule="auto"/>
        <w:ind w:firstLine="0" w:firstLineChars="0"/>
        <w:rPr>
          <w:color w:val="auto"/>
          <w:sz w:val="21"/>
          <w:szCs w:val="24"/>
          <w:highlight w:val="none"/>
        </w:rPr>
      </w:pPr>
    </w:p>
    <w:p w14:paraId="67D6E7EE">
      <w:pPr>
        <w:spacing w:line="240" w:lineRule="auto"/>
        <w:ind w:firstLine="0" w:firstLineChars="0"/>
        <w:rPr>
          <w:color w:val="auto"/>
          <w:sz w:val="21"/>
          <w:szCs w:val="24"/>
          <w:highlight w:val="none"/>
        </w:rPr>
      </w:pPr>
    </w:p>
    <w:p w14:paraId="21CCC459">
      <w:pPr>
        <w:numPr>
          <w:ilvl w:val="0"/>
          <w:numId w:val="5"/>
        </w:numPr>
        <w:spacing w:line="400" w:lineRule="exact"/>
        <w:ind w:firstLine="0" w:firstLineChars="0"/>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rPr>
        <w:t>其他有效证明材料目录</w:t>
      </w:r>
    </w:p>
    <w:p w14:paraId="7B699599">
      <w:pPr>
        <w:pStyle w:val="18"/>
        <w:rPr>
          <w:rFonts w:hint="eastAsia"/>
          <w:color w:val="auto"/>
          <w:highlight w:val="none"/>
        </w:rPr>
      </w:pPr>
    </w:p>
    <w:p w14:paraId="3FB10CA3">
      <w:pPr>
        <w:pStyle w:val="26"/>
        <w:spacing w:line="400" w:lineRule="exact"/>
        <w:ind w:firstLine="404" w:firstLineChars="200"/>
        <w:rPr>
          <w:rFonts w:hint="eastAsia" w:ascii="宋体" w:hAnsi="宋体" w:cs="宋体"/>
          <w:color w:val="auto"/>
          <w:spacing w:val="-4"/>
          <w:sz w:val="21"/>
          <w:szCs w:val="21"/>
          <w:highlight w:val="none"/>
        </w:rPr>
      </w:pPr>
    </w:p>
    <w:p w14:paraId="1B1A2216">
      <w:pPr>
        <w:pStyle w:val="26"/>
        <w:spacing w:line="400" w:lineRule="exact"/>
        <w:ind w:firstLine="404" w:firstLineChars="20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rPr>
        <w:t>1.供应商的项目实施方案</w:t>
      </w:r>
      <w:r>
        <w:rPr>
          <w:rFonts w:hint="eastAsia" w:ascii="宋体" w:hAnsi="宋体" w:cs="宋体"/>
          <w:b/>
          <w:color w:val="auto"/>
          <w:sz w:val="21"/>
          <w:szCs w:val="21"/>
          <w:highlight w:val="none"/>
          <w:lang w:val="en-US"/>
        </w:rPr>
        <w:t>（如有，请提供）</w:t>
      </w:r>
    </w:p>
    <w:p w14:paraId="48A9A8E3">
      <w:pPr>
        <w:adjustRightInd w:val="0"/>
        <w:snapToGrid w:val="0"/>
        <w:spacing w:line="400" w:lineRule="exact"/>
        <w:ind w:firstLine="404"/>
        <w:rPr>
          <w:rFonts w:hint="eastAsia" w:ascii="宋体" w:hAnsi="宋体" w:cs="宋体"/>
          <w:color w:val="auto"/>
          <w:sz w:val="21"/>
          <w:szCs w:val="21"/>
          <w:highlight w:val="none"/>
        </w:rPr>
      </w:pPr>
      <w:r>
        <w:rPr>
          <w:rFonts w:hint="eastAsia" w:ascii="宋体" w:hAnsi="宋体" w:cs="宋体"/>
          <w:color w:val="auto"/>
          <w:spacing w:val="-4"/>
          <w:sz w:val="21"/>
          <w:szCs w:val="21"/>
          <w:highlight w:val="none"/>
        </w:rPr>
        <w:t>2.</w:t>
      </w:r>
      <w:r>
        <w:rPr>
          <w:rFonts w:hint="eastAsia" w:ascii="宋体" w:hAnsi="宋体" w:cs="宋体"/>
          <w:color w:val="auto"/>
          <w:sz w:val="21"/>
          <w:szCs w:val="21"/>
          <w:highlight w:val="none"/>
        </w:rPr>
        <w:t>供应商2021年以来具有生态环境执法监测服务业绩【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cs="宋体"/>
          <w:b/>
          <w:bCs/>
          <w:color w:val="auto"/>
          <w:kern w:val="0"/>
          <w:sz w:val="21"/>
          <w:szCs w:val="21"/>
          <w:highlight w:val="none"/>
        </w:rPr>
        <w:t>（如有，请提供）</w:t>
      </w:r>
    </w:p>
    <w:p w14:paraId="5FD723BF">
      <w:pPr>
        <w:tabs>
          <w:tab w:val="left" w:pos="1305"/>
        </w:tabs>
        <w:spacing w:line="400" w:lineRule="exact"/>
        <w:ind w:firstLine="420"/>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3.供应商可结合本项目的评审办法视自身情况自行提交相关证明材料</w:t>
      </w:r>
      <w:r>
        <w:rPr>
          <w:rFonts w:hint="eastAsia" w:ascii="宋体" w:hAnsi="宋体" w:cs="宋体"/>
          <w:b/>
          <w:bCs/>
          <w:color w:val="auto"/>
          <w:kern w:val="0"/>
          <w:sz w:val="21"/>
          <w:szCs w:val="21"/>
          <w:highlight w:val="none"/>
        </w:rPr>
        <w:t>（如有，请提供）</w:t>
      </w:r>
    </w:p>
    <w:p w14:paraId="3697F392">
      <w:pPr>
        <w:spacing w:line="240" w:lineRule="auto"/>
        <w:ind w:firstLine="0" w:firstLineChars="0"/>
        <w:rPr>
          <w:rFonts w:hint="eastAsia" w:ascii="宋体" w:hAnsi="宋体"/>
          <w:b/>
          <w:color w:val="auto"/>
          <w:kern w:val="0"/>
          <w:sz w:val="32"/>
          <w:szCs w:val="20"/>
          <w:highlight w:val="none"/>
        </w:rPr>
      </w:pPr>
      <w:r>
        <w:rPr>
          <w:rFonts w:hint="eastAsia" w:ascii="宋体" w:hAnsi="宋体"/>
          <w:b/>
          <w:color w:val="auto"/>
          <w:kern w:val="0"/>
          <w:sz w:val="32"/>
          <w:szCs w:val="20"/>
          <w:highlight w:val="none"/>
        </w:rPr>
        <w:br w:type="page"/>
      </w:r>
    </w:p>
    <w:p w14:paraId="3CB2B1D2">
      <w:pPr>
        <w:spacing w:line="240" w:lineRule="auto"/>
        <w:ind w:firstLine="0" w:firstLineChars="0"/>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1.供应商的项目实施方案（如有，请提供）</w:t>
      </w:r>
    </w:p>
    <w:p w14:paraId="42AFA12C">
      <w:pPr>
        <w:spacing w:line="400" w:lineRule="exact"/>
        <w:ind w:firstLine="0" w:firstLineChars="0"/>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附件：</w:t>
      </w:r>
    </w:p>
    <w:p w14:paraId="0288F9CB">
      <w:pPr>
        <w:spacing w:line="240" w:lineRule="auto"/>
        <w:ind w:firstLine="472" w:firstLineChars="147"/>
        <w:jc w:val="center"/>
        <w:rPr>
          <w:rFonts w:hint="eastAsia" w:ascii="宋体" w:hAnsi="宋体" w:cs="宋体"/>
          <w:b/>
          <w:bCs/>
          <w:color w:val="auto"/>
          <w:kern w:val="0"/>
          <w:sz w:val="32"/>
          <w:szCs w:val="20"/>
          <w:highlight w:val="none"/>
        </w:rPr>
      </w:pPr>
      <w:r>
        <w:rPr>
          <w:rFonts w:hint="eastAsia" w:ascii="宋体" w:hAnsi="宋体" w:cs="宋体"/>
          <w:b/>
          <w:bCs/>
          <w:color w:val="auto"/>
          <w:kern w:val="0"/>
          <w:sz w:val="32"/>
          <w:szCs w:val="20"/>
          <w:highlight w:val="none"/>
        </w:rPr>
        <w:t>项目实施方案（格式）</w:t>
      </w:r>
    </w:p>
    <w:p w14:paraId="57150530">
      <w:pPr>
        <w:spacing w:line="400" w:lineRule="exact"/>
        <w:ind w:left="720" w:firstLine="0" w:firstLineChars="0"/>
        <w:rPr>
          <w:rFonts w:ascii="宋体" w:hAnsi="Courier New"/>
          <w:b/>
          <w:color w:val="auto"/>
          <w:kern w:val="0"/>
          <w:szCs w:val="24"/>
          <w:highlight w:val="none"/>
        </w:rPr>
      </w:pPr>
    </w:p>
    <w:p w14:paraId="5EC19D0C">
      <w:pPr>
        <w:numPr>
          <w:ilvl w:val="0"/>
          <w:numId w:val="6"/>
        </w:numPr>
        <w:adjustRightIn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服务管理方案</w:t>
      </w:r>
    </w:p>
    <w:p w14:paraId="580A276B">
      <w:pPr>
        <w:numPr>
          <w:ilvl w:val="0"/>
          <w:numId w:val="7"/>
        </w:numPr>
        <w:adjustRightIn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工作流程</w:t>
      </w:r>
    </w:p>
    <w:p w14:paraId="7ED4BD96">
      <w:pPr>
        <w:pStyle w:val="43"/>
        <w:ind w:firstLine="210"/>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rPr>
        <w:t>……</w:t>
      </w:r>
    </w:p>
    <w:p w14:paraId="729B7ECA">
      <w:pPr>
        <w:numPr>
          <w:ilvl w:val="0"/>
          <w:numId w:val="7"/>
        </w:numPr>
        <w:adjustRightIn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项目实施人员管理方案</w:t>
      </w:r>
    </w:p>
    <w:p w14:paraId="5045B938">
      <w:pPr>
        <w:pStyle w:val="43"/>
        <w:ind w:firstLine="2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w:t>
      </w:r>
    </w:p>
    <w:p w14:paraId="1A48CF9B">
      <w:pPr>
        <w:numPr>
          <w:ilvl w:val="0"/>
          <w:numId w:val="7"/>
        </w:numPr>
        <w:adjustRightIn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服务进度及质量管理措施</w:t>
      </w:r>
    </w:p>
    <w:p w14:paraId="5D71A02B">
      <w:pPr>
        <w:pStyle w:val="43"/>
        <w:ind w:firstLine="2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w:t>
      </w:r>
    </w:p>
    <w:p w14:paraId="51845F3A">
      <w:pPr>
        <w:numPr>
          <w:ilvl w:val="0"/>
          <w:numId w:val="7"/>
        </w:numPr>
        <w:adjustRightIn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风险管理方案及突发应急预案</w:t>
      </w:r>
    </w:p>
    <w:p w14:paraId="461B9D34">
      <w:pPr>
        <w:adjustRightIn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5A0B07B3">
      <w:pPr>
        <w:adjustRightInd w:val="0"/>
        <w:spacing w:line="380" w:lineRule="exact"/>
        <w:ind w:left="418" w:leftChars="174"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二、重点难点分析方案</w:t>
      </w:r>
    </w:p>
    <w:p w14:paraId="712C0B4B">
      <w:pPr>
        <w:adjustRightInd w:val="0"/>
        <w:spacing w:line="380" w:lineRule="exact"/>
        <w:ind w:left="418" w:leftChars="174"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ascii="宋体" w:hAnsi="宋体" w:cs="宋体"/>
          <w:color w:val="auto"/>
          <w:sz w:val="21"/>
          <w:szCs w:val="21"/>
          <w:highlight w:val="none"/>
          <w:lang w:val="zh-CN"/>
        </w:rPr>
        <w:t>重点难点认识及分析</w:t>
      </w:r>
    </w:p>
    <w:p w14:paraId="3E1362BF">
      <w:pPr>
        <w:adjustRightInd w:val="0"/>
        <w:spacing w:line="380" w:lineRule="exact"/>
        <w:ind w:firstLine="480"/>
        <w:rPr>
          <w:rFonts w:hint="eastAsia" w:ascii="宋体" w:hAnsi="宋体" w:cs="宋体"/>
          <w:color w:val="auto"/>
          <w:sz w:val="21"/>
          <w:szCs w:val="21"/>
          <w:highlight w:val="none"/>
        </w:rPr>
      </w:pPr>
      <w:r>
        <w:rPr>
          <w:rFonts w:hint="eastAsia"/>
          <w:color w:val="auto"/>
          <w:highlight w:val="none"/>
        </w:rPr>
        <w:t>……</w:t>
      </w:r>
    </w:p>
    <w:p w14:paraId="589219B4">
      <w:pPr>
        <w:adjustRightInd w:val="0"/>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（二）</w:t>
      </w:r>
      <w:r>
        <w:rPr>
          <w:rFonts w:hint="eastAsia" w:ascii="宋体" w:hAnsi="宋体" w:cs="宋体"/>
          <w:color w:val="auto"/>
          <w:sz w:val="21"/>
          <w:szCs w:val="21"/>
          <w:highlight w:val="none"/>
          <w:lang w:val="zh-CN"/>
        </w:rPr>
        <w:t>工作方案</w:t>
      </w:r>
    </w:p>
    <w:p w14:paraId="3C3D1C53">
      <w:pPr>
        <w:adjustRightInd w:val="0"/>
        <w:spacing w:line="380" w:lineRule="exact"/>
        <w:ind w:firstLine="480"/>
        <w:rPr>
          <w:rFonts w:hint="eastAsia" w:ascii="宋体" w:hAnsi="宋体" w:cs="宋体"/>
          <w:color w:val="auto"/>
          <w:sz w:val="21"/>
          <w:szCs w:val="21"/>
          <w:highlight w:val="none"/>
        </w:rPr>
      </w:pPr>
      <w:r>
        <w:rPr>
          <w:rFonts w:hint="eastAsia"/>
          <w:color w:val="auto"/>
          <w:highlight w:val="none"/>
        </w:rPr>
        <w:t>……</w:t>
      </w:r>
    </w:p>
    <w:p w14:paraId="40F773BF">
      <w:pPr>
        <w:adjustRightInd w:val="0"/>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（三）</w:t>
      </w:r>
      <w:r>
        <w:rPr>
          <w:rFonts w:hint="eastAsia" w:ascii="宋体" w:hAnsi="宋体" w:cs="宋体"/>
          <w:color w:val="auto"/>
          <w:sz w:val="21"/>
          <w:szCs w:val="21"/>
          <w:highlight w:val="none"/>
          <w:lang w:val="zh-CN"/>
        </w:rPr>
        <w:t>合理化建议</w:t>
      </w:r>
    </w:p>
    <w:p w14:paraId="228F19AC">
      <w:pPr>
        <w:adjustRightInd w:val="0"/>
        <w:spacing w:line="380" w:lineRule="exact"/>
        <w:ind w:firstLine="420"/>
        <w:rPr>
          <w:rFonts w:hint="eastAsia" w:ascii="宋体" w:hAnsi="宋体" w:cs="宋体"/>
          <w:color w:val="auto"/>
          <w:sz w:val="21"/>
          <w:szCs w:val="21"/>
          <w:highlight w:val="none"/>
        </w:rPr>
      </w:pPr>
    </w:p>
    <w:p w14:paraId="6334E235">
      <w:pPr>
        <w:adjustRightInd w:val="0"/>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三、服务保障措施</w:t>
      </w:r>
    </w:p>
    <w:p w14:paraId="22AE26A8">
      <w:pPr>
        <w:adjustRightInd w:val="0"/>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（一）服务进度控制措施</w:t>
      </w:r>
    </w:p>
    <w:p w14:paraId="109C53A3">
      <w:pPr>
        <w:pStyle w:val="43"/>
        <w:ind w:firstLine="210"/>
        <w:rPr>
          <w:color w:val="auto"/>
          <w:highlight w:val="none"/>
        </w:rPr>
      </w:pPr>
      <w:r>
        <w:rPr>
          <w:rFonts w:hint="eastAsia"/>
          <w:color w:val="auto"/>
          <w:highlight w:val="none"/>
          <w:lang w:val="en-US"/>
        </w:rPr>
        <w:t>……</w:t>
      </w:r>
    </w:p>
    <w:p w14:paraId="74C6BD02">
      <w:pPr>
        <w:adjustRightInd w:val="0"/>
        <w:spacing w:line="380" w:lineRule="exact"/>
        <w:ind w:firstLine="420"/>
        <w:rPr>
          <w:rFonts w:hint="eastAsia" w:ascii="宋体" w:hAnsi="宋体" w:cs="宋体"/>
          <w:color w:val="auto"/>
          <w:kern w:val="0"/>
          <w:szCs w:val="21"/>
          <w:highlight w:val="none"/>
        </w:rPr>
      </w:pPr>
      <w:r>
        <w:rPr>
          <w:rFonts w:hint="eastAsia" w:ascii="宋体" w:hAnsi="宋体" w:cs="宋体"/>
          <w:color w:val="auto"/>
          <w:sz w:val="21"/>
          <w:szCs w:val="21"/>
          <w:highlight w:val="none"/>
        </w:rPr>
        <w:t>（二）提升样品制备质量的保障机制</w:t>
      </w:r>
    </w:p>
    <w:p w14:paraId="122CF8D0">
      <w:pPr>
        <w:adjustRightInd w:val="0"/>
        <w:spacing w:line="380" w:lineRule="exact"/>
        <w:ind w:firstLine="480"/>
        <w:rPr>
          <w:color w:val="auto"/>
          <w:highlight w:val="none"/>
        </w:rPr>
      </w:pPr>
      <w:r>
        <w:rPr>
          <w:rFonts w:hint="eastAsia"/>
          <w:color w:val="auto"/>
          <w:highlight w:val="none"/>
        </w:rPr>
        <w:t>……</w:t>
      </w:r>
    </w:p>
    <w:p w14:paraId="747E04D6">
      <w:pPr>
        <w:adjustRightInd w:val="0"/>
        <w:spacing w:line="380" w:lineRule="exact"/>
        <w:ind w:left="480" w:leftChars="200"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（三）数据检查、质量控制以及反馈纠错措施</w:t>
      </w:r>
    </w:p>
    <w:p w14:paraId="5FC0CFC6">
      <w:pPr>
        <w:adjustRightInd w:val="0"/>
        <w:spacing w:line="380" w:lineRule="exact"/>
        <w:ind w:firstLine="480"/>
        <w:rPr>
          <w:rFonts w:hint="eastAsia" w:ascii="宋体" w:hAnsi="宋体" w:cs="宋体"/>
          <w:color w:val="auto"/>
          <w:sz w:val="21"/>
          <w:szCs w:val="21"/>
          <w:highlight w:val="none"/>
        </w:rPr>
      </w:pPr>
      <w:r>
        <w:rPr>
          <w:rFonts w:hint="eastAsia"/>
          <w:color w:val="auto"/>
          <w:highlight w:val="none"/>
        </w:rPr>
        <w:t>……</w:t>
      </w:r>
    </w:p>
    <w:p w14:paraId="4E8CEEA0">
      <w:pPr>
        <w:adjustRightInd w:val="0"/>
        <w:spacing w:line="38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（四）安全保证机制</w:t>
      </w:r>
    </w:p>
    <w:p w14:paraId="1D0D365D">
      <w:pPr>
        <w:adjustRightInd w:val="0"/>
        <w:spacing w:line="380" w:lineRule="exact"/>
        <w:ind w:firstLine="480"/>
        <w:rPr>
          <w:rFonts w:hint="eastAsia" w:ascii="宋体" w:hAnsi="宋体" w:cs="宋体"/>
          <w:color w:val="auto"/>
          <w:sz w:val="21"/>
          <w:szCs w:val="21"/>
          <w:highlight w:val="none"/>
        </w:rPr>
      </w:pPr>
      <w:r>
        <w:rPr>
          <w:rFonts w:hint="eastAsia"/>
          <w:color w:val="auto"/>
          <w:highlight w:val="none"/>
        </w:rPr>
        <w:t>……</w:t>
      </w:r>
    </w:p>
    <w:p w14:paraId="67A5C179">
      <w:pPr>
        <w:adjustRightInd w:val="0"/>
        <w:spacing w:line="380" w:lineRule="exact"/>
        <w:ind w:firstLine="480"/>
        <w:rPr>
          <w:color w:val="auto"/>
          <w:highlight w:val="none"/>
        </w:rPr>
      </w:pPr>
    </w:p>
    <w:p w14:paraId="42B2632E">
      <w:pPr>
        <w:snapToGrid w:val="0"/>
        <w:spacing w:line="400" w:lineRule="exact"/>
        <w:ind w:firstLine="0" w:firstLineChars="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32E0390E">
      <w:pPr>
        <w:spacing w:line="340" w:lineRule="exact"/>
        <w:ind w:firstLine="0" w:firstLineChars="0"/>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6C33EAC0">
      <w:pPr>
        <w:spacing w:line="40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68D67C">
      <w:pPr>
        <w:spacing w:line="240" w:lineRule="auto"/>
        <w:ind w:firstLine="3570" w:firstLineChars="1700"/>
        <w:rPr>
          <w:rFonts w:hint="eastAsia" w:ascii="宋体" w:hAnsi="宋体" w:cs="宋体"/>
          <w:color w:val="auto"/>
          <w:sz w:val="21"/>
          <w:szCs w:val="20"/>
          <w:highlight w:val="none"/>
          <w:u w:val="single"/>
        </w:rPr>
      </w:pPr>
    </w:p>
    <w:p w14:paraId="6F8B3F6C">
      <w:pPr>
        <w:spacing w:line="240" w:lineRule="auto"/>
        <w:ind w:firstLine="3570" w:firstLineChars="1700"/>
        <w:rPr>
          <w:rFonts w:hint="eastAsia" w:ascii="宋体" w:hAnsi="宋体" w:cs="宋体"/>
          <w:color w:val="auto"/>
          <w:sz w:val="21"/>
          <w:szCs w:val="20"/>
          <w:highlight w:val="none"/>
          <w:u w:val="single"/>
        </w:rPr>
      </w:pPr>
    </w:p>
    <w:p w14:paraId="74576F25">
      <w:pPr>
        <w:spacing w:line="400" w:lineRule="exact"/>
        <w:ind w:firstLine="0" w:firstLineChars="0"/>
        <w:rPr>
          <w:rFonts w:hint="eastAsia" w:hAnsi="宋体" w:cs="宋体"/>
          <w:b/>
          <w:color w:val="auto"/>
          <w:kern w:val="0"/>
          <w:sz w:val="32"/>
          <w:highlight w:val="none"/>
        </w:rPr>
      </w:pPr>
    </w:p>
    <w:p w14:paraId="1B426A2F">
      <w:pPr>
        <w:spacing w:line="400" w:lineRule="exact"/>
        <w:ind w:firstLine="0" w:firstLineChars="0"/>
        <w:rPr>
          <w:rFonts w:hint="eastAsia" w:hAnsi="宋体" w:cs="宋体"/>
          <w:b/>
          <w:color w:val="auto"/>
          <w:kern w:val="0"/>
          <w:sz w:val="32"/>
          <w:highlight w:val="none"/>
        </w:rPr>
      </w:pPr>
    </w:p>
    <w:p w14:paraId="6BD14A1E">
      <w:pPr>
        <w:spacing w:line="400" w:lineRule="exact"/>
        <w:ind w:firstLine="0" w:firstLineChars="0"/>
        <w:rPr>
          <w:rFonts w:hint="eastAsia" w:hAnsi="宋体" w:cs="宋体"/>
          <w:b/>
          <w:color w:val="auto"/>
          <w:kern w:val="0"/>
          <w:sz w:val="32"/>
          <w:highlight w:val="none"/>
        </w:rPr>
      </w:pPr>
    </w:p>
    <w:p w14:paraId="448FBD10">
      <w:pPr>
        <w:spacing w:line="400" w:lineRule="exact"/>
        <w:ind w:firstLine="0" w:firstLineChars="0"/>
        <w:rPr>
          <w:rFonts w:hint="eastAsia" w:ascii="宋体" w:hAnsi="宋体" w:cs="宋体"/>
          <w:b/>
          <w:bCs/>
          <w:color w:val="auto"/>
          <w:kern w:val="0"/>
          <w:sz w:val="32"/>
          <w:szCs w:val="32"/>
          <w:highlight w:val="none"/>
        </w:rPr>
      </w:pPr>
      <w:r>
        <w:rPr>
          <w:rFonts w:hint="eastAsia" w:hAnsi="宋体" w:cs="宋体"/>
          <w:b/>
          <w:color w:val="auto"/>
          <w:kern w:val="0"/>
          <w:sz w:val="32"/>
          <w:highlight w:val="none"/>
        </w:rPr>
        <w:t>2</w:t>
      </w:r>
      <w:r>
        <w:rPr>
          <w:rFonts w:hint="eastAsia" w:ascii="宋体" w:hAnsi="宋体" w:cs="宋体"/>
          <w:b/>
          <w:bCs/>
          <w:color w:val="auto"/>
          <w:kern w:val="0"/>
          <w:sz w:val="32"/>
          <w:szCs w:val="32"/>
          <w:highlight w:val="none"/>
        </w:rPr>
        <w:t>.供应商2021年以来具有生态环境执法监测服务业绩【以中标/成交通知书或签订的项目合同复印件为准（加盖供应商电子签章），能清晰反映项目名称或合同标的，否则将不予评审，同一个编号的项目有两个或两个以上的分标中标的只算一次】（如有，请提供）</w:t>
      </w:r>
    </w:p>
    <w:p w14:paraId="15084A87">
      <w:pPr>
        <w:pStyle w:val="18"/>
        <w:spacing w:line="400" w:lineRule="exact"/>
        <w:rPr>
          <w:rFonts w:hint="eastAsia"/>
          <w:color w:val="auto"/>
          <w:highlight w:val="none"/>
        </w:rPr>
      </w:pPr>
    </w:p>
    <w:p w14:paraId="47A8F22E">
      <w:pPr>
        <w:pStyle w:val="44"/>
        <w:ind w:left="480"/>
        <w:rPr>
          <w:color w:val="auto"/>
          <w:highlight w:val="none"/>
        </w:rPr>
      </w:pPr>
    </w:p>
    <w:p w14:paraId="46832DB1">
      <w:pPr>
        <w:pStyle w:val="44"/>
        <w:ind w:left="480"/>
        <w:rPr>
          <w:color w:val="auto"/>
          <w:highlight w:val="none"/>
        </w:rPr>
      </w:pPr>
    </w:p>
    <w:p w14:paraId="26643CE4">
      <w:pPr>
        <w:pStyle w:val="44"/>
        <w:ind w:left="480"/>
        <w:rPr>
          <w:color w:val="auto"/>
          <w:highlight w:val="none"/>
        </w:rPr>
      </w:pPr>
    </w:p>
    <w:p w14:paraId="08E8B386">
      <w:pPr>
        <w:pStyle w:val="44"/>
        <w:ind w:left="480"/>
        <w:rPr>
          <w:color w:val="auto"/>
          <w:highlight w:val="none"/>
        </w:rPr>
      </w:pPr>
    </w:p>
    <w:p w14:paraId="7EF3D63A">
      <w:pPr>
        <w:pStyle w:val="44"/>
        <w:ind w:left="480"/>
        <w:rPr>
          <w:color w:val="auto"/>
          <w:highlight w:val="none"/>
        </w:rPr>
      </w:pPr>
    </w:p>
    <w:p w14:paraId="7D974534">
      <w:pPr>
        <w:spacing w:line="400" w:lineRule="exact"/>
        <w:ind w:firstLine="0" w:firstLineChars="0"/>
        <w:rPr>
          <w:rFonts w:hint="eastAsia" w:ascii="宋体" w:hAnsi="宋体"/>
          <w:b/>
          <w:color w:val="auto"/>
          <w:sz w:val="21"/>
          <w:szCs w:val="21"/>
          <w:highlight w:val="none"/>
        </w:rPr>
      </w:pPr>
      <w:r>
        <w:rPr>
          <w:rFonts w:hint="eastAsia" w:ascii="宋体" w:hAnsi="宋体" w:cs="宋体"/>
          <w:b/>
          <w:bCs/>
          <w:color w:val="auto"/>
          <w:kern w:val="0"/>
          <w:sz w:val="32"/>
          <w:szCs w:val="32"/>
          <w:highlight w:val="none"/>
        </w:rPr>
        <w:t>3.供应商可结合本项目的评审办法视自身情况自行提交其他相关证明材料（如有，请提供）</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304" w:bottom="1440" w:left="1304"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C234">
    <w:pPr>
      <w:pStyle w:val="3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D2467">
                          <w:pPr>
                            <w:pStyle w:val="30"/>
                            <w:ind w:firstLine="360"/>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PDUsIBAACO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6T&#10;ZdanD1Bj2l3AxDS89wPmzn5AZ6Y9qGjzFwkRjKO6p4u6ckhE5Eer5WpVYUhgbL4gPnt6HiKkD9Jb&#10;ko2GRhxfUZUfP0EaU+eUXM35W21MGaFxfzkQM3tY7n3sMVtp2A0ToZ1vT8inx8k31OGiU2I+OhQ2&#10;L8lsxNnYTUauAeHdIWHh0k9GHaGmYjimwmhaqbwHf95L1tNv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7Dw1LCAQAAjgMAAA4AAAAAAAAAAQAgAAAAHgEAAGRycy9lMm9Eb2MueG1sUEsF&#10;BgAAAAAGAAYAWQEAAFIFAAAAAA==&#10;">
              <v:fill on="f" focussize="0,0"/>
              <v:stroke on="f"/>
              <v:imagedata o:title=""/>
              <o:lock v:ext="edit" aspectratio="f"/>
              <v:textbox inset="0mm,0mm,0mm,0mm" style="mso-fit-shape-to-text:t;">
                <w:txbxContent>
                  <w:p w14:paraId="62AD2467">
                    <w:pPr>
                      <w:pStyle w:val="30"/>
                      <w:ind w:firstLine="360"/>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6ADDD14E">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2827">
    <w:pPr>
      <w:pStyle w:val="3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6F8D10">
                          <w:pPr>
                            <w:pStyle w:val="30"/>
                            <w:ind w:firstLine="360"/>
                            <w:rPr>
                              <w:rStyle w:val="49"/>
                            </w:rPr>
                          </w:pPr>
                          <w:r>
                            <w:fldChar w:fldCharType="begin"/>
                          </w:r>
                          <w:r>
                            <w:rPr>
                              <w:rStyle w:val="49"/>
                            </w:rPr>
                            <w:instrText xml:space="preserve">PAGE  </w:instrText>
                          </w:r>
                          <w:r>
                            <w:fldChar w:fldCharType="separate"/>
                          </w:r>
                          <w:r>
                            <w:rPr>
                              <w:rStyle w:val="49"/>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L4bcIBAACO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TUauAeHdIWHh0k9GHaGmYjimwmhaqbwH/95L1v1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Wi+G3CAQAAjgMAAA4AAAAAAAAAAQAgAAAAHgEAAGRycy9lMm9Eb2MueG1sUEsF&#10;BgAAAAAGAAYAWQEAAFIFAAAAAA==&#10;">
              <v:fill on="f" focussize="0,0"/>
              <v:stroke on="f"/>
              <v:imagedata o:title=""/>
              <o:lock v:ext="edit" aspectratio="f"/>
              <v:textbox inset="0mm,0mm,0mm,0mm" style="mso-fit-shape-to-text:t;">
                <w:txbxContent>
                  <w:p w14:paraId="5D6F8D10">
                    <w:pPr>
                      <w:pStyle w:val="30"/>
                      <w:ind w:firstLine="360"/>
                      <w:rPr>
                        <w:rStyle w:val="49"/>
                      </w:rPr>
                    </w:pPr>
                    <w:r>
                      <w:fldChar w:fldCharType="begin"/>
                    </w:r>
                    <w:r>
                      <w:rPr>
                        <w:rStyle w:val="49"/>
                      </w:rPr>
                      <w:instrText xml:space="preserve">PAGE  </w:instrText>
                    </w:r>
                    <w:r>
                      <w:fldChar w:fldCharType="separate"/>
                    </w:r>
                    <w:r>
                      <w:rPr>
                        <w:rStyle w:val="49"/>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95F7">
    <w:pPr>
      <w:pStyle w:val="3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4C42C5">
                          <w:pPr>
                            <w:pStyle w:val="30"/>
                            <w:ind w:firstLine="360"/>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aKU8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2pKHLc48cuP75efvy+/vpE6&#10;6zMEaDDtPmBiGt/6EXMXP6Az0x5VtPmLhAjGUd3zVV05JiLyo3W9XlcYEhhbLojPHp6HCOmd9JZk&#10;o6URx1dU5acPkKbUJSVXc/5OG1NGaNxfDsTMHpZ7n3rMVhr340xo77sz8hlw8i11uOiUmPcOhc1L&#10;shhxMfazkWtAeHNMWLj0k1EnqLkYjqkwmlcq78Hje8l6+I2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wDaKU8EBAACOAwAADgAAAAAAAAABACAAAAAeAQAAZHJzL2Uyb0RvYy54bWxQSwUG&#10;AAAAAAYABgBZAQAAUQUAAAAA&#10;">
              <v:fill on="f" focussize="0,0"/>
              <v:stroke on="f"/>
              <v:imagedata o:title=""/>
              <o:lock v:ext="edit" aspectratio="f"/>
              <v:textbox inset="0mm,0mm,0mm,0mm" style="mso-fit-shape-to-text:t;">
                <w:txbxContent>
                  <w:p w14:paraId="6D4C42C5">
                    <w:pPr>
                      <w:pStyle w:val="30"/>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7920">
    <w:pPr>
      <w:pStyle w:val="3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E54DC">
                          <w:pPr>
                            <w:pStyle w:val="30"/>
                            <w:ind w:firstLine="360"/>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uKhcEBAACO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LO3XGLEz///HH+9Xh++E7e&#10;Zn36ADWm3QVMTMN7P2Du7Ad0ZtqDijZ/kRDBOKp7uqgrh0REfrRarlYVhgTG5gvis6fnIUL6IL0l&#10;2WhoxPEVVfnxE6QxdU7J1Zy/1caUERr3lwMxs4fl3sces5WG3TAR2vn2hHx6nHxDHS46JeajQ2Hz&#10;ksxGnI3dZOQaEN4dEhYu/WTUEWoqhmMqjKaVynvw571kPf1G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uKhcEBAACOAwAADgAAAAAAAAABACAAAAAeAQAAZHJzL2Uyb0RvYy54bWxQSwUG&#10;AAAAAAYABgBZAQAAUQUAAAAA&#10;">
              <v:fill on="f" focussize="0,0"/>
              <v:stroke on="f"/>
              <v:imagedata o:title=""/>
              <o:lock v:ext="edit" aspectratio="f"/>
              <v:textbox inset="0mm,0mm,0mm,0mm" style="mso-fit-shape-to-text:t;">
                <w:txbxContent>
                  <w:p w14:paraId="06AE54DC">
                    <w:pPr>
                      <w:pStyle w:val="30"/>
                      <w:ind w:firstLine="36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30FF">
    <w:pPr>
      <w:pStyle w:val="3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5083C">
                          <w:pPr>
                            <w:pStyle w:val="30"/>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2035083C">
                    <w:pPr>
                      <w:pStyle w:val="30"/>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3B23">
    <w:pPr>
      <w:pStyle w:val="3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CFA4">
    <w:pPr>
      <w:pStyle w:val="31"/>
      <w:pBdr>
        <w:bottom w:val="none" w:color="auto" w:sz="0" w:space="0"/>
      </w:pBdr>
      <w:ind w:firstLine="360"/>
    </w:pPr>
    <w: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4660900"/>
          <wp:effectExtent l="0" t="0" r="2540" b="6350"/>
          <wp:wrapNone/>
          <wp:docPr id="3"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CF6C">
    <w:pPr>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9002">
    <w:pPr>
      <w:ind w:left="480" w:firstLine="0" w:firstLineChars="0"/>
    </w:pP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4660900"/>
          <wp:effectExtent l="0" t="0" r="2540" b="6350"/>
          <wp:wrapNone/>
          <wp:docPr id="7"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3A35">
    <w:pPr>
      <w:pStyle w:val="31"/>
      <w:ind w:firstLine="360"/>
    </w:pPr>
    <w: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5274310" cy="4660900"/>
          <wp:effectExtent l="0" t="0" r="2540" b="6350"/>
          <wp:wrapNone/>
          <wp:docPr id="8" name="WordPictureWatermark3268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683" descr="云龙水印"/>
                  <pic:cNvPicPr>
                    <a:picLocks noChangeAspect="1"/>
                  </pic:cNvPicPr>
                </pic:nvPicPr>
                <pic:blipFill>
                  <a:blip r:embed="rId1">
                    <a:lum bright="69998" contrast="-70001"/>
                  </a:blip>
                  <a:stretch>
                    <a:fillRect/>
                  </a:stretch>
                </pic:blipFill>
                <pic:spPr>
                  <a:xfrm>
                    <a:off x="0" y="0"/>
                    <a:ext cx="5274310" cy="46609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DDF">
    <w:pPr>
      <w:pStyle w:val="3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7A0">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D20D9"/>
    <w:multiLevelType w:val="singleLevel"/>
    <w:tmpl w:val="88FD20D9"/>
    <w:lvl w:ilvl="0" w:tentative="0">
      <w:start w:val="1"/>
      <w:numFmt w:val="chineseCounting"/>
      <w:suff w:val="nothing"/>
      <w:lvlText w:val="%1、"/>
      <w:lvlJc w:val="left"/>
      <w:rPr>
        <w:rFonts w:hint="eastAsia"/>
      </w:rPr>
    </w:lvl>
  </w:abstractNum>
  <w:abstractNum w:abstractNumId="1">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2">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3">
    <w:nsid w:val="474CE0CE"/>
    <w:multiLevelType w:val="singleLevel"/>
    <w:tmpl w:val="474CE0CE"/>
    <w:lvl w:ilvl="0" w:tentative="0">
      <w:start w:val="1"/>
      <w:numFmt w:val="chineseCounting"/>
      <w:suff w:val="nothing"/>
      <w:lvlText w:val="（%1）"/>
      <w:lvlJc w:val="left"/>
      <w:rPr>
        <w:rFonts w:hint="eastAsia"/>
      </w:rPr>
    </w:lvl>
  </w:abstractNum>
  <w:abstractNum w:abstractNumId="4">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66C52A4"/>
    <w:multiLevelType w:val="singleLevel"/>
    <w:tmpl w:val="766C52A4"/>
    <w:lvl w:ilvl="0" w:tentative="0">
      <w:start w:val="3"/>
      <w:numFmt w:val="chineseCounting"/>
      <w:suff w:val="nothing"/>
      <w:lvlText w:val="（%1）"/>
      <w:lvlJc w:val="left"/>
      <w:rPr>
        <w:rFonts w:hint="eastAsia"/>
      </w:rPr>
    </w:lvl>
  </w:abstractNum>
  <w:abstractNum w:abstractNumId="6">
    <w:nsid w:val="78E2D185"/>
    <w:multiLevelType w:val="singleLevel"/>
    <w:tmpl w:val="78E2D185"/>
    <w:lvl w:ilvl="0" w:tentative="0">
      <w:start w:val="7"/>
      <w:numFmt w:val="chineseCounting"/>
      <w:suff w:val="nothing"/>
      <w:lvlText w:val="%1、"/>
      <w:lvlJc w:val="left"/>
      <w:rPr>
        <w:rFonts w:hint="eastAsia"/>
      </w:r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5B08"/>
    <w:rsid w:val="00057AAB"/>
    <w:rsid w:val="00060E61"/>
    <w:rsid w:val="000634F2"/>
    <w:rsid w:val="000647BB"/>
    <w:rsid w:val="00065104"/>
    <w:rsid w:val="0006637A"/>
    <w:rsid w:val="00066434"/>
    <w:rsid w:val="0006660A"/>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D8A"/>
    <w:rsid w:val="00AC008F"/>
    <w:rsid w:val="00AC05A1"/>
    <w:rsid w:val="00AC3592"/>
    <w:rsid w:val="00AC3BF1"/>
    <w:rsid w:val="00AC664F"/>
    <w:rsid w:val="00AD047F"/>
    <w:rsid w:val="00AD05EC"/>
    <w:rsid w:val="00AD0FC1"/>
    <w:rsid w:val="00AD181D"/>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F10"/>
    <w:rsid w:val="00C251BD"/>
    <w:rsid w:val="00C25297"/>
    <w:rsid w:val="00C255B3"/>
    <w:rsid w:val="00C25707"/>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2810B4"/>
    <w:rsid w:val="012A067A"/>
    <w:rsid w:val="013E4C05"/>
    <w:rsid w:val="01B74E3B"/>
    <w:rsid w:val="01DF79C5"/>
    <w:rsid w:val="01E46AB5"/>
    <w:rsid w:val="01F74374"/>
    <w:rsid w:val="02435B91"/>
    <w:rsid w:val="0256098D"/>
    <w:rsid w:val="02A227A1"/>
    <w:rsid w:val="02DD1A2B"/>
    <w:rsid w:val="02EF216B"/>
    <w:rsid w:val="031419C8"/>
    <w:rsid w:val="031F5BB6"/>
    <w:rsid w:val="03571464"/>
    <w:rsid w:val="0368705F"/>
    <w:rsid w:val="04387860"/>
    <w:rsid w:val="0449381C"/>
    <w:rsid w:val="047E5F88"/>
    <w:rsid w:val="049A4077"/>
    <w:rsid w:val="04A15406"/>
    <w:rsid w:val="04B32AA4"/>
    <w:rsid w:val="04BB76ED"/>
    <w:rsid w:val="051C765B"/>
    <w:rsid w:val="058B24BE"/>
    <w:rsid w:val="06AC5BCA"/>
    <w:rsid w:val="06E14F78"/>
    <w:rsid w:val="071C070D"/>
    <w:rsid w:val="07B02A34"/>
    <w:rsid w:val="07E25084"/>
    <w:rsid w:val="07F753DE"/>
    <w:rsid w:val="082C1FCC"/>
    <w:rsid w:val="083D0B68"/>
    <w:rsid w:val="084E678A"/>
    <w:rsid w:val="08F55A0C"/>
    <w:rsid w:val="09102B5A"/>
    <w:rsid w:val="09293C1C"/>
    <w:rsid w:val="09C556F2"/>
    <w:rsid w:val="09CB082F"/>
    <w:rsid w:val="09CC303E"/>
    <w:rsid w:val="09CC55EE"/>
    <w:rsid w:val="0A0749D6"/>
    <w:rsid w:val="0A0B3CBF"/>
    <w:rsid w:val="0A424F95"/>
    <w:rsid w:val="0A482F82"/>
    <w:rsid w:val="0A6B12BF"/>
    <w:rsid w:val="0A9D666F"/>
    <w:rsid w:val="0AB80DB3"/>
    <w:rsid w:val="0B1123F2"/>
    <w:rsid w:val="0B2A52FA"/>
    <w:rsid w:val="0B4E56E2"/>
    <w:rsid w:val="0BA36A04"/>
    <w:rsid w:val="0C112E71"/>
    <w:rsid w:val="0C2C2F6F"/>
    <w:rsid w:val="0C7A45CA"/>
    <w:rsid w:val="0CA912FB"/>
    <w:rsid w:val="0CAE0035"/>
    <w:rsid w:val="0CDD5F03"/>
    <w:rsid w:val="0CE60497"/>
    <w:rsid w:val="0CF231B9"/>
    <w:rsid w:val="0D0F7EEE"/>
    <w:rsid w:val="0D5451CA"/>
    <w:rsid w:val="0D836E64"/>
    <w:rsid w:val="0DA41AC3"/>
    <w:rsid w:val="0E8E3C77"/>
    <w:rsid w:val="0EB20CD1"/>
    <w:rsid w:val="0EE87D2B"/>
    <w:rsid w:val="0F0947E6"/>
    <w:rsid w:val="0F1D102F"/>
    <w:rsid w:val="0F7F0F9B"/>
    <w:rsid w:val="0FD20B69"/>
    <w:rsid w:val="0FF860F6"/>
    <w:rsid w:val="100E0CFB"/>
    <w:rsid w:val="102B751A"/>
    <w:rsid w:val="106858D1"/>
    <w:rsid w:val="109217D4"/>
    <w:rsid w:val="10EA711E"/>
    <w:rsid w:val="11074D5E"/>
    <w:rsid w:val="115740F9"/>
    <w:rsid w:val="116E48C1"/>
    <w:rsid w:val="117278C5"/>
    <w:rsid w:val="119A29E6"/>
    <w:rsid w:val="11AC399B"/>
    <w:rsid w:val="11F27D2D"/>
    <w:rsid w:val="11FF376C"/>
    <w:rsid w:val="12354D76"/>
    <w:rsid w:val="125D07AF"/>
    <w:rsid w:val="12972203"/>
    <w:rsid w:val="12C14C41"/>
    <w:rsid w:val="130F0A42"/>
    <w:rsid w:val="138E51F7"/>
    <w:rsid w:val="13D85E92"/>
    <w:rsid w:val="13E1581F"/>
    <w:rsid w:val="14DA49C1"/>
    <w:rsid w:val="15211C4B"/>
    <w:rsid w:val="15AD0C73"/>
    <w:rsid w:val="15F854B1"/>
    <w:rsid w:val="16AB5ABA"/>
    <w:rsid w:val="16D57191"/>
    <w:rsid w:val="17176D5A"/>
    <w:rsid w:val="17351D86"/>
    <w:rsid w:val="174F1BF6"/>
    <w:rsid w:val="175F0B83"/>
    <w:rsid w:val="17624FAA"/>
    <w:rsid w:val="17B615F2"/>
    <w:rsid w:val="185010A8"/>
    <w:rsid w:val="189664AC"/>
    <w:rsid w:val="189E1DAE"/>
    <w:rsid w:val="18B02695"/>
    <w:rsid w:val="18C33745"/>
    <w:rsid w:val="18E65A7F"/>
    <w:rsid w:val="19CA3059"/>
    <w:rsid w:val="19EB665F"/>
    <w:rsid w:val="1A442469"/>
    <w:rsid w:val="1A784AD1"/>
    <w:rsid w:val="1A7E7D2D"/>
    <w:rsid w:val="1AD67034"/>
    <w:rsid w:val="1B23480E"/>
    <w:rsid w:val="1B3423FC"/>
    <w:rsid w:val="1B891FB6"/>
    <w:rsid w:val="1BF863F1"/>
    <w:rsid w:val="1C195F35"/>
    <w:rsid w:val="1C22105F"/>
    <w:rsid w:val="1C966D09"/>
    <w:rsid w:val="1CA93E55"/>
    <w:rsid w:val="1CB437CE"/>
    <w:rsid w:val="1CFA34AD"/>
    <w:rsid w:val="1D1A71AE"/>
    <w:rsid w:val="1D5A5455"/>
    <w:rsid w:val="1DA05C02"/>
    <w:rsid w:val="1DC85359"/>
    <w:rsid w:val="1E0C6042"/>
    <w:rsid w:val="1E412110"/>
    <w:rsid w:val="1E6F1873"/>
    <w:rsid w:val="1E7B39AE"/>
    <w:rsid w:val="1ECA62B8"/>
    <w:rsid w:val="1EE10877"/>
    <w:rsid w:val="1F517C6F"/>
    <w:rsid w:val="1F545922"/>
    <w:rsid w:val="1F7076AA"/>
    <w:rsid w:val="209921A7"/>
    <w:rsid w:val="20E95D13"/>
    <w:rsid w:val="21521489"/>
    <w:rsid w:val="21653E52"/>
    <w:rsid w:val="216655B5"/>
    <w:rsid w:val="219C484D"/>
    <w:rsid w:val="21C3242C"/>
    <w:rsid w:val="21F253F8"/>
    <w:rsid w:val="21F726B1"/>
    <w:rsid w:val="21FA2669"/>
    <w:rsid w:val="229909F6"/>
    <w:rsid w:val="229F1976"/>
    <w:rsid w:val="230C50F3"/>
    <w:rsid w:val="231D1AE7"/>
    <w:rsid w:val="23954BEB"/>
    <w:rsid w:val="239C7197"/>
    <w:rsid w:val="23C44D8E"/>
    <w:rsid w:val="24015121"/>
    <w:rsid w:val="24257A2B"/>
    <w:rsid w:val="245711E5"/>
    <w:rsid w:val="245D0E39"/>
    <w:rsid w:val="24893C26"/>
    <w:rsid w:val="24B85758"/>
    <w:rsid w:val="254362A6"/>
    <w:rsid w:val="2572426C"/>
    <w:rsid w:val="25B91FD5"/>
    <w:rsid w:val="25BC1449"/>
    <w:rsid w:val="25C675CC"/>
    <w:rsid w:val="25D70F30"/>
    <w:rsid w:val="25DD571A"/>
    <w:rsid w:val="25E26295"/>
    <w:rsid w:val="25EB26EF"/>
    <w:rsid w:val="25FE1577"/>
    <w:rsid w:val="26157CA0"/>
    <w:rsid w:val="26282A0E"/>
    <w:rsid w:val="26434B7C"/>
    <w:rsid w:val="26567DEE"/>
    <w:rsid w:val="26675339"/>
    <w:rsid w:val="26EF15EF"/>
    <w:rsid w:val="27051AB1"/>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60DFE"/>
    <w:rsid w:val="2A0B02BB"/>
    <w:rsid w:val="2A2D1730"/>
    <w:rsid w:val="2A3B0766"/>
    <w:rsid w:val="2A816FBC"/>
    <w:rsid w:val="2AA21D18"/>
    <w:rsid w:val="2AC75198"/>
    <w:rsid w:val="2AFA03A2"/>
    <w:rsid w:val="2AFD3F81"/>
    <w:rsid w:val="2B03342D"/>
    <w:rsid w:val="2B2F3609"/>
    <w:rsid w:val="2BBC1F12"/>
    <w:rsid w:val="2BDC005F"/>
    <w:rsid w:val="2C236E3F"/>
    <w:rsid w:val="2C7C2E07"/>
    <w:rsid w:val="2C830D0B"/>
    <w:rsid w:val="2C8F43C6"/>
    <w:rsid w:val="2CA70AD9"/>
    <w:rsid w:val="2D786D08"/>
    <w:rsid w:val="2D8E0107"/>
    <w:rsid w:val="2DD36752"/>
    <w:rsid w:val="2DE300CF"/>
    <w:rsid w:val="2E13412C"/>
    <w:rsid w:val="2E433D29"/>
    <w:rsid w:val="2E720F38"/>
    <w:rsid w:val="2EA835B1"/>
    <w:rsid w:val="2F25085E"/>
    <w:rsid w:val="2F34093B"/>
    <w:rsid w:val="2F3565C7"/>
    <w:rsid w:val="2F530BC4"/>
    <w:rsid w:val="2F544FB7"/>
    <w:rsid w:val="2FA15742"/>
    <w:rsid w:val="2FB60CF9"/>
    <w:rsid w:val="2FFB6E45"/>
    <w:rsid w:val="30073ABF"/>
    <w:rsid w:val="30420F9B"/>
    <w:rsid w:val="304A59F9"/>
    <w:rsid w:val="307467D9"/>
    <w:rsid w:val="30C55B3C"/>
    <w:rsid w:val="30E91417"/>
    <w:rsid w:val="30FC2E75"/>
    <w:rsid w:val="31280191"/>
    <w:rsid w:val="31475E5B"/>
    <w:rsid w:val="31995B99"/>
    <w:rsid w:val="31A16195"/>
    <w:rsid w:val="31CE517A"/>
    <w:rsid w:val="32075108"/>
    <w:rsid w:val="323E39E4"/>
    <w:rsid w:val="32DC564E"/>
    <w:rsid w:val="3321382F"/>
    <w:rsid w:val="332A0A50"/>
    <w:rsid w:val="332C55E2"/>
    <w:rsid w:val="33641229"/>
    <w:rsid w:val="33B75537"/>
    <w:rsid w:val="33E900A0"/>
    <w:rsid w:val="3409157F"/>
    <w:rsid w:val="342015F4"/>
    <w:rsid w:val="345A5DB1"/>
    <w:rsid w:val="34930017"/>
    <w:rsid w:val="34941B31"/>
    <w:rsid w:val="34C62A28"/>
    <w:rsid w:val="34E65414"/>
    <w:rsid w:val="350327A1"/>
    <w:rsid w:val="353177AF"/>
    <w:rsid w:val="35342883"/>
    <w:rsid w:val="35573081"/>
    <w:rsid w:val="357A4A16"/>
    <w:rsid w:val="35ED0CE5"/>
    <w:rsid w:val="35F26FC0"/>
    <w:rsid w:val="36166AA3"/>
    <w:rsid w:val="36735C80"/>
    <w:rsid w:val="368711ED"/>
    <w:rsid w:val="36FC3260"/>
    <w:rsid w:val="37243306"/>
    <w:rsid w:val="376E32CE"/>
    <w:rsid w:val="37BA31CC"/>
    <w:rsid w:val="38230117"/>
    <w:rsid w:val="386079B4"/>
    <w:rsid w:val="38D91DC5"/>
    <w:rsid w:val="3908452D"/>
    <w:rsid w:val="391D56A9"/>
    <w:rsid w:val="394A4DFF"/>
    <w:rsid w:val="396C7089"/>
    <w:rsid w:val="3A1B7C74"/>
    <w:rsid w:val="3A31512C"/>
    <w:rsid w:val="3A704FD8"/>
    <w:rsid w:val="3A7D77A0"/>
    <w:rsid w:val="3B0C4680"/>
    <w:rsid w:val="3B301429"/>
    <w:rsid w:val="3B890AC6"/>
    <w:rsid w:val="3B89694A"/>
    <w:rsid w:val="3BB371F1"/>
    <w:rsid w:val="3BBD0E9A"/>
    <w:rsid w:val="3C5F0F20"/>
    <w:rsid w:val="3CA408E8"/>
    <w:rsid w:val="3CF75ABE"/>
    <w:rsid w:val="3D2C1009"/>
    <w:rsid w:val="3D6959BF"/>
    <w:rsid w:val="3DC70D32"/>
    <w:rsid w:val="3DDB0FBF"/>
    <w:rsid w:val="3E016501"/>
    <w:rsid w:val="3E316EB2"/>
    <w:rsid w:val="3E4D3A8C"/>
    <w:rsid w:val="3E612FAF"/>
    <w:rsid w:val="3E807452"/>
    <w:rsid w:val="3E855C22"/>
    <w:rsid w:val="3EA51073"/>
    <w:rsid w:val="3F0D7C6C"/>
    <w:rsid w:val="3F1B7B42"/>
    <w:rsid w:val="3FB62EB8"/>
    <w:rsid w:val="3FE06EF1"/>
    <w:rsid w:val="3FF74016"/>
    <w:rsid w:val="400E0E9A"/>
    <w:rsid w:val="40115BB3"/>
    <w:rsid w:val="404550EB"/>
    <w:rsid w:val="405149AF"/>
    <w:rsid w:val="41083B3B"/>
    <w:rsid w:val="412755BD"/>
    <w:rsid w:val="417F6051"/>
    <w:rsid w:val="425C413F"/>
    <w:rsid w:val="4290203A"/>
    <w:rsid w:val="43016A94"/>
    <w:rsid w:val="4319011B"/>
    <w:rsid w:val="43436EC4"/>
    <w:rsid w:val="43453E05"/>
    <w:rsid w:val="43863E28"/>
    <w:rsid w:val="43E90031"/>
    <w:rsid w:val="43E97C54"/>
    <w:rsid w:val="44213949"/>
    <w:rsid w:val="445D5837"/>
    <w:rsid w:val="448A5AE4"/>
    <w:rsid w:val="44E93C84"/>
    <w:rsid w:val="451C5E07"/>
    <w:rsid w:val="456520C2"/>
    <w:rsid w:val="45A25069"/>
    <w:rsid w:val="45AF21FA"/>
    <w:rsid w:val="45DE0843"/>
    <w:rsid w:val="4617331B"/>
    <w:rsid w:val="46C118EF"/>
    <w:rsid w:val="472965B9"/>
    <w:rsid w:val="47947ED7"/>
    <w:rsid w:val="483C3C50"/>
    <w:rsid w:val="486E2F6A"/>
    <w:rsid w:val="487330B4"/>
    <w:rsid w:val="48971F64"/>
    <w:rsid w:val="48B1532F"/>
    <w:rsid w:val="48B33F01"/>
    <w:rsid w:val="48E41AB5"/>
    <w:rsid w:val="49B54F13"/>
    <w:rsid w:val="49E83C32"/>
    <w:rsid w:val="4A27563E"/>
    <w:rsid w:val="4A320C1A"/>
    <w:rsid w:val="4A556A39"/>
    <w:rsid w:val="4A6A51F1"/>
    <w:rsid w:val="4AA52C8C"/>
    <w:rsid w:val="4AD4683C"/>
    <w:rsid w:val="4AEC0109"/>
    <w:rsid w:val="4B524331"/>
    <w:rsid w:val="4B7317D2"/>
    <w:rsid w:val="4B7544E9"/>
    <w:rsid w:val="4B933874"/>
    <w:rsid w:val="4BAF0303"/>
    <w:rsid w:val="4C266A57"/>
    <w:rsid w:val="4CC254E6"/>
    <w:rsid w:val="4D267823"/>
    <w:rsid w:val="4D27359B"/>
    <w:rsid w:val="4D4C2785"/>
    <w:rsid w:val="4D6E2082"/>
    <w:rsid w:val="4DF505D8"/>
    <w:rsid w:val="4E160B5A"/>
    <w:rsid w:val="4E436F93"/>
    <w:rsid w:val="4E534A5B"/>
    <w:rsid w:val="4E930FA3"/>
    <w:rsid w:val="4EBF7343"/>
    <w:rsid w:val="4EC15E66"/>
    <w:rsid w:val="4ED64EB1"/>
    <w:rsid w:val="4EDB3AAB"/>
    <w:rsid w:val="4EF76AD4"/>
    <w:rsid w:val="4F53428E"/>
    <w:rsid w:val="4F7950EB"/>
    <w:rsid w:val="4F84264D"/>
    <w:rsid w:val="4FBC158B"/>
    <w:rsid w:val="4FCF7A22"/>
    <w:rsid w:val="4FDF4A36"/>
    <w:rsid w:val="506643DA"/>
    <w:rsid w:val="50677384"/>
    <w:rsid w:val="50894C1B"/>
    <w:rsid w:val="50CF1F80"/>
    <w:rsid w:val="50F25C6E"/>
    <w:rsid w:val="51660358"/>
    <w:rsid w:val="51823628"/>
    <w:rsid w:val="51EC65FE"/>
    <w:rsid w:val="521F1D12"/>
    <w:rsid w:val="527D496D"/>
    <w:rsid w:val="53053EE3"/>
    <w:rsid w:val="5318595A"/>
    <w:rsid w:val="532A5B93"/>
    <w:rsid w:val="538A50B1"/>
    <w:rsid w:val="53C443B7"/>
    <w:rsid w:val="53D30CDB"/>
    <w:rsid w:val="5415414D"/>
    <w:rsid w:val="543640C4"/>
    <w:rsid w:val="546359FE"/>
    <w:rsid w:val="55406710"/>
    <w:rsid w:val="556A671B"/>
    <w:rsid w:val="564E3947"/>
    <w:rsid w:val="5695328E"/>
    <w:rsid w:val="56B948C3"/>
    <w:rsid w:val="56E46EA2"/>
    <w:rsid w:val="56E654A1"/>
    <w:rsid w:val="574103A7"/>
    <w:rsid w:val="575925A3"/>
    <w:rsid w:val="57CF153B"/>
    <w:rsid w:val="584C2108"/>
    <w:rsid w:val="5886178A"/>
    <w:rsid w:val="58AA2D6A"/>
    <w:rsid w:val="58D8057F"/>
    <w:rsid w:val="58FA2347"/>
    <w:rsid w:val="596A4F3B"/>
    <w:rsid w:val="59715A31"/>
    <w:rsid w:val="598A6D5E"/>
    <w:rsid w:val="59AA3524"/>
    <w:rsid w:val="5A1629CD"/>
    <w:rsid w:val="5A696F79"/>
    <w:rsid w:val="5A6A06C9"/>
    <w:rsid w:val="5A8F0385"/>
    <w:rsid w:val="5A943D31"/>
    <w:rsid w:val="5AB218B5"/>
    <w:rsid w:val="5ABD1BBE"/>
    <w:rsid w:val="5B993B5A"/>
    <w:rsid w:val="5BD952D6"/>
    <w:rsid w:val="5C5B6DBD"/>
    <w:rsid w:val="5C67165B"/>
    <w:rsid w:val="5CC33CB8"/>
    <w:rsid w:val="5CD13457"/>
    <w:rsid w:val="5D2B0ED0"/>
    <w:rsid w:val="5D55323E"/>
    <w:rsid w:val="5D605DDA"/>
    <w:rsid w:val="5DA327BF"/>
    <w:rsid w:val="5E244D3F"/>
    <w:rsid w:val="5E475F20"/>
    <w:rsid w:val="5E7D16C0"/>
    <w:rsid w:val="5EE172F5"/>
    <w:rsid w:val="5F1B40AA"/>
    <w:rsid w:val="5F6D42D3"/>
    <w:rsid w:val="5F7206A6"/>
    <w:rsid w:val="5FA6034F"/>
    <w:rsid w:val="5FC1264B"/>
    <w:rsid w:val="5FCA453C"/>
    <w:rsid w:val="5FFA4CD7"/>
    <w:rsid w:val="600532C8"/>
    <w:rsid w:val="601141F6"/>
    <w:rsid w:val="60850EA0"/>
    <w:rsid w:val="60914033"/>
    <w:rsid w:val="60E15B0B"/>
    <w:rsid w:val="60E330DB"/>
    <w:rsid w:val="60F332A4"/>
    <w:rsid w:val="6114709C"/>
    <w:rsid w:val="61320BEB"/>
    <w:rsid w:val="613E0854"/>
    <w:rsid w:val="61DF3D69"/>
    <w:rsid w:val="61EA40EF"/>
    <w:rsid w:val="620B1799"/>
    <w:rsid w:val="62163D51"/>
    <w:rsid w:val="626219CC"/>
    <w:rsid w:val="626C47A6"/>
    <w:rsid w:val="62F46372"/>
    <w:rsid w:val="632E7C88"/>
    <w:rsid w:val="634B15C2"/>
    <w:rsid w:val="635E721F"/>
    <w:rsid w:val="636E387A"/>
    <w:rsid w:val="63A0122E"/>
    <w:rsid w:val="63B03563"/>
    <w:rsid w:val="63BC555B"/>
    <w:rsid w:val="63FF199A"/>
    <w:rsid w:val="640B5BF0"/>
    <w:rsid w:val="643B7C00"/>
    <w:rsid w:val="64901652"/>
    <w:rsid w:val="64D67929"/>
    <w:rsid w:val="64F943AD"/>
    <w:rsid w:val="65461D15"/>
    <w:rsid w:val="654D1C7D"/>
    <w:rsid w:val="656F44FB"/>
    <w:rsid w:val="65876E75"/>
    <w:rsid w:val="65D0278E"/>
    <w:rsid w:val="66263822"/>
    <w:rsid w:val="663A5F3D"/>
    <w:rsid w:val="668C23EB"/>
    <w:rsid w:val="679D40C2"/>
    <w:rsid w:val="67BA0E3C"/>
    <w:rsid w:val="67D64663"/>
    <w:rsid w:val="67F4293F"/>
    <w:rsid w:val="680B72D0"/>
    <w:rsid w:val="681D7FAB"/>
    <w:rsid w:val="682A798A"/>
    <w:rsid w:val="68430937"/>
    <w:rsid w:val="68DE1BE7"/>
    <w:rsid w:val="693358F6"/>
    <w:rsid w:val="695B38A9"/>
    <w:rsid w:val="698D79E2"/>
    <w:rsid w:val="69A1521B"/>
    <w:rsid w:val="69C51D1A"/>
    <w:rsid w:val="6A2F1FBD"/>
    <w:rsid w:val="6A4448D0"/>
    <w:rsid w:val="6A5B17AD"/>
    <w:rsid w:val="6A824822"/>
    <w:rsid w:val="6AF523D3"/>
    <w:rsid w:val="6AFF6ACE"/>
    <w:rsid w:val="6B026DB1"/>
    <w:rsid w:val="6B1B2E01"/>
    <w:rsid w:val="6B7A3A92"/>
    <w:rsid w:val="6B970455"/>
    <w:rsid w:val="6BC009EB"/>
    <w:rsid w:val="6BDC1EAF"/>
    <w:rsid w:val="6C2319AA"/>
    <w:rsid w:val="6CC87C29"/>
    <w:rsid w:val="6CF2468B"/>
    <w:rsid w:val="6D2259A2"/>
    <w:rsid w:val="6D441BA4"/>
    <w:rsid w:val="6D4C5D1C"/>
    <w:rsid w:val="6D547772"/>
    <w:rsid w:val="6D9A606B"/>
    <w:rsid w:val="6E153270"/>
    <w:rsid w:val="6E3653D3"/>
    <w:rsid w:val="6E7A4B42"/>
    <w:rsid w:val="6E8827BD"/>
    <w:rsid w:val="6E8C1058"/>
    <w:rsid w:val="6EAB7671"/>
    <w:rsid w:val="6EF0607C"/>
    <w:rsid w:val="6F156EF1"/>
    <w:rsid w:val="6F49637A"/>
    <w:rsid w:val="6F50730C"/>
    <w:rsid w:val="6F614293"/>
    <w:rsid w:val="6FAA7DC7"/>
    <w:rsid w:val="6FE446AE"/>
    <w:rsid w:val="70087337"/>
    <w:rsid w:val="701324D7"/>
    <w:rsid w:val="706B5E85"/>
    <w:rsid w:val="70A712AA"/>
    <w:rsid w:val="70DB1960"/>
    <w:rsid w:val="711452F5"/>
    <w:rsid w:val="71654B20"/>
    <w:rsid w:val="717E737E"/>
    <w:rsid w:val="71900E5F"/>
    <w:rsid w:val="71931803"/>
    <w:rsid w:val="71D90A58"/>
    <w:rsid w:val="71DD4297"/>
    <w:rsid w:val="72482FD7"/>
    <w:rsid w:val="72804CD0"/>
    <w:rsid w:val="72A05761"/>
    <w:rsid w:val="72B766CC"/>
    <w:rsid w:val="72C0328A"/>
    <w:rsid w:val="7330162D"/>
    <w:rsid w:val="734819F2"/>
    <w:rsid w:val="73A11C37"/>
    <w:rsid w:val="73EB6BB4"/>
    <w:rsid w:val="7434641A"/>
    <w:rsid w:val="74B80DF9"/>
    <w:rsid w:val="74DA4AE9"/>
    <w:rsid w:val="74EA64FC"/>
    <w:rsid w:val="751267BF"/>
    <w:rsid w:val="75262860"/>
    <w:rsid w:val="75343457"/>
    <w:rsid w:val="758D465D"/>
    <w:rsid w:val="759B3847"/>
    <w:rsid w:val="75A736C0"/>
    <w:rsid w:val="75E579CC"/>
    <w:rsid w:val="767759EB"/>
    <w:rsid w:val="767E6526"/>
    <w:rsid w:val="7695128E"/>
    <w:rsid w:val="778953BF"/>
    <w:rsid w:val="7814147B"/>
    <w:rsid w:val="78307C29"/>
    <w:rsid w:val="78397B5B"/>
    <w:rsid w:val="78634E3D"/>
    <w:rsid w:val="78764542"/>
    <w:rsid w:val="78B260EE"/>
    <w:rsid w:val="78B5245C"/>
    <w:rsid w:val="78C11379"/>
    <w:rsid w:val="78F30652"/>
    <w:rsid w:val="78FF322A"/>
    <w:rsid w:val="79020895"/>
    <w:rsid w:val="795C478C"/>
    <w:rsid w:val="795F7A95"/>
    <w:rsid w:val="79A038E7"/>
    <w:rsid w:val="79B772FD"/>
    <w:rsid w:val="7A9C63A5"/>
    <w:rsid w:val="7AB3492E"/>
    <w:rsid w:val="7AC34054"/>
    <w:rsid w:val="7ADE62A3"/>
    <w:rsid w:val="7B3A3722"/>
    <w:rsid w:val="7B476491"/>
    <w:rsid w:val="7B6830EE"/>
    <w:rsid w:val="7B764DBB"/>
    <w:rsid w:val="7B922396"/>
    <w:rsid w:val="7BBD0633"/>
    <w:rsid w:val="7BD35E68"/>
    <w:rsid w:val="7BDE09E7"/>
    <w:rsid w:val="7CBE50AF"/>
    <w:rsid w:val="7CC61BD9"/>
    <w:rsid w:val="7D2E4B27"/>
    <w:rsid w:val="7D574DCF"/>
    <w:rsid w:val="7D66494E"/>
    <w:rsid w:val="7D733B0F"/>
    <w:rsid w:val="7D8F646F"/>
    <w:rsid w:val="7DB32E2D"/>
    <w:rsid w:val="7DE42994"/>
    <w:rsid w:val="7E09286B"/>
    <w:rsid w:val="7E766656"/>
    <w:rsid w:val="7EA01A43"/>
    <w:rsid w:val="7ED10C1A"/>
    <w:rsid w:val="7EDC3936"/>
    <w:rsid w:val="7EDD5687"/>
    <w:rsid w:val="7F192B90"/>
    <w:rsid w:val="7F373C55"/>
    <w:rsid w:val="7F604567"/>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0"/>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next w:val="19"/>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20">
    <w:name w:val="Body Text Indent"/>
    <w:basedOn w:val="1"/>
    <w:next w:val="21"/>
    <w:link w:val="69"/>
    <w:unhideWhenUsed/>
    <w:qFormat/>
    <w:uiPriority w:val="0"/>
    <w:pPr>
      <w:spacing w:after="120" w:line="240" w:lineRule="auto"/>
      <w:ind w:left="420" w:leftChars="200" w:firstLine="0" w:firstLineChars="0"/>
    </w:pPr>
    <w:rPr>
      <w:sz w:val="21"/>
      <w:szCs w:val="24"/>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0"/>
    <w:pPr>
      <w:tabs>
        <w:tab w:val="left" w:pos="1350"/>
      </w:tabs>
      <w:spacing w:line="240" w:lineRule="auto"/>
      <w:ind w:left="1350" w:hanging="720" w:firstLineChars="0"/>
    </w:pPr>
    <w:rPr>
      <w:sz w:val="21"/>
      <w:szCs w:val="24"/>
    </w:rPr>
  </w:style>
  <w:style w:type="paragraph" w:styleId="23">
    <w:name w:val="List 2"/>
    <w:basedOn w:val="1"/>
    <w:qFormat/>
    <w:uiPriority w:val="0"/>
    <w:pPr>
      <w:spacing w:line="240" w:lineRule="auto"/>
      <w:ind w:left="100" w:leftChars="200" w:hanging="200" w:hangingChars="200"/>
    </w:pPr>
    <w:rPr>
      <w:sz w:val="28"/>
      <w:szCs w:val="24"/>
    </w:rPr>
  </w:style>
  <w:style w:type="paragraph" w:styleId="24">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5">
    <w:name w:val="toc 3"/>
    <w:basedOn w:val="1"/>
    <w:next w:val="1"/>
    <w:unhideWhenUsed/>
    <w:qFormat/>
    <w:uiPriority w:val="39"/>
    <w:pPr>
      <w:ind w:left="840" w:leftChars="400" w:firstLine="0" w:firstLineChars="0"/>
    </w:pPr>
    <w:rPr>
      <w:rFonts w:ascii="Calibri" w:hAnsi="Calibri"/>
    </w:rPr>
  </w:style>
  <w:style w:type="paragraph" w:styleId="26">
    <w:name w:val="Plain Text"/>
    <w:basedOn w:val="1"/>
    <w:next w:val="11"/>
    <w:link w:val="70"/>
    <w:qFormat/>
    <w:uiPriority w:val="0"/>
    <w:pPr>
      <w:spacing w:line="460" w:lineRule="exact"/>
      <w:ind w:firstLine="0" w:firstLineChars="0"/>
    </w:pPr>
    <w:rPr>
      <w:lang w:val="en-GB"/>
    </w:rPr>
  </w:style>
  <w:style w:type="paragraph" w:styleId="27">
    <w:name w:val="Date"/>
    <w:basedOn w:val="1"/>
    <w:next w:val="1"/>
    <w:link w:val="71"/>
    <w:unhideWhenUsed/>
    <w:qFormat/>
    <w:uiPriority w:val="0"/>
    <w:pPr>
      <w:ind w:left="100" w:leftChars="2500"/>
    </w:pPr>
  </w:style>
  <w:style w:type="paragraph" w:styleId="28">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9">
    <w:name w:val="Balloon Text"/>
    <w:basedOn w:val="1"/>
    <w:link w:val="73"/>
    <w:unhideWhenUsed/>
    <w:qFormat/>
    <w:uiPriority w:val="0"/>
    <w:pPr>
      <w:spacing w:line="240" w:lineRule="auto"/>
    </w:pPr>
    <w:rPr>
      <w:sz w:val="18"/>
      <w:szCs w:val="18"/>
    </w:rPr>
  </w:style>
  <w:style w:type="paragraph" w:styleId="30">
    <w:name w:val="footer"/>
    <w:basedOn w:val="1"/>
    <w:link w:val="74"/>
    <w:unhideWhenUsed/>
    <w:qFormat/>
    <w:uiPriority w:val="99"/>
    <w:pPr>
      <w:tabs>
        <w:tab w:val="center" w:pos="4153"/>
        <w:tab w:val="right" w:pos="8306"/>
      </w:tabs>
      <w:snapToGrid w:val="0"/>
      <w:jc w:val="left"/>
    </w:pPr>
    <w:rPr>
      <w:sz w:val="18"/>
      <w:szCs w:val="18"/>
    </w:rPr>
  </w:style>
  <w:style w:type="paragraph" w:styleId="31">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ind w:firstLine="0" w:firstLineChars="0"/>
    </w:pPr>
    <w:rPr>
      <w:rFonts w:ascii="Calibri" w:hAnsi="Calibri"/>
      <w:b/>
    </w:rPr>
  </w:style>
  <w:style w:type="paragraph" w:styleId="33">
    <w:name w:val="toc 4"/>
    <w:basedOn w:val="1"/>
    <w:next w:val="1"/>
    <w:qFormat/>
    <w:uiPriority w:val="39"/>
    <w:pPr>
      <w:spacing w:line="240" w:lineRule="auto"/>
      <w:ind w:left="630" w:firstLine="0" w:firstLineChars="0"/>
      <w:jc w:val="left"/>
    </w:pPr>
    <w:rPr>
      <w:sz w:val="18"/>
      <w:szCs w:val="18"/>
    </w:rPr>
  </w:style>
  <w:style w:type="paragraph" w:styleId="34">
    <w:name w:val="List"/>
    <w:basedOn w:val="1"/>
    <w:qFormat/>
    <w:uiPriority w:val="0"/>
    <w:pPr>
      <w:spacing w:line="240" w:lineRule="auto"/>
      <w:ind w:left="200" w:hanging="200" w:hangingChars="200"/>
    </w:pPr>
    <w:rPr>
      <w:sz w:val="28"/>
      <w:szCs w:val="24"/>
    </w:rPr>
  </w:style>
  <w:style w:type="paragraph" w:styleId="35">
    <w:name w:val="List 5"/>
    <w:basedOn w:val="1"/>
    <w:qFormat/>
    <w:uiPriority w:val="0"/>
    <w:pPr>
      <w:spacing w:line="240" w:lineRule="auto"/>
      <w:ind w:left="2100" w:hanging="420" w:firstLineChars="0"/>
    </w:pPr>
    <w:rPr>
      <w:sz w:val="21"/>
      <w:szCs w:val="20"/>
    </w:rPr>
  </w:style>
  <w:style w:type="paragraph" w:styleId="36">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7">
    <w:name w:val="toc 2"/>
    <w:basedOn w:val="1"/>
    <w:next w:val="1"/>
    <w:unhideWhenUsed/>
    <w:qFormat/>
    <w:uiPriority w:val="39"/>
    <w:pPr>
      <w:ind w:left="420" w:leftChars="200" w:firstLine="0" w:firstLineChars="0"/>
    </w:pPr>
    <w:rPr>
      <w:rFonts w:ascii="Calibri" w:hAnsi="Calibri"/>
    </w:rPr>
  </w:style>
  <w:style w:type="paragraph" w:styleId="38">
    <w:name w:val="Body Text 2"/>
    <w:basedOn w:val="1"/>
    <w:link w:val="77"/>
    <w:qFormat/>
    <w:uiPriority w:val="0"/>
    <w:pPr>
      <w:spacing w:after="120" w:line="480" w:lineRule="auto"/>
      <w:ind w:firstLine="0" w:firstLineChars="0"/>
    </w:pPr>
    <w:rPr>
      <w:sz w:val="21"/>
      <w:szCs w:val="24"/>
    </w:rPr>
  </w:style>
  <w:style w:type="paragraph" w:styleId="39">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40">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1">
    <w:name w:val="index 1"/>
    <w:basedOn w:val="1"/>
    <w:next w:val="1"/>
    <w:semiHidden/>
    <w:qFormat/>
    <w:uiPriority w:val="0"/>
    <w:pPr>
      <w:spacing w:line="400" w:lineRule="exact"/>
      <w:ind w:firstLine="420"/>
    </w:pPr>
    <w:rPr>
      <w:rFonts w:ascii="宋体" w:hAnsi="Courier New"/>
      <w:b/>
      <w:sz w:val="21"/>
      <w:szCs w:val="20"/>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20"/>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link w:val="2"/>
    <w:qFormat/>
    <w:uiPriority w:val="0"/>
    <w:rPr>
      <w:rFonts w:ascii="黑体" w:hAnsi="黑体" w:eastAsia="黑体"/>
      <w:b/>
      <w:bCs/>
      <w:kern w:val="44"/>
      <w:sz w:val="28"/>
      <w:szCs w:val="28"/>
      <w:lang w:val="zh-CN"/>
    </w:rPr>
  </w:style>
  <w:style w:type="character" w:customStyle="1" w:styleId="55">
    <w:name w:val="标题 2 字符"/>
    <w:link w:val="3"/>
    <w:qFormat/>
    <w:uiPriority w:val="0"/>
    <w:rPr>
      <w:rFonts w:ascii="黑体" w:hAnsi="黑体" w:eastAsia="黑体"/>
      <w:b/>
      <w:bCs/>
      <w:kern w:val="2"/>
      <w:sz w:val="24"/>
      <w:szCs w:val="24"/>
      <w:lang w:val="zh-CN"/>
    </w:rPr>
  </w:style>
  <w:style w:type="character" w:customStyle="1" w:styleId="56">
    <w:name w:val="标题 3 字符"/>
    <w:link w:val="4"/>
    <w:qFormat/>
    <w:uiPriority w:val="0"/>
    <w:rPr>
      <w:rFonts w:ascii="黑体" w:hAnsi="黑体" w:eastAsia="黑体"/>
      <w:b/>
      <w:bCs/>
      <w:kern w:val="2"/>
      <w:sz w:val="24"/>
      <w:szCs w:val="24"/>
      <w:lang w:val="zh-CN"/>
    </w:rPr>
  </w:style>
  <w:style w:type="character" w:customStyle="1" w:styleId="57">
    <w:name w:val="标题 4 字符"/>
    <w:link w:val="5"/>
    <w:qFormat/>
    <w:uiPriority w:val="99"/>
    <w:rPr>
      <w:rFonts w:ascii="黑体" w:hAnsi="黑体" w:eastAsia="黑体"/>
      <w:kern w:val="2"/>
      <w:sz w:val="24"/>
      <w:szCs w:val="24"/>
      <w:lang w:val="zh-CN"/>
    </w:rPr>
  </w:style>
  <w:style w:type="character" w:customStyle="1" w:styleId="58">
    <w:name w:val="标题 5 字符"/>
    <w:link w:val="6"/>
    <w:qFormat/>
    <w:uiPriority w:val="0"/>
    <w:rPr>
      <w:rFonts w:ascii="黑体" w:hAnsi="黑体" w:eastAsia="黑体"/>
      <w:kern w:val="2"/>
      <w:sz w:val="24"/>
      <w:szCs w:val="24"/>
      <w:lang w:val="zh-CN"/>
    </w:rPr>
  </w:style>
  <w:style w:type="character" w:customStyle="1" w:styleId="59">
    <w:name w:val="标题 6 字符"/>
    <w:link w:val="7"/>
    <w:qFormat/>
    <w:uiPriority w:val="0"/>
    <w:rPr>
      <w:rFonts w:ascii="黑体" w:hAnsi="黑体" w:eastAsia="黑体"/>
      <w:kern w:val="2"/>
      <w:sz w:val="24"/>
      <w:szCs w:val="24"/>
      <w:lang w:val="zh-CN"/>
    </w:rPr>
  </w:style>
  <w:style w:type="character" w:customStyle="1" w:styleId="60">
    <w:name w:val="标题 7 字符"/>
    <w:link w:val="8"/>
    <w:qFormat/>
    <w:uiPriority w:val="0"/>
    <w:rPr>
      <w:rFonts w:eastAsia="宋体"/>
      <w:b/>
      <w:bCs/>
      <w:sz w:val="24"/>
      <w:szCs w:val="24"/>
    </w:rPr>
  </w:style>
  <w:style w:type="character" w:customStyle="1" w:styleId="61">
    <w:name w:val="标题 8 字符"/>
    <w:link w:val="9"/>
    <w:qFormat/>
    <w:uiPriority w:val="9"/>
    <w:rPr>
      <w:rFonts w:ascii="Cambria" w:hAnsi="Cambria"/>
      <w:kern w:val="2"/>
      <w:sz w:val="24"/>
      <w:szCs w:val="24"/>
    </w:rPr>
  </w:style>
  <w:style w:type="character" w:customStyle="1" w:styleId="62">
    <w:name w:val="标题 9 字符"/>
    <w:link w:val="10"/>
    <w:qFormat/>
    <w:uiPriority w:val="0"/>
    <w:rPr>
      <w:rFonts w:ascii="Cambria" w:hAnsi="Cambria"/>
      <w:kern w:val="2"/>
      <w:sz w:val="21"/>
      <w:szCs w:val="21"/>
    </w:rPr>
  </w:style>
  <w:style w:type="character" w:customStyle="1" w:styleId="63">
    <w:name w:val="正文缩进 字符"/>
    <w:link w:val="13"/>
    <w:qFormat/>
    <w:locked/>
    <w:uiPriority w:val="0"/>
    <w:rPr>
      <w:rFonts w:ascii="Times New Roman" w:hAnsi="Times New Roman"/>
      <w:kern w:val="2"/>
      <w:sz w:val="21"/>
    </w:rPr>
  </w:style>
  <w:style w:type="character" w:customStyle="1" w:styleId="64">
    <w:name w:val="文档结构图 字符"/>
    <w:link w:val="15"/>
    <w:qFormat/>
    <w:uiPriority w:val="0"/>
    <w:rPr>
      <w:rFonts w:ascii="宋体" w:hAnsi="Times New Roman"/>
      <w:kern w:val="2"/>
      <w:sz w:val="18"/>
      <w:szCs w:val="18"/>
    </w:rPr>
  </w:style>
  <w:style w:type="character" w:customStyle="1" w:styleId="65">
    <w:name w:val="批注文字 字符"/>
    <w:link w:val="16"/>
    <w:qFormat/>
    <w:uiPriority w:val="0"/>
    <w:rPr>
      <w:rFonts w:eastAsia="宋体"/>
      <w:sz w:val="24"/>
    </w:rPr>
  </w:style>
  <w:style w:type="character" w:customStyle="1" w:styleId="66">
    <w:name w:val="正文文本 3 字符"/>
    <w:link w:val="17"/>
    <w:qFormat/>
    <w:uiPriority w:val="0"/>
    <w:rPr>
      <w:rFonts w:ascii="宋体" w:hAnsi="宋体"/>
      <w:color w:val="000000"/>
      <w:kern w:val="2"/>
      <w:sz w:val="21"/>
      <w:szCs w:val="21"/>
    </w:rPr>
  </w:style>
  <w:style w:type="character" w:customStyle="1" w:styleId="67">
    <w:name w:val="正文文本 字符"/>
    <w:link w:val="18"/>
    <w:qFormat/>
    <w:uiPriority w:val="0"/>
    <w:rPr>
      <w:rFonts w:ascii="宋体" w:hAnsi="宋体" w:eastAsia="宋体" w:cs="宋体"/>
      <w:kern w:val="0"/>
      <w:szCs w:val="21"/>
      <w:lang w:val="zh-CN" w:bidi="zh-CN"/>
    </w:rPr>
  </w:style>
  <w:style w:type="character" w:customStyle="1" w:styleId="68">
    <w:name w:val="标题 字符"/>
    <w:link w:val="19"/>
    <w:qFormat/>
    <w:uiPriority w:val="0"/>
    <w:rPr>
      <w:rFonts w:ascii="Cambria" w:hAnsi="Cambria"/>
      <w:b/>
      <w:bCs/>
      <w:kern w:val="2"/>
      <w:sz w:val="32"/>
      <w:szCs w:val="32"/>
    </w:rPr>
  </w:style>
  <w:style w:type="character" w:customStyle="1" w:styleId="69">
    <w:name w:val="正文文本缩进 字符"/>
    <w:link w:val="20"/>
    <w:qFormat/>
    <w:uiPriority w:val="0"/>
    <w:rPr>
      <w:rFonts w:ascii="Times New Roman" w:hAnsi="Times New Roman"/>
      <w:kern w:val="2"/>
      <w:sz w:val="21"/>
      <w:szCs w:val="24"/>
    </w:rPr>
  </w:style>
  <w:style w:type="character" w:customStyle="1" w:styleId="70">
    <w:name w:val="纯文本 字符1"/>
    <w:link w:val="26"/>
    <w:qFormat/>
    <w:uiPriority w:val="0"/>
    <w:rPr>
      <w:rFonts w:eastAsia="宋体"/>
      <w:sz w:val="24"/>
      <w:lang w:val="en-GB"/>
    </w:rPr>
  </w:style>
  <w:style w:type="character" w:customStyle="1" w:styleId="71">
    <w:name w:val="日期 字符"/>
    <w:link w:val="27"/>
    <w:qFormat/>
    <w:uiPriority w:val="0"/>
    <w:rPr>
      <w:rFonts w:eastAsia="宋体"/>
      <w:sz w:val="24"/>
    </w:rPr>
  </w:style>
  <w:style w:type="character" w:customStyle="1" w:styleId="72">
    <w:name w:val="正文文本缩进 2 字符"/>
    <w:link w:val="28"/>
    <w:qFormat/>
    <w:uiPriority w:val="0"/>
    <w:rPr>
      <w:rFonts w:ascii="Times New Roman" w:hAnsi="Times New Roman"/>
      <w:kern w:val="2"/>
      <w:sz w:val="21"/>
    </w:rPr>
  </w:style>
  <w:style w:type="character" w:customStyle="1" w:styleId="73">
    <w:name w:val="批注框文本 字符"/>
    <w:link w:val="29"/>
    <w:qFormat/>
    <w:uiPriority w:val="0"/>
    <w:rPr>
      <w:rFonts w:eastAsia="宋体"/>
      <w:sz w:val="18"/>
      <w:szCs w:val="18"/>
    </w:rPr>
  </w:style>
  <w:style w:type="character" w:customStyle="1" w:styleId="74">
    <w:name w:val="页脚 字符"/>
    <w:link w:val="30"/>
    <w:qFormat/>
    <w:uiPriority w:val="99"/>
    <w:rPr>
      <w:sz w:val="18"/>
      <w:szCs w:val="18"/>
    </w:rPr>
  </w:style>
  <w:style w:type="character" w:customStyle="1" w:styleId="75">
    <w:name w:val="页眉 字符"/>
    <w:link w:val="31"/>
    <w:qFormat/>
    <w:uiPriority w:val="99"/>
    <w:rPr>
      <w:sz w:val="18"/>
      <w:szCs w:val="18"/>
    </w:rPr>
  </w:style>
  <w:style w:type="character" w:customStyle="1" w:styleId="76">
    <w:name w:val="正文文本缩进 3 字符1"/>
    <w:link w:val="36"/>
    <w:qFormat/>
    <w:uiPriority w:val="0"/>
    <w:rPr>
      <w:rFonts w:ascii="Times New Roman" w:hAnsi="Times New Roman"/>
      <w:kern w:val="2"/>
      <w:sz w:val="16"/>
      <w:szCs w:val="16"/>
    </w:rPr>
  </w:style>
  <w:style w:type="character" w:customStyle="1" w:styleId="77">
    <w:name w:val="正文文本 2 字符"/>
    <w:link w:val="38"/>
    <w:qFormat/>
    <w:uiPriority w:val="0"/>
    <w:rPr>
      <w:rFonts w:ascii="Times New Roman" w:hAnsi="Times New Roman"/>
      <w:kern w:val="2"/>
      <w:sz w:val="21"/>
      <w:szCs w:val="24"/>
    </w:rPr>
  </w:style>
  <w:style w:type="character" w:customStyle="1" w:styleId="78">
    <w:name w:val="HTML 预设格式 字符"/>
    <w:link w:val="39"/>
    <w:qFormat/>
    <w:uiPriority w:val="0"/>
    <w:rPr>
      <w:rFonts w:ascii="宋体" w:hAnsi="宋体"/>
      <w:sz w:val="24"/>
      <w:szCs w:val="24"/>
    </w:rPr>
  </w:style>
  <w:style w:type="character" w:customStyle="1" w:styleId="79">
    <w:name w:val="批注主题 字符"/>
    <w:link w:val="42"/>
    <w:qFormat/>
    <w:uiPriority w:val="0"/>
    <w:rPr>
      <w:b/>
      <w:bCs/>
    </w:rPr>
  </w:style>
  <w:style w:type="character" w:customStyle="1" w:styleId="80">
    <w:name w:val="正文文本首行缩进 2 字符"/>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20"/>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6"/>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3759</Words>
  <Characters>4175</Characters>
  <Lines>560</Lines>
  <Paragraphs>157</Paragraphs>
  <TotalTime>115</TotalTime>
  <ScaleCrop>false</ScaleCrop>
  <LinksUpToDate>false</LinksUpToDate>
  <CharactersWithSpaces>4218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用户</cp:lastModifiedBy>
  <cp:lastPrinted>2025-04-25T01:28:00Z</cp:lastPrinted>
  <dcterms:modified xsi:type="dcterms:W3CDTF">2025-04-25T03:38:46Z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CECDC88CE6E44F70A4107E933B455F88</vt:lpwstr>
  </property>
  <property fmtid="{D5CDD505-2E9C-101B-9397-08002B2CF9AE}" pid="4" name="KSOTemplateDocerSaveRecord">
    <vt:lpwstr>eyJoZGlkIjoiNjYxNGMxOWE1NmJmNjE2NWUxMWZiOTdlYWFjMjI2YjIiLCJ1c2VySWQiOiIyNDA5MzM3NzAifQ==</vt:lpwstr>
  </property>
</Properties>
</file>